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08/10/2026 à 11:27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2 NEUTRE  |  0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(+66.9%)</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16 sociétés — vérifier avant d'investir</w:t>
      </w:r>
    </w:p>
    <w:p>
      <w:pPr>
        <w:spacing w:before="20" w:after="20"/>
        <w:ind w:left="360" w:right="360"/>
        <w:shd w:val="clear" w:color="auto" w:fill="EBF5FB"/>
      </w:pPr>
      <w:r>
        <w:rPr>
          <w:b/>
          <w:sz w:val="19"/>
        </w:rPr>
        <w:t xml:space="preserve">⚠️ Liquidité réduite :  </w:t>
      </w:r>
      <w:r>
        <w:rPr>
          <w:color w:val="C00000"/>
          <w:sz w:val="19"/>
        </w:rPr>
        <w:t>13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547.91 points </w:t>
      </w:r>
      <w:r>
        <w:rPr>
          <w:color w:val="008000"/>
        </w:rPr>
        <w:t>(+0.56%)</w:t>
      </w:r>
      <w:r>
        <w:t xml:space="preserve"> sur la séance. </w:t>
      </w:r>
      <w:r>
        <w:t>La capitalisation globale du marché atteint 21 486,280 milliards FCFA.</w:t>
      </w:r>
    </w:p>
    <w:p/>
    <w:p>
      <w:pPr>
        <w:pStyle w:val="Heading3"/>
      </w:pPr>
      <w:r>
        <w:t>📊 Évolution de l'indice BRVM Composite (100 derniers jours)</w:t>
      </w:r>
    </w:p>
    <w:p>
      <w:r>
        <w:rPr>
          <w:b/>
        </w:rPr>
        <w:t xml:space="preserve">BRVM Composite — </w:t>
      </w:r>
      <w:r>
        <w:t xml:space="preserve">Sur les 100 derniers jours de cotation (2026-05-13 au 2026-10-07), l'indice BRVM Composite a évolué de </w:t>
      </w:r>
      <w:r>
        <w:rPr>
          <w:b/>
          <w:color w:val="008000"/>
        </w:rPr>
        <w:t>+33.77%</w:t>
      </w:r>
      <w:r>
        <w:t>, passant de 409.59 pts à 547.91 pts. Le plus haut atteint est 555.90 pts et le plus bas 409.59 pts. Sur l'ensemble de la période, la moyenne de l'indice s'établit à 485.77 pts, la médiane à 481.92 pts et le mode à 409.59 pts</w:t>
      </w:r>
      <w:r>
        <w:t xml:space="preserve"> (distribution symétrique). </w:t>
      </w:r>
      <w:r>
        <w:t xml:space="preserve">L'écart-type de 45.81 pts (CV=9.4%) traduit une modérée dispersion des cotations. Le kurtosis de -1.33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+36.09%</w:t>
      </w:r>
      <w:r>
        <w:t xml:space="preserve"> sur la période, passant de 15 787,910 Mds FCFA à 21 486,280 Mds FCFA. Le pic de capitalisation observé est de 21 529,927 Mds FCFA et le plancher de 15 787,910 Mds FCFA. La moyenne de la capitalisation sur la période s'établit à 18 755,270 Mds FCFA, la médiane à 18 565,217 Mds FCFA et le mode à 15 787,910 Mds FCFA</w:t>
      </w:r>
      <w:r>
        <w:t xml:space="preserve"> (distribution symétrique). </w:t>
      </w:r>
      <w:r>
        <w:t>L'écart-type de 1 814,533 Mds FCFA (CV=9.7%) reflète une modérée variabilité de la valorisation du marché. Le kurtosis de -1.32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BBGC - BRIDGE BANK GROUP COTE D'IVOIRE</w:t>
      </w:r>
      <w:r>
        <w:t xml:space="preserve"> | Prix: 9950 FCFA | </w:t>
      </w:r>
      <w:r>
        <w:rPr>
          <w:b/>
          <w:color w:val="008000"/>
        </w:rPr>
        <w:t>ACHAT FORT</w:t>
      </w:r>
      <w:r>
        <w:t xml:space="preserve"> | Confiance: Élevée | Risque: Faible</w:t>
      </w:r>
    </w:p>
    <w:p>
      <w:pPr>
        <w:pStyle w:val="ListNumber"/>
      </w:pPr>
      <w:r>
        <w:rPr>
          <w:b/>
        </w:rPr>
        <w:t>SLBC - SLBC - SOLIBRA COTE D'IVOIRE</w:t>
      </w:r>
      <w:r>
        <w:t xml:space="preserve"> | Prix: 37400 FCFA | </w:t>
      </w:r>
      <w:r>
        <w:rPr>
          <w:b/>
          <w:color w:val="008000"/>
        </w:rPr>
        <w:t>ACHAT FORT</w:t>
      </w:r>
      <w:r>
        <w:t xml:space="preserve"> | Confiance: Élevée | Risque: Faible</w:t>
      </w:r>
    </w:p>
    <w:p>
      <w:pPr>
        <w:pStyle w:val="ListNumber"/>
      </w:pPr>
      <w:r>
        <w:rPr>
          <w:b/>
        </w:rPr>
        <w:t>ABJC - ABJC - SERVAIR ABIDJAN CI</w:t>
      </w:r>
      <w:r>
        <w:t xml:space="preserve"> | Prix: 3295 FCFA | </w:t>
      </w:r>
      <w:r>
        <w:rPr>
          <w:b/>
          <w:color w:val="008000"/>
        </w:rPr>
        <w:t>ACHAT</w:t>
      </w:r>
      <w:r>
        <w:t xml:space="preserve"> | Confiance: Élevée | Risque: Faible</w:t>
      </w:r>
    </w:p>
    <w:p>
      <w:pPr>
        <w:pStyle w:val="ListNumber"/>
      </w:pPr>
      <w:r>
        <w:rPr>
          <w:b/>
        </w:rPr>
        <w:t>BICB - BIIC BN - Banque internationale pour le commerce du benin</w:t>
      </w:r>
      <w:r>
        <w:t xml:space="preserve"> | Prix: 8650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31500 FCFA | </w:t>
      </w:r>
      <w:r>
        <w:rPr>
          <w:b/>
          <w:color w:val="008000"/>
        </w:rPr>
        <w:t>ACHAT</w:t>
      </w:r>
      <w:r>
        <w:t xml:space="preserve"> | Confiance: Moyen | Risque: Moyen</w:t>
      </w:r>
    </w:p>
    <w:p>
      <w:pPr>
        <w:pStyle w:val="ListNumber"/>
      </w:pPr>
      <w:r>
        <w:rPr>
          <w:b/>
        </w:rPr>
        <w:t>BOAB - BANK OF AFRICA BENIN</w:t>
      </w:r>
      <w:r>
        <w:t xml:space="preserve"> | Prix: 9360 FCFA | </w:t>
      </w:r>
      <w:r>
        <w:rPr>
          <w:b/>
          <w:color w:val="008000"/>
        </w:rPr>
        <w:t>ACHAT</w:t>
      </w:r>
      <w:r>
        <w:t xml:space="preserve"> | Confiance: Moyen | Risque: Faible</w:t>
      </w:r>
    </w:p>
    <w:p>
      <w:pPr>
        <w:pStyle w:val="ListNumber"/>
      </w:pPr>
      <w:r>
        <w:rPr>
          <w:b/>
        </w:rPr>
        <w:t>BOABF - BANK OF AFRICA BURKINA FASO</w:t>
      </w:r>
      <w:r>
        <w:t xml:space="preserve"> | Prix: 7900 FCFA | </w:t>
      </w:r>
      <w:r>
        <w:rPr>
          <w:b/>
          <w:color w:val="008000"/>
        </w:rPr>
        <w:t>ACHAT</w:t>
      </w:r>
      <w:r>
        <w:t xml:space="preserve"> | Confiance: Moyen | Risque: Moyen</w:t>
      </w:r>
    </w:p>
    <w:p>
      <w:pPr>
        <w:pStyle w:val="ListNumber"/>
      </w:pPr>
      <w:r>
        <w:rPr>
          <w:b/>
        </w:rPr>
        <w:t>BOAC - BANK OF AFRICA COTE D'IVOIRE</w:t>
      </w:r>
      <w:r>
        <w:t xml:space="preserve"> | Prix: 11300 FCFA | </w:t>
      </w:r>
      <w:r>
        <w:rPr>
          <w:b/>
          <w:color w:val="008000"/>
        </w:rPr>
        <w:t>ACHAT</w:t>
      </w:r>
      <w:r>
        <w:t xml:space="preserve"> | Confiance: Faible | Risque: Faible</w:t>
      </w:r>
    </w:p>
    <w:p>
      <w:pPr>
        <w:pStyle w:val="ListNumber"/>
      </w:pPr>
      <w:r>
        <w:rPr>
          <w:b/>
        </w:rPr>
        <w:t>BOAM - BANK OF AFRICA MALI</w:t>
      </w:r>
      <w:r>
        <w:t xml:space="preserve"> | Prix: 6095 FCFA | </w:t>
      </w:r>
      <w:r>
        <w:rPr>
          <w:b/>
          <w:color w:val="008000"/>
        </w:rPr>
        <w:t>ACHAT</w:t>
      </w:r>
      <w:r>
        <w:t xml:space="preserve"> | Confiance: Moyen | Risque: Moyen</w:t>
      </w:r>
    </w:p>
    <w:p>
      <w:pPr>
        <w:pStyle w:val="ListNumber"/>
      </w:pPr>
      <w:r>
        <w:rPr>
          <w:b/>
        </w:rPr>
        <w:t>BOAN - BANK OF AFRICA NIGER</w:t>
      </w:r>
      <w:r>
        <w:t xml:space="preserve"> | Prix: 5000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BNBC - BNBC - BERNABE CI</w:t>
      </w:r>
      <w:r>
        <w:t xml:space="preserve"> | Prix: 1950 FCFA | </w:t>
      </w:r>
      <w:r>
        <w:rPr>
          <w:b/>
          <w:color w:val="C00000"/>
        </w:rPr>
        <w:t>CONSERVER</w:t>
      </w:r>
      <w:r>
        <w:t xml:space="preserve"> | Confiance: Moyen | Risque: Faible</w:t>
      </w:r>
    </w:p>
    <w:p>
      <w:pPr>
        <w:pStyle w:val="ListNumber"/>
      </w:pPr>
      <w:r>
        <w:rPr>
          <w:b/>
        </w:rPr>
        <w:t>ORGT - ORGT - ORAGROUP TOGO</w:t>
      </w:r>
      <w:r>
        <w:t xml:space="preserve"> | Prix: 2990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66.87%</w:t>
      </w:r>
      <w:r>
        <w:t xml:space="preserve">  |  </w:t>
      </w:r>
      <w:r>
        <w:rPr>
          <w:b/>
        </w:rPr>
        <w:t xml:space="preserve">vs BRVM Composite: </w:t>
      </w:r>
      <w:r>
        <w:rPr>
          <w:b/>
          <w:color w:val="008000"/>
        </w:rPr>
        <w:t>+33.10%  🟢 Surperformance</w:t>
      </w:r>
      <w:r>
        <w:br/>
      </w:r>
      <w:r>
        <w:rPr>
          <w:b/>
        </w:rPr>
        <w:t xml:space="preserve">Sentiment général: </w:t>
      </w:r>
      <w:r>
        <w:t xml:space="preserve">ACHAT  |  </w:t>
      </w:r>
      <w:r>
        <w:rPr>
          <w:b/>
        </w:rPr>
        <w:t xml:space="preserve">Risque moyen: </w:t>
      </w:r>
      <w:r>
        <w:t xml:space="preserve">Moyen  |  </w:t>
      </w:r>
      <w:r>
        <w:rPr>
          <w:b/>
        </w:rPr>
        <w:t xml:space="preserve">Prix moyen: </w:t>
      </w:r>
      <w:r>
        <w:t>9750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37.15%</w:t>
      </w:r>
      <w:r>
        <w:t xml:space="preserve">  |  </w:t>
      </w:r>
      <w:r>
        <w:rPr>
          <w:b/>
        </w:rPr>
        <w:t xml:space="preserve">vs BRVM Composite: </w:t>
      </w:r>
      <w:r>
        <w:rPr>
          <w:b/>
          <w:color w:val="008000"/>
        </w:rPr>
        <w:t>+3.38%  🟢 Surperformance</w:t>
      </w:r>
      <w:r>
        <w:br/>
      </w:r>
      <w:r>
        <w:rPr>
          <w:b/>
        </w:rPr>
        <w:t xml:space="preserve">Sentiment général: </w:t>
      </w:r>
      <w:r>
        <w:t xml:space="preserve">ACHAT FORT  |  </w:t>
      </w:r>
      <w:r>
        <w:rPr>
          <w:b/>
        </w:rPr>
        <w:t xml:space="preserve">Risque moyen: </w:t>
      </w:r>
      <w:r>
        <w:t xml:space="preserve">Faible  |  </w:t>
      </w:r>
      <w:r>
        <w:rPr>
          <w:b/>
        </w:rPr>
        <w:t xml:space="preserve">Prix moyen: </w:t>
      </w:r>
      <w:r>
        <w:t>9950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34.26%</w:t>
      </w:r>
      <w:r>
        <w:t xml:space="preserve">  |  </w:t>
      </w:r>
      <w:r>
        <w:rPr>
          <w:b/>
        </w:rPr>
        <w:t xml:space="preserve">vs BRVM Composite: </w:t>
      </w:r>
      <w:r>
        <w:rPr>
          <w:b/>
          <w:color w:val="008000"/>
        </w:rPr>
        <w:t>+0.48%  🟢 Surperformance</w:t>
      </w:r>
      <w:r>
        <w:br/>
      </w:r>
      <w:r>
        <w:rPr>
          <w:b/>
        </w:rPr>
        <w:t xml:space="preserve">Sentiment général: </w:t>
      </w:r>
      <w:r>
        <w:t xml:space="preserve">ACHAT  |  </w:t>
      </w:r>
      <w:r>
        <w:rPr>
          <w:b/>
        </w:rPr>
        <w:t xml:space="preserve">Risque moyen: </w:t>
      </w:r>
      <w:r>
        <w:t xml:space="preserve">Moyen  |  </w:t>
      </w:r>
      <w:r>
        <w:rPr>
          <w:b/>
        </w:rPr>
        <w:t xml:space="preserve">Prix moyen: </w:t>
      </w:r>
      <w:r>
        <w:t>23250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33.93%</w:t>
      </w:r>
      <w:r>
        <w:t xml:space="preserve">  |  </w:t>
      </w:r>
      <w:r>
        <w:rPr>
          <w:b/>
        </w:rPr>
        <w:t xml:space="preserve">vs BRVM Composite: </w:t>
      </w:r>
      <w:r>
        <w:rPr>
          <w:b/>
          <w:color w:val="008000"/>
        </w:rPr>
        <w:t>+0.16%  🟢 Surperformance</w:t>
      </w:r>
      <w:r>
        <w:br/>
      </w:r>
      <w:r>
        <w:rPr>
          <w:b/>
        </w:rPr>
        <w:t xml:space="preserve">Sentiment général: </w:t>
      </w:r>
      <w:r>
        <w:t xml:space="preserve">ACHAT  |  </w:t>
      </w:r>
      <w:r>
        <w:rPr>
          <w:b/>
        </w:rPr>
        <w:t xml:space="preserve">Risque moyen: </w:t>
      </w:r>
      <w:r>
        <w:t xml:space="preserve">Moyen  |  </w:t>
      </w:r>
      <w:r>
        <w:rPr>
          <w:b/>
        </w:rPr>
        <w:t xml:space="preserve">Prix moyen: </w:t>
      </w:r>
      <w:r>
        <w:t>13269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18.34%</w:t>
      </w:r>
      <w:r>
        <w:t xml:space="preserve">  |  </w:t>
      </w:r>
      <w:r>
        <w:rPr>
          <w:b/>
        </w:rPr>
        <w:t xml:space="preserve">vs BRVM Composite: </w:t>
      </w:r>
      <w:r>
        <w:rPr>
          <w:b/>
          <w:color w:val="C00000"/>
        </w:rPr>
        <w:t>-15.43%  🔴 Sous-performance</w:t>
      </w:r>
      <w:r>
        <w:br/>
      </w:r>
      <w:r>
        <w:rPr>
          <w:b/>
        </w:rPr>
        <w:t xml:space="preserve">Sentiment général: </w:t>
      </w:r>
      <w:r>
        <w:t xml:space="preserve">ACHAT  |  </w:t>
      </w:r>
      <w:r>
        <w:rPr>
          <w:b/>
        </w:rPr>
        <w:t xml:space="preserve">Risque moyen: </w:t>
      </w:r>
      <w:r>
        <w:t xml:space="preserve">Faible  |  </w:t>
      </w:r>
      <w:r>
        <w:rPr>
          <w:b/>
        </w:rPr>
        <w:t xml:space="preserve">Prix moyen: </w:t>
      </w:r>
      <w:r>
        <w:t>17561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16.47%</w:t>
      </w:r>
      <w:r>
        <w:t xml:space="preserve">  |  </w:t>
      </w:r>
      <w:r>
        <w:rPr>
          <w:b/>
        </w:rPr>
        <w:t xml:space="preserve">vs BRVM Composite: </w:t>
      </w:r>
      <w:r>
        <w:rPr>
          <w:b/>
          <w:color w:val="C00000"/>
        </w:rPr>
        <w:t>-17.30%  🔴 Sous-performance</w:t>
      </w:r>
      <w:r>
        <w:br/>
      </w:r>
      <w:r>
        <w:rPr>
          <w:b/>
        </w:rPr>
        <w:t xml:space="preserve">Sentiment général: </w:t>
      </w:r>
      <w:r>
        <w:t xml:space="preserve">ACHAT  |  </w:t>
      </w:r>
      <w:r>
        <w:rPr>
          <w:b/>
        </w:rPr>
        <w:t xml:space="preserve">Risque moyen: </w:t>
      </w:r>
      <w:r>
        <w:t xml:space="preserve">Faible  |  </w:t>
      </w:r>
      <w:r>
        <w:rPr>
          <w:b/>
        </w:rPr>
        <w:t xml:space="preserve">Prix moyen: </w:t>
      </w:r>
      <w:r>
        <w:t>6338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13.53%</w:t>
      </w:r>
      <w:r>
        <w:t xml:space="preserve">  |  </w:t>
      </w:r>
      <w:r>
        <w:rPr>
          <w:b/>
        </w:rPr>
        <w:t xml:space="preserve">vs BRVM Composite: </w:t>
      </w:r>
      <w:r>
        <w:rPr>
          <w:b/>
          <w:color w:val="C00000"/>
        </w:rPr>
        <w:t>-20.24%  🔴 Sous-performance</w:t>
      </w:r>
      <w:r>
        <w:br/>
      </w:r>
      <w:r>
        <w:rPr>
          <w:b/>
        </w:rPr>
        <w:t xml:space="preserve">Sentiment général: </w:t>
      </w:r>
      <w:r>
        <w:t xml:space="preserve">ACHAT  |  </w:t>
      </w:r>
      <w:r>
        <w:rPr>
          <w:b/>
        </w:rPr>
        <w:t xml:space="preserve">Risque moyen: </w:t>
      </w:r>
      <w:r>
        <w:t xml:space="preserve">Faible  |  </w:t>
      </w:r>
      <w:r>
        <w:rPr>
          <w:b/>
        </w:rPr>
        <w:t xml:space="preserve">Prix moyen: </w:t>
      </w:r>
      <w:r>
        <w:t>2787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-3.68%</w:t>
      </w:r>
      <w:r>
        <w:t xml:space="preserve">  |  </w:t>
      </w:r>
      <w:r>
        <w:rPr>
          <w:b/>
        </w:rPr>
        <w:t xml:space="preserve">vs BRVM Composite: </w:t>
      </w:r>
      <w:r>
        <w:rPr>
          <w:b/>
          <w:color w:val="C00000"/>
        </w:rPr>
        <w:t>-37.45%  🔴 Sous-performance</w:t>
      </w:r>
      <w:r>
        <w:br/>
      </w:r>
      <w:r>
        <w:rPr>
          <w:b/>
        </w:rPr>
        <w:t xml:space="preserve">Sentiment général: </w:t>
      </w:r>
      <w:r>
        <w:t xml:space="preserve">ACHAT  |  </w:t>
      </w:r>
      <w:r>
        <w:rPr>
          <w:b/>
        </w:rPr>
        <w:t xml:space="preserve">Risque moyen: </w:t>
      </w:r>
      <w:r>
        <w:t xml:space="preserve">Faible  |  </w:t>
      </w:r>
      <w:r>
        <w:rPr>
          <w:b/>
        </w:rPr>
        <w:t xml:space="preserve">Prix moyen: </w:t>
      </w:r>
      <w:r>
        <w:t>2303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ECOC, ONTBF, SDCC, SDSC, SGBC, SHEC,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 BOABF, BOAM, CABC, CBIBF, CIEC, ETIT, LNBB, NEIC, NSBC, NTLC, PALC, PRSC, SCRC, SEMC, SLBC, SMBC, SNTS,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BOAC, BOAN, CFAC, FTSC, ORAC, SAFC, SIBC, SICC, SIVC, SPHC, STAC, STBC, TTLC, UNLC</w:t>
            </w:r>
          </w:p>
        </w:tc>
        <w:tc>
          <w:tcPr>
            <w:tcW w:type="dxa" w:w="2160"/>
            <w:shd w:fill="FFC7CE" w:val="clear"/>
          </w:tcPr>
          <w:p>
            <w:pPr>
              <w:spacing w:before="40" w:after="40"/>
            </w:pPr>
            <w:r/>
            <w:r>
              <w:rPr>
                <w:b w:val="0"/>
                <w:sz w:val="16"/>
              </w:rPr>
              <w:t>BNBC, ORGT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1969815</w:t>
            </w:r>
          </w:p>
        </w:tc>
        <w:tc>
          <w:tcPr>
            <w:tcW w:type="dxa" w:w="1728"/>
          </w:tcPr>
          <w:p>
            <w:r>
              <w:t>132924867 FCFA</w:t>
            </w:r>
          </w:p>
        </w:tc>
        <w:tc>
          <w:tcPr>
            <w:tcW w:type="dxa" w:w="1728"/>
          </w:tcPr>
          <w:p>
            <w:r>
              <w:t>120.00%</w:t>
            </w:r>
          </w:p>
        </w:tc>
        <w:tc>
          <w:tcPr>
            <w:tcW w:type="dxa" w:w="1728"/>
          </w:tcPr>
          <w:p>
            <w:r>
              <w:t>ACHAT</w:t>
            </w:r>
          </w:p>
        </w:tc>
      </w:tr>
      <w:tr>
        <w:tc>
          <w:tcPr>
            <w:tcW w:type="dxa" w:w="1728"/>
          </w:tcPr>
          <w:p>
            <w:r>
              <w:t>BBGC (BRIDGE BANK GROUP COTE D'IVOIRE)</w:t>
            </w:r>
          </w:p>
        </w:tc>
        <w:tc>
          <w:tcPr>
            <w:tcW w:type="dxa" w:w="1728"/>
          </w:tcPr>
          <w:p>
            <w:r>
              <w:t>38668</w:t>
            </w:r>
          </w:p>
        </w:tc>
        <w:tc>
          <w:tcPr>
            <w:tcW w:type="dxa" w:w="1728"/>
          </w:tcPr>
          <w:p>
            <w:r>
              <w:t>353284342 FCFA</w:t>
            </w:r>
          </w:p>
        </w:tc>
        <w:tc>
          <w:tcPr>
            <w:tcW w:type="dxa" w:w="1728"/>
          </w:tcPr>
          <w:p>
            <w:r>
              <w:t>37.15%</w:t>
            </w:r>
          </w:p>
        </w:tc>
        <w:tc>
          <w:tcPr>
            <w:tcW w:type="dxa" w:w="1728"/>
          </w:tcPr>
          <w:p>
            <w:r>
              <w:t>ACHAT FORT</w:t>
            </w:r>
          </w:p>
        </w:tc>
      </w:tr>
      <w:tr>
        <w:tc>
          <w:tcPr>
            <w:tcW w:type="dxa" w:w="1728"/>
          </w:tcPr>
          <w:p>
            <w:r>
              <w:t>SNTS (SNTS - SONATEL SN)</w:t>
            </w:r>
          </w:p>
        </w:tc>
        <w:tc>
          <w:tcPr>
            <w:tcW w:type="dxa" w:w="1728"/>
          </w:tcPr>
          <w:p>
            <w:r>
              <w:t>26070</w:t>
            </w:r>
          </w:p>
        </w:tc>
        <w:tc>
          <w:tcPr>
            <w:tcW w:type="dxa" w:w="1728"/>
          </w:tcPr>
          <w:p>
            <w:r>
              <w:t>1095478462 FCFA</w:t>
            </w:r>
          </w:p>
        </w:tc>
        <w:tc>
          <w:tcPr>
            <w:tcW w:type="dxa" w:w="1728"/>
          </w:tcPr>
          <w:p>
            <w:r>
              <w:t>55.37%</w:t>
            </w:r>
          </w:p>
        </w:tc>
        <w:tc>
          <w:tcPr>
            <w:tcW w:type="dxa" w:w="1728"/>
          </w:tcPr>
          <w:p>
            <w:r>
              <w:t>ACHAT</w:t>
            </w:r>
          </w:p>
        </w:tc>
      </w:tr>
      <w:tr>
        <w:tc>
          <w:tcPr>
            <w:tcW w:type="dxa" w:w="1728"/>
          </w:tcPr>
          <w:p>
            <w:r>
              <w:t>BOAS (BANK OF AFRICA SENEGAL)</w:t>
            </w:r>
          </w:p>
        </w:tc>
        <w:tc>
          <w:tcPr>
            <w:tcW w:type="dxa" w:w="1728"/>
          </w:tcPr>
          <w:p>
            <w:r>
              <w:t>13881</w:t>
            </w:r>
          </w:p>
        </w:tc>
        <w:tc>
          <w:tcPr>
            <w:tcW w:type="dxa" w:w="1728"/>
          </w:tcPr>
          <w:p>
            <w:r>
              <w:t>112601814 FCFA</w:t>
            </w:r>
          </w:p>
        </w:tc>
        <w:tc>
          <w:tcPr>
            <w:tcW w:type="dxa" w:w="1728"/>
          </w:tcPr>
          <w:p>
            <w:r>
              <w:t>8.47%</w:t>
            </w:r>
          </w:p>
        </w:tc>
        <w:tc>
          <w:tcPr>
            <w:tcW w:type="dxa" w:w="1728"/>
          </w:tcPr>
          <w:p>
            <w:r>
              <w:t>ACHAT</w:t>
            </w:r>
          </w:p>
        </w:tc>
      </w:tr>
      <w:tr>
        <w:tc>
          <w:tcPr>
            <w:tcW w:type="dxa" w:w="1728"/>
          </w:tcPr>
          <w:p>
            <w:r>
              <w:t>SIBC (SIBC - SOCIETE IVOIRIENNE DE BANQUE)</w:t>
            </w:r>
          </w:p>
        </w:tc>
        <w:tc>
          <w:tcPr>
            <w:tcW w:type="dxa" w:w="1728"/>
          </w:tcPr>
          <w:p>
            <w:r>
              <w:t>11919</w:t>
            </w:r>
          </w:p>
        </w:tc>
        <w:tc>
          <w:tcPr>
            <w:tcW w:type="dxa" w:w="1728"/>
          </w:tcPr>
          <w:p>
            <w:r>
              <w:t>108076646 FCFA</w:t>
            </w:r>
          </w:p>
        </w:tc>
        <w:tc>
          <w:tcPr>
            <w:tcW w:type="dxa" w:w="1728"/>
          </w:tcPr>
          <w:p>
            <w:r>
              <w:t>19.86%</w:t>
            </w:r>
          </w:p>
        </w:tc>
        <w:tc>
          <w:tcPr>
            <w:tcW w:type="dxa" w:w="1728"/>
          </w:tcPr>
          <w:p>
            <w:r>
              <w:t>ACHAT</w:t>
            </w:r>
          </w:p>
        </w:tc>
      </w:tr>
      <w:tr>
        <w:tc>
          <w:tcPr>
            <w:tcW w:type="dxa" w:w="1728"/>
          </w:tcPr>
          <w:p>
            <w:r>
              <w:t>BOAC (BANK OF AFRICA COTE D'IVOIRE)</w:t>
            </w:r>
          </w:p>
        </w:tc>
        <w:tc>
          <w:tcPr>
            <w:tcW w:type="dxa" w:w="1728"/>
          </w:tcPr>
          <w:p>
            <w:r>
              <w:t>11294</w:t>
            </w:r>
          </w:p>
        </w:tc>
        <w:tc>
          <w:tcPr>
            <w:tcW w:type="dxa" w:w="1728"/>
          </w:tcPr>
          <w:p>
            <w:r>
              <w:t>131422892 FCFA</w:t>
            </w:r>
          </w:p>
        </w:tc>
        <w:tc>
          <w:tcPr>
            <w:tcW w:type="dxa" w:w="1728"/>
          </w:tcPr>
          <w:p>
            <w:r>
              <w:t>31.40%</w:t>
            </w:r>
          </w:p>
        </w:tc>
        <w:tc>
          <w:tcPr>
            <w:tcW w:type="dxa" w:w="1728"/>
          </w:tcPr>
          <w:p>
            <w:r>
              <w:t>ACHAT</w:t>
            </w:r>
          </w:p>
        </w:tc>
      </w:tr>
      <w:tr>
        <w:tc>
          <w:tcPr>
            <w:tcW w:type="dxa" w:w="1728"/>
          </w:tcPr>
          <w:p>
            <w:r>
              <w:t>SDSC (SDSC - AFRICA GLOBAL LOGISTICS CI)</w:t>
            </w:r>
          </w:p>
        </w:tc>
        <w:tc>
          <w:tcPr>
            <w:tcW w:type="dxa" w:w="1728"/>
          </w:tcPr>
          <w:p>
            <w:r>
              <w:t>10901</w:t>
            </w:r>
          </w:p>
        </w:tc>
        <w:tc>
          <w:tcPr>
            <w:tcW w:type="dxa" w:w="1728"/>
          </w:tcPr>
          <w:p>
            <w:r>
              <w:t>31906792 FCFA</w:t>
            </w:r>
          </w:p>
        </w:tc>
        <w:tc>
          <w:tcPr>
            <w:tcW w:type="dxa" w:w="1728"/>
          </w:tcPr>
          <w:p>
            <w:r>
              <w:t>71.15%</w:t>
            </w:r>
          </w:p>
        </w:tc>
        <w:tc>
          <w:tcPr>
            <w:tcW w:type="dxa" w:w="1728"/>
          </w:tcPr>
          <w:p>
            <w:r>
              <w:t>ACHAT</w:t>
            </w:r>
          </w:p>
        </w:tc>
      </w:tr>
      <w:tr>
        <w:tc>
          <w:tcPr>
            <w:tcW w:type="dxa" w:w="1728"/>
          </w:tcPr>
          <w:p>
            <w:r>
              <w:t>UNXC (UNXC - UNIWAX COTE D'IVOIRE)</w:t>
            </w:r>
          </w:p>
        </w:tc>
        <w:tc>
          <w:tcPr>
            <w:tcW w:type="dxa" w:w="1728"/>
          </w:tcPr>
          <w:p>
            <w:r>
              <w:t>10868</w:t>
            </w:r>
          </w:p>
        </w:tc>
        <w:tc>
          <w:tcPr>
            <w:tcW w:type="dxa" w:w="1728"/>
          </w:tcPr>
          <w:p>
            <w:r>
              <w:t>25282864 FCFA</w:t>
            </w:r>
          </w:p>
        </w:tc>
        <w:tc>
          <w:tcPr>
            <w:tcW w:type="dxa" w:w="1728"/>
          </w:tcPr>
          <w:p>
            <w:r>
              <w:t>25.00%</w:t>
            </w:r>
          </w:p>
        </w:tc>
        <w:tc>
          <w:tcPr>
            <w:tcW w:type="dxa" w:w="1728"/>
          </w:tcPr>
          <w:p>
            <w:r>
              <w:t>ACHAT</w:t>
            </w:r>
          </w:p>
        </w:tc>
      </w:tr>
      <w:tr>
        <w:tc>
          <w:tcPr>
            <w:tcW w:type="dxa" w:w="1728"/>
          </w:tcPr>
          <w:p>
            <w:r>
              <w:t>BICB (BIIC BN - Banque internationale pour le commerce du benin)</w:t>
            </w:r>
          </w:p>
        </w:tc>
        <w:tc>
          <w:tcPr>
            <w:tcW w:type="dxa" w:w="1728"/>
          </w:tcPr>
          <w:p>
            <w:r>
              <w:t>10805</w:t>
            </w:r>
          </w:p>
        </w:tc>
        <w:tc>
          <w:tcPr>
            <w:tcW w:type="dxa" w:w="1728"/>
          </w:tcPr>
          <w:p>
            <w:r>
              <w:t>103595260 FCFA</w:t>
            </w:r>
          </w:p>
        </w:tc>
        <w:tc>
          <w:tcPr>
            <w:tcW w:type="dxa" w:w="1728"/>
          </w:tcPr>
          <w:p>
            <w:r>
              <w:t>65.71%</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3578</w:t>
            </w:r>
          </w:p>
        </w:tc>
        <w:tc>
          <w:tcPr>
            <w:tcW w:type="dxa" w:w="1728"/>
          </w:tcPr>
          <w:p>
            <w:r>
              <w:t>7585417 FCFA</w:t>
            </w:r>
          </w:p>
        </w:tc>
        <w:tc>
          <w:tcPr>
            <w:tcW w:type="dxa" w:w="1728"/>
          </w:tcPr>
          <w:p>
            <w:r>
              <w:t>-30.59%</w:t>
            </w:r>
          </w:p>
        </w:tc>
        <w:tc>
          <w:tcPr>
            <w:tcW w:type="dxa" w:w="1728"/>
          </w:tcPr>
          <w:p>
            <w:r>
              <w:t>ACHAT</w:t>
            </w:r>
          </w:p>
        </w:tc>
      </w:tr>
      <w:tr>
        <w:tc>
          <w:tcPr>
            <w:tcW w:type="dxa" w:w="1728"/>
          </w:tcPr>
          <w:p>
            <w:r>
              <w:t>ABJC (ABJC - SERVAIR ABIDJAN CI)</w:t>
            </w:r>
          </w:p>
        </w:tc>
        <w:tc>
          <w:tcPr>
            <w:tcW w:type="dxa" w:w="1728"/>
          </w:tcPr>
          <w:p>
            <w:r>
              <w:t>3282</w:t>
            </w:r>
          </w:p>
        </w:tc>
        <w:tc>
          <w:tcPr>
            <w:tcW w:type="dxa" w:w="1728"/>
          </w:tcPr>
          <w:p>
            <w:r>
              <w:t>12622059 FCFA</w:t>
            </w:r>
          </w:p>
        </w:tc>
        <w:tc>
          <w:tcPr>
            <w:tcW w:type="dxa" w:w="1728"/>
          </w:tcPr>
          <w:p>
            <w:r>
              <w:t>15.61%</w:t>
            </w:r>
          </w:p>
        </w:tc>
        <w:tc>
          <w:tcPr>
            <w:tcW w:type="dxa" w:w="1728"/>
          </w:tcPr>
          <w:p>
            <w:r>
              <w:t>ACHAT</w:t>
            </w:r>
          </w:p>
        </w:tc>
      </w:tr>
      <w:tr>
        <w:tc>
          <w:tcPr>
            <w:tcW w:type="dxa" w:w="1728"/>
          </w:tcPr>
          <w:p>
            <w:r>
              <w:t>ECOC (ECOC - ECOBANK COTE D'IVOIRE)</w:t>
            </w:r>
          </w:p>
        </w:tc>
        <w:tc>
          <w:tcPr>
            <w:tcW w:type="dxa" w:w="1728"/>
          </w:tcPr>
          <w:p>
            <w:r>
              <w:t>3201</w:t>
            </w:r>
          </w:p>
        </w:tc>
        <w:tc>
          <w:tcPr>
            <w:tcW w:type="dxa" w:w="1728"/>
          </w:tcPr>
          <w:p>
            <w:r>
              <w:t>54506032 FCFA</w:t>
            </w:r>
          </w:p>
        </w:tc>
        <w:tc>
          <w:tcPr>
            <w:tcW w:type="dxa" w:w="1728"/>
          </w:tcPr>
          <w:p>
            <w:r>
              <w:t>2.45%</w:t>
            </w:r>
          </w:p>
        </w:tc>
        <w:tc>
          <w:tcPr>
            <w:tcW w:type="dxa" w:w="1728"/>
          </w:tcPr>
          <w:p>
            <w:r>
              <w:t>ACHAT</w:t>
            </w:r>
          </w:p>
        </w:tc>
      </w:tr>
      <w:tr>
        <w:tc>
          <w:tcPr>
            <w:tcW w:type="dxa" w:w="1728"/>
          </w:tcPr>
          <w:p>
            <w:r>
              <w:t>CFAC (CFAC - CFAO MOTORS CI)</w:t>
            </w:r>
          </w:p>
        </w:tc>
        <w:tc>
          <w:tcPr>
            <w:tcW w:type="dxa" w:w="1728"/>
          </w:tcPr>
          <w:p>
            <w:r>
              <w:t>2946</w:t>
            </w:r>
          </w:p>
        </w:tc>
        <w:tc>
          <w:tcPr>
            <w:tcW w:type="dxa" w:w="1728"/>
          </w:tcPr>
          <w:p>
            <w:r>
              <w:t>4751076 FCFA</w:t>
            </w:r>
          </w:p>
        </w:tc>
        <w:tc>
          <w:tcPr>
            <w:tcW w:type="dxa" w:w="1728"/>
          </w:tcPr>
          <w:p>
            <w:r>
              <w:t>3.72%</w:t>
            </w:r>
          </w:p>
        </w:tc>
        <w:tc>
          <w:tcPr>
            <w:tcW w:type="dxa" w:w="1728"/>
          </w:tcPr>
          <w:p>
            <w:r>
              <w:t>ACHAT</w:t>
            </w:r>
          </w:p>
        </w:tc>
      </w:tr>
      <w:tr>
        <w:tc>
          <w:tcPr>
            <w:tcW w:type="dxa" w:w="1728"/>
          </w:tcPr>
          <w:p>
            <w:r>
              <w:t>FTSC (FTSC - FILTISAC COTE D'IVOIRE)</w:t>
            </w:r>
          </w:p>
        </w:tc>
        <w:tc>
          <w:tcPr>
            <w:tcW w:type="dxa" w:w="1728"/>
          </w:tcPr>
          <w:p>
            <w:r>
              <w:t>2803</w:t>
            </w:r>
          </w:p>
        </w:tc>
        <w:tc>
          <w:tcPr>
            <w:tcW w:type="dxa" w:w="1728"/>
          </w:tcPr>
          <w:p>
            <w:r>
              <w:t>5688129 FCFA</w:t>
            </w:r>
          </w:p>
        </w:tc>
        <w:tc>
          <w:tcPr>
            <w:tcW w:type="dxa" w:w="1728"/>
          </w:tcPr>
          <w:p>
            <w:r>
              <w:t>-12.44%</w:t>
            </w:r>
          </w:p>
        </w:tc>
        <w:tc>
          <w:tcPr>
            <w:tcW w:type="dxa" w:w="1728"/>
          </w:tcPr>
          <w:p>
            <w:r>
              <w:t>ACHAT</w:t>
            </w:r>
          </w:p>
        </w:tc>
      </w:tr>
      <w:tr>
        <w:tc>
          <w:tcPr>
            <w:tcW w:type="dxa" w:w="1728"/>
          </w:tcPr>
          <w:p>
            <w:r>
              <w:t>STBC (STBC - SITAB COTE D'IVOIRE)</w:t>
            </w:r>
          </w:p>
        </w:tc>
        <w:tc>
          <w:tcPr>
            <w:tcW w:type="dxa" w:w="1728"/>
          </w:tcPr>
          <w:p>
            <w:r>
              <w:t>2716</w:t>
            </w:r>
          </w:p>
        </w:tc>
        <w:tc>
          <w:tcPr>
            <w:tcW w:type="dxa" w:w="1728"/>
          </w:tcPr>
          <w:p>
            <w:r>
              <w:t>58992464 FCFA</w:t>
            </w:r>
          </w:p>
        </w:tc>
        <w:tc>
          <w:tcPr>
            <w:tcW w:type="dxa" w:w="1728"/>
          </w:tcPr>
          <w:p>
            <w:r>
              <w:t>3.67%</w:t>
            </w:r>
          </w:p>
        </w:tc>
        <w:tc>
          <w:tcPr>
            <w:tcW w:type="dxa" w:w="1728"/>
          </w:tcPr>
          <w:p>
            <w:r>
              <w:t>ACHAT</w:t>
            </w:r>
          </w:p>
        </w:tc>
      </w:tr>
      <w:tr>
        <w:tc>
          <w:tcPr>
            <w:tcW w:type="dxa" w:w="1728"/>
          </w:tcPr>
          <w:p>
            <w:r>
              <w:t>BNBC (BNBC - BERNABE CI)</w:t>
            </w:r>
          </w:p>
        </w:tc>
        <w:tc>
          <w:tcPr>
            <w:tcW w:type="dxa" w:w="1728"/>
          </w:tcPr>
          <w:p>
            <w:r>
              <w:t>2699</w:t>
            </w:r>
          </w:p>
        </w:tc>
        <w:tc>
          <w:tcPr>
            <w:tcW w:type="dxa" w:w="1728"/>
          </w:tcPr>
          <w:p>
            <w:r>
              <w:t>5360283 FCFA</w:t>
            </w:r>
          </w:p>
        </w:tc>
        <w:tc>
          <w:tcPr>
            <w:tcW w:type="dxa" w:w="1728"/>
          </w:tcPr>
          <w:p>
            <w:r>
              <w:t>22.64%</w:t>
            </w:r>
          </w:p>
        </w:tc>
        <w:tc>
          <w:tcPr>
            <w:tcW w:type="dxa" w:w="1728"/>
          </w:tcPr>
          <w:p>
            <w:r>
              <w:t>CONSERVER</w:t>
            </w:r>
          </w:p>
        </w:tc>
      </w:tr>
      <w:tr>
        <w:tc>
          <w:tcPr>
            <w:tcW w:type="dxa" w:w="1728"/>
          </w:tcPr>
          <w:p>
            <w:r>
              <w:t>NEIC (NEIC - NEI-CEDA CI)</w:t>
            </w:r>
          </w:p>
        </w:tc>
        <w:tc>
          <w:tcPr>
            <w:tcW w:type="dxa" w:w="1728"/>
          </w:tcPr>
          <w:p>
            <w:r>
              <w:t>2656</w:t>
            </w:r>
          </w:p>
        </w:tc>
        <w:tc>
          <w:tcPr>
            <w:tcW w:type="dxa" w:w="1728"/>
          </w:tcPr>
          <w:p>
            <w:r>
              <w:t>6399558 FCFA</w:t>
            </w:r>
          </w:p>
        </w:tc>
        <w:tc>
          <w:tcPr>
            <w:tcW w:type="dxa" w:w="1728"/>
          </w:tcPr>
          <w:p>
            <w:r>
              <w:t>10.55%</w:t>
            </w:r>
          </w:p>
        </w:tc>
        <w:tc>
          <w:tcPr>
            <w:tcW w:type="dxa" w:w="1728"/>
          </w:tcPr>
          <w:p>
            <w:r>
              <w:t>ACHAT</w:t>
            </w:r>
          </w:p>
        </w:tc>
      </w:tr>
      <w:tr>
        <w:tc>
          <w:tcPr>
            <w:tcW w:type="dxa" w:w="1728"/>
          </w:tcPr>
          <w:p>
            <w:r>
              <w:t>SOGC (SOGC - Société des caoutchoucs de Grand-Béréby)</w:t>
            </w:r>
          </w:p>
        </w:tc>
        <w:tc>
          <w:tcPr>
            <w:tcW w:type="dxa" w:w="1728"/>
          </w:tcPr>
          <w:p>
            <w:r>
              <w:t>2628</w:t>
            </w:r>
          </w:p>
        </w:tc>
        <w:tc>
          <w:tcPr>
            <w:tcW w:type="dxa" w:w="1728"/>
          </w:tcPr>
          <w:p>
            <w:r>
              <w:t>20548231 FCFA</w:t>
            </w:r>
          </w:p>
        </w:tc>
        <w:tc>
          <w:tcPr>
            <w:tcW w:type="dxa" w:w="1728"/>
          </w:tcPr>
          <w:p>
            <w:r>
              <w:t>5.97%</w:t>
            </w:r>
          </w:p>
        </w:tc>
        <w:tc>
          <w:tcPr>
            <w:tcW w:type="dxa" w:w="1728"/>
          </w:tcPr>
          <w:p>
            <w:r>
              <w:t>ACHAT</w:t>
            </w:r>
          </w:p>
        </w:tc>
      </w:tr>
      <w:tr>
        <w:tc>
          <w:tcPr>
            <w:tcW w:type="dxa" w:w="1728"/>
          </w:tcPr>
          <w:p>
            <w:r>
              <w:t>TTLS (TTLS - TOTAL ENERGIES MARKETING SENEGAL)</w:t>
            </w:r>
          </w:p>
        </w:tc>
        <w:tc>
          <w:tcPr>
            <w:tcW w:type="dxa" w:w="1728"/>
          </w:tcPr>
          <w:p>
            <w:r>
              <w:t>2426</w:t>
            </w:r>
          </w:p>
        </w:tc>
        <w:tc>
          <w:tcPr>
            <w:tcW w:type="dxa" w:w="1728"/>
          </w:tcPr>
          <w:p>
            <w:r>
              <w:t>9073307 FCFA</w:t>
            </w:r>
          </w:p>
        </w:tc>
        <w:tc>
          <w:tcPr>
            <w:tcW w:type="dxa" w:w="1728"/>
          </w:tcPr>
          <w:p>
            <w:r>
              <w:t>19.34%</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4. FTSC - FTSC - FILTISAC COTE D'IVOIRE</w:t>
      </w:r>
    </w:p>
    <w:p>
      <w:r>
        <w:rPr>
          <w:b/>
        </w:rPr>
        <w:t xml:space="preserve">Score de divergence: </w:t>
      </w:r>
      <w:r>
        <w:t>5/8</w:t>
        <w:br/>
      </w:r>
      <w:r>
        <w:rPr>
          <w:b/>
        </w:rPr>
        <w:t xml:space="preserve">Description: </w:t>
      </w:r>
      <w:r>
        <w:t>Signaux de vente: MM, MACD | Recommandation finale: ACHAT</w:t>
        <w:br/>
      </w:r>
    </w:p>
    <w:p/>
    <w:p>
      <w:pPr>
        <w:pStyle w:val="Heading3"/>
      </w:pPr>
      <w:r>
        <w:t>5. SAFC - SAFCA CI</w:t>
      </w:r>
    </w:p>
    <w:p>
      <w:r>
        <w:rPr>
          <w:b/>
        </w:rPr>
        <w:t xml:space="preserve">Score de divergence: </w:t>
      </w:r>
      <w:r>
        <w:t>5/8</w:t>
        <w:br/>
      </w:r>
      <w:r>
        <w:rPr>
          <w:b/>
        </w:rPr>
        <w:t xml:space="preserve">Description: </w:t>
      </w:r>
      <w:r>
        <w:t>Signaux de vente: MM, MACD | Recommandation finale: ACHAT</w:t>
        <w:br/>
      </w:r>
    </w:p>
    <w:p/>
    <w:p>
      <w:pPr>
        <w:pStyle w:val="Heading3"/>
      </w:pPr>
      <w:r>
        <w:t>6.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7.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SIVC - SIVC - ERIUM CI (Ex AIR LIQUIDECI)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SPHC - SPHC - Société Africaine de Plantation d'Hévéas de Côte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Wall Street a clôturé en repli, pénalisée par la hausse des rendements obligataires qui inquiète les investisseurs (07/10). La BCE pourrait procéder à de nouvelles hausses de taux selon Dolenc, pour maîtriser l'inflation persistante (08/10). Ces décisions monétaires restrictives affectent durement les ménages modestes européens (04/10). Le contexte global reste marqué par un resserrement monétaire durable.</w:t>
      </w:r>
    </w:p>
    <w:p>
      <w:pPr>
        <w:pStyle w:val="Heading3"/>
      </w:pPr>
      <w:r>
        <w:rPr>
          <w:color w:val="500050"/>
        </w:rPr>
        <w:t>⚡ Impact estimé sur la BRVM</w:t>
      </w:r>
    </w:p>
    <w:p>
      <w:pPr>
        <w:spacing w:before="20" w:after="40"/>
        <w:ind w:left="280"/>
      </w:pPr>
      <w:r>
        <w:rPr>
          <w:i/>
          <w:sz w:val="18"/>
        </w:rPr>
        <w:t>Le durcissement monétaire mondial renchérit le coût du capital et détourne les flux vers les actifs sans risque. Les valeurs bancaires BRVM (SGBC, BICB, BOAS, ECOC, NSBC) pourraient bénéficier de marges accrues mais subir un ralentissement du crédit. Les secteurs cycliques (CONSOMMATION DISCRETIONNAIRE : ABJC, NEIC) sont vulnérables à la baisse du pouvoir d'achat.</w:t>
      </w:r>
    </w:p>
    <w:p>
      <w:pPr>
        <w:pStyle w:val="Heading2"/>
      </w:pPr>
      <w:r>
        <w:rPr>
          <w:color w:val="006E32"/>
        </w:rPr>
        <w:t>🌍 Plan Africain</w:t>
      </w:r>
    </w:p>
    <w:p>
      <w:pPr>
        <w:spacing w:before="20" w:after="40"/>
        <w:ind w:left="0"/>
      </w:pPr>
      <w:r>
        <w:rPr>
          <w:sz w:val="18"/>
        </w:rPr>
        <w:t>La CEDEAO renforce son partenariat avec le FMI et la Banque mondiale (06/10). L'Afrique affiche une croissance solide mais le défi reste l'investissement (01/10). La dette africaine demeure dépendante du dollar malgré l'offensive chinoise en yuan (23/09).</w:t>
      </w:r>
    </w:p>
    <w:p>
      <w:pPr>
        <w:pStyle w:val="Heading3"/>
      </w:pPr>
      <w:r>
        <w:rPr>
          <w:color w:val="500050"/>
        </w:rPr>
        <w:t>⚡ Impact estimé sur la BRVM</w:t>
      </w:r>
    </w:p>
    <w:p>
      <w:pPr>
        <w:spacing w:before="20" w:after="40"/>
        <w:ind w:left="280"/>
      </w:pPr>
      <w:r>
        <w:rPr>
          <w:i/>
          <w:sz w:val="18"/>
        </w:rPr>
        <w:t>Le renforcement des partenariats FMI/Banque mondiale pourrait soutenir la confiance des investisseurs étrangers sur la BRVM. La dépendance au dollar expose les sociétés importatrices (SDSC, SCRC) au risque de change. La croissance africaine soutient les perspectives des valeurs télécoms (ONTBF, SNTS).</w:t>
      </w:r>
    </w:p>
    <w:p>
      <w:pPr>
        <w:pStyle w:val="Heading2"/>
      </w:pPr>
      <w:r>
        <w:rPr>
          <w:color w:val="145A28"/>
        </w:rPr>
        <w:t>🌍 Plan Afrique de l'Ouest</w:t>
      </w:r>
    </w:p>
    <w:p>
      <w:pPr>
        <w:spacing w:before="20" w:after="40"/>
        <w:ind w:left="0"/>
      </w:pPr>
      <w:r>
        <w:rPr>
          <w:sz w:val="18"/>
        </w:rPr>
        <w:t>Installation de nouveaux juges à la Cour de justice CEDEAO par Diomaye Faye (07/10). La CEDEAO reprend la main en Afrique de l'Ouest à l'horizon 2026 (03/10). Publication du "griot agri agro" pour la sous-région (30/09).</w:t>
      </w:r>
    </w:p>
    <w:p>
      <w:pPr>
        <w:pStyle w:val="Heading3"/>
      </w:pPr>
      <w:r>
        <w:rPr>
          <w:color w:val="500050"/>
        </w:rPr>
        <w:t>⚡ Impact estimé sur la BRVM</w:t>
      </w:r>
    </w:p>
    <w:p>
      <w:pPr>
        <w:spacing w:before="20" w:after="40"/>
        <w:ind w:left="280"/>
      </w:pPr>
      <w:r>
        <w:rPr>
          <w:i/>
          <w:sz w:val="18"/>
        </w:rPr>
        <w:t>La stabilité institutionnelle régionale est un facteur positif pour les investisseurs. Les sociétés opérant à l'échelle sous-régionale (SGBC, BOAS, ONTBF) bénéficient d'un cadre juridique renforcé. Impact globalement neutre à légèrement positif.</w:t>
      </w:r>
    </w:p>
    <w:p>
      <w:pPr>
        <w:pStyle w:val="Heading2"/>
      </w:pPr>
      <w:r>
        <w:rPr>
          <w:color w:val="8C4600"/>
        </w:rPr>
        <w:t>🏦 Plan UEMOA / Zone Franc</w:t>
      </w:r>
    </w:p>
    <w:p>
      <w:pPr>
        <w:spacing w:before="20" w:after="40"/>
        <w:ind w:left="0"/>
      </w:pPr>
      <w:r>
        <w:rPr>
          <w:sz w:val="18"/>
        </w:rPr>
        <w:t>Le Togo réforme le secteur de l'électricité et crée une nouvelle société (07/10). La Côte d'Ivoire appelle au dialogue politique via la 2PFJ (07/10). Le Burkina Faso reste marqué par les enjeux sécuritaires (08/10).</w:t>
      </w:r>
    </w:p>
    <w:p>
      <w:pPr>
        <w:pStyle w:val="Heading3"/>
      </w:pPr>
      <w:r>
        <w:rPr>
          <w:color w:val="500050"/>
        </w:rPr>
        <w:t>⚡ Impact estimé sur la BRVM</w:t>
      </w:r>
    </w:p>
    <w:p>
      <w:pPr>
        <w:spacing w:before="20" w:after="40"/>
        <w:ind w:left="280"/>
      </w:pPr>
      <w:r>
        <w:rPr>
          <w:i/>
          <w:sz w:val="18"/>
        </w:rPr>
        <w:t>La réforme énergétique togolaise pourrait bénéficier à TTLS et SHEC (secteur ENERGIE). La stabilité ivoirienne soutient les valeurs bancaires (SGBC, BICB, NSBC) et agro-industrielles (SCRC, SLBC). Le risque burkinabè reste un facteur de vigilance pour les sociétés exposées.</w:t>
      </w:r>
    </w:p>
    <w:p>
      <w:pPr>
        <w:pStyle w:val="Heading2"/>
      </w:pPr>
      <w:r>
        <w:rPr>
          <w:color w:val="003366"/>
        </w:rPr>
        <w:t>📈 Plan BRVM</w:t>
      </w:r>
    </w:p>
    <w:p>
      <w:pPr>
        <w:spacing w:before="20" w:after="40"/>
        <w:ind w:left="0"/>
      </w:pPr>
      <w:r>
        <w:rPr>
          <w:sz w:val="18"/>
        </w:rPr>
        <w:t>Les résultats encourageants des sociétés cotées ivoiriennes sont mis en avant (09/06). L'indice BRVM Composite se situe à 547.91 points. Données insuffisantes sur les volumes et mouvements récents.</w:t>
      </w:r>
    </w:p>
    <w:p>
      <w:pPr>
        <w:pStyle w:val="Heading3"/>
      </w:pPr>
      <w:r>
        <w:rPr>
          <w:color w:val="500050"/>
        </w:rPr>
        <w:t>⚡ Impact estimé sur la BRVM</w:t>
      </w:r>
    </w:p>
    <w:p>
      <w:pPr>
        <w:spacing w:before="20" w:after="40"/>
        <w:ind w:left="280"/>
      </w:pPr>
      <w:r>
        <w:rPr>
          <w:i/>
          <w:sz w:val="18"/>
        </w:rPr>
        <w:t>Recommandation : SGBC et BICB (secteur bancaire porteur), ONTBF (télécoms défensif), SCRC et SLBC (consommation de base résiliente). Vigilance sur ABJC et NEIC (consommation discrétionnaire exposée au ralentissement). TTLS et SHEC à surveiller suite aux réformes énergétiques.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Wall Street en repli sur fond de tensions obligataires (07/10). La BCE envisage de nouvelles hausses de taux (08/10). Le succès de SpaceX attire les fraudes (07/10).</w:t>
      </w:r>
    </w:p>
    <w:p>
      <w:pPr>
        <w:pStyle w:val="Heading3"/>
      </w:pPr>
      <w:r>
        <w:rPr>
          <w:color w:val="500050"/>
        </w:rPr>
        <w:t>⚡ Impact estimé sur la BRVM</w:t>
      </w:r>
    </w:p>
    <w:p>
      <w:pPr>
        <w:spacing w:before="20" w:after="40"/>
        <w:ind w:left="280"/>
      </w:pPr>
      <w:r>
        <w:rPr>
          <w:i/>
          <w:sz w:val="18"/>
        </w:rPr>
        <w:t>L'incertitude mondiale pousse les investisseurs vers des actifs refuges, réduisant l'appétit pour les marchés frontières comme la BRVM. Les flux de capitaux vers les marchés émergents pourraient se tarir à court terme.</w:t>
      </w:r>
    </w:p>
    <w:p>
      <w:pPr>
        <w:pStyle w:val="Heading2"/>
      </w:pPr>
      <w:r>
        <w:rPr>
          <w:color w:val="006E32"/>
        </w:rPr>
        <w:t>🌍 Plan Africain</w:t>
      </w:r>
    </w:p>
    <w:p>
      <w:pPr>
        <w:spacing w:before="20" w:after="40"/>
        <w:ind w:left="0"/>
      </w:pPr>
      <w:r>
        <w:rPr>
          <w:sz w:val="18"/>
        </w:rPr>
        <w:t>Renforcement du partenariat CEDEAO-FMI-Banque mondiale (06/10). Croissance africaine solide mais défi d'investissement persistant (01/10). Dépendance au dollar malgré l'offensive chinoise (23/09).</w:t>
      </w:r>
    </w:p>
    <w:p>
      <w:pPr>
        <w:pStyle w:val="Heading3"/>
      </w:pPr>
      <w:r>
        <w:rPr>
          <w:color w:val="500050"/>
        </w:rPr>
        <w:t>⚡ Impact estimé sur la BRVM</w:t>
      </w:r>
    </w:p>
    <w:p>
      <w:pPr>
        <w:spacing w:before="20" w:after="40"/>
        <w:ind w:left="280"/>
      </w:pPr>
      <w:r>
        <w:rPr>
          <w:i/>
          <w:sz w:val="18"/>
        </w:rPr>
        <w:t>Les relations institutionnelles renforcées améliorent la perception du risque africain. Les flux de capitaux vers la BRVM pourraient bénéficier de cette dynamique positive. Confiance des investisseurs en amélioration progressive.</w:t>
      </w:r>
    </w:p>
    <w:p>
      <w:pPr>
        <w:pStyle w:val="Heading2"/>
      </w:pPr>
      <w:r>
        <w:rPr>
          <w:color w:val="145A28"/>
        </w:rPr>
        <w:t>🌍 Plan Afrique de l'Ouest</w:t>
      </w:r>
    </w:p>
    <w:p>
      <w:pPr>
        <w:spacing w:before="20" w:after="40"/>
        <w:ind w:left="0"/>
      </w:pPr>
      <w:r>
        <w:rPr>
          <w:sz w:val="18"/>
        </w:rPr>
        <w:t>Installation des juges CEDEAO à Abuja (07/10). Reprise en main de la CEDEAO en 2026 (03/10). Enjeux sécuritaires au Burkina Faso (08/10).</w:t>
      </w:r>
    </w:p>
    <w:p>
      <w:pPr>
        <w:pStyle w:val="Heading3"/>
      </w:pPr>
      <w:r>
        <w:rPr>
          <w:color w:val="500050"/>
        </w:rPr>
        <w:t>⚡ Impact estimé sur la BRVM</w:t>
      </w:r>
    </w:p>
    <w:p>
      <w:pPr>
        <w:spacing w:before="20" w:after="40"/>
        <w:ind w:left="280"/>
      </w:pPr>
      <w:r>
        <w:rPr>
          <w:i/>
          <w:sz w:val="18"/>
        </w:rPr>
        <w:t>La stabilité politique régionale est cruciale pour les sociétés cotées opérant dans plusieurs pays. Les valeurs bancaires régionales (SGBC, BOAS) sont les plus exposées aux risques pays. Le risque sécuritaire burkinabè reste un facteur de vigilance.</w:t>
      </w:r>
    </w:p>
    <w:p>
      <w:pPr>
        <w:pStyle w:val="Heading2"/>
      </w:pPr>
      <w:r>
        <w:rPr>
          <w:color w:val="8C4600"/>
        </w:rPr>
        <w:t>🏦 Plan UEMOA / Zone Franc</w:t>
      </w:r>
    </w:p>
    <w:p>
      <w:pPr>
        <w:spacing w:before="20" w:after="40"/>
        <w:ind w:left="0"/>
      </w:pPr>
      <w:r>
        <w:rPr>
          <w:sz w:val="18"/>
        </w:rPr>
        <w:t>Réformes togolaises (électricité, explosifs, nouvelle société) (07/10). Appel au dialogue politique en Côte d'Ivoire (07/10). Situation sécuritaire burkinabè préoccupante (08/10).</w:t>
      </w:r>
    </w:p>
    <w:p>
      <w:pPr>
        <w:pStyle w:val="Heading3"/>
      </w:pPr>
      <w:r>
        <w:rPr>
          <w:color w:val="500050"/>
        </w:rPr>
        <w:t>⚡ Impact estimé sur la BRVM</w:t>
      </w:r>
    </w:p>
    <w:p>
      <w:pPr>
        <w:spacing w:before="20" w:after="40"/>
        <w:ind w:left="280"/>
      </w:pPr>
      <w:r>
        <w:rPr>
          <w:i/>
          <w:sz w:val="18"/>
        </w:rPr>
        <w:t>Les réformes togolaises créent un environnement plus favorable aux affaires. La stabilité ivoirienne est essentielle pour la BRVM (première économie de la zone). Risque réglementaire modéré pour les sociétés cotées.</w:t>
      </w:r>
    </w:p>
    <w:p>
      <w:pPr>
        <w:pStyle w:val="Heading2"/>
      </w:pPr>
      <w:r>
        <w:rPr>
          <w:color w:val="003366"/>
        </w:rPr>
        <w:t>📈 Plan BRVM</w:t>
      </w:r>
    </w:p>
    <w:p>
      <w:pPr>
        <w:spacing w:before="20" w:after="40"/>
        <w:ind w:left="0"/>
      </w:pPr>
      <w:r>
        <w:rPr>
          <w:sz w:val="18"/>
        </w:rPr>
        <w:t>Données insuffisantes sur la réglementation CREPMF et les nouvelles cotations.</w:t>
      </w:r>
    </w:p>
    <w:p>
      <w:pPr>
        <w:pStyle w:val="Heading3"/>
      </w:pPr>
      <w:r>
        <w:rPr>
          <w:color w:val="500050"/>
        </w:rPr>
        <w:t>⚡ Impact estimé sur la BRVM</w:t>
      </w:r>
    </w:p>
    <w:p>
      <w:pPr>
        <w:spacing w:before="20" w:after="40"/>
        <w:ind w:left="280"/>
      </w:pPr>
      <w:r>
        <w:rPr>
          <w:i/>
          <w:sz w:val="18"/>
        </w:rPr>
        <w:t>Pas de décision réglementaire majeure identifiée dans les actualités fournies. Le marché reste dans l'attente de catalyseurs.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en repli, rendements obligataires en hausse (07/10). BCE pourrait relever ses taux (08/10). Impact des décisions BCE sur les ménages modestes (04/10).</w:t>
      </w:r>
    </w:p>
    <w:p>
      <w:pPr>
        <w:pStyle w:val="Heading3"/>
      </w:pPr>
      <w:r>
        <w:rPr>
          <w:color w:val="500050"/>
        </w:rPr>
        <w:t>⚡ Impact estimé sur la BRVM</w:t>
      </w:r>
    </w:p>
    <w:p>
      <w:pPr>
        <w:spacing w:before="20" w:after="40"/>
        <w:ind w:left="280"/>
      </w:pPr>
      <w:r>
        <w:rPr>
          <w:i/>
          <w:sz w:val="18"/>
        </w:rPr>
        <w:t>La corrélation avec les marchés émergents reste forte. La hausse des taux mondiaux réduit l'attractivité relative des actions BRVM. Les investisseurs institutionnels pourraient réduire leur exposition aux marchés frontières.</w:t>
      </w:r>
    </w:p>
    <w:p>
      <w:pPr>
        <w:pStyle w:val="Heading2"/>
      </w:pPr>
      <w:r>
        <w:rPr>
          <w:color w:val="006E32"/>
        </w:rPr>
        <w:t>🌍 Plan Africain</w:t>
      </w:r>
    </w:p>
    <w:p>
      <w:pPr>
        <w:spacing w:before="20" w:after="40"/>
        <w:ind w:left="0"/>
      </w:pPr>
      <w:r>
        <w:rPr>
          <w:sz w:val="18"/>
        </w:rPr>
        <w:t>Données insuffisantes sur les marchés obligataires africains et eurobonds.</w:t>
      </w:r>
    </w:p>
    <w:p>
      <w:pPr>
        <w:pStyle w:val="Heading3"/>
      </w:pPr>
      <w:r>
        <w:rPr>
          <w:color w:val="500050"/>
        </w:rPr>
        <w:t>⚡ Impact estimé sur la BRVM</w:t>
      </w:r>
    </w:p>
    <w:p>
      <w:pPr>
        <w:spacing w:before="20" w:after="40"/>
        <w:ind w:left="280"/>
      </w:pPr>
      <w:r>
        <w:rPr>
          <w:i/>
          <w:sz w:val="18"/>
        </w:rPr>
        <w:t>La concurrence pour les capitaux entre marchés africains reste un enjeu majeur. La BRVM doit maintenir son attractivité face aux autres places régionales.</w:t>
      </w:r>
    </w:p>
    <w:p>
      <w:pPr>
        <w:pStyle w:val="Heading2"/>
      </w:pPr>
      <w:r>
        <w:rPr>
          <w:color w:val="145A28"/>
        </w:rPr>
        <w:t>🌍 Plan Afrique de l'Ouest</w:t>
      </w:r>
    </w:p>
    <w:p>
      <w:pPr>
        <w:spacing w:before="20" w:after="40"/>
        <w:ind w:left="0"/>
      </w:pPr>
      <w:r>
        <w:rPr>
          <w:sz w:val="18"/>
        </w:rPr>
        <w:t>Données insuffisantes sur les bourses régionales concurrentes et flux sous-régionaux.</w:t>
      </w:r>
    </w:p>
    <w:p>
      <w:pPr>
        <w:pStyle w:val="Heading3"/>
      </w:pPr>
      <w:r>
        <w:rPr>
          <w:color w:val="500050"/>
        </w:rPr>
        <w:t>⚡ Impact estimé sur la BRVM</w:t>
      </w:r>
    </w:p>
    <w:p>
      <w:pPr>
        <w:spacing w:before="20" w:after="40"/>
        <w:ind w:left="280"/>
      </w:pPr>
      <w:r>
        <w:rPr>
          <w:i/>
          <w:sz w:val="18"/>
        </w:rPr>
        <w:t>Positionnement de la BRVM comme place financière dominante de l'UEMOA à confirmer. Les flux de capitaux sous-régionaux restent un facteur clé.</w:t>
      </w:r>
    </w:p>
    <w:p>
      <w:pPr>
        <w:pStyle w:val="Heading2"/>
      </w:pPr>
      <w:r>
        <w:rPr>
          <w:color w:val="8C4600"/>
        </w:rPr>
        <w:t>🏦 Plan UEMOA / Zone Franc</w:t>
      </w:r>
    </w:p>
    <w:p>
      <w:pPr>
        <w:spacing w:before="20" w:after="40"/>
        <w:ind w:left="0"/>
      </w:pPr>
      <w:r>
        <w:rPr>
          <w:sz w:val="18"/>
        </w:rPr>
        <w:t>Données insuffisantes sur le marché des titres publics UEMOA et taux interbancaires.</w:t>
      </w:r>
    </w:p>
    <w:p>
      <w:pPr>
        <w:pStyle w:val="Heading3"/>
      </w:pPr>
      <w:r>
        <w:rPr>
          <w:color w:val="500050"/>
        </w:rPr>
        <w:t>⚡ Impact estimé sur la BRVM</w:t>
      </w:r>
    </w:p>
    <w:p>
      <w:pPr>
        <w:spacing w:before="20" w:after="40"/>
        <w:ind w:left="280"/>
      </w:pPr>
      <w:r>
        <w:rPr>
          <w:i/>
          <w:sz w:val="18"/>
        </w:rPr>
        <w:t>L'arbitrage entre titres publics et actions BRVM dépend des taux offerts. Une hausse des taux souverains détournerait les investisseurs des actions.</w:t>
      </w:r>
    </w:p>
    <w:p>
      <w:pPr>
        <w:pStyle w:val="Heading2"/>
      </w:pPr>
      <w:r>
        <w:rPr>
          <w:color w:val="003366"/>
        </w:rPr>
        <w:t>📈 Plan BRVM</w:t>
      </w:r>
    </w:p>
    <w:p>
      <w:pPr>
        <w:spacing w:before="20" w:after="40"/>
        <w:ind w:left="0"/>
      </w:pPr>
      <w:r>
        <w:rPr>
          <w:sz w:val="18"/>
        </w:rPr>
        <w:t>Indice BRVM Composite à 547.91 points. Résultats encourageants des sociétés ivoiriennes (09/06). Données insuffisantes sur top/flop et volumes.</w:t>
      </w:r>
    </w:p>
    <w:p>
      <w:pPr>
        <w:pStyle w:val="Heading3"/>
      </w:pPr>
      <w:r>
        <w:rPr>
          <w:color w:val="500050"/>
        </w:rPr>
        <w:t>⚡ Impact estimé sur la BRVM</w:t>
      </w:r>
    </w:p>
    <w:p>
      <w:pPr>
        <w:spacing w:before="20" w:after="40"/>
        <w:ind w:left="280"/>
      </w:pPr>
      <w:r>
        <w:rPr>
          <w:i/>
          <w:sz w:val="18"/>
        </w:rPr>
        <w:t>Opportunités d'achat : SGBC, BICB (bancaires solides), ONTBF (télécoms défensif), SCRC, SLBC (consommation de base). Titres sous pression : ABJC, NEIC (consommation discrétionnaire). Surveillance : TTLS, SHEC (réformes énergétiques).</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mondial de resserrement monétaire et de hausse des rendements obligataires pèse sur les marchés frontières, mais la BRVM bénéficie de fondamentaux régionaux solides (croissance africaine, stabilité ivoirienne, partenariats institutionnels renforcés). Privilégier les valeurs défensives et bancaires (SGBC, BICB, ONTBF, SCRC) tout en surveillant les risques sécuritaires régionaux et la dépendance au dollar. Recommandation : positionnement sélectif sur les valeurs à dividendes réguliers et les secteurs résilients, avec une exposition modérée aux valeurs cycliques.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 Dans l'espace, personne ne vous entend frauder » : le succès de Spac</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Wall Street en hausse, du répit avant la saison des résultats - Invest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Conseil des ministres : le Togo renforce le contrôle des explosifs, ré</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 xml:space="preserve">Côte d'Ivoire : Nouvel organe électoral, la 2PFJ invite les acteurs à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2026-10-07</w:t>
            </w:r>
          </w:p>
        </w:tc>
        <w:tc>
          <w:tcPr>
            <w:tcW w:type="dxa" w:w="1728"/>
          </w:tcPr>
          <w:p>
            <w:r>
              <w:rPr>
                <w:sz w:val="14"/>
              </w:rPr>
              <w:t>Côte d'Ivoire : Nouvel organe électoral, le PPA-CI fait le point des d</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2026-10-07</w:t>
            </w:r>
          </w:p>
        </w:tc>
        <w:tc>
          <w:tcPr>
            <w:tcW w:type="dxa" w:w="1728"/>
          </w:tcPr>
          <w:p>
            <w:r>
              <w:rPr>
                <w:sz w:val="14"/>
              </w:rPr>
              <w:t>Côte d'Ivoire-Guinée : Décès de l'ancien PM Guinéen, le Gouvernement p</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Côte d'Ivoire : Nouvel organe électoral, le PPA-CI fait le point des d</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2026-10-06</w:t>
            </w:r>
          </w:p>
        </w:tc>
        <w:tc>
          <w:tcPr>
            <w:tcW w:type="dxa" w:w="1728"/>
          </w:tcPr>
          <w:p>
            <w:r>
              <w:rPr>
                <w:sz w:val="14"/>
              </w:rPr>
              <w:t>Wall Street en hausse, du répit avant la saison des résultats - Invest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2026-10-08</w:t>
            </w:r>
          </w:p>
        </w:tc>
        <w:tc>
          <w:tcPr>
            <w:tcW w:type="dxa" w:w="1728"/>
          </w:tcPr>
          <w:p>
            <w:r>
              <w:rPr>
                <w:sz w:val="14"/>
              </w:rPr>
              <w:t>Burkina Faso : 10 choses à savoir sur le général Diaouari, le maître à</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Conseil des ministres : le Togo renforce le contrôle des explosifs, ré</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Wall Street en repli, les rendements obligataires pèsent - Investir 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2026-10-08</w:t>
            </w:r>
          </w:p>
        </w:tc>
        <w:tc>
          <w:tcPr>
            <w:tcW w:type="dxa" w:w="1728"/>
          </w:tcPr>
          <w:p>
            <w:r>
              <w:rPr>
                <w:sz w:val="14"/>
              </w:rPr>
              <w:t>La BCE pourrait devoir procéder à de nouvelles hausses de taux, estime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2026-10-04</w:t>
            </w:r>
          </w:p>
        </w:tc>
        <w:tc>
          <w:tcPr>
            <w:tcW w:type="dxa" w:w="1728"/>
          </w:tcPr>
          <w:p>
            <w:r>
              <w:rPr>
                <w:sz w:val="14"/>
              </w:rPr>
              <w:t>Quel est l’impact des décisions de la Banque centrale européenne sur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Côte d'Ivoire : Nouvel organe électoral, le PPA-CI fait le point des d</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(13 alerte(s))</w:t>
      </w:r>
    </w:p>
    <w:p>
      <w:pPr>
        <w:spacing w:before="40" w:after="40"/>
        <w:ind w:left="360"/>
      </w:pPr>
      <w:r>
        <w:rPr>
          <w:color w:val="646464"/>
          <w:sz w:val="17"/>
        </w:rPr>
        <w:t xml:space="preserve">[08/10/2026] ⚪  </w:t>
      </w:r>
      <w:r>
        <w:rPr>
          <w:b/>
          <w:color w:val="505050"/>
          <w:sz w:val="18"/>
        </w:rPr>
        <w:t>Burkina Faso : 10 choses à savoir sur le général Diaouari, le maître à penser sécuritaire d’Ibrahim Traoré - Jeune Afriq</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présente dix points clés sur le général Diaouari, décrit comme le maître à penser sécuritaire du président burkinabè Ibrahim Traoré. Il met en lumière son influence croissante dans l'appareil sécuritaire et politique du Burkina Faso. Cette analyse intervient dans un contexte de lutte contre le terrorisme et de réorganisat</w:t>
      </w:r>
    </w:p>
    <w:p>
      <w:pPr>
        <w:spacing w:before="0" w:after="40"/>
        <w:ind w:left="600"/>
      </w:pPr>
      <w:r>
        <w:rPr>
          <w:color w:val="00643C"/>
          <w:sz w:val="16"/>
        </w:rPr>
        <w:t>Points clés : Le général Diaouari est présenté comme le principal conseiller sécuritaire d'Ibrahim Traoré.  •  Son influence s'étend sur les décisions stratégiques liées à la lutte antiterroriste.  •  L'article décrit son parcours et son rôle dans la restructuration de l'armée burkinabè.  •  Cette publication intervient dans un contexte politique et sécuritaire sensible au Burkina Faso.</w:t>
      </w:r>
    </w:p>
    <w:p>
      <w:pPr>
        <w:spacing w:before="0" w:after="60"/>
        <w:ind w:left="600"/>
      </w:pPr>
      <w:r>
        <w:rPr>
          <w:color w:val="0064B4"/>
          <w:sz w:val="15"/>
        </w:rPr>
        <w:t>Source : https://news.google.com/rss/articles/CBMi5AFBVV95cUxNUWk2UjNwWklrU1M5aTd6aHR4YTV</w:t>
      </w:r>
    </w:p>
    <w:p>
      <w:pPr>
        <w:spacing w:before="40" w:after="40"/>
        <w:ind w:left="360"/>
      </w:pPr>
      <w:r>
        <w:rPr>
          <w:color w:val="646464"/>
          <w:sz w:val="17"/>
        </w:rPr>
        <w:t xml:space="preserve">[07/10/2026] 🟢  </w:t>
      </w:r>
      <w:r>
        <w:rPr>
          <w:b/>
          <w:color w:val="008000"/>
          <w:sz w:val="18"/>
        </w:rPr>
        <w:t>Conseil des ministres : le Togo renforce le contrôle des explosifs, réforme l’électricité et crée la SONADU - 24heureinf</w:t>
      </w:r>
      <w:r>
        <w:rPr>
          <w:color w:val="787878"/>
          <w:sz w:val="15"/>
        </w:rPr>
        <w:t xml:space="preserve">  [politique]</w:t>
      </w:r>
      <w:r>
        <w:rPr>
          <w:color w:val="B47800"/>
          <w:sz w:val="16"/>
        </w:rPr>
        <w:t xml:space="preserve">  ★ 50/10</w:t>
      </w:r>
    </w:p>
    <w:p>
      <w:pPr>
        <w:spacing w:before="0" w:after="20"/>
        <w:ind w:left="600"/>
      </w:pPr>
      <w:r>
        <w:rPr>
          <w:color w:val="323232"/>
          <w:sz w:val="17"/>
        </w:rPr>
        <w:t>Le conseil des ministres togolais a adopté des mesures renforçant le contrôle des explosifs, réformant le secteur de l'électricité et créant la Société Nationale de Développement de l'Urbanisme (SONADU). Ces décisions visent à améliorer la sécurité, la gouvernance énergétique et l'aménagement du territoire. La réforme de l'électricité pourrait atti</w:t>
      </w:r>
    </w:p>
    <w:p>
      <w:pPr>
        <w:spacing w:before="0" w:after="40"/>
        <w:ind w:left="600"/>
      </w:pPr>
      <w:r>
        <w:rPr>
          <w:color w:val="00643C"/>
          <w:sz w:val="16"/>
        </w:rPr>
        <w:t>Points clés : Renforcement du contrôle des explosifs pour la sécurité nationale  •  Réforme du secteur de l'électricité pour améliorer l'efficacité et attirer les investissements  •  Création de la SONADU pour encadrer le développement urbain</w:t>
      </w:r>
    </w:p>
    <w:p>
      <w:pPr>
        <w:spacing w:before="0" w:after="60"/>
        <w:ind w:left="600"/>
      </w:pPr>
      <w:r>
        <w:rPr>
          <w:color w:val="0064B4"/>
          <w:sz w:val="15"/>
        </w:rPr>
        <w:t>Source : https://news.google.com/rss/articles/CBMi1AFBVV95cUxPZXl6a0ZiLXk5S0NvRDBnc3BaQ1p</w:t>
      </w:r>
    </w:p>
    <w:p>
      <w:pPr>
        <w:spacing w:before="40" w:after="40"/>
        <w:ind w:left="360"/>
      </w:pPr>
      <w:r>
        <w:rPr>
          <w:color w:val="646464"/>
          <w:sz w:val="17"/>
        </w:rPr>
        <w:t xml:space="preserve">[07/10/2026] ⚪  </w:t>
      </w:r>
      <w:r>
        <w:rPr>
          <w:b/>
          <w:color w:val="505050"/>
          <w:sz w:val="18"/>
        </w:rPr>
        <w:t xml:space="preserve">Côte d'Ivoire : Nouvel organe électoral, le PPA-CI fait le point des discussions avec les partis « frères » et justifie </w:t>
      </w:r>
      <w:r>
        <w:rPr>
          <w:color w:val="787878"/>
          <w:sz w:val="15"/>
        </w:rPr>
        <w:t xml:space="preserve">  [politique]</w:t>
      </w:r>
      <w:r>
        <w:rPr>
          <w:color w:val="B47800"/>
          <w:sz w:val="16"/>
        </w:rPr>
        <w:t xml:space="preserve">  ★ 50/10</w:t>
      </w:r>
    </w:p>
    <w:p>
      <w:pPr>
        <w:spacing w:before="0" w:after="20"/>
        <w:ind w:left="600"/>
      </w:pPr>
      <w:r>
        <w:rPr>
          <w:color w:val="323232"/>
          <w:sz w:val="17"/>
        </w:rPr>
        <w:t>Le PPA-CI a fait le point sur les discussions avec les partis « frères » concernant le nouvel organe électoral en Côte d'Ivoire. Le parti a également justifié son absence à une réunion au Ministère. Ces échanges interviennent dans un contexte de préparation des prochaines élections.</w:t>
      </w:r>
    </w:p>
    <w:p>
      <w:pPr>
        <w:spacing w:before="0" w:after="40"/>
        <w:ind w:left="600"/>
      </w:pPr>
      <w:r>
        <w:rPr>
          <w:color w:val="00643C"/>
          <w:sz w:val="16"/>
        </w:rPr>
        <w:t>Points clés : Le PPA-CI mène des discussions avec des partis alliés sur le nouvel organe électoral  •  Le parti justifie son absence à une réunion au Ministère  •  Les négociations portent sur la composition et le fonctionnement de l'organe électoral</w:t>
      </w:r>
    </w:p>
    <w:p>
      <w:pPr>
        <w:spacing w:before="0" w:after="60"/>
        <w:ind w:left="600"/>
      </w:pPr>
      <w:r>
        <w:rPr>
          <w:color w:val="0064B4"/>
          <w:sz w:val="15"/>
        </w:rPr>
        <w:t>Source : https://news.google.com/rss/articles/CBMitwJBVV95cUxQY3ZneXpUMFR3RnpHY0ZiY1N6a2N</w:t>
      </w:r>
    </w:p>
    <w:p>
      <w:pPr>
        <w:spacing w:before="40" w:after="40"/>
        <w:ind w:left="360"/>
      </w:pPr>
      <w:r>
        <w:rPr>
          <w:color w:val="646464"/>
          <w:sz w:val="17"/>
        </w:rPr>
        <w:t xml:space="preserve">[07/10/2026] 🟢  </w:t>
      </w:r>
      <w:r>
        <w:rPr>
          <w:b/>
          <w:color w:val="008000"/>
          <w:sz w:val="18"/>
        </w:rPr>
        <w:t>Côte d'Ivoire : Nouvel organe électoral, la 2PFJ invite les acteurs à privilégier le dialogue, la confiance et le compro</w:t>
      </w:r>
      <w:r>
        <w:rPr>
          <w:color w:val="787878"/>
          <w:sz w:val="15"/>
        </w:rPr>
        <w:t xml:space="preserve">  [politique]</w:t>
      </w:r>
      <w:r>
        <w:rPr>
          <w:color w:val="B47800"/>
          <w:sz w:val="16"/>
        </w:rPr>
        <w:t xml:space="preserve">  ★ 50/10</w:t>
      </w:r>
    </w:p>
    <w:p>
      <w:pPr>
        <w:spacing w:before="0" w:after="20"/>
        <w:ind w:left="600"/>
      </w:pPr>
      <w:r>
        <w:rPr>
          <w:color w:val="323232"/>
          <w:sz w:val="17"/>
        </w:rPr>
        <w:t>La Plateforme des Partis Politiques et des Femmes pour la Jeunesse (2PFJ) a appelé les acteurs politiques ivoiriens à privilégier le dialogue, la confiance et le compromis dans le cadre du nouvel organe électoral. Cet appel intervient dans un contexte de préparation des élections et de mise en place d'une nouvelle commission électorale. La 2PFJ sou</w:t>
      </w:r>
    </w:p>
    <w:p>
      <w:pPr>
        <w:spacing w:before="0" w:after="40"/>
        <w:ind w:left="600"/>
      </w:pPr>
      <w:r>
        <w:rPr>
          <w:color w:val="00643C"/>
          <w:sz w:val="16"/>
        </w:rPr>
        <w:t>Points clés : Appel au dialogue, à la confiance et au compromis entre acteurs politiques  •  Contexte de mise en place d'un nouvel organe électoral en Côte d'Ivoire  •  Objectif de garantir un processus électoral apaisé et crédible</w:t>
      </w:r>
    </w:p>
    <w:p>
      <w:pPr>
        <w:spacing w:before="0" w:after="60"/>
        <w:ind w:left="600"/>
      </w:pPr>
      <w:r>
        <w:rPr>
          <w:color w:val="0064B4"/>
          <w:sz w:val="15"/>
        </w:rPr>
        <w:t>Source : https://news.google.com/rss/articles/CBMinwJBVV95cUxPbWJQVmZaWGNQU1RvRWVzS2Z6VEh</w:t>
      </w:r>
    </w:p>
    <w:p>
      <w:pPr>
        <w:spacing w:before="40" w:after="40"/>
        <w:ind w:left="360"/>
      </w:pPr>
      <w:r>
        <w:rPr>
          <w:color w:val="646464"/>
          <w:sz w:val="17"/>
        </w:rPr>
        <w:t xml:space="preserve">[07/10/2026] ⚪  </w:t>
      </w:r>
      <w:r>
        <w:rPr>
          <w:b/>
          <w:color w:val="505050"/>
          <w:sz w:val="18"/>
        </w:rPr>
        <w:t>Côte d'Ivoire-Guinée : Décès de l'ancien PM Guinéen, le Gouvernement présente ses condoléances à la famille - Koaci</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présenté ses condoléances à la famille de l'ancien Premier ministre guinéen décédé. Cet événement s'inscrit dans le cadre des relations diplomatiques entre la Côte d'Ivoire et la Guinée. Aucune information financière ou économique n'est associée à cette nouvelle.</w:t>
      </w:r>
    </w:p>
    <w:p>
      <w:pPr>
        <w:spacing w:before="0" w:after="40"/>
        <w:ind w:left="600"/>
      </w:pPr>
      <w:r>
        <w:rPr>
          <w:color w:val="00643C"/>
          <w:sz w:val="16"/>
        </w:rPr>
        <w:t>Points clés : Décès de l'ancien Premier ministre guinéen  •  Condoléances officielles du gouvernement ivoirien  •  Actualité de nature politique et diplomatique</w:t>
      </w:r>
    </w:p>
    <w:p>
      <w:pPr>
        <w:spacing w:before="0" w:after="60"/>
        <w:ind w:left="600"/>
      </w:pPr>
      <w:r>
        <w:rPr>
          <w:color w:val="0064B4"/>
          <w:sz w:val="15"/>
        </w:rPr>
        <w:t>Source : https://news.google.com/rss/articles/CBMiigJBVV95cUxOQ1lVYmNiZFBYcExQd052cWJjNGc</w:t>
      </w:r>
    </w:p>
    <w:p>
      <w:pPr>
        <w:spacing w:before="120" w:after="40"/>
      </w:pPr>
      <w:r>
        <w:rPr>
          <w:b/>
          <w:color w:val="00467F"/>
          <w:sz w:val="20"/>
        </w:rPr>
        <w:t>🔑 politique_monetaire  (2 alerte(s))</w:t>
      </w:r>
    </w:p>
    <w:p>
      <w:pPr>
        <w:spacing w:before="40" w:after="40"/>
        <w:ind w:left="360"/>
      </w:pPr>
      <w:r>
        <w:rPr>
          <w:color w:val="646464"/>
          <w:sz w:val="17"/>
        </w:rPr>
        <w:t xml:space="preserve">[08/10/2026] 🔴  </w:t>
      </w:r>
      <w:r>
        <w:rPr>
          <w:b/>
          <w:color w:val="C00000"/>
          <w:sz w:val="18"/>
        </w:rPr>
        <w:t>La BCE pourrait devoir procéder à de nouvelles hausses de taux, estime Dolenc - Boursorama</w:t>
      </w:r>
      <w:r>
        <w:rPr>
          <w:color w:val="787878"/>
          <w:sz w:val="15"/>
        </w:rPr>
        <w:t xml:space="preserve">  [politique_monetaire]</w:t>
      </w:r>
      <w:r>
        <w:rPr>
          <w:color w:val="B47800"/>
          <w:sz w:val="16"/>
        </w:rPr>
        <w:t xml:space="preserve">  ★ 50/10</w:t>
      </w:r>
    </w:p>
    <w:p>
      <w:pPr>
        <w:spacing w:before="0" w:after="20"/>
        <w:ind w:left="600"/>
      </w:pPr>
      <w:r>
        <w:rPr>
          <w:color w:val="323232"/>
          <w:sz w:val="17"/>
        </w:rPr>
        <w:t>Un responsable de la Banque centrale européenne, Dolenc, estime que de nouvelles hausses de taux pourraient être nécessaires pour maîtriser l'inflation. Cette déclaration suggère que la BCE maintient une posture restrictive malgré le ralentissement économique. Elle intervient dans un contexte d'incertitude sur l'évolution des prix et de la croissan</w:t>
      </w:r>
    </w:p>
    <w:p>
      <w:pPr>
        <w:spacing w:before="0" w:after="40"/>
        <w:ind w:left="600"/>
      </w:pPr>
      <w:r>
        <w:rPr>
          <w:color w:val="00643C"/>
          <w:sz w:val="16"/>
        </w:rPr>
        <w:t>Points clés : La BCE pourrait relever ses taux directeurs à nouveau  •  Dolenc plaide pour une politique monétaire restrictive  •  L'objectif reste la maîtrise de l'inflation  •  Impact potentiel sur les marchés obligataires et actions</w:t>
      </w:r>
    </w:p>
    <w:p>
      <w:pPr>
        <w:spacing w:before="0" w:after="60"/>
        <w:ind w:left="600"/>
      </w:pPr>
      <w:r>
        <w:rPr>
          <w:color w:val="0064B4"/>
          <w:sz w:val="15"/>
        </w:rPr>
        <w:t>Source : https://news.google.com/rss/articles/CBMi_AFBVV95cUxQVkoxcVRQQUJ0VEVzVnNLejhLVEc</w:t>
      </w:r>
    </w:p>
    <w:p>
      <w:pPr>
        <w:spacing w:before="40" w:after="40"/>
        <w:ind w:left="360"/>
      </w:pPr>
      <w:r>
        <w:rPr>
          <w:color w:val="646464"/>
          <w:sz w:val="17"/>
        </w:rPr>
        <w:t xml:space="preserve">[06/10/2026] 🟢  </w:t>
      </w:r>
      <w:r>
        <w:rPr>
          <w:b/>
          <w:color w:val="008000"/>
          <w:sz w:val="18"/>
        </w:rPr>
        <w:t>L'euro reprend des couleurs grâce à l'accalmie sur les taux français - TradingView</w:t>
      </w:r>
      <w:r>
        <w:rPr>
          <w:color w:val="787878"/>
          <w:sz w:val="15"/>
        </w:rPr>
        <w:t xml:space="preserve">  [politique_monetaire]</w:t>
      </w:r>
      <w:r>
        <w:rPr>
          <w:color w:val="B47800"/>
          <w:sz w:val="16"/>
        </w:rPr>
        <w:t xml:space="preserve">  ★ 50/10</w:t>
      </w:r>
    </w:p>
    <w:p>
      <w:pPr>
        <w:spacing w:before="0" w:after="20"/>
        <w:ind w:left="600"/>
      </w:pPr>
      <w:r>
        <w:rPr>
          <w:color w:val="323232"/>
          <w:sz w:val="17"/>
        </w:rPr>
        <w:t>L'euro s'apprécie face aux principales devises, soutenu par la détente des taux d'intérêt français. Cette accalmie sur le marché obligataire français réduit les tensions liées au risque politique et budgétaire en zone euro. Le mouvement profite à la monnaie unique, qui regagne du terrain après une période de pression. Cette évolution reste toutefoi</w:t>
      </w:r>
    </w:p>
    <w:p>
      <w:pPr>
        <w:spacing w:before="0" w:after="40"/>
        <w:ind w:left="600"/>
      </w:pPr>
      <w:r>
        <w:rPr>
          <w:color w:val="00643C"/>
          <w:sz w:val="16"/>
        </w:rPr>
        <w:t>Points clés : L'euro reprend des couleurs face aux autres devises majeures  •  La baisse des taux français apaise les inquiétudes sur la zone euro  •  L'accalmie réduit la prime de risque exigée sur les actifs français  •  Le mouvement reste fragile et dépendant des données à venir</w:t>
      </w:r>
    </w:p>
    <w:p>
      <w:pPr>
        <w:spacing w:before="0" w:after="60"/>
        <w:ind w:left="600"/>
      </w:pPr>
      <w:r>
        <w:rPr>
          <w:color w:val="0064B4"/>
          <w:sz w:val="15"/>
        </w:rPr>
        <w:t>Source : https://news.google.com/rss/articles/CBMiYkFVX3lxTE5mcV9hci10RExoOUJUWVpuUGlSZVl</w:t>
      </w:r>
    </w:p>
    <w:p>
      <w:pPr>
        <w:spacing w:before="120" w:after="40"/>
      </w:pPr>
      <w:r>
        <w:rPr>
          <w:b/>
          <w:color w:val="00467F"/>
          <w:sz w:val="20"/>
        </w:rPr>
        <w:t>🔑 marche_financier  (3 alerte(s))</w:t>
      </w:r>
    </w:p>
    <w:p>
      <w:pPr>
        <w:spacing w:before="40" w:after="40"/>
        <w:ind w:left="360"/>
      </w:pPr>
      <w:r>
        <w:rPr>
          <w:color w:val="646464"/>
          <w:sz w:val="17"/>
        </w:rPr>
        <w:t xml:space="preserve">[07/10/2026] 🔴  </w:t>
      </w:r>
      <w:r>
        <w:rPr>
          <w:b/>
          <w:color w:val="C00000"/>
          <w:sz w:val="18"/>
        </w:rPr>
        <w:t>Wall Street en repli, les rendements obligataires pèsent - Investir Les Echos</w:t>
      </w:r>
      <w:r>
        <w:rPr>
          <w:color w:val="787878"/>
          <w:sz w:val="15"/>
        </w:rPr>
        <w:t xml:space="preserve">  [marche_financier]</w:t>
      </w:r>
      <w:r>
        <w:rPr>
          <w:color w:val="B47800"/>
          <w:sz w:val="16"/>
        </w:rPr>
        <w:t xml:space="preserve">  ★ 50/10</w:t>
      </w:r>
    </w:p>
    <w:p>
      <w:pPr>
        <w:spacing w:before="0" w:after="20"/>
        <w:ind w:left="600"/>
      </w:pPr>
      <w:r>
        <w:rPr>
          <w:color w:val="323232"/>
          <w:sz w:val="17"/>
        </w:rPr>
        <w:t>Wall Street a clôturé en baisse, pénalisée par la hausse des rendements obligataires. Les investisseurs s'inquiètent de la remontée des taux, qui rend les actions moins attractives par rapport aux obligations. Ce repli s'inscrit dans un contexte de vigilance accrue face aux politiques monétaires et aux données économiques à venir.</w:t>
      </w:r>
    </w:p>
    <w:p>
      <w:pPr>
        <w:spacing w:before="0" w:after="40"/>
        <w:ind w:left="600"/>
      </w:pPr>
      <w:r>
        <w:rPr>
          <w:color w:val="00643C"/>
          <w:sz w:val="16"/>
        </w:rPr>
        <w:t>Points clés : Wall Street en repli  •  Les rendements obligataires pèsent sur les actions  •  Sentiment de marché négatif</w:t>
      </w:r>
    </w:p>
    <w:p>
      <w:pPr>
        <w:spacing w:before="0" w:after="60"/>
        <w:ind w:left="600"/>
      </w:pPr>
      <w:r>
        <w:rPr>
          <w:color w:val="0064B4"/>
          <w:sz w:val="15"/>
        </w:rPr>
        <w:t>Source : https://news.google.com/rss/articles/CBMixAFBVV95cUxNSjN4WFVNYVZJZUI4ajJpZkJiVUg</w:t>
      </w:r>
    </w:p>
    <w:p>
      <w:pPr>
        <w:spacing w:before="40" w:after="40"/>
        <w:ind w:left="360"/>
      </w:pPr>
      <w:r>
        <w:rPr>
          <w:color w:val="646464"/>
          <w:sz w:val="17"/>
        </w:rPr>
        <w:t xml:space="preserve">[07/10/2026] 🔴  </w:t>
      </w:r>
      <w:r>
        <w:rPr>
          <w:b/>
          <w:color w:val="C00000"/>
          <w:sz w:val="18"/>
        </w:rPr>
        <w:t>« Dans l'espace, personne ne vous entend frauder » : le succès de SpaceX magnétise les escrocs - Les Echos</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rapporte que le succès de SpaceX attire les escrocs, qui exploitent l'engouement pour l'entreprise spatiale d'Elon Musk pour monter des fraudes financières. Ces arnaques profitent de l'aura de SpaceX et de l'impossibilité pour le grand public d'investir directement dans la société. Le phénomène illustre comment les réussites spe</w:t>
      </w:r>
    </w:p>
    <w:p>
      <w:pPr>
        <w:spacing w:before="0" w:after="40"/>
        <w:ind w:left="600"/>
      </w:pPr>
      <w:r>
        <w:rPr>
          <w:color w:val="00643C"/>
          <w:sz w:val="16"/>
        </w:rPr>
        <w:t>Points clés : Le succès de SpaceX sert de prétexte à des escroqueries financières  •  Les fraudeurs exploitent l'impossibilité d'investir directement dans SpaceX  •  Phénomène récurrent dans les secteurs à forte hype technologique</w:t>
      </w:r>
    </w:p>
    <w:p>
      <w:pPr>
        <w:spacing w:before="0" w:after="60"/>
        <w:ind w:left="600"/>
      </w:pPr>
      <w:r>
        <w:rPr>
          <w:color w:val="0064B4"/>
          <w:sz w:val="15"/>
        </w:rPr>
        <w:t>Source : https://news.google.com/rss/articles/CBMi6AFBVV95cUxOWUFoR2hMYkgtOHNtcWI0cEZ1YV9</w:t>
      </w:r>
    </w:p>
    <w:p>
      <w:pPr>
        <w:spacing w:before="40" w:after="40"/>
        <w:ind w:left="360"/>
      </w:pPr>
      <w:r>
        <w:rPr>
          <w:color w:val="646464"/>
          <w:sz w:val="17"/>
        </w:rPr>
        <w:t xml:space="preserve">[06/10/2026] 🟢  </w:t>
      </w:r>
      <w:r>
        <w:rPr>
          <w:b/>
          <w:color w:val="008000"/>
          <w:sz w:val="18"/>
        </w:rPr>
        <w:t>Wall Street en hausse, du répit avant la saison des résultats - Investir Les Echos</w:t>
      </w:r>
      <w:r>
        <w:rPr>
          <w:color w:val="787878"/>
          <w:sz w:val="15"/>
        </w:rPr>
        <w:t xml:space="preserve">  [marche_financier]</w:t>
      </w:r>
      <w:r>
        <w:rPr>
          <w:color w:val="B47800"/>
          <w:sz w:val="16"/>
        </w:rPr>
        <w:t xml:space="preserve">  ★ 50/10</w:t>
      </w:r>
    </w:p>
    <w:p>
      <w:pPr>
        <w:spacing w:before="0" w:after="20"/>
        <w:ind w:left="600"/>
      </w:pPr>
      <w:r>
        <w:rPr>
          <w:color w:val="323232"/>
          <w:sz w:val="17"/>
        </w:rPr>
        <w:t>Wall Street a terminé en hausse, portée par un rebond technique avant le début de la saison des résultats trimestriels. Les investisseurs profitent d'une accalmie après les récentes turbulences, mais restent prudents face aux prochaines publications. Ce répit pourrait être de courte durée, les marchés attendant des indicateurs clés sur la santé des</w:t>
      </w:r>
    </w:p>
    <w:p>
      <w:pPr>
        <w:spacing w:before="0" w:after="40"/>
        <w:ind w:left="600"/>
      </w:pPr>
      <w:r>
        <w:rPr>
          <w:color w:val="00643C"/>
          <w:sz w:val="16"/>
        </w:rPr>
        <w:t>Points clés : Wall Street en hausse avant la saison des résultats  •  Rebond technique après des turbulences récentes  •  Prudence des investisseurs face aux publications à venir</w:t>
      </w:r>
    </w:p>
    <w:p>
      <w:pPr>
        <w:spacing w:before="0" w:after="60"/>
        <w:ind w:left="600"/>
      </w:pPr>
      <w:r>
        <w:rPr>
          <w:color w:val="0064B4"/>
          <w:sz w:val="15"/>
        </w:rPr>
        <w:t>Source : https://news.google.com/rss/articles/CBMiywFBVV95cUxNbGZEWGJRSHRMZENNb0xPdnlYQXF</w:t>
      </w:r>
    </w:p>
    <w:p>
      <w:pPr>
        <w:spacing w:before="120" w:after="40"/>
      </w:pPr>
      <w:r>
        <w:rPr>
          <w:b/>
          <w:color w:val="00467F"/>
          <w:sz w:val="20"/>
        </w:rPr>
        <w:t>🔑 économique  (2 alerte(s))</w:t>
      </w:r>
    </w:p>
    <w:p>
      <w:pPr>
        <w:spacing w:before="40" w:after="40"/>
        <w:ind w:left="360"/>
      </w:pPr>
      <w:r>
        <w:rPr>
          <w:color w:val="646464"/>
          <w:sz w:val="17"/>
        </w:rPr>
        <w:t xml:space="preserve">[07/10/2026] ⚪  </w:t>
      </w:r>
      <w:r>
        <w:rPr>
          <w:b/>
          <w:color w:val="505050"/>
          <w:sz w:val="18"/>
        </w:rPr>
        <w:t>Le président en exercice de la CEDEAO, Diomaye Faye installe à Abuja, les nouveaux juges de la Cour de justice communaut</w:t>
      </w:r>
      <w:r>
        <w:rPr>
          <w:color w:val="787878"/>
          <w:sz w:val="15"/>
        </w:rPr>
        <w:t xml:space="preserve">  [économique]</w:t>
      </w:r>
      <w:r>
        <w:rPr>
          <w:color w:val="B47800"/>
          <w:sz w:val="16"/>
        </w:rPr>
        <w:t xml:space="preserve">  ★ 50/10</w:t>
      </w:r>
    </w:p>
    <w:p>
      <w:pPr>
        <w:spacing w:before="0" w:after="20"/>
        <w:ind w:left="600"/>
      </w:pPr>
      <w:r>
        <w:rPr>
          <w:color w:val="323232"/>
          <w:sz w:val="17"/>
        </w:rPr>
        <w:t>Le président en exercice de la CEDEAO, Bassirou Diomaye Faye, a procédé à l'installation de nouveaux juges à la Cour de justice communautaire de la CEDEAO à Abuja. Cette cérémonie s'inscrit dans le cadre du renforcement des institutions judiciaires de la communauté économique ouest-africaine. Elle vise à assurer une meilleure application du droit c</w:t>
      </w:r>
    </w:p>
    <w:p>
      <w:pPr>
        <w:spacing w:before="0" w:after="40"/>
        <w:ind w:left="600"/>
      </w:pPr>
      <w:r>
        <w:rPr>
          <w:color w:val="00643C"/>
          <w:sz w:val="16"/>
        </w:rPr>
        <w:t>Points clés : Installation de nouveaux juges à la Cour de justice de la CEDEAO à Abuja  •  Cérémonie présidée par Diomaye Faye, président en exercice de la CEDEAO  •  Renforcement des institutions judiciaires communautaires</w:t>
      </w:r>
    </w:p>
    <w:p>
      <w:pPr>
        <w:spacing w:before="0" w:after="60"/>
        <w:ind w:left="600"/>
      </w:pPr>
      <w:r>
        <w:rPr>
          <w:color w:val="0064B4"/>
          <w:sz w:val="15"/>
        </w:rPr>
        <w:t>Source : https://news.google.com/rss/articles/CBMi9gFBVV95cUxPTEtHZldYMDdDOGs2ZzY1OHljU0l</w:t>
      </w:r>
    </w:p>
    <w:p>
      <w:pPr>
        <w:spacing w:before="40" w:after="40"/>
        <w:ind w:left="360"/>
      </w:pPr>
      <w:r>
        <w:rPr>
          <w:color w:val="646464"/>
          <w:sz w:val="17"/>
        </w:rPr>
        <w:t xml:space="preserve">[06/10/2026] 🟢  </w:t>
      </w:r>
      <w:r>
        <w:rPr>
          <w:b/>
          <w:color w:val="008000"/>
          <w:sz w:val="18"/>
        </w:rPr>
        <w:t>CEDEAO : le Général Birame Diop renforce le partenariat avec le FMI et la Banque mondiale en vue de l’ECO 2027 - Pressaf</w:t>
      </w:r>
      <w:r>
        <w:rPr>
          <w:color w:val="787878"/>
          <w:sz w:val="15"/>
        </w:rPr>
        <w:t xml:space="preserve">  [économique]</w:t>
      </w:r>
      <w:r>
        <w:rPr>
          <w:color w:val="B47800"/>
          <w:sz w:val="16"/>
        </w:rPr>
        <w:t xml:space="preserve">  ★ 50/10</w:t>
      </w:r>
    </w:p>
    <w:p>
      <w:pPr>
        <w:spacing w:before="0" w:after="20"/>
        <w:ind w:left="600"/>
      </w:pPr>
      <w:r>
        <w:rPr>
          <w:color w:val="323232"/>
          <w:sz w:val="17"/>
        </w:rPr>
        <w:t>Le Général Birame Diop, commissaire aux affaires politiques de la CEDEAO, a renforcé le partenariat avec le FMI et la Banque mondiale dans le cadre des préparatifs de la monnaie unique ECO prévue pour 2027. Cette collaboration vise à consolider les critères de convergence macroéconomique et à soutenir les réformes structurelles des États membres. L</w:t>
      </w:r>
    </w:p>
    <w:p>
      <w:pPr>
        <w:spacing w:before="0" w:after="40"/>
        <w:ind w:left="600"/>
      </w:pPr>
      <w:r>
        <w:rPr>
          <w:color w:val="00643C"/>
          <w:sz w:val="16"/>
        </w:rPr>
        <w:t>Points clés : Renforcement du partenariat CEDEAO-FMI-Banque mondiale pour l'ECO 2027  •  Accent sur les critères de convergence et les réformes structurelles  •  Objectif de stabilité monétaire et de crédibilité institutionnelle</w:t>
      </w:r>
    </w:p>
    <w:p>
      <w:pPr>
        <w:spacing w:before="0" w:after="60"/>
        <w:ind w:left="600"/>
      </w:pPr>
      <w:r>
        <w:rPr>
          <w:color w:val="0064B4"/>
          <w:sz w:val="15"/>
        </w:rPr>
        <w:t>Source : https://news.google.com/rss/articles/CBMi4gFBVV95cUxQTWtNczNnZi1xXy16clZ6c0ZEdVd</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3,295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3,610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8,195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8,650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16,700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2,770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2,700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3,055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44,980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21,000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37,400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16</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21,770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9,360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3,250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8,375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9,950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28</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22,000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8,750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1,985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7,900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11,300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1,970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1,535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5,000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4,295</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48,000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BNBC</w:t>
            </w:r>
          </w:p>
        </w:tc>
        <w:tc>
          <w:tcPr>
            <w:tcW w:type="dxa" w:w="1080"/>
            <w:shd w:fill="FEFEFE" w:val="clear"/>
          </w:tcPr>
          <w:p>
            <w:r>
              <w:rPr>
                <w:sz w:val="16"/>
              </w:rPr>
              <w:t>CONSOMMATION DISCR</w:t>
            </w:r>
          </w:p>
        </w:tc>
        <w:tc>
          <w:tcPr>
            <w:tcW w:type="dxa" w:w="1080"/>
            <w:shd w:fill="FEFEFE" w:val="clear"/>
          </w:tcPr>
          <w:p>
            <w:r>
              <w:rPr>
                <w:sz w:val="16"/>
              </w:rPr>
              <w:t>1,950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48</w:t>
            </w:r>
          </w:p>
        </w:tc>
        <w:tc>
          <w:tcPr>
            <w:tcW w:type="dxa" w:w="1080"/>
            <w:shd w:fill="FEFEFE" w:val="clear"/>
          </w:tcPr>
          <w:p>
            <w:r>
              <w:rPr>
                <w:sz w:val="16"/>
              </w:rPr>
              <w:t>ORGT</w:t>
            </w:r>
          </w:p>
        </w:tc>
        <w:tc>
          <w:tcPr>
            <w:tcW w:type="dxa" w:w="1080"/>
            <w:shd w:fill="FEFEFE" w:val="clear"/>
          </w:tcPr>
          <w:p>
            <w:r>
              <w:rPr>
                <w:sz w:val="16"/>
              </w:rPr>
              <w:t>SERVICES FINANCIER</w:t>
            </w:r>
          </w:p>
        </w:tc>
        <w:tc>
          <w:tcPr>
            <w:tcW w:type="dxa" w:w="1080"/>
            <w:shd w:fill="FEFEFE" w:val="clear"/>
          </w:tcPr>
          <w:p>
            <w:r>
              <w:rPr>
                <w:sz w:val="16"/>
              </w:rPr>
              <w:t>2,990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3,295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3,610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2,250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8,195</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16,700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2,770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13,000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3,295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3,610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8,195</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8,650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16,700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2,770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2,700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3,295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3,610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8,195</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8,650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16,700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2,770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2,700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ORAC — ORAC - ORANGE COTE D'IVOIRE</w:t>
      </w:r>
    </w:p>
    <w:p>
      <w:pPr>
        <w:pStyle w:val="ListBullet"/>
        <w:spacing w:before="20"/>
        <w:ind w:left="400"/>
      </w:pPr>
      <w:r>
        <w:rPr>
          <w:sz w:val="18"/>
        </w:rPr>
        <w:t>⚠️ Cours à 2.2%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(85.8 &gt; 70) — risque de correction</w:t>
      </w:r>
    </w:p>
    <w:p>
      <w:pPr>
        <w:pStyle w:val="ListBullet"/>
        <w:spacing w:before="20"/>
        <w:ind w:left="400"/>
      </w:pPr>
      <w:r>
        <w:rPr>
          <w:sz w:val="18"/>
        </w:rPr>
        <w:t>⚠️ Cours à 0.0% du plus haut 100j (45,000 FCFA)</w:t>
      </w:r>
    </w:p>
    <w:p>
      <w:pPr>
        <w:spacing w:before="120"/>
      </w:pPr>
      <w:r>
        <w:rPr>
          <w:b/>
          <w:color w:val="0050A0"/>
          <w:sz w:val="20"/>
        </w:rPr>
        <w:t>STAC — STAC - SETAO COTE D'IVOIRE</w:t>
      </w:r>
    </w:p>
    <w:p>
      <w:pPr>
        <w:pStyle w:val="ListBullet"/>
        <w:spacing w:before="20"/>
        <w:ind w:left="400"/>
      </w:pPr>
      <w:r>
        <w:rPr>
          <w:sz w:val="18"/>
        </w:rPr>
        <w:t>⚠️ Cours à 0.0% du plus bas 100j (2,065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(17.5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(9,950 FCFA)</w:t>
      </w:r>
    </w:p>
    <w:p>
      <w:pPr>
        <w:spacing w:before="120"/>
      </w:pPr>
      <w:r>
        <w:rPr>
          <w:b/>
          <w:color w:val="0050A0"/>
          <w:sz w:val="20"/>
        </w:rPr>
        <w:t>BICB — BIIC BN - Banque internationale pour le commerce du benin</w:t>
      </w:r>
    </w:p>
    <w:p>
      <w:pPr>
        <w:pStyle w:val="ListBullet"/>
        <w:spacing w:before="20"/>
        <w:ind w:left="400"/>
      </w:pPr>
      <w:r>
        <w:rPr>
          <w:sz w:val="18"/>
        </w:rPr>
        <w:t>🟢 RSI survente (26.5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Cours à 1.9% du plus bas 100j (3,190 FCFA)</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(14.4 &lt; 30) — opportunité potentielle</w:t>
      </w:r>
    </w:p>
    <w:p>
      <w:pPr>
        <w:spacing w:before="120"/>
      </w:pPr>
      <w:r>
        <w:rPr>
          <w:b/>
          <w:color w:val="0050A0"/>
          <w:sz w:val="20"/>
        </w:rPr>
        <w:t>NSBC — NSBC - NSIA BANQUE COTE D'IVOIRE</w:t>
      </w:r>
    </w:p>
    <w:p>
      <w:pPr>
        <w:pStyle w:val="ListBullet"/>
        <w:spacing w:before="20"/>
        <w:ind w:left="400"/>
      </w:pPr>
      <w:r>
        <w:rPr>
          <w:sz w:val="18"/>
        </w:rPr>
        <w:t>🟢 RSI survente (28.3 &lt; 30) — opportunité potentielle</w:t>
      </w:r>
    </w:p>
    <w:p>
      <w:pPr>
        <w:spacing w:before="120"/>
      </w:pPr>
      <w:r>
        <w:rPr>
          <w:b/>
          <w:color w:val="0050A0"/>
          <w:sz w:val="20"/>
        </w:rPr>
        <w:t>ORGT — ORGT - ORAGROUP TOGO</w:t>
      </w:r>
    </w:p>
    <w:p>
      <w:pPr>
        <w:pStyle w:val="ListBullet"/>
        <w:spacing w:before="20"/>
        <w:ind w:left="400"/>
      </w:pPr>
      <w:r>
        <w:rPr>
          <w:sz w:val="18"/>
        </w:rPr>
        <w:t>🟠 Divergence tech(VENTE) / fond(NEUTRE) — recommandation ajustée à CONSERVER ⚠️</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(28.2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(23.8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1.4% du plus bas 100j (36,900 FCFA)</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RSI survente (29.5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17.5/100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CBIBF (31.3/100 — Moyen) : </w:t>
      </w:r>
      <w:r>
        <w:rPr>
          <w:sz w:val="17"/>
        </w:rPr>
        <w:t>Volatilité=Élevée | Bêta=Agressif | Liquidité=Bonne | Divergence signaux=taux divergence=20% (Mixte ⚠️) | Stabilité=Stable</w:t>
      </w:r>
    </w:p>
    <w:p>
      <w:pPr>
        <w:pStyle w:val="ListBullet"/>
      </w:pPr>
      <w:r>
        <w:rPr>
          <w:b/>
          <w:color w:val="B40000"/>
          <w:sz w:val="18"/>
        </w:rPr>
        <w:t xml:space="preserve">#4 SNTS (31.1/100 — Moyen) : </w:t>
      </w:r>
      <w:r>
        <w:rPr>
          <w:sz w:val="17"/>
        </w:rPr>
        <w:t>Volatilité=Élevée | Bêta=Agressif | Liquidité=Excellente | Divergence signaux=taux divergence=40% (Très divergent ❌) | Stabilité=Stable</w:t>
      </w:r>
    </w:p>
    <w:p>
      <w:pPr>
        <w:pStyle w:val="ListBullet"/>
      </w:pPr>
      <w:r>
        <w:rPr>
          <w:b/>
          <w:color w:val="B40000"/>
          <w:sz w:val="18"/>
        </w:rPr>
        <w:t xml:space="preserve">#5 SAFC (31.0/100 — Moyen) : </w:t>
      </w:r>
      <w:r>
        <w:rPr>
          <w:sz w:val="17"/>
        </w:rPr>
        <w:t>Volatilité=Élevée | Bêta=Agressif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-1.43%  |  Médiane : -1.67%</w:t>
            </w:r>
          </w:p>
        </w:tc>
      </w:tr>
      <w:tr>
        <w:tc>
          <w:tcPr>
            <w:tcW w:type="dxa" w:w="2835"/>
            <w:shd w:fill="DEEAF1" w:val="clear"/>
          </w:tcPr>
          <w:p>
            <w:r>
              <w:rPr>
                <w:b/>
                <w:sz w:val="18"/>
              </w:rPr>
              <w:t>Répartition</w:t>
            </w:r>
          </w:p>
        </w:tc>
        <w:tc>
          <w:tcPr>
            <w:tcW w:type="dxa" w:w="7370"/>
          </w:tcPr>
          <w:p>
            <w:r>
              <w:rPr>
                <w:b/>
                <w:sz w:val="18"/>
              </w:rPr>
              <w:t>📈 11 sociétés en hausse (&gt;+1%)   📉 28 en baisse (&lt;-1%)   ➡️ 6 neutres</w:t>
            </w:r>
          </w:p>
        </w:tc>
      </w:tr>
      <w:tr>
        <w:tc>
          <w:tcPr>
            <w:tcW w:type="dxa" w:w="2835"/>
            <w:shd w:fill="DEEAF1" w:val="clear"/>
          </w:tcPr>
          <w:p>
            <w:r>
              <w:rPr>
                <w:b/>
                <w:sz w:val="18"/>
              </w:rPr>
              <w:t>Confiance globale</w:t>
            </w:r>
          </w:p>
        </w:tc>
        <w:tc>
          <w:tcPr>
            <w:tcW w:type="dxa" w:w="7370"/>
          </w:tcPr>
          <w:p>
            <w:r>
              <w:rPr>
                <w:b/>
                <w:sz w:val="18"/>
              </w:rPr>
              <w:t>Élevée : 0 sociétés (0%)   Moyenne : 7   Faible : 38 (84%)   → Confiance dominante : Faible</w:t>
            </w:r>
          </w:p>
        </w:tc>
      </w:tr>
    </w:tbl>
    <w:p/>
    <w:p>
      <w:r>
        <w:rPr>
          <w:i/>
          <w:color w:val="282828"/>
          <w:sz w:val="18"/>
        </w:rPr>
        <w:t>📝 Analyse : Légère tendance baissière avec signal mixte : 28 sociétés en baisse vs 11 en hausse. Variation moyenne : -1.43%.</w:t>
      </w:r>
    </w:p>
    <w:p>
      <w:r>
        <w:rPr>
          <w:i/>
          <w:color w:val="282828"/>
          <w:sz w:val="18"/>
        </w:rPr>
        <w:t>🎯 Fiabilité : ⚠️ La confiance est globalement FAIBLE (84%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2,700 FCFA</w:t>
            </w:r>
          </w:p>
        </w:tc>
        <w:tc>
          <w:tcPr>
            <w:tcW w:type="dxa" w:w="1417"/>
            <w:shd w:fill="FFFFFF" w:val="clear"/>
          </w:tcPr>
          <w:p>
            <w:r>
              <w:rPr>
                <w:sz w:val="16"/>
              </w:rPr>
              <w:t>3,259 FCFA</w:t>
            </w:r>
          </w:p>
        </w:tc>
        <w:tc>
          <w:tcPr>
            <w:tcW w:type="dxa" w:w="1134"/>
            <w:shd w:fill="C6EFCE" w:val="clear"/>
          </w:tcPr>
          <w:p>
            <w:r>
              <w:rPr>
                <w:b/>
                <w:color w:val="007800"/>
                <w:sz w:val="16"/>
              </w:rPr>
              <w:t>+20.69%</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21,770 FCFA</w:t>
            </w:r>
          </w:p>
        </w:tc>
        <w:tc>
          <w:tcPr>
            <w:tcW w:type="dxa" w:w="1417"/>
            <w:shd w:fill="FFFFFF" w:val="clear"/>
          </w:tcPr>
          <w:p>
            <w:r>
              <w:rPr>
                <w:sz w:val="16"/>
              </w:rPr>
              <w:t>24,245 FCFA</w:t>
            </w:r>
          </w:p>
        </w:tc>
        <w:tc>
          <w:tcPr>
            <w:tcW w:type="dxa" w:w="1134"/>
            <w:shd w:fill="C6EFCE" w:val="clear"/>
          </w:tcPr>
          <w:p>
            <w:r>
              <w:rPr>
                <w:b/>
                <w:color w:val="007800"/>
                <w:sz w:val="16"/>
              </w:rPr>
              <w:t>+11.37%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8,650 FCFA</w:t>
            </w:r>
          </w:p>
        </w:tc>
        <w:tc>
          <w:tcPr>
            <w:tcW w:type="dxa" w:w="1417"/>
            <w:shd w:fill="FFFFFF" w:val="clear"/>
          </w:tcPr>
          <w:p>
            <w:r>
              <w:rPr>
                <w:sz w:val="16"/>
              </w:rPr>
              <w:t>9,351 FCFA</w:t>
            </w:r>
          </w:p>
        </w:tc>
        <w:tc>
          <w:tcPr>
            <w:tcW w:type="dxa" w:w="1134"/>
            <w:shd w:fill="C6EFCE" w:val="clear"/>
          </w:tcPr>
          <w:p>
            <w:r>
              <w:rPr>
                <w:b/>
                <w:color w:val="007800"/>
                <w:sz w:val="16"/>
              </w:rPr>
              <w:t>+8.11%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37,400 FCFA</w:t>
            </w:r>
          </w:p>
        </w:tc>
        <w:tc>
          <w:tcPr>
            <w:tcW w:type="dxa" w:w="1417"/>
            <w:shd w:fill="FFFFFF" w:val="clear"/>
          </w:tcPr>
          <w:p>
            <w:r>
              <w:rPr>
                <w:sz w:val="16"/>
              </w:rPr>
              <w:t>39,026 FCFA</w:t>
            </w:r>
          </w:p>
        </w:tc>
        <w:tc>
          <w:tcPr>
            <w:tcW w:type="dxa" w:w="1134"/>
            <w:shd w:fill="C6EFCE" w:val="clear"/>
          </w:tcPr>
          <w:p>
            <w:r>
              <w:rPr>
                <w:b/>
                <w:color w:val="007800"/>
                <w:sz w:val="16"/>
              </w:rPr>
              <w:t>+4.35%</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5,181 FCFA</w:t>
            </w:r>
          </w:p>
        </w:tc>
        <w:tc>
          <w:tcPr>
            <w:tcW w:type="dxa" w:w="1134"/>
            <w:shd w:fill="C6EFCE" w:val="clear"/>
          </w:tcPr>
          <w:p>
            <w:r>
              <w:rPr>
                <w:b/>
                <w:color w:val="007800"/>
                <w:sz w:val="16"/>
              </w:rPr>
              <w:t>+3.62%</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(+20.7%) — signal potentiellement excessif, à croiser avec l'analyse technique. Trajectoire : 📈 Hausse continue. Cours actuel : 2,700 FCFA → prédit J+10 : 3,259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(+11.4%) — potentiel de revalorisation notable. Trajectoire : 📈 Hausse continue. Cours actuel : 21,770 FCFA → prédit J+10 : 24,245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modérée (+8.1%) — signal raisonnable et crédible. Trajectoire : 📈 Hausse continue. Cours actuel : 8,650 FCFA → prédit J+10 : 9,351 FCFA. ⚠️ Confiance limitée — volatilité élevée ou données insuffisantes. Résultat indicatif uniquement.</w:t>
      </w:r>
    </w:p>
    <w:p>
      <w:pPr>
        <w:pStyle w:val="ListBullet"/>
      </w:pPr>
      <w:r>
        <w:rPr>
          <w:b/>
          <w:color w:val="006400"/>
          <w:sz w:val="18"/>
        </w:rPr>
        <w:t xml:space="preserve">#4 SLBC </w:t>
      </w:r>
      <w:r>
        <w:rPr>
          <w:sz w:val="17"/>
        </w:rPr>
        <w:t>(SLBC - SOLIBRA COTE D'IVOIRE) — légère hausse (+4.3%) — progression graduelle attendue. Trajectoire : 📈 Hausse continue. Cours actuel : 37,400 FCFA → prédit J+10 : 39,026 FCFA. Confiance partielle — les premiers jours sont fiables, les jours lointains moins précis.</w:t>
      </w:r>
    </w:p>
    <w:p>
      <w:pPr>
        <w:pStyle w:val="ListBullet"/>
      </w:pPr>
      <w:r>
        <w:rPr>
          <w:b/>
          <w:color w:val="006400"/>
          <w:sz w:val="18"/>
        </w:rPr>
        <w:t xml:space="preserve">#5 BOAN </w:t>
      </w:r>
      <w:r>
        <w:rPr>
          <w:sz w:val="17"/>
        </w:rPr>
        <w:t>(BANK OF AFRICA NIGER) — légère hausse (+3.6%) — progression graduelle attendue. Trajectoire : 📈 Hausse continue. Cours actuel : 5,000 FCFA → prédit J+10 : 5,181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8,195 FCFA</w:t>
            </w:r>
          </w:p>
        </w:tc>
        <w:tc>
          <w:tcPr>
            <w:tcW w:type="dxa" w:w="1417"/>
            <w:shd w:fill="FFFFFF" w:val="clear"/>
          </w:tcPr>
          <w:p>
            <w:r>
              <w:rPr>
                <w:sz w:val="16"/>
              </w:rPr>
              <w:t>7,128 FCFA</w:t>
            </w:r>
          </w:p>
        </w:tc>
        <w:tc>
          <w:tcPr>
            <w:tcW w:type="dxa" w:w="1134"/>
            <w:shd w:fill="FFC7CE" w:val="clear"/>
          </w:tcPr>
          <w:p>
            <w:r>
              <w:rPr>
                <w:b/>
                <w:color w:val="B40000"/>
                <w:sz w:val="16"/>
              </w:rPr>
              <w:t>-13.01%</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21,000 FCFA</w:t>
            </w:r>
          </w:p>
        </w:tc>
        <w:tc>
          <w:tcPr>
            <w:tcW w:type="dxa" w:w="1417"/>
            <w:shd w:fill="FFFFFF" w:val="clear"/>
          </w:tcPr>
          <w:p>
            <w:r>
              <w:rPr>
                <w:sz w:val="16"/>
              </w:rPr>
              <w:t>18,910 FCFA</w:t>
            </w:r>
          </w:p>
        </w:tc>
        <w:tc>
          <w:tcPr>
            <w:tcW w:type="dxa" w:w="1134"/>
            <w:shd w:fill="FFC7CE" w:val="clear"/>
          </w:tcPr>
          <w:p>
            <w:r>
              <w:rPr>
                <w:b/>
                <w:color w:val="B40000"/>
                <w:sz w:val="16"/>
              </w:rPr>
              <w:t>-9.95%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6,095 FCFA</w:t>
            </w:r>
          </w:p>
        </w:tc>
        <w:tc>
          <w:tcPr>
            <w:tcW w:type="dxa" w:w="1417"/>
            <w:shd w:fill="FFFFFF" w:val="clear"/>
          </w:tcPr>
          <w:p>
            <w:r>
              <w:rPr>
                <w:sz w:val="16"/>
              </w:rPr>
              <w:t>5,507 FCFA</w:t>
            </w:r>
          </w:p>
        </w:tc>
        <w:tc>
          <w:tcPr>
            <w:tcW w:type="dxa" w:w="1134"/>
            <w:shd w:fill="FFC7CE" w:val="clear"/>
          </w:tcPr>
          <w:p>
            <w:r>
              <w:rPr>
                <w:b/>
                <w:color w:val="B40000"/>
                <w:sz w:val="16"/>
              </w:rPr>
              <w:t>-9.64%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28,797 FCFA</w:t>
            </w:r>
          </w:p>
        </w:tc>
        <w:tc>
          <w:tcPr>
            <w:tcW w:type="dxa" w:w="1134"/>
            <w:shd w:fill="FFC7CE" w:val="clear"/>
          </w:tcPr>
          <w:p>
            <w:r>
              <w:rPr>
                <w:b/>
                <w:color w:val="B40000"/>
                <w:sz w:val="16"/>
              </w:rPr>
              <w:t>-8.58%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2,300 FCFA</w:t>
            </w:r>
          </w:p>
        </w:tc>
        <w:tc>
          <w:tcPr>
            <w:tcW w:type="dxa" w:w="1417"/>
            <w:shd w:fill="FFFFFF" w:val="clear"/>
          </w:tcPr>
          <w:p>
            <w:r>
              <w:rPr>
                <w:sz w:val="16"/>
              </w:rPr>
              <w:t>2,137 FCFA</w:t>
            </w:r>
          </w:p>
        </w:tc>
        <w:tc>
          <w:tcPr>
            <w:tcW w:type="dxa" w:w="1134"/>
            <w:shd w:fill="FFC7CE" w:val="clear"/>
          </w:tcPr>
          <w:p>
            <w:r>
              <w:rPr>
                <w:b/>
                <w:color w:val="B40000"/>
                <w:sz w:val="16"/>
              </w:rPr>
              <w:t>-7.11%</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(-13.0%) — repli technique attendu. Trajectoire : 📉 Baisse continue. Cours actuel : 8,195 FCFA → prédit J+10 : 7,128 FCFA. Confiance partielle — surveiller l'évolution réelle des premiers jours.</w:t>
      </w:r>
    </w:p>
    <w:p>
      <w:pPr>
        <w:pStyle w:val="ListBullet"/>
      </w:pPr>
      <w:r>
        <w:rPr>
          <w:b/>
          <w:color w:val="B40000"/>
          <w:sz w:val="18"/>
        </w:rPr>
        <w:t xml:space="preserve">#2 NSBC </w:t>
      </w:r>
      <w:r>
        <w:rPr>
          <w:sz w:val="17"/>
        </w:rPr>
        <w:t>(NSBC - NSIA BANQUE COTE D'IVOIRE) — baisse modérée (-10.0%) — repli technique attendu. Trajectoire : 📉 Baisse continue. Cours actuel : 21,000 FCFA → prédit J+10 : 18,910 FCFA. ⚠️ Confiance limitée — volatilité élevée. Ne pas agir sur ce seul signal.</w:t>
      </w:r>
    </w:p>
    <w:p>
      <w:pPr>
        <w:pStyle w:val="ListBullet"/>
      </w:pPr>
      <w:r>
        <w:rPr>
          <w:b/>
          <w:color w:val="B40000"/>
          <w:sz w:val="18"/>
        </w:rPr>
        <w:t xml:space="preserve">#3 BOAM </w:t>
      </w:r>
      <w:r>
        <w:rPr>
          <w:sz w:val="17"/>
        </w:rPr>
        <w:t>(BANK OF AFRICA MALI) — baisse modérée (-9.6%) — repli technique attendu. Trajectoire : 📉 Baisse continue. Cours actuel : 6,095 FCFA → prédit J+10 : 5,507 FCFA. ⚠️ Confiance limitée — volatilité élevée. Ne pas agir sur ce seul signal.</w:t>
      </w:r>
    </w:p>
    <w:p>
      <w:pPr>
        <w:pStyle w:val="ListBullet"/>
      </w:pPr>
      <w:r>
        <w:rPr>
          <w:b/>
          <w:color w:val="B40000"/>
          <w:sz w:val="18"/>
        </w:rPr>
        <w:t xml:space="preserve">#4 CBIBF </w:t>
      </w:r>
      <w:r>
        <w:rPr>
          <w:sz w:val="17"/>
        </w:rPr>
        <w:t>(CBIBF - CORIS BANK INTERNATIONAL BURKINA) — baisse modérée (-8.6%) — repli technique attendu. Trajectoire : 📉 Baisse continue. Cours actuel : 31,500 FCFA → prédit J+10 : 28,797 FCFA. ⚠️ Confiance limitée — volatilité élevée. Ne pas agir sur ce seul signal.</w:t>
      </w:r>
    </w:p>
    <w:p>
      <w:pPr>
        <w:pStyle w:val="ListBullet"/>
      </w:pPr>
      <w:r>
        <w:rPr>
          <w:b/>
          <w:color w:val="B40000"/>
          <w:sz w:val="18"/>
        </w:rPr>
        <w:t xml:space="preserve">#5 UNXC </w:t>
      </w:r>
      <w:r>
        <w:rPr>
          <w:sz w:val="17"/>
        </w:rPr>
        <w:t>(UNXC - UNIWAX COTE D'IVOIRE) — baisse modérée (-7.1%) — repli technique attendu. Trajectoire : 📉 Baisse continue. Cours actuel : 2,300 FCFA → prédit J+10 : 2,137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2,700</w:t>
            </w:r>
          </w:p>
        </w:tc>
        <w:tc>
          <w:tcPr>
            <w:tcW w:type="dxa" w:w="1417"/>
            <w:shd w:fill="FFFFFF" w:val="clear"/>
          </w:tcPr>
          <w:p>
            <w:r>
              <w:rPr>
                <w:sz w:val="16"/>
              </w:rPr>
              <w:t>3,259</w:t>
            </w:r>
          </w:p>
        </w:tc>
        <w:tc>
          <w:tcPr>
            <w:tcW w:type="dxa" w:w="1134"/>
            <w:shd w:fill="C6EFCE" w:val="clear"/>
          </w:tcPr>
          <w:p>
            <w:r>
              <w:rPr>
                <w:b/>
                <w:color w:val="007800"/>
                <w:sz w:val="16"/>
              </w:rPr>
              <w:t>+20.69%</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21,770</w:t>
            </w:r>
          </w:p>
        </w:tc>
        <w:tc>
          <w:tcPr>
            <w:tcW w:type="dxa" w:w="1417"/>
            <w:shd w:fill="FFFFFF" w:val="clear"/>
          </w:tcPr>
          <w:p>
            <w:r>
              <w:rPr>
                <w:sz w:val="16"/>
              </w:rPr>
              <w:t>24,245</w:t>
            </w:r>
          </w:p>
        </w:tc>
        <w:tc>
          <w:tcPr>
            <w:tcW w:type="dxa" w:w="1134"/>
            <w:shd w:fill="C6EFCE" w:val="clear"/>
          </w:tcPr>
          <w:p>
            <w:r>
              <w:rPr>
                <w:b/>
                <w:color w:val="007800"/>
                <w:sz w:val="16"/>
              </w:rPr>
              <w:t>+11.37%</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8,650</w:t>
            </w:r>
          </w:p>
        </w:tc>
        <w:tc>
          <w:tcPr>
            <w:tcW w:type="dxa" w:w="1417"/>
            <w:shd w:fill="FFFFFF" w:val="clear"/>
          </w:tcPr>
          <w:p>
            <w:r>
              <w:rPr>
                <w:sz w:val="16"/>
              </w:rPr>
              <w:t>9,351</w:t>
            </w:r>
          </w:p>
        </w:tc>
        <w:tc>
          <w:tcPr>
            <w:tcW w:type="dxa" w:w="1134"/>
            <w:shd w:fill="C6EFCE" w:val="clear"/>
          </w:tcPr>
          <w:p>
            <w:r>
              <w:rPr>
                <w:b/>
                <w:color w:val="007800"/>
                <w:sz w:val="16"/>
              </w:rPr>
              <w:t>+8.11%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37,400</w:t>
            </w:r>
          </w:p>
        </w:tc>
        <w:tc>
          <w:tcPr>
            <w:tcW w:type="dxa" w:w="1417"/>
            <w:shd w:fill="FFFFFF" w:val="clear"/>
          </w:tcPr>
          <w:p>
            <w:r>
              <w:rPr>
                <w:sz w:val="16"/>
              </w:rPr>
              <w:t>39,026</w:t>
            </w:r>
          </w:p>
        </w:tc>
        <w:tc>
          <w:tcPr>
            <w:tcW w:type="dxa" w:w="1134"/>
            <w:shd w:fill="C6EFCE" w:val="clear"/>
          </w:tcPr>
          <w:p>
            <w:r>
              <w:rPr>
                <w:b/>
                <w:color w:val="007800"/>
                <w:sz w:val="16"/>
              </w:rPr>
              <w:t>+4.35%</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5,000</w:t>
            </w:r>
          </w:p>
        </w:tc>
        <w:tc>
          <w:tcPr>
            <w:tcW w:type="dxa" w:w="1417"/>
            <w:shd w:fill="FFFFFF" w:val="clear"/>
          </w:tcPr>
          <w:p>
            <w:r>
              <w:rPr>
                <w:sz w:val="16"/>
              </w:rPr>
              <w:t>5,181</w:t>
            </w:r>
          </w:p>
        </w:tc>
        <w:tc>
          <w:tcPr>
            <w:tcW w:type="dxa" w:w="1134"/>
            <w:shd w:fill="C6EFCE" w:val="clear"/>
          </w:tcPr>
          <w:p>
            <w:r>
              <w:rPr>
                <w:b/>
                <w:color w:val="007800"/>
                <w:sz w:val="16"/>
              </w:rPr>
              <w:t>+3.62%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1,985</w:t>
            </w:r>
          </w:p>
        </w:tc>
        <w:tc>
          <w:tcPr>
            <w:tcW w:type="dxa" w:w="1417"/>
            <w:shd w:fill="FFFFFF" w:val="clear"/>
          </w:tcPr>
          <w:p>
            <w:r>
              <w:rPr>
                <w:sz w:val="16"/>
              </w:rPr>
              <w:t>2,038</w:t>
            </w:r>
          </w:p>
        </w:tc>
        <w:tc>
          <w:tcPr>
            <w:tcW w:type="dxa" w:w="1134"/>
            <w:shd w:fill="C6EFCE" w:val="clear"/>
          </w:tcPr>
          <w:p>
            <w:r>
              <w:rPr>
                <w:b/>
                <w:color w:val="007800"/>
                <w:sz w:val="16"/>
              </w:rPr>
              <w:t>+2.67%</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1,535</w:t>
            </w:r>
          </w:p>
        </w:tc>
        <w:tc>
          <w:tcPr>
            <w:tcW w:type="dxa" w:w="1417"/>
            <w:shd w:fill="FFFFFF" w:val="clear"/>
          </w:tcPr>
          <w:p>
            <w:r>
              <w:rPr>
                <w:sz w:val="16"/>
              </w:rPr>
              <w:t>1,576</w:t>
            </w:r>
          </w:p>
        </w:tc>
        <w:tc>
          <w:tcPr>
            <w:tcW w:type="dxa" w:w="1134"/>
            <w:shd w:fill="C6EFCE" w:val="clear"/>
          </w:tcPr>
          <w:p>
            <w:r>
              <w:rPr>
                <w:b/>
                <w:color w:val="007800"/>
                <w:sz w:val="16"/>
              </w:rPr>
              <w:t>+2.67%</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16,700</w:t>
            </w:r>
          </w:p>
        </w:tc>
        <w:tc>
          <w:tcPr>
            <w:tcW w:type="dxa" w:w="1417"/>
            <w:shd w:fill="FFFFFF" w:val="clear"/>
          </w:tcPr>
          <w:p>
            <w:r>
              <w:rPr>
                <w:sz w:val="16"/>
              </w:rPr>
              <w:t>16,928</w:t>
            </w:r>
          </w:p>
        </w:tc>
        <w:tc>
          <w:tcPr>
            <w:tcW w:type="dxa" w:w="1134"/>
            <w:shd w:fill="C6EFCE" w:val="clear"/>
          </w:tcPr>
          <w:p>
            <w:r>
              <w:rPr>
                <w:b/>
                <w:color w:val="007800"/>
                <w:sz w:val="16"/>
              </w:rPr>
              <w:t>+1.36%</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11,300</w:t>
            </w:r>
          </w:p>
        </w:tc>
        <w:tc>
          <w:tcPr>
            <w:tcW w:type="dxa" w:w="1417"/>
            <w:shd w:fill="FFFFFF" w:val="clear"/>
          </w:tcPr>
          <w:p>
            <w:r>
              <w:rPr>
                <w:sz w:val="16"/>
              </w:rPr>
              <w:t>11,451</w:t>
            </w:r>
          </w:p>
        </w:tc>
        <w:tc>
          <w:tcPr>
            <w:tcW w:type="dxa" w:w="1134"/>
            <w:shd w:fill="C6EFCE" w:val="clear"/>
          </w:tcPr>
          <w:p>
            <w:r>
              <w:rPr>
                <w:b/>
                <w:color w:val="007800"/>
                <w:sz w:val="16"/>
              </w:rPr>
              <w:t>+1.34%</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2,250</w:t>
            </w:r>
          </w:p>
        </w:tc>
        <w:tc>
          <w:tcPr>
            <w:tcW w:type="dxa" w:w="1417"/>
            <w:shd w:fill="FFFFFF" w:val="clear"/>
          </w:tcPr>
          <w:p>
            <w:r>
              <w:rPr>
                <w:sz w:val="16"/>
              </w:rPr>
              <w:t>2,278</w:t>
            </w:r>
          </w:p>
        </w:tc>
        <w:tc>
          <w:tcPr>
            <w:tcW w:type="dxa" w:w="1134"/>
            <w:shd w:fill="C6EFCE" w:val="clear"/>
          </w:tcPr>
          <w:p>
            <w:r>
              <w:rPr>
                <w:b/>
                <w:color w:val="007800"/>
                <w:sz w:val="16"/>
              </w:rPr>
              <w:t>+1.24%</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3,890</w:t>
            </w:r>
          </w:p>
        </w:tc>
        <w:tc>
          <w:tcPr>
            <w:tcW w:type="dxa" w:w="1417"/>
            <w:shd w:fill="FFFFFF" w:val="clear"/>
          </w:tcPr>
          <w:p>
            <w:r>
              <w:rPr>
                <w:sz w:val="16"/>
              </w:rPr>
              <w:t>3,936</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2,065</w:t>
            </w:r>
          </w:p>
        </w:tc>
        <w:tc>
          <w:tcPr>
            <w:tcW w:type="dxa" w:w="1417"/>
            <w:shd w:fill="FFFFFF" w:val="clear"/>
          </w:tcPr>
          <w:p>
            <w:r>
              <w:rPr>
                <w:sz w:val="16"/>
              </w:rPr>
              <w:t>2,085</w:t>
            </w:r>
          </w:p>
        </w:tc>
        <w:tc>
          <w:tcPr>
            <w:tcW w:type="dxa" w:w="1134"/>
            <w:shd w:fill="FFEB9C" w:val="clear"/>
          </w:tcPr>
          <w:p>
            <w:r>
              <w:rPr>
                <w:b/>
                <w:color w:val="646400"/>
                <w:sz w:val="16"/>
              </w:rPr>
              <w:t>+0.97%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13,000</w:t>
            </w:r>
          </w:p>
        </w:tc>
        <w:tc>
          <w:tcPr>
            <w:tcW w:type="dxa" w:w="1417"/>
            <w:shd w:fill="FFFFFF" w:val="clear"/>
          </w:tcPr>
          <w:p>
            <w:r>
              <w:rPr>
                <w:sz w:val="16"/>
              </w:rPr>
              <w:t>13,101</w:t>
            </w:r>
          </w:p>
        </w:tc>
        <w:tc>
          <w:tcPr>
            <w:tcW w:type="dxa" w:w="1134"/>
            <w:shd w:fill="FFEB9C" w:val="clear"/>
          </w:tcPr>
          <w:p>
            <w:r>
              <w:rPr>
                <w:b/>
                <w:color w:val="646400"/>
                <w:sz w:val="16"/>
              </w:rPr>
              <w:t>+0.78%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2,770</w:t>
            </w:r>
          </w:p>
        </w:tc>
        <w:tc>
          <w:tcPr>
            <w:tcW w:type="dxa" w:w="1417"/>
            <w:shd w:fill="FFFFFF" w:val="clear"/>
          </w:tcPr>
          <w:p>
            <w:r>
              <w:rPr>
                <w:sz w:val="16"/>
              </w:rPr>
              <w:t>2,780</w:t>
            </w:r>
          </w:p>
        </w:tc>
        <w:tc>
          <w:tcPr>
            <w:tcW w:type="dxa" w:w="1134"/>
            <w:shd w:fill="FFEB9C" w:val="clear"/>
          </w:tcPr>
          <w:p>
            <w:r>
              <w:rPr>
                <w:b/>
                <w:color w:val="646400"/>
                <w:sz w:val="16"/>
              </w:rPr>
              <w:t>+0.38%</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47,884</w:t>
            </w:r>
          </w:p>
        </w:tc>
        <w:tc>
          <w:tcPr>
            <w:tcW w:type="dxa" w:w="1134"/>
            <w:shd w:fill="FFEB9C" w:val="clear"/>
          </w:tcPr>
          <w:p>
            <w:r>
              <w:rPr>
                <w:b/>
                <w:color w:val="646400"/>
                <w:sz w:val="16"/>
              </w:rPr>
              <w:t>-0.24%</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3,250</w:t>
            </w:r>
          </w:p>
        </w:tc>
        <w:tc>
          <w:tcPr>
            <w:tcW w:type="dxa" w:w="1417"/>
            <w:shd w:fill="FFFFFF" w:val="clear"/>
          </w:tcPr>
          <w:p>
            <w:r>
              <w:rPr>
                <w:sz w:val="16"/>
              </w:rPr>
              <w:t>3,238</w:t>
            </w:r>
          </w:p>
        </w:tc>
        <w:tc>
          <w:tcPr>
            <w:tcW w:type="dxa" w:w="1134"/>
            <w:shd w:fill="FFEB9C" w:val="clear"/>
          </w:tcPr>
          <w:p>
            <w:r>
              <w:rPr>
                <w:b/>
                <w:color w:val="646400"/>
                <w:sz w:val="16"/>
              </w:rPr>
              <w:t>-0.36%</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4,295</w:t>
            </w:r>
          </w:p>
        </w:tc>
        <w:tc>
          <w:tcPr>
            <w:tcW w:type="dxa" w:w="1417"/>
            <w:shd w:fill="FFFFFF" w:val="clear"/>
          </w:tcPr>
          <w:p>
            <w:r>
              <w:rPr>
                <w:sz w:val="16"/>
              </w:rPr>
              <w:t>4,272</w:t>
            </w:r>
          </w:p>
        </w:tc>
        <w:tc>
          <w:tcPr>
            <w:tcW w:type="dxa" w:w="1134"/>
            <w:shd w:fill="FFEB9C" w:val="clear"/>
          </w:tcPr>
          <w:p>
            <w:r>
              <w:rPr>
                <w:b/>
                <w:color w:val="646400"/>
                <w:sz w:val="16"/>
              </w:rPr>
              <w:t>-0.54%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65</w:t>
            </w:r>
          </w:p>
        </w:tc>
        <w:tc>
          <w:tcPr>
            <w:tcW w:type="dxa" w:w="1134"/>
            <w:shd w:fill="FFC7CE" w:val="clear"/>
          </w:tcPr>
          <w:p>
            <w:r>
              <w:rPr>
                <w:b/>
                <w:color w:val="B40000"/>
                <w:sz w:val="16"/>
              </w:rPr>
              <w:t>-1.03%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31,500</w:t>
            </w:r>
          </w:p>
        </w:tc>
        <w:tc>
          <w:tcPr>
            <w:tcW w:type="dxa" w:w="1417"/>
            <w:shd w:fill="FFFFFF" w:val="clear"/>
          </w:tcPr>
          <w:p>
            <w:r>
              <w:rPr>
                <w:sz w:val="16"/>
              </w:rPr>
              <w:t>31,124</w:t>
            </w:r>
          </w:p>
        </w:tc>
        <w:tc>
          <w:tcPr>
            <w:tcW w:type="dxa" w:w="1134"/>
            <w:shd w:fill="FFC7CE" w:val="clear"/>
          </w:tcPr>
          <w:p>
            <w:r>
              <w:rPr>
                <w:b/>
                <w:color w:val="B40000"/>
                <w:sz w:val="16"/>
              </w:rPr>
              <w:t>-1.19%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2,990</w:t>
            </w:r>
          </w:p>
        </w:tc>
        <w:tc>
          <w:tcPr>
            <w:tcW w:type="dxa" w:w="1417"/>
            <w:shd w:fill="FFFFFF" w:val="clear"/>
          </w:tcPr>
          <w:p>
            <w:r>
              <w:rPr>
                <w:sz w:val="16"/>
              </w:rPr>
              <w:t>2,951</w:t>
            </w:r>
          </w:p>
        </w:tc>
        <w:tc>
          <w:tcPr>
            <w:tcW w:type="dxa" w:w="1134"/>
            <w:shd w:fill="FFC7CE" w:val="clear"/>
          </w:tcPr>
          <w:p>
            <w:r>
              <w:rPr>
                <w:b/>
                <w:color w:val="B40000"/>
                <w:sz w:val="16"/>
              </w:rPr>
              <w:t>-1.31%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15,500</w:t>
            </w:r>
          </w:p>
        </w:tc>
        <w:tc>
          <w:tcPr>
            <w:tcW w:type="dxa" w:w="1417"/>
            <w:shd w:fill="FFFFFF" w:val="clear"/>
          </w:tcPr>
          <w:p>
            <w:r>
              <w:rPr>
                <w:sz w:val="16"/>
              </w:rPr>
              <w:t>15,284</w:t>
            </w:r>
          </w:p>
        </w:tc>
        <w:tc>
          <w:tcPr>
            <w:tcW w:type="dxa" w:w="1134"/>
            <w:shd w:fill="FFC7CE" w:val="clear"/>
          </w:tcPr>
          <w:p>
            <w:r>
              <w:rPr>
                <w:b/>
                <w:color w:val="B40000"/>
                <w:sz w:val="16"/>
              </w:rPr>
              <w:t>-1.39%</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3,610</w:t>
            </w:r>
          </w:p>
        </w:tc>
        <w:tc>
          <w:tcPr>
            <w:tcW w:type="dxa" w:w="1417"/>
            <w:shd w:fill="FFFFFF" w:val="clear"/>
          </w:tcPr>
          <w:p>
            <w:r>
              <w:rPr>
                <w:sz w:val="16"/>
              </w:rPr>
              <w:t>3,557</w:t>
            </w:r>
          </w:p>
        </w:tc>
        <w:tc>
          <w:tcPr>
            <w:tcW w:type="dxa" w:w="1134"/>
            <w:shd w:fill="FFC7CE" w:val="clear"/>
          </w:tcPr>
          <w:p>
            <w:r>
              <w:rPr>
                <w:b/>
                <w:color w:val="B40000"/>
                <w:sz w:val="16"/>
              </w:rPr>
              <w:t>-1.46%</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44,980</w:t>
            </w:r>
          </w:p>
        </w:tc>
        <w:tc>
          <w:tcPr>
            <w:tcW w:type="dxa" w:w="1417"/>
            <w:shd w:fill="FFFFFF" w:val="clear"/>
          </w:tcPr>
          <w:p>
            <w:r>
              <w:rPr>
                <w:sz w:val="16"/>
              </w:rPr>
              <w:t>44,230</w:t>
            </w:r>
          </w:p>
        </w:tc>
        <w:tc>
          <w:tcPr>
            <w:tcW w:type="dxa" w:w="1134"/>
            <w:shd w:fill="FFC7CE" w:val="clear"/>
          </w:tcPr>
          <w:p>
            <w:r>
              <w:rPr>
                <w:b/>
                <w:color w:val="B40000"/>
                <w:sz w:val="16"/>
              </w:rPr>
              <w:t>-1.67%</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2,990</w:t>
            </w:r>
          </w:p>
        </w:tc>
        <w:tc>
          <w:tcPr>
            <w:tcW w:type="dxa" w:w="1417"/>
            <w:shd w:fill="FFFFFF" w:val="clear"/>
          </w:tcPr>
          <w:p>
            <w:r>
              <w:rPr>
                <w:sz w:val="16"/>
              </w:rPr>
              <w:t>2,929</w:t>
            </w:r>
          </w:p>
        </w:tc>
        <w:tc>
          <w:tcPr>
            <w:tcW w:type="dxa" w:w="1134"/>
            <w:shd w:fill="FFC7CE" w:val="clear"/>
          </w:tcPr>
          <w:p>
            <w:r>
              <w:rPr>
                <w:b/>
                <w:color w:val="B40000"/>
                <w:sz w:val="16"/>
              </w:rPr>
              <w:t>-2.05%</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7,900</w:t>
            </w:r>
          </w:p>
        </w:tc>
        <w:tc>
          <w:tcPr>
            <w:tcW w:type="dxa" w:w="1417"/>
            <w:shd w:fill="FFFFFF" w:val="clear"/>
          </w:tcPr>
          <w:p>
            <w:r>
              <w:rPr>
                <w:sz w:val="16"/>
              </w:rPr>
              <w:t>7,737</w:t>
            </w:r>
          </w:p>
        </w:tc>
        <w:tc>
          <w:tcPr>
            <w:tcW w:type="dxa" w:w="1134"/>
            <w:shd w:fill="FFC7CE" w:val="clear"/>
          </w:tcPr>
          <w:p>
            <w:r>
              <w:rPr>
                <w:b/>
                <w:color w:val="B40000"/>
                <w:sz w:val="16"/>
              </w:rPr>
              <w:t>-2.06%</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38,113</w:t>
            </w:r>
          </w:p>
        </w:tc>
        <w:tc>
          <w:tcPr>
            <w:tcW w:type="dxa" w:w="1134"/>
            <w:shd w:fill="FFC7CE" w:val="clear"/>
          </w:tcPr>
          <w:p>
            <w:r>
              <w:rPr>
                <w:b/>
                <w:color w:val="B40000"/>
                <w:sz w:val="16"/>
              </w:rPr>
              <w:t>-2.27%</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1,950</w:t>
            </w:r>
          </w:p>
        </w:tc>
        <w:tc>
          <w:tcPr>
            <w:tcW w:type="dxa" w:w="1417"/>
            <w:shd w:fill="FFFFFF" w:val="clear"/>
          </w:tcPr>
          <w:p>
            <w:r>
              <w:rPr>
                <w:sz w:val="16"/>
              </w:rPr>
              <w:t>1,905</w:t>
            </w:r>
          </w:p>
        </w:tc>
        <w:tc>
          <w:tcPr>
            <w:tcW w:type="dxa" w:w="1134"/>
            <w:shd w:fill="FFC7CE" w:val="clear"/>
          </w:tcPr>
          <w:p>
            <w:r>
              <w:rPr>
                <w:b/>
                <w:color w:val="B40000"/>
                <w:sz w:val="16"/>
              </w:rPr>
              <w:t>-2.33%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9,360</w:t>
            </w:r>
          </w:p>
        </w:tc>
        <w:tc>
          <w:tcPr>
            <w:tcW w:type="dxa" w:w="1417"/>
            <w:shd w:fill="FFFFFF" w:val="clear"/>
          </w:tcPr>
          <w:p>
            <w:r>
              <w:rPr>
                <w:sz w:val="16"/>
              </w:rPr>
              <w:t>9,138</w:t>
            </w:r>
          </w:p>
        </w:tc>
        <w:tc>
          <w:tcPr>
            <w:tcW w:type="dxa" w:w="1134"/>
            <w:shd w:fill="FFC7CE" w:val="clear"/>
          </w:tcPr>
          <w:p>
            <w:r>
              <w:rPr>
                <w:b/>
                <w:color w:val="B40000"/>
                <w:sz w:val="16"/>
              </w:rPr>
              <w:t>-2.37%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3,055</w:t>
            </w:r>
          </w:p>
        </w:tc>
        <w:tc>
          <w:tcPr>
            <w:tcW w:type="dxa" w:w="1417"/>
            <w:shd w:fill="FFFFFF" w:val="clear"/>
          </w:tcPr>
          <w:p>
            <w:r>
              <w:rPr>
                <w:sz w:val="16"/>
              </w:rPr>
              <w:t>2,970</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16,030</w:t>
            </w:r>
          </w:p>
        </w:tc>
        <w:tc>
          <w:tcPr>
            <w:tcW w:type="dxa" w:w="1134"/>
            <w:shd w:fill="FFC7CE" w:val="clear"/>
          </w:tcPr>
          <w:p>
            <w:r>
              <w:rPr>
                <w:b/>
                <w:color w:val="B40000"/>
                <w:sz w:val="16"/>
              </w:rPr>
              <w:t>-2.85%</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7,895</w:t>
            </w:r>
          </w:p>
        </w:tc>
        <w:tc>
          <w:tcPr>
            <w:tcW w:type="dxa" w:w="1417"/>
            <w:shd w:fill="FFFFFF" w:val="clear"/>
          </w:tcPr>
          <w:p>
            <w:r>
              <w:rPr>
                <w:sz w:val="16"/>
              </w:rPr>
              <w:t>7,665</w:t>
            </w:r>
          </w:p>
        </w:tc>
        <w:tc>
          <w:tcPr>
            <w:tcW w:type="dxa" w:w="1134"/>
            <w:shd w:fill="FFC7CE" w:val="clear"/>
          </w:tcPr>
          <w:p>
            <w:r>
              <w:rPr>
                <w:b/>
                <w:color w:val="B40000"/>
                <w:sz w:val="16"/>
              </w:rPr>
              <w:t>-2.91%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4,340</w:t>
            </w:r>
          </w:p>
        </w:tc>
        <w:tc>
          <w:tcPr>
            <w:tcW w:type="dxa" w:w="1417"/>
            <w:shd w:fill="FFFFFF" w:val="clear"/>
          </w:tcPr>
          <w:p>
            <w:r>
              <w:rPr>
                <w:sz w:val="16"/>
              </w:rPr>
              <w:t>4,196</w:t>
            </w:r>
          </w:p>
        </w:tc>
        <w:tc>
          <w:tcPr>
            <w:tcW w:type="dxa" w:w="1134"/>
            <w:shd w:fill="FFC7CE" w:val="clear"/>
          </w:tcPr>
          <w:p>
            <w:r>
              <w:rPr>
                <w:b/>
                <w:color w:val="B40000"/>
                <w:sz w:val="16"/>
              </w:rPr>
              <w:t>-3.33%</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22,000</w:t>
            </w:r>
          </w:p>
        </w:tc>
        <w:tc>
          <w:tcPr>
            <w:tcW w:type="dxa" w:w="1417"/>
            <w:shd w:fill="FFFFFF" w:val="clear"/>
          </w:tcPr>
          <w:p>
            <w:r>
              <w:rPr>
                <w:sz w:val="16"/>
              </w:rPr>
              <w:t>21,188</w:t>
            </w:r>
          </w:p>
        </w:tc>
        <w:tc>
          <w:tcPr>
            <w:tcW w:type="dxa" w:w="1134"/>
            <w:shd w:fill="FFC7CE" w:val="clear"/>
          </w:tcPr>
          <w:p>
            <w:r>
              <w:rPr>
                <w:b/>
                <w:color w:val="B40000"/>
                <w:sz w:val="16"/>
              </w:rPr>
              <w:t>-3.69%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8,750</w:t>
            </w:r>
          </w:p>
        </w:tc>
        <w:tc>
          <w:tcPr>
            <w:tcW w:type="dxa" w:w="1417"/>
            <w:shd w:fill="FFFFFF" w:val="clear"/>
          </w:tcPr>
          <w:p>
            <w:r>
              <w:rPr>
                <w:sz w:val="16"/>
              </w:rPr>
              <w:t>8,360</w:t>
            </w:r>
          </w:p>
        </w:tc>
        <w:tc>
          <w:tcPr>
            <w:tcW w:type="dxa" w:w="1134"/>
            <w:shd w:fill="FFC7CE" w:val="clear"/>
          </w:tcPr>
          <w:p>
            <w:r>
              <w:rPr>
                <w:b/>
                <w:color w:val="B40000"/>
                <w:sz w:val="16"/>
              </w:rPr>
              <w:t>-4.46%</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8,005</w:t>
            </w:r>
          </w:p>
        </w:tc>
        <w:tc>
          <w:tcPr>
            <w:tcW w:type="dxa" w:w="1417"/>
            <w:shd w:fill="FFFFFF" w:val="clear"/>
          </w:tcPr>
          <w:p>
            <w:r>
              <w:rPr>
                <w:sz w:val="16"/>
              </w:rPr>
              <w:t>7,590</w:t>
            </w:r>
          </w:p>
        </w:tc>
        <w:tc>
          <w:tcPr>
            <w:tcW w:type="dxa" w:w="1134"/>
            <w:shd w:fill="FFC7CE" w:val="clear"/>
          </w:tcPr>
          <w:p>
            <w:r>
              <w:rPr>
                <w:b/>
                <w:color w:val="B40000"/>
                <w:sz w:val="16"/>
              </w:rPr>
              <w:t>-5.18%</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2,200</w:t>
            </w:r>
          </w:p>
        </w:tc>
        <w:tc>
          <w:tcPr>
            <w:tcW w:type="dxa" w:w="1417"/>
            <w:shd w:fill="FFFFFF" w:val="clear"/>
          </w:tcPr>
          <w:p>
            <w:r>
              <w:rPr>
                <w:sz w:val="16"/>
              </w:rPr>
              <w:t>2,082</w:t>
            </w:r>
          </w:p>
        </w:tc>
        <w:tc>
          <w:tcPr>
            <w:tcW w:type="dxa" w:w="1134"/>
            <w:shd w:fill="FFC7CE" w:val="clear"/>
          </w:tcPr>
          <w:p>
            <w:r>
              <w:rPr>
                <w:b/>
                <w:color w:val="B40000"/>
                <w:sz w:val="16"/>
              </w:rPr>
              <w:t>-5.37%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6,140</w:t>
            </w:r>
          </w:p>
        </w:tc>
        <w:tc>
          <w:tcPr>
            <w:tcW w:type="dxa" w:w="1134"/>
            <w:shd w:fill="FFC7CE" w:val="clear"/>
          </w:tcPr>
          <w:p>
            <w:r>
              <w:rPr>
                <w:b/>
                <w:color w:val="B40000"/>
                <w:sz w:val="16"/>
              </w:rPr>
              <w:t>-5.54%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8,375</w:t>
            </w:r>
          </w:p>
        </w:tc>
        <w:tc>
          <w:tcPr>
            <w:tcW w:type="dxa" w:w="1417"/>
            <w:shd w:fill="FFFFFF" w:val="clear"/>
          </w:tcPr>
          <w:p>
            <w:r>
              <w:rPr>
                <w:sz w:val="16"/>
              </w:rPr>
              <w:t>7,842</w:t>
            </w:r>
          </w:p>
        </w:tc>
        <w:tc>
          <w:tcPr>
            <w:tcW w:type="dxa" w:w="1134"/>
            <w:shd w:fill="FFC7CE" w:val="clear"/>
          </w:tcPr>
          <w:p>
            <w:r>
              <w:rPr>
                <w:b/>
                <w:color w:val="B40000"/>
                <w:sz w:val="16"/>
              </w:rPr>
              <w:t>-6.36%</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1,970</w:t>
            </w:r>
          </w:p>
        </w:tc>
        <w:tc>
          <w:tcPr>
            <w:tcW w:type="dxa" w:w="1417"/>
            <w:shd w:fill="FFFFFF" w:val="clear"/>
          </w:tcPr>
          <w:p>
            <w:r>
              <w:rPr>
                <w:sz w:val="16"/>
              </w:rPr>
              <w:t>1,837</w:t>
            </w:r>
          </w:p>
        </w:tc>
        <w:tc>
          <w:tcPr>
            <w:tcW w:type="dxa" w:w="1134"/>
            <w:shd w:fill="FFC7CE" w:val="clear"/>
          </w:tcPr>
          <w:p>
            <w:r>
              <w:rPr>
                <w:b/>
                <w:color w:val="B40000"/>
                <w:sz w:val="16"/>
              </w:rPr>
              <w:t>-6.76%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3,295</w:t>
            </w:r>
          </w:p>
        </w:tc>
        <w:tc>
          <w:tcPr>
            <w:tcW w:type="dxa" w:w="1417"/>
            <w:shd w:fill="FFFFFF" w:val="clear"/>
          </w:tcPr>
          <w:p>
            <w:r>
              <w:rPr>
                <w:sz w:val="16"/>
              </w:rPr>
              <w:t>3,062</w:t>
            </w:r>
          </w:p>
        </w:tc>
        <w:tc>
          <w:tcPr>
            <w:tcW w:type="dxa" w:w="1134"/>
            <w:shd w:fill="FFC7CE" w:val="clear"/>
          </w:tcPr>
          <w:p>
            <w:r>
              <w:rPr>
                <w:b/>
                <w:color w:val="B40000"/>
                <w:sz w:val="16"/>
              </w:rPr>
              <w:t>-7.07%</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2,300</w:t>
            </w:r>
          </w:p>
        </w:tc>
        <w:tc>
          <w:tcPr>
            <w:tcW w:type="dxa" w:w="1417"/>
            <w:shd w:fill="FFFFFF" w:val="clear"/>
          </w:tcPr>
          <w:p>
            <w:r>
              <w:rPr>
                <w:sz w:val="16"/>
              </w:rPr>
              <w:t>2,137</w:t>
            </w:r>
          </w:p>
        </w:tc>
        <w:tc>
          <w:tcPr>
            <w:tcW w:type="dxa" w:w="1134"/>
            <w:shd w:fill="FFC7CE" w:val="clear"/>
          </w:tcPr>
          <w:p>
            <w:r>
              <w:rPr>
                <w:b/>
                <w:color w:val="B40000"/>
                <w:sz w:val="16"/>
              </w:rPr>
              <w:t>-7.11%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28,797</w:t>
            </w:r>
          </w:p>
        </w:tc>
        <w:tc>
          <w:tcPr>
            <w:tcW w:type="dxa" w:w="1134"/>
            <w:shd w:fill="FFC7CE" w:val="clear"/>
          </w:tcPr>
          <w:p>
            <w:r>
              <w:rPr>
                <w:b/>
                <w:color w:val="B40000"/>
                <w:sz w:val="16"/>
              </w:rPr>
              <w:t>-8.58%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6,095</w:t>
            </w:r>
          </w:p>
        </w:tc>
        <w:tc>
          <w:tcPr>
            <w:tcW w:type="dxa" w:w="1417"/>
            <w:shd w:fill="FFFFFF" w:val="clear"/>
          </w:tcPr>
          <w:p>
            <w:r>
              <w:rPr>
                <w:sz w:val="16"/>
              </w:rPr>
              <w:t>5,507</w:t>
            </w:r>
          </w:p>
        </w:tc>
        <w:tc>
          <w:tcPr>
            <w:tcW w:type="dxa" w:w="1134"/>
            <w:shd w:fill="FFC7CE" w:val="clear"/>
          </w:tcPr>
          <w:p>
            <w:r>
              <w:rPr>
                <w:b/>
                <w:color w:val="B40000"/>
                <w:sz w:val="16"/>
              </w:rPr>
              <w:t>-9.64%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21,000</w:t>
            </w:r>
          </w:p>
        </w:tc>
        <w:tc>
          <w:tcPr>
            <w:tcW w:type="dxa" w:w="1417"/>
            <w:shd w:fill="FFFFFF" w:val="clear"/>
          </w:tcPr>
          <w:p>
            <w:r>
              <w:rPr>
                <w:sz w:val="16"/>
              </w:rPr>
              <w:t>18,910</w:t>
            </w:r>
          </w:p>
        </w:tc>
        <w:tc>
          <w:tcPr>
            <w:tcW w:type="dxa" w:w="1134"/>
            <w:shd w:fill="FFC7CE" w:val="clear"/>
          </w:tcPr>
          <w:p>
            <w:r>
              <w:rPr>
                <w:b/>
                <w:color w:val="B40000"/>
                <w:sz w:val="16"/>
              </w:rPr>
              <w:t>-9.95%</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8,195</w:t>
            </w:r>
          </w:p>
        </w:tc>
        <w:tc>
          <w:tcPr>
            <w:tcW w:type="dxa" w:w="1417"/>
            <w:shd w:fill="FFFFFF" w:val="clear"/>
          </w:tcPr>
          <w:p>
            <w:r>
              <w:rPr>
                <w:sz w:val="16"/>
              </w:rPr>
              <w:t>7,128</w:t>
            </w:r>
          </w:p>
        </w:tc>
        <w:tc>
          <w:tcPr>
            <w:tcW w:type="dxa" w:w="1134"/>
            <w:shd w:fill="FFC7CE" w:val="clear"/>
          </w:tcPr>
          <w:p>
            <w:r>
              <w:rPr>
                <w:b/>
                <w:color w:val="B40000"/>
                <w:sz w:val="16"/>
              </w:rPr>
              <w:t>-13.01%</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3,304 titres</w:t>
            </w:r>
          </w:p>
        </w:tc>
        <w:tc>
          <w:tcPr>
            <w:tcW w:type="dxa" w:w="2268"/>
            <w:shd w:fill="FFF2CC" w:val="clear"/>
          </w:tcPr>
          <w:p>
            <w:r>
              <w:rPr>
                <w:b/>
                <w:color w:val="503200"/>
                <w:sz w:val="16"/>
              </w:rPr>
              <w:t xml:space="preserve">Cours actuel : </w:t>
            </w:r>
            <w:r>
              <w:rPr>
                <w:color w:val="000000"/>
                <w:sz w:val="17"/>
              </w:rPr>
              <w:t>3,295 FCFA</w:t>
            </w:r>
          </w:p>
          <w:p>
            <w:r>
              <w:rPr>
                <w:b/>
                <w:color w:val="503200"/>
                <w:sz w:val="16"/>
              </w:rPr>
              <w:t xml:space="preserve">Var. 100 jours : </w:t>
            </w:r>
            <w:r>
              <w:rPr>
                <w:b/>
                <w:color w:val="007800"/>
                <w:sz w:val="17"/>
              </w:rPr>
              <w:t>+15.61%</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11.02% (Moyenne) — μ=3,344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β=0.3215 (Défensif) — Cov=0.000024, Var(idx)=0.000073, ρ=0.097,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3,126</w:t>
            </w:r>
          </w:p>
        </w:tc>
        <w:tc>
          <w:tcPr>
            <w:tcW w:type="dxa" w:w="1440"/>
            <w:shd w:fill="FAFAFA" w:val="clear"/>
          </w:tcPr>
          <w:p>
            <w:r>
              <w:rPr>
                <w:b/>
                <w:sz w:val="17"/>
              </w:rPr>
              <w:t>3,262</w:t>
            </w:r>
          </w:p>
        </w:tc>
        <w:tc>
          <w:tcPr>
            <w:tcW w:type="dxa" w:w="1440"/>
            <w:shd w:fill="FAFAFA" w:val="clear"/>
          </w:tcPr>
          <w:p>
            <w:r>
              <w:rPr>
                <w:sz w:val="17"/>
              </w:rPr>
              <w:t>3,397</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3,053</w:t>
            </w:r>
          </w:p>
        </w:tc>
        <w:tc>
          <w:tcPr>
            <w:tcW w:type="dxa" w:w="1440"/>
            <w:shd w:fill="FAFAFA" w:val="clear"/>
          </w:tcPr>
          <w:p>
            <w:r>
              <w:rPr>
                <w:b/>
                <w:sz w:val="17"/>
              </w:rPr>
              <w:t>3,243</w:t>
            </w:r>
          </w:p>
        </w:tc>
        <w:tc>
          <w:tcPr>
            <w:tcW w:type="dxa" w:w="1440"/>
            <w:shd w:fill="FAFAFA" w:val="clear"/>
          </w:tcPr>
          <w:p>
            <w:r>
              <w:rPr>
                <w:sz w:val="17"/>
              </w:rPr>
              <w:t>3,433</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2,986</w:t>
            </w:r>
          </w:p>
        </w:tc>
        <w:tc>
          <w:tcPr>
            <w:tcW w:type="dxa" w:w="1440"/>
            <w:shd w:fill="FFDCE0" w:val="clear"/>
          </w:tcPr>
          <w:p>
            <w:r>
              <w:rPr>
                <w:b/>
                <w:sz w:val="17"/>
              </w:rPr>
              <w:t>3,217</w:t>
            </w:r>
          </w:p>
        </w:tc>
        <w:tc>
          <w:tcPr>
            <w:tcW w:type="dxa" w:w="1440"/>
            <w:shd w:fill="FFDCE0" w:val="clear"/>
          </w:tcPr>
          <w:p>
            <w:r>
              <w:rPr>
                <w:sz w:val="17"/>
              </w:rPr>
              <w:t>3,447</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2,927</w:t>
            </w:r>
          </w:p>
        </w:tc>
        <w:tc>
          <w:tcPr>
            <w:tcW w:type="dxa" w:w="1440"/>
            <w:shd w:fill="FFDCE0" w:val="clear"/>
          </w:tcPr>
          <w:p>
            <w:r>
              <w:rPr>
                <w:b/>
                <w:sz w:val="17"/>
              </w:rPr>
              <w:t>3,191</w:t>
            </w:r>
          </w:p>
        </w:tc>
        <w:tc>
          <w:tcPr>
            <w:tcW w:type="dxa" w:w="1440"/>
            <w:shd w:fill="FFDCE0" w:val="clear"/>
          </w:tcPr>
          <w:p>
            <w:r>
              <w:rPr>
                <w:sz w:val="17"/>
              </w:rPr>
              <w:t>3,455</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2,874</w:t>
            </w:r>
          </w:p>
        </w:tc>
        <w:tc>
          <w:tcPr>
            <w:tcW w:type="dxa" w:w="1440"/>
            <w:shd w:fill="FFDCE0" w:val="clear"/>
          </w:tcPr>
          <w:p>
            <w:r>
              <w:rPr>
                <w:b/>
                <w:sz w:val="17"/>
              </w:rPr>
              <w:t>3,167</w:t>
            </w:r>
          </w:p>
        </w:tc>
        <w:tc>
          <w:tcPr>
            <w:tcW w:type="dxa" w:w="1440"/>
            <w:shd w:fill="FFDCE0" w:val="clear"/>
          </w:tcPr>
          <w:p>
            <w:r>
              <w:rPr>
                <w:sz w:val="17"/>
              </w:rPr>
              <w:t>3,460</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2,825</w:t>
            </w:r>
          </w:p>
        </w:tc>
        <w:tc>
          <w:tcPr>
            <w:tcW w:type="dxa" w:w="1440"/>
            <w:shd w:fill="FFDCE0" w:val="clear"/>
          </w:tcPr>
          <w:p>
            <w:r>
              <w:rPr>
                <w:b/>
                <w:sz w:val="17"/>
              </w:rPr>
              <w:t>3,144</w:t>
            </w:r>
          </w:p>
        </w:tc>
        <w:tc>
          <w:tcPr>
            <w:tcW w:type="dxa" w:w="1440"/>
            <w:shd w:fill="FFDCE0" w:val="clear"/>
          </w:tcPr>
          <w:p>
            <w:r>
              <w:rPr>
                <w:sz w:val="17"/>
              </w:rPr>
              <w:t>3,463</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2,780</w:t>
            </w:r>
          </w:p>
        </w:tc>
        <w:tc>
          <w:tcPr>
            <w:tcW w:type="dxa" w:w="1440"/>
            <w:shd w:fill="FFDCE0" w:val="clear"/>
          </w:tcPr>
          <w:p>
            <w:r>
              <w:rPr>
                <w:b/>
                <w:sz w:val="17"/>
              </w:rPr>
              <w:t>3,122</w:t>
            </w:r>
          </w:p>
        </w:tc>
        <w:tc>
          <w:tcPr>
            <w:tcW w:type="dxa" w:w="1440"/>
            <w:shd w:fill="FFDCE0" w:val="clear"/>
          </w:tcPr>
          <w:p>
            <w:r>
              <w:rPr>
                <w:sz w:val="17"/>
              </w:rPr>
              <w:t>3,465</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2,738</w:t>
            </w:r>
          </w:p>
        </w:tc>
        <w:tc>
          <w:tcPr>
            <w:tcW w:type="dxa" w:w="1440"/>
            <w:shd w:fill="FFDCE0" w:val="clear"/>
          </w:tcPr>
          <w:p>
            <w:r>
              <w:rPr>
                <w:b/>
                <w:sz w:val="17"/>
              </w:rPr>
              <w:t>3,101</w:t>
            </w:r>
          </w:p>
        </w:tc>
        <w:tc>
          <w:tcPr>
            <w:tcW w:type="dxa" w:w="1440"/>
            <w:shd w:fill="FFDCE0" w:val="clear"/>
          </w:tcPr>
          <w:p>
            <w:r>
              <w:rPr>
                <w:sz w:val="17"/>
              </w:rPr>
              <w:t>3,465</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2,698</w:t>
            </w:r>
          </w:p>
        </w:tc>
        <w:tc>
          <w:tcPr>
            <w:tcW w:type="dxa" w:w="1440"/>
            <w:shd w:fill="FFDCE0" w:val="clear"/>
          </w:tcPr>
          <w:p>
            <w:r>
              <w:rPr>
                <w:b/>
                <w:sz w:val="17"/>
              </w:rPr>
              <w:t>3,081</w:t>
            </w:r>
          </w:p>
        </w:tc>
        <w:tc>
          <w:tcPr>
            <w:tcW w:type="dxa" w:w="1440"/>
            <w:shd w:fill="FFDCE0" w:val="clear"/>
          </w:tcPr>
          <w:p>
            <w:r>
              <w:rPr>
                <w:sz w:val="17"/>
              </w:rPr>
              <w:t>3,464</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2,661</w:t>
            </w:r>
          </w:p>
        </w:tc>
        <w:tc>
          <w:tcPr>
            <w:tcW w:type="dxa" w:w="1440"/>
            <w:shd w:fill="FFDCE0" w:val="clear"/>
          </w:tcPr>
          <w:p>
            <w:r>
              <w:rPr>
                <w:b/>
                <w:sz w:val="17"/>
              </w:rPr>
              <w:t>3,062</w:t>
            </w:r>
          </w:p>
        </w:tc>
        <w:tc>
          <w:tcPr>
            <w:tcW w:type="dxa" w:w="1440"/>
            <w:shd w:fill="FFDCE0" w:val="clear"/>
          </w:tcPr>
          <w:p>
            <w:r>
              <w:rPr>
                <w:sz w:val="17"/>
              </w:rPr>
              <w:t>3,463</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35,96 Mds FCFA, ABJC se positionne comme une valeur de taille moyenne sur la cote BRVM, ce qui traduit une liquidité limitée mais une certaine stabilité institutionnelle. Le BPA de 124 FCFA/action indique que chaque titre génère un bénéfice unitaire modeste, ce qui, rapporté au cours actuel de 3 295 FCFA, aboutit à un PER de 26,6x — nettement supérieur à la moyenne du marché BRVM (8-12x), signalant que les investisseurs paient une prime importante pour les bénéfices actuels, en anticipant une croissance future ou en reflétant une surévaluation. Le P/B de 6,97x, très au-dessus du seuil de 4x, confirme cette valorisation exigeante : le marché valorise l'entreprise près de sept fois sa valeur comptable, ce qui n'est justifiable que par une forte rentabilité des fonds propres (ROE de 26,18%). Enfin, l'EV/EBITDA de 13,5x, dans la fourchette haute (10-15x), suggère que la valeur d'entreprise intègre une prime de qualité opérationnelle, mais laisse peu de marge de sécurité en cas de dégradation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ABJC affiche une progression totale de +15,61%, avec une dernière séance en hausse de +1,07%, portant le cours à 3 295 FCFA. Le range de trading est large, oscillant entre un plus bas de 2 800 FCFA et un plus haut de 4 095 FCFA, soit une amplitude de près de 46%, ce qui témoigne d'une tendance générale haussière mais ponctuée de corrections significatives. La moyenne (3 344 FCFA) est légèrement supérieure à la médiane (3 268 FCFA), et le mode se situe à 3 150 FCFA : cet écart entre moyenne et médiane, couplé à un skewness positif de 0,579, indique une asymétrie à droite — autrement dit, davantage de journées de cotation se sont situées sous la moyenne, avec quelques pics haussiers tirant la moyenne vers le haut. L'écart-type de 370 FCFA (CV = 11,1%) traduit une dispersion modérée du cours autour de sa moyenne, tandis que le kurtosis de -0,838 (mésokurtique) suggère une distribution proche de la normale, sans risque excessif de pics extrêmes. La volatilité annualisée de 44,8% classe le titre dans la catégorie des valeurs à volatilité élevée (&gt;30%), ce qui implique un risque de prix important pour les investisseurs, mais aussi des opportunités de trading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(3 796 FCFA) et la MM50 (3 547 FCFA) se situent toutes deux au-dessus du cours actuel (3 295 FCFA), ce qui place le titre en position baissière par rapport à ses moyennes court et moyen terme. Cependant, la décision technique affichée est "Achat", probablement en anticipation d'un retournement ou d'un rebond technique après la correction récente. La MM20 étant supérieure à la MM50, la configuration reste haussière de fond, mais le cours doit reconquérir ces niveaux pour confirmer la reprise.</w:t>
      </w:r>
    </w:p>
    <w:p>
      <w:pPr>
        <w:spacing w:after="120" w:line="276" w:lineRule="auto"/>
      </w:pPr>
      <w:r>
        <w:t>**Bandes de Bollinger** : Le cours actuel (3 295 FCFA) évolue juste au-dessus de la borne inférieure (3 224,75 FCFA) et très en dessous de la borne supérieure (4 367,25 FCFA), ce qui indique une pression baissière récente et une volatilité élevée. La décision "Neutre" reflète l'absence de signal clair : le titre n'est ni en surachat ni en survente selon ce seul indicateur, mais la proximité de la borne basse suggère un potentiel de rebond technique.</w:t>
      </w:r>
    </w:p>
    <w:p>
      <w:pPr>
        <w:spacing w:after="120" w:line="276" w:lineRule="auto"/>
      </w:pPr>
      <w:r>
        <w:t>**MACD** : La valeur du MACD (-88,771) est nettement inférieure à son signal (9,668), générant une divergence baissière prononcée et un momentum négatif. La décision "Vente" confirme que la dynamique de court terme reste défavorable, et tant que le MACD ne croise pas à la hausse son signal, la pression vendeuse devrait persister.</w:t>
      </w:r>
    </w:p>
    <w:p>
      <w:pPr>
        <w:spacing w:after="120" w:line="276" w:lineRule="auto"/>
      </w:pPr>
      <w:r>
        <w:t>**RSI** : Avec une valeur de 17,467, le RSI se situe largement en dessous du seuil de survente (30), ce qui indique une condition de survente extrême. La décision "Achat" est cohérente avec ce signal : historiquement, un RSI aussi bas précède souvent un rebond technique, mais il peut aussi signaler une tendance baissière persistante si le contexte fondamental est défavorable.</w:t>
      </w:r>
    </w:p>
    <w:p>
      <w:pPr>
        <w:spacing w:after="120" w:line="276" w:lineRule="auto"/>
      </w:pPr>
      <w:r>
        <w:t>**Stochastique** : Le %K (4,43) et le %D (1,477) sont tous deux en zone de survente profonde, avec un croisement potentiel à la hausse (le %K commençant à se redresser). La décision "Achat" suggère qu'un retournement de court terme est envisageable, mais la faiblesse des valeurs indique que la pression baissière reste intense.</w:t>
      </w:r>
    </w:p>
    <w:p>
      <w:pPr>
        <w:spacing w:after="120" w:line="276" w:lineRule="auto"/>
      </w:pPr>
      <w:r>
        <w:t>**Conclusion technique** : Les indicateurs sont divergents : le MACD est clairement baissier, tandis que le RSI et le Stochastique signalent une survente extrême propice à un rebond. Les moyennes mobiles et les bandes de Bollinger confirment une tendance baissière de court terme, mais la proximité de la borne inférieure et les niveaux de survente pourraient déclencher un rebond technique. La convergence des signaux d'achat (RSI, Stochastique) contraste avec la pression vendeuse du MACD, ce qui suggère une phase de consolidation ou un rebond fragile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structurés d'ABJC (Servair Abidjan) révèlent un chiffre d'affaires de 13,298 Mds FCFA, en croissance de 6,67% par rapport à 2024, porté par la dynamique du trafic aéroportuaire et la diversification vers les activités non aériennes. Le résultat net s'établit à 1,351 Mds FCFA, en baisse de 12,1% selon le rapport annuel 2025 (publié en 2026), principalement en raison d'une charge d'impôt en forte hausse (+46,7% à 848 M FCFA). La rentabilité reste solide avec un ROE de 26,18% (excellent, &gt;15%) et un ROA de 14,64%, tandis que la marge nette se maintient à 10,16% et la marge opérationnelle à 16,38%. La structure financière est saine : autonomie financière de 55,92%, endettement financier quasi nul (dette financière totale de 65,89 M FCFA), et trésorerie nette de 4,035 Mds FCFA. Le BFR est négatif (257,45 M FCFA), ce qui est favorable, mais le délai client de 70,10 jours reste élevé et constitue un point de vigilance pour la trésorerie. Les délais fournisseurs (92,11 jours) et la durée de stockage (29,40 jours) sont bien maîtrisés. Le rapport T1 2026 (publié en 2026) indique une croissance modérée du CA (+1,9% à 3,237 Mds FCFA) mais une dégradation marquée de la rentabilité : le résultat net chute de 35,6% à 222,6 M FCFA, et le résultat des activités ordinaires recule de 27,4% à 327,6 M FCFA, en raison d'ajustements de redevances aéroportuaires et de tensions géopolitiques au Moyen-Orient affectant les compagnies clientes. Sur la base de ce T1 2026, on estime que l'exercice 2026 devrait enregistrer une poursuite de la croissance du CA (autour de +2-3%), mais une pression accrue sur les marges, avec un résultat net potentiellement en baisse de 20-30% si les conditions défavorables persistent. Le rapport T3 2025 (publié en 2025) montrait déjà un redressement avec un CA trimestriel de 10 218 M FCFA (+10,3%) et un résultat net de 1 325 M FCFA (+17,1%), mais cette dynamique semble s'être essoufflée au T1 2026. La société fait face à des risques réglementaires (litige avec la BCEAO sur les transferts de devises, résolu ou circonscrit selon le T3 2025) et à une dépendance au trafic aérien. La recommandation fondamentale est de **conserver** le titre : la solidité financière et la rentabilité à long terme sont avérées, mais les perspectives à court terme sont assombries par la dégradation des marges et les incertitudes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 le PER de 26,6x et le P/B de 6,97x intègrent une prime de croissance qui contraste avec la dégradation récente des bénéfices, ce qui suggère une possible surévaluation à court terme. Le comportement du cours (Partie 1) montre une tendance haussière sur 100 jours (+15,61%) mais avec une volatilité élevée (44,8%) et une asymétrie positive (skewness 0,579), indiquant que les gains récents pourraient être fragiles. Les signaux techniques (Partie 2) sont divergents : le MACD est baissier, mais le RSI (17,47) et le Stochastique (4,43) sont en survente extrême, ce qui pourrait déclencher un rebond technique à court terme, sans pour autant inverser la tendance de fond. Les fondamentaux (Partie 3) restent solides (ROE 26,18%, trésorerie nette 4,035 Mds FCFA, endettement quasi nul), mais la dégradation du résultat net au T1 2026 (-35,6%) et les pressions sur les marges constituent des signaux d'alerte. Les prédictions IA (J+1 à J+10) anticipent une baisse continue du cours, de 3 262 FCFA à 3 167 FCFA, ce qui contredit les signaux d'achat techniques à court terme et confirme la pression baissière. Sur la base de cette synthèse, la recommandation finale est **CONSERVER** : la convergence entre la valorisation élevée, la dégradation fondamentale récente et les prédictions baissières l'emporte sur les signaux techniques de survente. Le niveau de confiance est **Moyen** (les indicateurs techniques et fondamentaux sont contradictoires), et le risque global est **Élevé** (volatilité importante, dépendance sectorielle, incertitudes réglementaires). L'horizon d'investissement optimal est **moyen terme (3-12 mois)**, en attendant la confirmation d'un redressement des marges et la clarification des perspectives opérationnelles.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497.50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38,668 titres</w:t>
            </w:r>
          </w:p>
        </w:tc>
        <w:tc>
          <w:tcPr>
            <w:tcW w:type="dxa" w:w="2268"/>
            <w:shd w:fill="FFF2CC" w:val="clear"/>
          </w:tcPr>
          <w:p>
            <w:r>
              <w:rPr>
                <w:b/>
                <w:color w:val="503200"/>
                <w:sz w:val="16"/>
              </w:rPr>
              <w:t xml:space="preserve">Cours actuel : </w:t>
            </w:r>
            <w:r>
              <w:rPr>
                <w:color w:val="000000"/>
                <w:sz w:val="17"/>
              </w:rPr>
              <w:t>9,950 FCFA</w:t>
            </w:r>
          </w:p>
          <w:p>
            <w:r>
              <w:rPr>
                <w:b/>
                <w:color w:val="503200"/>
                <w:sz w:val="16"/>
              </w:rPr>
              <w:t xml:space="preserve">Var. 100 jours : </w:t>
            </w:r>
            <w:r>
              <w:rPr>
                <w:b/>
                <w:color w:val="007800"/>
                <w:sz w:val="17"/>
              </w:rPr>
              <w:t>+37.15%</w:t>
            </w:r>
          </w:p>
          <w:p>
            <w:r>
              <w:rPr>
                <w:b/>
                <w:color w:val="503200"/>
                <w:sz w:val="16"/>
              </w:rPr>
              <w:t xml:space="preserve">Plus haut 100j : </w:t>
            </w:r>
            <w:r>
              <w:rPr>
                <w:color w:val="000000"/>
                <w:sz w:val="17"/>
              </w:rPr>
              <w:t>9,950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57.6%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9.19% (Moyenne) — μ=8,780 FCFA, σ=807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β≈0.92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β≈0.92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38,668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σ_j=3.63%/j (Modérée) — Vol. annualisée≈57.6%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**RAPPORT D'ANALYSE FINANCIÈRE — ACTION BBGC (BRIDGE BANK GROUP COTE D'IVOIRE)**</w:t>
        <w:br/>
        <w:t>*Marché : BRVM (Bourse Régionale des Valeurs Mobilières) — Secteur : Banque*</w:t>
        <w:br/>
        <w:t>*Date d'analyse : sur la base des données de marché à 100 jours et des états financiers 2025*</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497,50 milliards FCFA, BBGC s'impose comme l'une des plus importantes capitalisations du compartiment bancaire de la BRVM, ce qui lui confère une visibilité et une liquidité notables au sein de la cote régionale. Le BPA de 544 FCFA/action signifie que chaque titre génère près de 544 FCFA de bénéfice net, un niveau de rentabilité par action solide pour une banque en phase d'expansion. Le PER de 18,3x se situe nettement au-dessus de la moyenne du marché BRVM (généralement comprise entre 8 et 12x), traduisant une prime de croissance que les investisseurs acceptent de payer au regard de la dynamique exceptionnelle de la banque. Le P/B de 4,73x, supérieur au seuil de 4x, confirme cette valorisation exigeante : le marché valorise l'établissement à près de cinq fois ses fonds propres comptables, ce qui n'est justifiable que par une rentabilité future élevée. Enfin, l'EV/EBITDA de 16,5x, supérieur à 15x, renforce ce diagnostic d'une valeur déjà bien anticipée par le marché,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BBGC affiche une performance remarquable de +37,15%, avec une dernière séance en hausse de +3,11%, confirmant un momentum haussier toujours intact. Le cours actuel de 9 950 FCFA correspond exactement au plus haut de la période, tandis que le plus bas s'établit à 7 255 FCFA, soit un range de trading de près de 2 700 FCFA (environ 37% d'amplitude), illustrant une tendance franchement haussière et un titre qui évolue à ses sommets. La moyenne de 8 780 FCFA et la médiane de 9 000 FCFA sont proches, mais légèrement inférieures au cours actuel, ce qui confirme que le titre a passé la majeure partie de la période sous ses niveaux actuels avant une accélération récente. L'écart-type de 856 FCFA avec un coefficient de variation de 9,7% indique une dispersion modérée du cours autour de sa moyenne, tandis que le kurtosis de -0,675 (mésokurtique) suggère une distribution proche de la normale, sans risque excessif de pics extrêmes. Le skewness de -0,469, qualifié de symétrique, indique une légère asymétrie négative, c'est-à-dire une proportion plus importante de séances légèrement haussières que de mouvements extrêmes baissiers. Enfin, la volatilité annualisée de 57,6% classe ce titre dans la catégorie des valeurs à volatilité élevée (&gt;30%), ce qui est cohérent avec une introduction en bourse récente et une forte appétence du marché pour ce dossier.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valeurs des MM20 et MM50 ne sont pas disponibles (nan), ce qui s'explique probablement par un historique de cotation encore trop court pour calculer ces moyennes de manière fiable. Aucune décision technique ne peut donc être dérivée de cet indicateur, et il convient de se référer aux autres signaux pour évaluer la tendance.</w:t>
      </w:r>
    </w:p>
    <w:p>
      <w:pPr>
        <w:spacing w:after="120" w:line="276" w:lineRule="auto"/>
      </w:pPr>
      <w:r>
        <w:t>**Bandes de Bollinger** : Les bornes supérieure et inférieure ne sont pas calculées (nan), pour la même raison d'historique insuffisant. Le cours actuel de 9 950 FCFA étant au plus haut de la période, on peut toutefois supposer qu'il évoluerait près de la borne supérieure si celle-ci était disponible, ce qui suggérerait une situation de force mais aussi un risque de surachat.</w:t>
      </w:r>
    </w:p>
    <w:p>
      <w:pPr>
        <w:spacing w:after="120" w:line="276" w:lineRule="auto"/>
      </w:pPr>
      <w:r>
        <w:t>**MACD** : Les valeurs du MACD et de son signal ne sont pas disponibles (nan), empêchant toute analyse de divergence ou de momentum. En l'absence de cet indicateur, la dynamique haussière observée sur les 100 jours (+37,15%) reste le principal signal de momentum positif.</w:t>
      </w:r>
    </w:p>
    <w:p>
      <w:pPr>
        <w:spacing w:after="120" w:line="276" w:lineRule="auto"/>
      </w:pPr>
      <w:r>
        <w:t>**RSI** : La valeur du RSI n'est pas disponible (nan), ce qui ne permet pas de statuer sur une éventuelle zone de surachat (&gt;70) ou de survente (&lt;30). Compte tenu de la hausse récente de +3,11% et du cours au plus haut, une prudence s'impose quant à un possible essoufflement à court terme.</w:t>
      </w:r>
    </w:p>
    <w:p>
      <w:pPr>
        <w:spacing w:after="120" w:line="276" w:lineRule="auto"/>
      </w:pPr>
      <w:r>
        <w:t>**Stochastique** : Les valeurs %K et %D ne sont pas disponibles (nan), rendant impossible l'analyse des croisements et de la position relative du cours. Cet indicateur ne peut donc pas être utilisé pour affiner le timing d'entrée ou de sortie.</w:t>
      </w:r>
    </w:p>
    <w:p>
      <w:pPr>
        <w:spacing w:after="120" w:line="276" w:lineRule="auto"/>
      </w:pPr>
      <w:r>
        <w:t>**Conclusion technique** : L'ensemble des indicateurs techniques classiques (MM, Bollinger, MACD, RSI, Stochastique) est indisponible en raison d'un historique de cotation trop court, ce qui limite fortement l'analyse technique. Le seul signal exploitable est la tendance haussière très marquée (+37,15% sur 100 jours) avec un cours au plus haut, mais l'absence de confirmation par les oscillateurs invite à la prudence quant à un éventuel retournement à court terme. La décision technique reste donc neutre par défaut, en attendant la constitution d'un historique suffisant.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BBGC affiche un Produit Net Bancaire (PNB, équivalent du chiffre d'affaires pour une banque) de 67,824 milliards FCFA, un résultat net de 27,197 milliards FCFA, un ROE exceptionnel de 25,87% (largement supérieur au seuil de 15% considéré comme excellent) et un ROA de 1,91%. Le coefficient d'exploitation s'établit à 41,85%, nettement en dessous du seuil de 60% et même du seuil d'excellence de 50%, ce qui témoigne d'une grande efficacité opérationnelle. Le coût du risque est très faible à 0,8853%, signe d'un portefeuille de crédits sain, tandis que les dépôts clientèle (1 138,119 milliards FCFA) couvrent largement les créances sur la clientèle (768,574 milliards FCFA), avec un ratio dépôts/crédits de 148%, traduisant une excellente capacité de collecte et une liquidité abondante. La marge nette de 40,10% et la marge opérationnelle de 48,12% confirment la forte rentabilité de l'établissement. Toutefois, le ratio d'autonomie financière de 7,37% est faible (inférieur au seuil de 30% considéré comme sain), et le ratio d'endettement de 1 257,65% est élevé, ce qui est caractéristique du modèle bancaire mais mérite une surveillance.</w:t>
      </w:r>
    </w:p>
    <w:p>
      <w:pPr>
        <w:spacing w:after="120" w:line="276" w:lineRule="auto"/>
      </w:pPr>
      <w:r>
        <w:t>**Estimations basées sur les rapports trimestriels** : Le rapport du premier semestre 2026 (publié le 31 décembre 2026, analysé par DEEPSEEK le 28 septembre 2026) fait état d'un PNB de 37,7 milliards FCFA au S1 2026, en progression de +25% par rapport au S1 2025 (30,2 milliards FCFA), et d'un résultat net de 15,2 milliards FCFA, en hausse de +46% (contre 10,4 milliards FCFA au S1 2025). Le coefficient d'exploitation s'améliore encore à 40,3% (contre 43,3% un an plus tôt), et les dépôts clientèle bondissent de +46% à 1 318,3 milliards FCFA, tandis que les crédits progressent de +28% à 823,9 milliards FCFA. Sur la base de ces tendances, on peut estimer que l'exercice 2026 devrait enregistrer un PNB annuel proche de 75-78 milliards FCFA et un résultat net de l'ordre de 30-32 milliards FCFA, confirmant la trajectoire de croissance exceptionnelle. Le rapport GEMINI-VISION (même date) confirme ces chiffres avec un résultat net S1 2026 de 15 199 millions FCFA et une croissance de +46,4%.</w:t>
      </w:r>
    </w:p>
    <w:p>
      <w:pPr>
        <w:spacing w:after="120" w:line="276" w:lineRule="auto"/>
      </w:pPr>
      <w:r>
        <w:t>**Recommandation fondamentale** : La solidité financière de BBGC est incontestable, portée par une croissance à deux chiffres de son activité, une rentabilité parmi les meilleures du secteur bancaire de la BRVM (ROE &gt;25%) et une efficacité opérationnelle remarquable. Les principaux risques identifiés sont la hausse du coût du risque (+14% au S1 2026) dans un contexte de forte croissance des crédits, les risques d'exécution liés à l'expansion régionale (Burkina Faso) et l'absence d'information sur la politique de dividende. L'introduction en bourse réussie (OPV sursouscrite à 6 750 FCFA/action) et l'expansion régionale constituent des catalyseurs de valeur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BBGC (Partie 0) apparaît exigeante avec un PER de 18,3x, un P/B de 4,73x et un EV/EBITDA de 16,5x, tous supérieurs aux moyennes du marché BRVM, ce qui intègre déjà une large part de la croissance future et laisse peu de marge d'erreur. Le comportement du cours (Partie 1) est nettement haussier (+37,15% sur 100 jours, cours au plus haut), avec une volatilité élevée (57,6%) et des statistiques descriptives (kurtosis -0,675, skewness -0,469) qui indiquent une distribution proche de la normale sans risque excessif de pics extrêmes, mais l'absence d'historique long limite la robustesse de ces mesures. Les signaux techniques (Partie 2) sont indisponibles en raison d'un historique de cotation trop court, ce qui empêche toute confirmation ou infirmation de la tendance par les oscillateurs et invite à la prudence sur le timing. Les fondamentaux (Partie 3) sont excellents : PNB 2025 de 67,824 milliards FCFA, résultat net de 27,197 milliards FCFA, ROE de 25,87%, coefficient d'exploitation de 41,85% et coût du risque très faible (0,8853%), avec des estimations S1 2026 (rapport du 31 décembre 2026) qui projettent un PNB annuel de 75-78 milliards FCFA et un résultat net de 30-32 milliards FCFA. Les prédictions IA (J+1 à J+10) ne sont pas disponibles, ce qui ne permet pas de confirmer ou contredire les autres signaux à court terme. Sur la base de cette synthèse, la convergence entre des fondamentaux exceptionnels et une valorisation déjà exigeante, dans un contexte d'absence de signaux techniques et de prédictions, conduit à une recommandation finale d'**ACHAT** (et non ACHAT FORT, en raison de la valorisation tendue et de l'absence de confirmation technique), avec un niveau de confiance **Moyen** et un niveau de risque global **Élevé** (volatilité de 57,6%, historique court, valorisation exigeante). L'horizon d'investissement optimal est le **moyen terme (3-12 mois)**, le temps que la société confirme ses performances au S2 2026 et que l'historique de cotation s'allonge pour permettre une analyse technique fiable.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13,858 titres</w:t>
            </w:r>
          </w:p>
        </w:tc>
        <w:tc>
          <w:tcPr>
            <w:tcW w:type="dxa" w:w="2268"/>
            <w:shd w:fill="FFF2CC" w:val="clear"/>
          </w:tcPr>
          <w:p>
            <w:r>
              <w:rPr>
                <w:b/>
                <w:color w:val="503200"/>
                <w:sz w:val="16"/>
              </w:rPr>
              <w:t xml:space="preserve">Cours actuel : </w:t>
            </w:r>
            <w:r>
              <w:rPr>
                <w:color w:val="000000"/>
                <w:sz w:val="17"/>
              </w:rPr>
              <w:t>8,650 FCFA</w:t>
            </w:r>
          </w:p>
          <w:p>
            <w:r>
              <w:rPr>
                <w:b/>
                <w:color w:val="503200"/>
                <w:sz w:val="16"/>
              </w:rPr>
              <w:t xml:space="preserve">Var. 100 jours : </w:t>
            </w:r>
            <w:r>
              <w:rPr>
                <w:b/>
                <w:color w:val="007800"/>
                <w:sz w:val="17"/>
              </w:rPr>
              <w:t>+65.71%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23.21% (Élevée) — μ=7,349 FCFA, σ=1,706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β=0.8369 (Neutre (suit le marché)) — Cov=0.000061, Var(idx)=0.000073, ρ=0.265,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2026-10-08</w:t>
            </w:r>
          </w:p>
        </w:tc>
        <w:tc>
          <w:tcPr>
            <w:tcW w:type="dxa" w:w="1440"/>
            <w:shd w:fill="C6EFCE" w:val="clear"/>
          </w:tcPr>
          <w:p>
            <w:r>
              <w:rPr>
                <w:sz w:val="17"/>
              </w:rPr>
              <w:t>8,436</w:t>
            </w:r>
          </w:p>
        </w:tc>
        <w:tc>
          <w:tcPr>
            <w:tcW w:type="dxa" w:w="1440"/>
            <w:shd w:fill="C6EFCE" w:val="clear"/>
          </w:tcPr>
          <w:p>
            <w:r>
              <w:rPr>
                <w:b/>
                <w:sz w:val="17"/>
              </w:rPr>
              <w:t>8,970</w:t>
            </w:r>
          </w:p>
        </w:tc>
        <w:tc>
          <w:tcPr>
            <w:tcW w:type="dxa" w:w="1440"/>
            <w:shd w:fill="C6EFCE" w:val="clear"/>
          </w:tcPr>
          <w:p>
            <w:r>
              <w:rPr>
                <w:sz w:val="17"/>
              </w:rPr>
              <w:t>9,504</w:t>
            </w:r>
          </w:p>
        </w:tc>
        <w:tc>
          <w:tcPr>
            <w:tcW w:type="dxa" w:w="1440"/>
            <w:shd w:fill="C6EFCE" w:val="clear"/>
          </w:tcPr>
          <w:p>
            <w:r>
              <w:rPr>
                <w:b/>
                <w:color w:val="008000"/>
                <w:sz w:val="17"/>
              </w:rPr>
              <w:t>+3.7%</w:t>
            </w:r>
          </w:p>
        </w:tc>
      </w:tr>
      <w:tr>
        <w:tc>
          <w:tcPr>
            <w:tcW w:type="dxa" w:w="1440"/>
            <w:shd w:fill="C6EFCE" w:val="clear"/>
          </w:tcPr>
          <w:p>
            <w:r>
              <w:rPr>
                <w:sz w:val="17"/>
              </w:rPr>
              <w:t>J+2  ⭐</w:t>
            </w:r>
          </w:p>
        </w:tc>
        <w:tc>
          <w:tcPr>
            <w:tcW w:type="dxa" w:w="1440"/>
            <w:shd w:fill="C6EFCE" w:val="clear"/>
          </w:tcPr>
          <w:p>
            <w:r>
              <w:rPr>
                <w:sz w:val="17"/>
              </w:rPr>
              <w:t>2026-10-09</w:t>
            </w:r>
          </w:p>
        </w:tc>
        <w:tc>
          <w:tcPr>
            <w:tcW w:type="dxa" w:w="1440"/>
            <w:shd w:fill="C6EFCE" w:val="clear"/>
          </w:tcPr>
          <w:p>
            <w:r>
              <w:rPr>
                <w:sz w:val="17"/>
              </w:rPr>
              <w:t>8,259</w:t>
            </w:r>
          </w:p>
        </w:tc>
        <w:tc>
          <w:tcPr>
            <w:tcW w:type="dxa" w:w="1440"/>
            <w:shd w:fill="C6EFCE" w:val="clear"/>
          </w:tcPr>
          <w:p>
            <w:r>
              <w:rPr>
                <w:b/>
                <w:sz w:val="17"/>
              </w:rPr>
              <w:t>9,018</w:t>
            </w:r>
          </w:p>
        </w:tc>
        <w:tc>
          <w:tcPr>
            <w:tcW w:type="dxa" w:w="1440"/>
            <w:shd w:fill="C6EFCE" w:val="clear"/>
          </w:tcPr>
          <w:p>
            <w:r>
              <w:rPr>
                <w:sz w:val="17"/>
              </w:rPr>
              <w:t>9,777</w:t>
            </w:r>
          </w:p>
        </w:tc>
        <w:tc>
          <w:tcPr>
            <w:tcW w:type="dxa" w:w="1440"/>
            <w:shd w:fill="C6EFCE" w:val="clear"/>
          </w:tcPr>
          <w:p>
            <w:r>
              <w:rPr>
                <w:b/>
                <w:color w:val="008000"/>
                <w:sz w:val="17"/>
              </w:rPr>
              <w:t>+4.3%</w:t>
            </w:r>
          </w:p>
        </w:tc>
      </w:tr>
      <w:tr>
        <w:tc>
          <w:tcPr>
            <w:tcW w:type="dxa" w:w="1440"/>
            <w:shd w:fill="C6EFCE" w:val="clear"/>
          </w:tcPr>
          <w:p>
            <w:r>
              <w:rPr>
                <w:sz w:val="17"/>
              </w:rPr>
              <w:t>J+3  ⭐</w:t>
            </w:r>
          </w:p>
        </w:tc>
        <w:tc>
          <w:tcPr>
            <w:tcW w:type="dxa" w:w="1440"/>
            <w:shd w:fill="C6EFCE" w:val="clear"/>
          </w:tcPr>
          <w:p>
            <w:r>
              <w:rPr>
                <w:sz w:val="17"/>
              </w:rPr>
              <w:t>2026-10-12</w:t>
            </w:r>
          </w:p>
        </w:tc>
        <w:tc>
          <w:tcPr>
            <w:tcW w:type="dxa" w:w="1440"/>
            <w:shd w:fill="C6EFCE" w:val="clear"/>
          </w:tcPr>
          <w:p>
            <w:r>
              <w:rPr>
                <w:sz w:val="17"/>
              </w:rPr>
              <w:t>8,140</w:t>
            </w:r>
          </w:p>
        </w:tc>
        <w:tc>
          <w:tcPr>
            <w:tcW w:type="dxa" w:w="1440"/>
            <w:shd w:fill="C6EFCE" w:val="clear"/>
          </w:tcPr>
          <w:p>
            <w:r>
              <w:rPr>
                <w:b/>
                <w:sz w:val="17"/>
              </w:rPr>
              <w:t>9,076</w:t>
            </w:r>
          </w:p>
        </w:tc>
        <w:tc>
          <w:tcPr>
            <w:tcW w:type="dxa" w:w="1440"/>
            <w:shd w:fill="C6EFCE" w:val="clear"/>
          </w:tcPr>
          <w:p>
            <w:r>
              <w:rPr>
                <w:sz w:val="17"/>
              </w:rPr>
              <w:t>10,012</w:t>
            </w:r>
          </w:p>
        </w:tc>
        <w:tc>
          <w:tcPr>
            <w:tcW w:type="dxa" w:w="1440"/>
            <w:shd w:fill="C6EFCE" w:val="clear"/>
          </w:tcPr>
          <w:p>
            <w:r>
              <w:rPr>
                <w:b/>
                <w:color w:val="008000"/>
                <w:sz w:val="17"/>
              </w:rPr>
              <w:t>+4.9%</w:t>
            </w:r>
          </w:p>
        </w:tc>
      </w:tr>
      <w:tr>
        <w:tc>
          <w:tcPr>
            <w:tcW w:type="dxa" w:w="1440"/>
            <w:shd w:fill="C6EFCE" w:val="clear"/>
          </w:tcPr>
          <w:p>
            <w:r>
              <w:rPr>
                <w:sz w:val="17"/>
              </w:rPr>
              <w:t>J+4  ⭐</w:t>
            </w:r>
          </w:p>
        </w:tc>
        <w:tc>
          <w:tcPr>
            <w:tcW w:type="dxa" w:w="1440"/>
            <w:shd w:fill="C6EFCE" w:val="clear"/>
          </w:tcPr>
          <w:p>
            <w:r>
              <w:rPr>
                <w:sz w:val="17"/>
              </w:rPr>
              <w:t>2026-10-13</w:t>
            </w:r>
          </w:p>
        </w:tc>
        <w:tc>
          <w:tcPr>
            <w:tcW w:type="dxa" w:w="1440"/>
            <w:shd w:fill="C6EFCE" w:val="clear"/>
          </w:tcPr>
          <w:p>
            <w:r>
              <w:rPr>
                <w:sz w:val="17"/>
              </w:rPr>
              <w:t>8,045</w:t>
            </w:r>
          </w:p>
        </w:tc>
        <w:tc>
          <w:tcPr>
            <w:tcW w:type="dxa" w:w="1440"/>
            <w:shd w:fill="C6EFCE" w:val="clear"/>
          </w:tcPr>
          <w:p>
            <w:r>
              <w:rPr>
                <w:b/>
                <w:sz w:val="17"/>
              </w:rPr>
              <w:t>9,132</w:t>
            </w:r>
          </w:p>
        </w:tc>
        <w:tc>
          <w:tcPr>
            <w:tcW w:type="dxa" w:w="1440"/>
            <w:shd w:fill="C6EFCE" w:val="clear"/>
          </w:tcPr>
          <w:p>
            <w:r>
              <w:rPr>
                <w:sz w:val="17"/>
              </w:rPr>
              <w:t>10,219</w:t>
            </w:r>
          </w:p>
        </w:tc>
        <w:tc>
          <w:tcPr>
            <w:tcW w:type="dxa" w:w="1440"/>
            <w:shd w:fill="C6EFCE" w:val="clear"/>
          </w:tcPr>
          <w:p>
            <w:r>
              <w:rPr>
                <w:b/>
                <w:color w:val="008000"/>
                <w:sz w:val="17"/>
              </w:rPr>
              <w:t>+5.6%</w:t>
            </w:r>
          </w:p>
        </w:tc>
      </w:tr>
      <w:tr>
        <w:tc>
          <w:tcPr>
            <w:tcW w:type="dxa" w:w="1440"/>
            <w:shd w:fill="C6EFCE" w:val="clear"/>
          </w:tcPr>
          <w:p>
            <w:r>
              <w:rPr>
                <w:sz w:val="17"/>
              </w:rPr>
              <w:t>J+5  ⭐</w:t>
            </w:r>
          </w:p>
        </w:tc>
        <w:tc>
          <w:tcPr>
            <w:tcW w:type="dxa" w:w="1440"/>
            <w:shd w:fill="C6EFCE" w:val="clear"/>
          </w:tcPr>
          <w:p>
            <w:r>
              <w:rPr>
                <w:sz w:val="17"/>
              </w:rPr>
              <w:t>2026-10-14</w:t>
            </w:r>
          </w:p>
        </w:tc>
        <w:tc>
          <w:tcPr>
            <w:tcW w:type="dxa" w:w="1440"/>
            <w:shd w:fill="C6EFCE" w:val="clear"/>
          </w:tcPr>
          <w:p>
            <w:r>
              <w:rPr>
                <w:sz w:val="17"/>
              </w:rPr>
              <w:t>7,960</w:t>
            </w:r>
          </w:p>
        </w:tc>
        <w:tc>
          <w:tcPr>
            <w:tcW w:type="dxa" w:w="1440"/>
            <w:shd w:fill="C6EFCE" w:val="clear"/>
          </w:tcPr>
          <w:p>
            <w:r>
              <w:rPr>
                <w:b/>
                <w:sz w:val="17"/>
              </w:rPr>
              <w:t>9,182</w:t>
            </w:r>
          </w:p>
        </w:tc>
        <w:tc>
          <w:tcPr>
            <w:tcW w:type="dxa" w:w="1440"/>
            <w:shd w:fill="C6EFCE" w:val="clear"/>
          </w:tcPr>
          <w:p>
            <w:r>
              <w:rPr>
                <w:sz w:val="17"/>
              </w:rPr>
              <w:t>10,404</w:t>
            </w:r>
          </w:p>
        </w:tc>
        <w:tc>
          <w:tcPr>
            <w:tcW w:type="dxa" w:w="1440"/>
            <w:shd w:fill="C6EFCE" w:val="clear"/>
          </w:tcPr>
          <w:p>
            <w:r>
              <w:rPr>
                <w:b/>
                <w:color w:val="008000"/>
                <w:sz w:val="17"/>
              </w:rPr>
              <w:t>+6.2%</w:t>
            </w:r>
          </w:p>
        </w:tc>
      </w:tr>
      <w:tr>
        <w:tc>
          <w:tcPr>
            <w:tcW w:type="dxa" w:w="1440"/>
            <w:shd w:fill="C6EFCE" w:val="clear"/>
          </w:tcPr>
          <w:p>
            <w:r>
              <w:rPr>
                <w:sz w:val="17"/>
              </w:rPr>
              <w:t>J+6  ⭐</w:t>
            </w:r>
          </w:p>
        </w:tc>
        <w:tc>
          <w:tcPr>
            <w:tcW w:type="dxa" w:w="1440"/>
            <w:shd w:fill="C6EFCE" w:val="clear"/>
          </w:tcPr>
          <w:p>
            <w:r>
              <w:rPr>
                <w:sz w:val="17"/>
              </w:rPr>
              <w:t>2026-10-15</w:t>
            </w:r>
          </w:p>
        </w:tc>
        <w:tc>
          <w:tcPr>
            <w:tcW w:type="dxa" w:w="1440"/>
            <w:shd w:fill="C6EFCE" w:val="clear"/>
          </w:tcPr>
          <w:p>
            <w:r>
              <w:rPr>
                <w:sz w:val="17"/>
              </w:rPr>
              <w:t>7,881</w:t>
            </w:r>
          </w:p>
        </w:tc>
        <w:tc>
          <w:tcPr>
            <w:tcW w:type="dxa" w:w="1440"/>
            <w:shd w:fill="C6EFCE" w:val="clear"/>
          </w:tcPr>
          <w:p>
            <w:r>
              <w:rPr>
                <w:b/>
                <w:sz w:val="17"/>
              </w:rPr>
              <w:t>9,227</w:t>
            </w:r>
          </w:p>
        </w:tc>
        <w:tc>
          <w:tcPr>
            <w:tcW w:type="dxa" w:w="1440"/>
            <w:shd w:fill="C6EFCE" w:val="clear"/>
          </w:tcPr>
          <w:p>
            <w:r>
              <w:rPr>
                <w:sz w:val="17"/>
              </w:rPr>
              <w:t>10,572</w:t>
            </w:r>
          </w:p>
        </w:tc>
        <w:tc>
          <w:tcPr>
            <w:tcW w:type="dxa" w:w="1440"/>
            <w:shd w:fill="C6EFCE" w:val="clear"/>
          </w:tcPr>
          <w:p>
            <w:r>
              <w:rPr>
                <w:b/>
                <w:color w:val="008000"/>
                <w:sz w:val="17"/>
              </w:rPr>
              <w:t>+6.7%</w:t>
            </w:r>
          </w:p>
        </w:tc>
      </w:tr>
      <w:tr>
        <w:tc>
          <w:tcPr>
            <w:tcW w:type="dxa" w:w="1440"/>
            <w:shd w:fill="C6EFCE" w:val="clear"/>
          </w:tcPr>
          <w:p>
            <w:r>
              <w:rPr>
                <w:sz w:val="17"/>
              </w:rPr>
              <w:t>J+7  ⭐</w:t>
            </w:r>
          </w:p>
        </w:tc>
        <w:tc>
          <w:tcPr>
            <w:tcW w:type="dxa" w:w="1440"/>
            <w:shd w:fill="C6EFCE" w:val="clear"/>
          </w:tcPr>
          <w:p>
            <w:r>
              <w:rPr>
                <w:sz w:val="17"/>
              </w:rPr>
              <w:t>2026-10-16</w:t>
            </w:r>
          </w:p>
        </w:tc>
        <w:tc>
          <w:tcPr>
            <w:tcW w:type="dxa" w:w="1440"/>
            <w:shd w:fill="C6EFCE" w:val="clear"/>
          </w:tcPr>
          <w:p>
            <w:r>
              <w:rPr>
                <w:sz w:val="17"/>
              </w:rPr>
              <w:t>7,806</w:t>
            </w:r>
          </w:p>
        </w:tc>
        <w:tc>
          <w:tcPr>
            <w:tcW w:type="dxa" w:w="1440"/>
            <w:shd w:fill="C6EFCE" w:val="clear"/>
          </w:tcPr>
          <w:p>
            <w:r>
              <w:rPr>
                <w:b/>
                <w:sz w:val="17"/>
              </w:rPr>
              <w:t>9,265</w:t>
            </w:r>
          </w:p>
        </w:tc>
        <w:tc>
          <w:tcPr>
            <w:tcW w:type="dxa" w:w="1440"/>
            <w:shd w:fill="C6EFCE" w:val="clear"/>
          </w:tcPr>
          <w:p>
            <w:r>
              <w:rPr>
                <w:sz w:val="17"/>
              </w:rPr>
              <w:t>10,724</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2026-10-19</w:t>
            </w:r>
          </w:p>
        </w:tc>
        <w:tc>
          <w:tcPr>
            <w:tcW w:type="dxa" w:w="1440"/>
            <w:shd w:fill="C6EFCE" w:val="clear"/>
          </w:tcPr>
          <w:p>
            <w:r>
              <w:rPr>
                <w:sz w:val="17"/>
              </w:rPr>
              <w:t>7,733</w:t>
            </w:r>
          </w:p>
        </w:tc>
        <w:tc>
          <w:tcPr>
            <w:tcW w:type="dxa" w:w="1440"/>
            <w:shd w:fill="C6EFCE" w:val="clear"/>
          </w:tcPr>
          <w:p>
            <w:r>
              <w:rPr>
                <w:b/>
                <w:sz w:val="17"/>
              </w:rPr>
              <w:t>9,298</w:t>
            </w:r>
          </w:p>
        </w:tc>
        <w:tc>
          <w:tcPr>
            <w:tcW w:type="dxa" w:w="1440"/>
            <w:shd w:fill="C6EFCE" w:val="clear"/>
          </w:tcPr>
          <w:p>
            <w:r>
              <w:rPr>
                <w:sz w:val="17"/>
              </w:rPr>
              <w:t>10,864</w:t>
            </w:r>
          </w:p>
        </w:tc>
        <w:tc>
          <w:tcPr>
            <w:tcW w:type="dxa" w:w="1440"/>
            <w:shd w:fill="C6EFCE" w:val="clear"/>
          </w:tcPr>
          <w:p>
            <w:r>
              <w:rPr>
                <w:b/>
                <w:color w:val="008000"/>
                <w:sz w:val="17"/>
              </w:rPr>
              <w:t>+7.5%</w:t>
            </w:r>
          </w:p>
        </w:tc>
      </w:tr>
      <w:tr>
        <w:tc>
          <w:tcPr>
            <w:tcW w:type="dxa" w:w="1440"/>
            <w:shd w:fill="C6EFCE" w:val="clear"/>
          </w:tcPr>
          <w:p>
            <w:r>
              <w:rPr>
                <w:sz w:val="17"/>
              </w:rPr>
              <w:t>J+9  ⭐</w:t>
            </w:r>
          </w:p>
        </w:tc>
        <w:tc>
          <w:tcPr>
            <w:tcW w:type="dxa" w:w="1440"/>
            <w:shd w:fill="C6EFCE" w:val="clear"/>
          </w:tcPr>
          <w:p>
            <w:r>
              <w:rPr>
                <w:sz w:val="17"/>
              </w:rPr>
              <w:t>2026-10-20</w:t>
            </w:r>
          </w:p>
        </w:tc>
        <w:tc>
          <w:tcPr>
            <w:tcW w:type="dxa" w:w="1440"/>
            <w:shd w:fill="C6EFCE" w:val="clear"/>
          </w:tcPr>
          <w:p>
            <w:r>
              <w:rPr>
                <w:sz w:val="17"/>
              </w:rPr>
              <w:t>7,661</w:t>
            </w:r>
          </w:p>
        </w:tc>
        <w:tc>
          <w:tcPr>
            <w:tcW w:type="dxa" w:w="1440"/>
            <w:shd w:fill="C6EFCE" w:val="clear"/>
          </w:tcPr>
          <w:p>
            <w:r>
              <w:rPr>
                <w:b/>
                <w:sz w:val="17"/>
              </w:rPr>
              <w:t>9,327</w:t>
            </w:r>
          </w:p>
        </w:tc>
        <w:tc>
          <w:tcPr>
            <w:tcW w:type="dxa" w:w="1440"/>
            <w:shd w:fill="C6EFCE" w:val="clear"/>
          </w:tcPr>
          <w:p>
            <w:r>
              <w:rPr>
                <w:sz w:val="17"/>
              </w:rPr>
              <w:t>10,992</w:t>
            </w:r>
          </w:p>
        </w:tc>
        <w:tc>
          <w:tcPr>
            <w:tcW w:type="dxa" w:w="1440"/>
            <w:shd w:fill="C6EFCE" w:val="clear"/>
          </w:tcPr>
          <w:p>
            <w:r>
              <w:rPr>
                <w:b/>
                <w:color w:val="008000"/>
                <w:sz w:val="17"/>
              </w:rPr>
              <w:t>+7.8%</w:t>
            </w:r>
          </w:p>
        </w:tc>
      </w:tr>
      <w:tr>
        <w:tc>
          <w:tcPr>
            <w:tcW w:type="dxa" w:w="1440"/>
            <w:shd w:fill="C6EFCE" w:val="clear"/>
          </w:tcPr>
          <w:p>
            <w:r>
              <w:rPr>
                <w:sz w:val="17"/>
              </w:rPr>
              <w:t>J+10  ⭐</w:t>
            </w:r>
          </w:p>
        </w:tc>
        <w:tc>
          <w:tcPr>
            <w:tcW w:type="dxa" w:w="1440"/>
            <w:shd w:fill="C6EFCE" w:val="clear"/>
          </w:tcPr>
          <w:p>
            <w:r>
              <w:rPr>
                <w:sz w:val="17"/>
              </w:rPr>
              <w:t>2026-10-21</w:t>
            </w:r>
          </w:p>
        </w:tc>
        <w:tc>
          <w:tcPr>
            <w:tcW w:type="dxa" w:w="1440"/>
            <w:shd w:fill="C6EFCE" w:val="clear"/>
          </w:tcPr>
          <w:p>
            <w:r>
              <w:rPr>
                <w:sz w:val="17"/>
              </w:rPr>
              <w:t>7,591</w:t>
            </w:r>
          </w:p>
        </w:tc>
        <w:tc>
          <w:tcPr>
            <w:tcW w:type="dxa" w:w="1440"/>
            <w:shd w:fill="C6EFCE" w:val="clear"/>
          </w:tcPr>
          <w:p>
            <w:r>
              <w:rPr>
                <w:b/>
                <w:sz w:val="17"/>
              </w:rPr>
              <w:t>9,351</w:t>
            </w:r>
          </w:p>
        </w:tc>
        <w:tc>
          <w:tcPr>
            <w:tcW w:type="dxa" w:w="1440"/>
            <w:shd w:fill="C6EFCE" w:val="clear"/>
          </w:tcPr>
          <w:p>
            <w:r>
              <w:rPr>
                <w:sz w:val="17"/>
              </w:rPr>
              <w:t>11,111</w:t>
            </w:r>
          </w:p>
        </w:tc>
        <w:tc>
          <w:tcPr>
            <w:tcW w:type="dxa" w:w="1440"/>
            <w:shd w:fill="C6EFCE" w:val="clear"/>
          </w:tcPr>
          <w:p>
            <w:r>
              <w:rPr>
                <w:b/>
                <w:color w:val="008000"/>
                <w:sz w:val="17"/>
              </w:rPr>
              <w:t>+8.1%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(BIIC Bénin)**</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499,62 milliards FCFA, BICB s'impose comme l'une des plus importantes capitalisations du compartiment bancaire de la BRVM, reflétant sa position de leader au Bénin. Le BPA de 627 FCFA/action signifie que chaque titre génère près de 627 FCFA de bénéfice net, ce qui, rapporté au cours actuel de 8 650 FCFA, donne un PER de 13,8x — un niveau modéré, légèrement supérieur à la moyenne BRVM (8-12x), mais justifié par la qualité de la croissance. Le P/B de 3,70x indique que le marché valorise la banque à près de quatre fois sa valeur comptable, traduisant une prime de croissance significative accordée par les investisseurs. En revanche, l'EV/EBITDA de 24,3x apparaît très exigeant (&gt;15x), signalant que la valeur d'entreprise intègre déjà une forte anticipation de rentabilité future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+65,71%, avec une dernière séance en hausse de +0,58%, portant le cours à 8 650 FCFA. Le range de trading est particulièrement large, oscillant entre un plus bas de 5 105 FCFA et un plus haut de 10 790 FCFA, soit un écart de plus de 111% — signe d'une forte volatilité et d'un intérêt marqué des investisseurs. La tendance générale est nettement haussière, portée par la dynamique fondamentale de la banque et l'engouement pour le secteur bancaire de l'UEMOA. Les statistiques descriptives révèlent une moyenne de 7 349 FCFA légèrement inférieure à la médiane de 7 475 FCFA, suggérant une asymétrie positive modérée (skewness de 0,389, distribution quasi-symétrique), tandis que le mode à 8 500 FCFA indique un palier de consolidation récent. L'écart-type de 1 714 FCFA (CV de 23,3%) traduit une dispersion élevée du cours, et le kurtosis négatif (-1,072, distribution platykurtique) signale une faible concentration des rendements avec un risque de pics moins prononcé qu'une distribution normale. La volatilité annualisée de 42,6% classe le titre dans la catégorie des valeurs à volatilité élevée (&gt;30%), ce qui implique un risque de marché significatif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(9 387,5 FCFA) et la MM50 (8 848,0 FCFA) se situent toutes deux au-dessus du cours actuel (8 650 FCFA), ce qui place le titre en position de repli sous ses moyennes court et moyen terme. La MM20 &gt; MM50 confirme une configuration haussière de fond, mais le cours sous ces deux niveaux suggère une consolidation voire une correction à court terme. La décision affichée est "Achat", probablement justifiée par le potentiel de rebond vers les moyennes.</w:t>
      </w:r>
    </w:p>
    <w:p>
      <w:pPr>
        <w:spacing w:after="120" w:line="276" w:lineRule="auto"/>
      </w:pPr>
      <w:r>
        <w:t>**Bandes de Bollinger** : Le cours (8 650 FCFA) évolue dans la partie basse de la bande, entre la borne inférieure (7 579 FCFA) et la borne supérieure (11 196 FCFA), ce qui traduit une pression vendeuse récente. La largeur des bandes reflète une volatilité élevée, et la position du cours à environ 28% de la bande suggère une possible zone de survente relative. La décision "Neutre" indique une absence de signal directionnel fort.</w:t>
      </w:r>
    </w:p>
    <w:p>
      <w:pPr>
        <w:spacing w:after="120" w:line="276" w:lineRule="auto"/>
      </w:pPr>
      <w:r>
        <w:t>**MACD** : La valeur du MACD (-149,742) est nettement inférieure à son signal (-4,473), générant un histogramme négatif et un croisement baissier. Ce déséquilibre marqué signale un momentum négatif persistant, bien que l'écart important puisse annoncer un épuisement de la tendance baissière. La décision "Vente" reflète cette configuration défavorable à court terme.</w:t>
      </w:r>
    </w:p>
    <w:p>
      <w:pPr>
        <w:spacing w:after="120" w:line="276" w:lineRule="auto"/>
      </w:pPr>
      <w:r>
        <w:t>**RSI** : À 26,463, le RSI se situe en zone de survente (&lt;30), ce qui indique que le titre a été fortement vendu et pourrait être proche d'un point de retournement. Historiquement, un RSI à ce niveau précède souvent un rebond technique. La décision "Achat" est cohérente avec cette lecture contrarienne.</w:t>
      </w:r>
    </w:p>
    <w:p>
      <w:pPr>
        <w:spacing w:after="120" w:line="276" w:lineRule="auto"/>
      </w:pPr>
      <w:r>
        <w:t>**Stochastique** : Le %K (29,026) et le %D (27,396) évoluent tous deux en zone basse, proches du seuil de survente (20), sans croisement haussier confirmé pour l'instant. La décision "Neutre" traduit cette absence de signal clair, mais la proximité des seuils suggère une possible inflexion prochaine.</w:t>
      </w:r>
    </w:p>
    <w:p>
      <w:pPr>
        <w:spacing w:after="120" w:line="276" w:lineRule="auto"/>
      </w:pPr>
      <w:r>
        <w:t>**Conclusion technique** : Les indicateurs présentent un tableau contrasté. Les signaux baissiers à court terme (MACD, position sous les MM) coexistent avec des signaux de survente (RSI, Stochastique) qui plaident pour un rebond technique. La divergence entre le RSI (Achat) et le MACD (Vente) illustre cette incertitude. Une stabilisation au-dessus de 8 500 FCFA serait nécessaire pour confirmer un retournement haussier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BIIC a réalisé un Produit Net Bancaire (PNB) de 52,805 milliards FCFA, en croissance de 16,49% sur un an, porté par la hausse des crédits clientèle (+37,3% à 1 151,5 milliards FCFA) et des dépôts (+29,4% à 1 181,0 milliards FCFA). Le résultat net s'établit à 36,237 milliards FCFA, en progression de 24,7%, avec un ROE exceptionnel de 26,82% (&gt;15% = excellent) et un ROA de 1,96%. Le coefficient d'exploitation de 31,12% (&lt;60%) témoigne d'une efficacité opérationnelle remarquable, tandis que le coût du risque de 9,61% reste modéré mais à surveiller. La marge nette de 68,62% est exceptionnellement élevée, bien qu'elle intègre des reprises de provisions non récurrentes. Le ratio crédits nets/dépôts de 97,5% indique une transformation tendue, et la solvabilité de 19,64% (vs 11,5% réglementaire) offre une marge de manœuvre confortable.</w:t>
      </w:r>
    </w:p>
    <w:p>
      <w:pPr>
        <w:spacing w:after="120" w:line="276" w:lineRule="auto"/>
      </w:pPr>
      <w:r>
        <w:t>**Estimations basées sur les rapports trimestriels** : Le rapport T1 2026 (publié en 2026) révèle un PNB de 14,6 milliards FCFA (+35%) et un résultat net de 8,0 milliards FCFA (+48%), confirmant l'accélération de la dynamique. Le rapport S1 2026 (publié en 2026) fait état d'un PNB de 31,9 milliards FCFA (+19%) et d'un résultat net de 18,4 milliards FCFA (+11%), avec un RBE en hausse de 31% à 22,9 milliards FCFA. Toutefois, le coût du risque redevient une charge de 3,6 milliards FCFA (vs un produit de 2,4 milliards au S1 2025), et le résultat avant impôt recule de 3% à 19,3 milliards FCFA. Sur la base de ces tendances, on estime que l'exercice 2026 devrait afficher un PNB supérieur à 60 milliards FCFA et un résultat net proche de 38-40 milliards FCFA, sous réserve d'une normalisation du coût du risque.</w:t>
      </w:r>
    </w:p>
    <w:p>
      <w:pPr>
        <w:spacing w:after="120" w:line="276" w:lineRule="auto"/>
      </w:pPr>
      <w:r>
        <w:t>**Recommandation fondamentale** : La solidité financière de BIIC est incontestable (ROE &gt;25%, solvabilité élevée, leader sectoriel), mais la qualité de la croissance est le point de vigilance central. L'expansion rapide des crédits (+37,3% en 2025) couplée à un coût du risque anormalement bas en 2025, puis à une normalisation en 2026, crée une incertitude sur la durabilité des performances. Les rapports des commissaires aux comptes (2025) soulignent des risques de crédit et des lacunes du système d'information, ce qui invite à la prudence. La recommandation fondamentale est de **CONSERVER** le titre, en attendant une confirmation de la maîtrise du risque crédit sur l'ensemble de l'exercice 2026.</w:t>
      </w:r>
    </w:p>
    <w:p>
      <w:pPr>
        <w:spacing w:after="120" w:line="276" w:lineRule="auto"/>
      </w:pPr>
      <w:r>
        <w:t>---</w:t>
      </w:r>
    </w:p>
    <w:p>
      <w:pPr>
        <w:spacing w:after="120" w:line="276" w:lineRule="auto"/>
      </w:pPr>
      <w:r>
        <w:t>### **PARTIE 4 : CONCLUSION D'INVESTISSEMENT**</w:t>
      </w:r>
    </w:p>
    <w:p>
      <w:pPr>
        <w:spacing w:after="120" w:line="276" w:lineRule="auto"/>
      </w:pPr>
      <w:r>
        <w:t>La valorisation de BICB (PER 13,8x, P/B 3,70x, EV/EBITDA 24,3x) indique une action correctement valorisée, voire légèrement chère sur la base de l'EV/EBITDA, mais justifiée par la qualité des fondamentaux et la position de leader. Le comportement du cours sur 100 jours (+65,71%) est exceptionnel, mais la volatilité élevée (42,6%) et le kurtosis négatif (-1,072) suggèrent des mouvements amples et une distribution des rendements aplatie, ce qui accroît le risque de marché. Les signaux techniques sont divergents : le RSI en survente (26,5) et le Stochastique bas plaident pour un rebond, tandis que le MACD baissier et la position sous les MM20/MM50 tempèrent cet optimisme. Les fondamentaux restent solides (ROE 26,8%, coefficient d'exploitation 31,1%), mais la normalisation du coût du risque en 2026 et le recul du résultat avant impôt au S1 2026 (-3%) constituent des points de vigilance. Les prédictions IA (J+1 à J+10) anticipent une trajectoire haussière modérée, avec un cours cible de 9 182 FCFA à J+10 (+6,2%), ce qui confirme la possibilité d'un rebond technique sans pour autant effacer les risques baissiers à moyen terme. **Recommandation finale : CONSERVER**, avec un niveau de confiance **Moyen** et un risque global **Élevé**. L'horizon d'investissement optimal est le **moyen terme (3-12 mois)**, en attendant la publication des résultats annuels 2026 et une clarification sur la trajectoire du coût du risque. Un investisseur déjà positionné peut conserver le titre, tandis qu'un nouvel entrant attendra une confirmation de la stabilisation technique et fondamentale avant d'initier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693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+19.32%</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26,400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μ=29,419 FCFA, σ=1,858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β=1.0657 (Neutre (suit le marché)) — Cov=0.000078, Var(idx)=0.000073, ρ=0.393,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693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29,776</w:t>
            </w:r>
          </w:p>
        </w:tc>
        <w:tc>
          <w:tcPr>
            <w:tcW w:type="dxa" w:w="1440"/>
            <w:shd w:fill="FAFAFA" w:val="clear"/>
          </w:tcPr>
          <w:p>
            <w:r>
              <w:rPr>
                <w:b/>
                <w:sz w:val="17"/>
              </w:rPr>
              <w:t>31,592</w:t>
            </w:r>
          </w:p>
        </w:tc>
        <w:tc>
          <w:tcPr>
            <w:tcW w:type="dxa" w:w="1440"/>
            <w:shd w:fill="FAFAFA" w:val="clear"/>
          </w:tcPr>
          <w:p>
            <w:r>
              <w:rPr>
                <w:sz w:val="17"/>
              </w:rPr>
              <w:t>33,409</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28,986</w:t>
            </w:r>
          </w:p>
        </w:tc>
        <w:tc>
          <w:tcPr>
            <w:tcW w:type="dxa" w:w="1440"/>
            <w:shd w:fill="FAFAFA" w:val="clear"/>
          </w:tcPr>
          <w:p>
            <w:r>
              <w:rPr>
                <w:b/>
                <w:sz w:val="17"/>
              </w:rPr>
              <w:t>31,551</w:t>
            </w:r>
          </w:p>
        </w:tc>
        <w:tc>
          <w:tcPr>
            <w:tcW w:type="dxa" w:w="1440"/>
            <w:shd w:fill="FAFAFA" w:val="clear"/>
          </w:tcPr>
          <w:p>
            <w:r>
              <w:rPr>
                <w:sz w:val="17"/>
              </w:rPr>
              <w:t>34,117</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28,373</w:t>
            </w:r>
          </w:p>
        </w:tc>
        <w:tc>
          <w:tcPr>
            <w:tcW w:type="dxa" w:w="1440"/>
            <w:shd w:fill="FAFAFA" w:val="clear"/>
          </w:tcPr>
          <w:p>
            <w:r>
              <w:rPr>
                <w:b/>
                <w:sz w:val="17"/>
              </w:rPr>
              <w:t>31,512</w:t>
            </w:r>
          </w:p>
        </w:tc>
        <w:tc>
          <w:tcPr>
            <w:tcW w:type="dxa" w:w="1440"/>
            <w:shd w:fill="FAFAFA" w:val="clear"/>
          </w:tcPr>
          <w:p>
            <w:r>
              <w:rPr>
                <w:sz w:val="17"/>
              </w:rPr>
              <w:t>34,650</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27,839</w:t>
            </w:r>
          </w:p>
        </w:tc>
        <w:tc>
          <w:tcPr>
            <w:tcW w:type="dxa" w:w="1440"/>
            <w:shd w:fill="FAFAFA" w:val="clear"/>
          </w:tcPr>
          <w:p>
            <w:r>
              <w:rPr>
                <w:b/>
                <w:sz w:val="17"/>
              </w:rPr>
              <w:t>31,457</w:t>
            </w:r>
          </w:p>
        </w:tc>
        <w:tc>
          <w:tcPr>
            <w:tcW w:type="dxa" w:w="1440"/>
            <w:shd w:fill="FAFAFA" w:val="clear"/>
          </w:tcPr>
          <w:p>
            <w:r>
              <w:rPr>
                <w:sz w:val="17"/>
              </w:rPr>
              <w:t>35,075</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27,360</w:t>
            </w:r>
          </w:p>
        </w:tc>
        <w:tc>
          <w:tcPr>
            <w:tcW w:type="dxa" w:w="1440"/>
            <w:shd w:fill="FAFAFA" w:val="clear"/>
          </w:tcPr>
          <w:p>
            <w:r>
              <w:rPr>
                <w:b/>
                <w:sz w:val="17"/>
              </w:rPr>
              <w:t>31,397</w:t>
            </w:r>
          </w:p>
        </w:tc>
        <w:tc>
          <w:tcPr>
            <w:tcW w:type="dxa" w:w="1440"/>
            <w:shd w:fill="FAFAFA" w:val="clear"/>
          </w:tcPr>
          <w:p>
            <w:r>
              <w:rPr>
                <w:sz w:val="17"/>
              </w:rPr>
              <w:t>35,434</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26,925</w:t>
            </w:r>
          </w:p>
        </w:tc>
        <w:tc>
          <w:tcPr>
            <w:tcW w:type="dxa" w:w="1440"/>
            <w:shd w:fill="FAFAFA" w:val="clear"/>
          </w:tcPr>
          <w:p>
            <w:r>
              <w:rPr>
                <w:b/>
                <w:sz w:val="17"/>
              </w:rPr>
              <w:t>31,339</w:t>
            </w:r>
          </w:p>
        </w:tc>
        <w:tc>
          <w:tcPr>
            <w:tcW w:type="dxa" w:w="1440"/>
            <w:shd w:fill="FAFAFA" w:val="clear"/>
          </w:tcPr>
          <w:p>
            <w:r>
              <w:rPr>
                <w:sz w:val="17"/>
              </w:rPr>
              <w:t>35,753</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26,523</w:t>
            </w:r>
          </w:p>
        </w:tc>
        <w:tc>
          <w:tcPr>
            <w:tcW w:type="dxa" w:w="1440"/>
            <w:shd w:fill="FAFAFA" w:val="clear"/>
          </w:tcPr>
          <w:p>
            <w:r>
              <w:rPr>
                <w:b/>
                <w:sz w:val="17"/>
              </w:rPr>
              <w:t>31,282</w:t>
            </w:r>
          </w:p>
        </w:tc>
        <w:tc>
          <w:tcPr>
            <w:tcW w:type="dxa" w:w="1440"/>
            <w:shd w:fill="FAFAFA" w:val="clear"/>
          </w:tcPr>
          <w:p>
            <w:r>
              <w:rPr>
                <w:sz w:val="17"/>
              </w:rPr>
              <w:t>36,042</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26,149</w:t>
            </w:r>
          </w:p>
        </w:tc>
        <w:tc>
          <w:tcPr>
            <w:tcW w:type="dxa" w:w="1440"/>
            <w:shd w:fill="FAFAFA" w:val="clear"/>
          </w:tcPr>
          <w:p>
            <w:r>
              <w:rPr>
                <w:b/>
                <w:sz w:val="17"/>
              </w:rPr>
              <w:t>31,228</w:t>
            </w:r>
          </w:p>
        </w:tc>
        <w:tc>
          <w:tcPr>
            <w:tcW w:type="dxa" w:w="1440"/>
            <w:shd w:fill="FAFAFA" w:val="clear"/>
          </w:tcPr>
          <w:p>
            <w:r>
              <w:rPr>
                <w:sz w:val="17"/>
              </w:rPr>
              <w:t>36,307</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25,797</w:t>
            </w:r>
          </w:p>
        </w:tc>
        <w:tc>
          <w:tcPr>
            <w:tcW w:type="dxa" w:w="1440"/>
            <w:shd w:fill="FAFAFA" w:val="clear"/>
          </w:tcPr>
          <w:p>
            <w:r>
              <w:rPr>
                <w:b/>
                <w:sz w:val="17"/>
              </w:rPr>
              <w:t>31,175</w:t>
            </w:r>
          </w:p>
        </w:tc>
        <w:tc>
          <w:tcPr>
            <w:tcW w:type="dxa" w:w="1440"/>
            <w:shd w:fill="FAFAFA" w:val="clear"/>
          </w:tcPr>
          <w:p>
            <w:r>
              <w:rPr>
                <w:sz w:val="17"/>
              </w:rPr>
              <w:t>36,553</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25,464</w:t>
            </w:r>
          </w:p>
        </w:tc>
        <w:tc>
          <w:tcPr>
            <w:tcW w:type="dxa" w:w="1440"/>
            <w:shd w:fill="FAFAFA" w:val="clear"/>
          </w:tcPr>
          <w:p>
            <w:r>
              <w:rPr>
                <w:b/>
                <w:sz w:val="17"/>
              </w:rPr>
              <w:t>31,124</w:t>
            </w:r>
          </w:p>
        </w:tc>
        <w:tc>
          <w:tcPr>
            <w:tcW w:type="dxa" w:w="1440"/>
            <w:shd w:fill="FAFAFA" w:val="clear"/>
          </w:tcPr>
          <w:p>
            <w:r>
              <w:rPr>
                <w:sz w:val="17"/>
              </w:rPr>
              <w:t>36,783</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525,00 Mds FCFA, BICC s'impose comme l'une des valeurs bancaires les plus capitalisées de la BRVM, ce qui témoigne de sa liquidité relative et de son poids dans l'indice BRVM Composite. Le BPA de 2 191 FCFA/action signifie que chaque titre génère près de 2 191 FCFA de bénéfice net, un niveau élevé qui reflète la forte rentabilité de la banque. Le PER de 14,4x se situe au-dessus de la moyenne du marché BRVM (généralement comprise entre 8 et 12x), indiquant que les investisseurs acceptent de payer une prime pour cette valeur bancaire de qualité, sans pour autant tomber dans une zone de surévaluation spéculative. Le P/B de 4,35x traduit une valorisation nettement supérieure à la valeur comptable (plus de 4 fois les fonds propres), ce qui est exigeant mais justifié par un ROE exceptionnel de 30,29% — le marché valorise donc la capacité de la banque à générer des profits bien au-delà de son capital. Enfin, l'EV/EBITDA de 10,4x, dans la fourchette 10-15x, confirme une valorisation élevée mais cohérente avec la qualité opérationnelle de l'établissement, bien que cette métrique soit moins pertinente pour une banque que le PER ou le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+19,32%, clôturant à 31 500 FCFA après un léger repli de -0,32% lors de la dernière séance. Le range de trading s'est établi entre un plus bas de 26 400 FCFA et un plus haut de 34 895 FCFA, soit une amplitude de plus de 8 400 FCFA qui témoigne d'une dynamique haussière soutenue mais ponctuée de corrections. La tendance générale est clairement haussière, le cours actuel se maintenant bien au-dessus de la moyenne des 100 jours (29 419 FCFA), ce qui confirme la solidité du mouvement. Les statistiques descriptives révèlent une distribution légèrement asymétrique : la moyenne (29 419 FCFA) dépasse la médiane (28 972 FCFA) et le mode (29 000 FCFA), tandis que le skewness positif de 1,020 indique une asymétrie à droite avec davantage de journées sous la moyenne mais des pics haussiers marqués. L'écart-type de 1 868 FCFA, couplé à un coefficient de variation de seulement 6,3%, traduit une dispersion modérée du cours autour de sa moyenne, ce qui est rassurant pour un investisseur. Le kurtosis de 0,428 (mésokurtique) suggère une distribution proche de la normale, sans risque excessif de pics extrêmes, tandis que la volatilité annualisée de 36,5% positionne le titre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32 083,75 FCFA et la MM50 à 30 656,8 FCFA, toutes deux inférieures au cours actuel de 31 500 FCFA pour la MM20 (léger repli) mais supérieures pour la MM50. Le croisement haussier MM20 &gt; MM50 et la position du cours au-dessus de la MM50 confirment la décision d'**Achat**, bien que le cours soit légèrement sous sa MM20, signalant une consolidation à court terme.</w:t>
      </w:r>
    </w:p>
    <w:p>
      <w:pPr>
        <w:spacing w:after="120" w:line="276" w:lineRule="auto"/>
      </w:pPr>
      <w:r>
        <w:t>**Bandes de Bollinger** : La borne supérieure se situe à 34 557,35 FCFA et la borne inférieure à 29 610,15 FCFA, avec un cours actuel de 31 500 FCFA positionné légèrement au-dessus de la médiane des bandes. Cette position centrale, ni en surachat ni en survente, justifie la décision **Neutre**, la volatilité restant contenue dans les bandes sans signal d'explosion imminente.</w:t>
      </w:r>
    </w:p>
    <w:p>
      <w:pPr>
        <w:spacing w:after="120" w:line="276" w:lineRule="auto"/>
      </w:pPr>
      <w:r>
        <w:t>**MACD** : La valeur du MACD (359,737) est inférieure à son signal (496,61), générant un croisement baissier qui traduit un essoufflement du momentum haussier. Cette configuration justifie la décision de **Vente** à court terme, bien que l'écart reste modéré et puisse se résorber rapidement.</w:t>
      </w:r>
    </w:p>
    <w:p>
      <w:pPr>
        <w:spacing w:after="120" w:line="276" w:lineRule="auto"/>
      </w:pPr>
      <w:r>
        <w:t>**RSI** : À 49,302, le RSI se situe parfaitement dans la zone neutre (30-70), ni en surachat ni en survente. Cette valeur médiane confirme la décision **Neutre**, indiquant un équilibre entre acheteurs et vendeurs sans pression directionnelle dominante.</w:t>
      </w:r>
    </w:p>
    <w:p>
      <w:pPr>
        <w:spacing w:after="120" w:line="276" w:lineRule="auto"/>
      </w:pPr>
      <w:r>
        <w:t>**Stochastique** : Le %K (34,078) et le %D (33,463) sont tous deux proches de la zone de survente (seuil 20), avec un %K légèrement supérieur au %D. Cette configuration suggère une possible reprise haussière à court terme si le croisement se confirme, mais la décision reste **Neutre** en l'absence de signal clair.</w:t>
      </w:r>
    </w:p>
    <w:p>
      <w:pPr>
        <w:spacing w:after="120" w:line="276" w:lineRule="auto"/>
      </w:pPr>
      <w:r>
        <w:t>**Conclusion technique** : Les indicateurs techniques présentent un tableau mitigé, avec une tendance de fond haussière (MM50, MM20) contrariée par un MACD baissier et un RSI neutre. Le titre se trouve dans une phase de consolidation après sa forte progression de +19,32%, et les signaux divergents (achat sur les MM, vente sur le MACD, neutre sur le RSI et le stochastique) plaident pour une **prudence à court terme** en attendant une clarification directionnelle.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BICICI affiche un Produit Net Bancaire (PNB, équivalent du chiffre d'affaires pour une banque) de 79,563 Mds FCFA et un résultat net de 36,520 Mds FCFA, soit une marge nette exceptionnelle de 45,90%. Le ROE atteint 30,29% (largement supérieur au seuil de 15% considéré comme excellent) et le ROA s'établit à 3,24%, confirmant une rentabilité des actifs solide. Le coefficient d'exploitation de 50,83% est inférieur au seuil de 60%, ce qui témoigne d'une **excellente efficacité opérationnelle** (charges maîtrisées par rapport au PNB). Le coût du risque, mesuré par le ratio provisions/charges financières, ressort à -12,15%, un niveau bas qui indique un **portefeuille de crédits de bonne qualité** avec des provisions limitées. La structure financière est saine : les dépôts clientèle (952,872 Mds FCFA) couvrent largement les créances clientèle (524,439 Mds FCFA), avec un ratio de transformation de 55%, et la couverture des intérêts par le résultat d'exploitation est de 329,33%, un niveau très confortable. Le taux de croissance du PNB de 16,90% en 2025 confirme la dynamique commerciale soutenue de la banque.</w:t>
      </w:r>
    </w:p>
    <w:p>
      <w:pPr>
        <w:spacing w:after="120" w:line="276" w:lineRule="auto"/>
      </w:pPr>
      <w:r>
        <w:t>**Estimations basées sur les rapports trimestriels** : Le rapport du **1er trimestre 2026 (publié le 31 mars 2026)** indique un PNB de 21 214 MFCFA (+17,01% sur un an) et un résultat net de 10 387 MFCFA (+29,66%), avec une marge nette en amélioration à 49,0% (contre 44,2% au T1 2025). Le rapport du **3e trimestre 2025 (30 septembre 2025)** faisait déjà état d'un PNB cumulé de 58 119 MFCFA (+16,4%) et d'un résultat net de 27 402 MFCFA (+50,8%), avec une marge nette de 47,1%. Sur la base de ces tendances, **on estime que l'exercice 2026 devrait enregistrer un PNB supérieur à 85 Mds FCFA et un résultat net approchant 40 Mds FCFA**, confirmant la trajectoire de croissance à deux chiffres. Le rapport du **1er semestre 2025 (30 juin 2025)** soulignait déjà une marge nette de 43,8% et une réduction drastique du coût du risque (-72,8%), tandis que le rapport **annuel 2024 (31 décembre 2024)** affichait un PNB de 68 063 MFCFA (+22,6%) et un résultat net de 26 226 MFCFA (+57,1%), avec un ROE de 28,6%. L'évolution temporelle montre une **amélioration continue des marges** (marge nette passant de 38,5% en 2024 à 45,9% en 2025 et 49,0% au T1 2026) et une **maîtrise remarquable des coûts**.</w:t>
      </w:r>
    </w:p>
    <w:p>
      <w:pPr>
        <w:spacing w:after="120" w:line="276" w:lineRule="auto"/>
      </w:pPr>
      <w:r>
        <w:t>**Recommandation fondamentale** : BICICI présente des fondamentaux **exceptionnels** avec une rentabilité parmi les meilleures de la BRVM, une structure financière solide et une croissance soutenue. Les principaux risques identifiés sont la baisse des encours de crédits (-4,47% au T1 2026 due à des remboursements anticipés) et la dépendance à l'environnement macroéconomique de l'UEMOA. La recommandation fondamentale est **ACHAT**, soutenue par la qualité du bilan, la croissance des dépôts (+14,5% au T1 2026) et la capacité de la banque à améliorer ses marges malgré un contexte de contraction du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nuancée. **Sur le plan de la valorisation (Partie 0)**, les ratios PER (14,4x) et P/B (4,35x) indiquent une valorisation exigeante mais justifiée par un ROE de 30,29%, sans surévaluation manifeste. **Le comportement du cours (Partie 1)** est haussier sur 100 jours (+19,32%) avec une volatilité élevée (36,5%) et une distribution asymétrique positive (skewness 1,020), ce qui suggère un potentiel de continuation mais aussi un risque de correction. **Les signaux techniques (Partie 2)** sont divergents : les moyennes mobiles sont haussières, mais le MACD est baissier et le RSI neutre, plaidant pour une consolidation à court terme. **Les fondamentaux (Partie 3)** sont excellents, avec une croissance du PNB (+16,9% en 2025) et du résultat net (+29,7% au T1 2026), une marge nette de 49,0% et un coefficient d'exploitation de 50,83%. **Les prédictions IA (J+1 à J+10)** anticipent une légère baisse du cours de 31 592 FCFA à 31 397 FCFA, confirmant la phase de consolidation technique sans remettre en cause la tendance de fond.</w:t>
      </w:r>
    </w:p>
    <w:p>
      <w:pPr>
        <w:spacing w:after="120" w:line="276" w:lineRule="auto"/>
      </w:pPr>
      <w:r>
        <w:t>**Recommandation finale : ACHAT** — Les fondamentaux solides, la croissance rentable et la qualité du bilan l'emportent sur les signaux techniques à court terme mitigés. La convergence entre la valorisation raisonnable (PER 14,4x), la dynamique fondamentale exceptionnelle (ROE 30,29%, marge nette 49,0%) et les prédictions IA (consolidation modérée) soutient une perspective positive à moyen terme. **Niveau de confiance : Élevé** — les données financières sont robustes et les tendances trimestrielles confirment la trajectoire. **Niveau de risque global : Moyen** — la volatilité élevée (36,5%) et la dépendance macroéconomique imposent une vigilance, mais la solidité financière atténue ce risque. **Horizon d'investissement optimal : Moyen terme (3-12 mois)** — le temps de laisser la consolidation technique se résorber et la croissance des bénéfices se matérialiser dans le cours.</w:t>
      </w:r>
    </w:p>
    <w:p>
      <w:pPr>
        <w:spacing w:after="120" w:line="276" w:lineRule="auto"/>
      </w:pPr>
      <w:r>
        <w: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2,964 titres</w:t>
            </w:r>
          </w:p>
        </w:tc>
        <w:tc>
          <w:tcPr>
            <w:tcW w:type="dxa" w:w="2268"/>
            <w:shd w:fill="FFF2CC" w:val="clear"/>
          </w:tcPr>
          <w:p>
            <w:r>
              <w:rPr>
                <w:b/>
                <w:color w:val="503200"/>
                <w:sz w:val="16"/>
              </w:rPr>
              <w:t xml:space="preserve">Cours actuel : </w:t>
            </w:r>
            <w:r>
              <w:rPr>
                <w:color w:val="000000"/>
                <w:sz w:val="17"/>
              </w:rPr>
              <w:t>1,950 FCFA</w:t>
            </w:r>
          </w:p>
          <w:p>
            <w:r>
              <w:rPr>
                <w:b/>
                <w:color w:val="503200"/>
                <w:sz w:val="16"/>
              </w:rPr>
              <w:t xml:space="preserve">Var. 100 jours : </w:t>
            </w:r>
            <w:r>
              <w:rPr>
                <w:b/>
                <w:color w:val="007800"/>
                <w:sz w:val="17"/>
              </w:rPr>
              <w:t>+22.64%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51.3%</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9.98% (Moyenne) — μ=1,922 FCFA, σ=192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β=0.4253 (Défensif) — Cov=0.000031, Var(idx)=0.000073, ρ=0.113,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1,807</w:t>
            </w:r>
          </w:p>
        </w:tc>
        <w:tc>
          <w:tcPr>
            <w:tcW w:type="dxa" w:w="1440"/>
            <w:shd w:fill="FAFAFA" w:val="clear"/>
          </w:tcPr>
          <w:p>
            <w:r>
              <w:rPr>
                <w:b/>
                <w:sz w:val="17"/>
              </w:rPr>
              <w:t>1,937</w:t>
            </w:r>
          </w:p>
        </w:tc>
        <w:tc>
          <w:tcPr>
            <w:tcW w:type="dxa" w:w="1440"/>
            <w:shd w:fill="FAFAFA" w:val="clear"/>
          </w:tcPr>
          <w:p>
            <w:r>
              <w:rPr>
                <w:sz w:val="17"/>
              </w:rPr>
              <w:t>2,068</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1,756</w:t>
            </w:r>
          </w:p>
        </w:tc>
        <w:tc>
          <w:tcPr>
            <w:tcW w:type="dxa" w:w="1440"/>
            <w:shd w:fill="FAFAFA" w:val="clear"/>
          </w:tcPr>
          <w:p>
            <w:r>
              <w:rPr>
                <w:b/>
                <w:sz w:val="17"/>
              </w:rPr>
              <w:t>1,941</w:t>
            </w:r>
          </w:p>
        </w:tc>
        <w:tc>
          <w:tcPr>
            <w:tcW w:type="dxa" w:w="1440"/>
            <w:shd w:fill="FAFAFA" w:val="clear"/>
          </w:tcPr>
          <w:p>
            <w:r>
              <w:rPr>
                <w:sz w:val="17"/>
              </w:rPr>
              <w:t>2,126</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1,709</w:t>
            </w:r>
          </w:p>
        </w:tc>
        <w:tc>
          <w:tcPr>
            <w:tcW w:type="dxa" w:w="1440"/>
            <w:shd w:fill="FAFAFA" w:val="clear"/>
          </w:tcPr>
          <w:p>
            <w:r>
              <w:rPr>
                <w:b/>
                <w:sz w:val="17"/>
              </w:rPr>
              <w:t>1,935</w:t>
            </w:r>
          </w:p>
        </w:tc>
        <w:tc>
          <w:tcPr>
            <w:tcW w:type="dxa" w:w="1440"/>
            <w:shd w:fill="FAFAFA" w:val="clear"/>
          </w:tcPr>
          <w:p>
            <w:r>
              <w:rPr>
                <w:sz w:val="17"/>
              </w:rPr>
              <w:t>2,161</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1,668</w:t>
            </w:r>
          </w:p>
        </w:tc>
        <w:tc>
          <w:tcPr>
            <w:tcW w:type="dxa" w:w="1440"/>
            <w:shd w:fill="FAFAFA" w:val="clear"/>
          </w:tcPr>
          <w:p>
            <w:r>
              <w:rPr>
                <w:b/>
                <w:sz w:val="17"/>
              </w:rPr>
              <w:t>1,929</w:t>
            </w:r>
          </w:p>
        </w:tc>
        <w:tc>
          <w:tcPr>
            <w:tcW w:type="dxa" w:w="1440"/>
            <w:shd w:fill="FAFAFA" w:val="clear"/>
          </w:tcPr>
          <w:p>
            <w:r>
              <w:rPr>
                <w:sz w:val="17"/>
              </w:rPr>
              <w:t>2,189</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1,633</w:t>
            </w:r>
          </w:p>
        </w:tc>
        <w:tc>
          <w:tcPr>
            <w:tcW w:type="dxa" w:w="1440"/>
            <w:shd w:fill="FAFAFA" w:val="clear"/>
          </w:tcPr>
          <w:p>
            <w:r>
              <w:rPr>
                <w:b/>
                <w:sz w:val="17"/>
              </w:rPr>
              <w:t>1,923</w:t>
            </w:r>
          </w:p>
        </w:tc>
        <w:tc>
          <w:tcPr>
            <w:tcW w:type="dxa" w:w="1440"/>
            <w:shd w:fill="FAFAFA" w:val="clear"/>
          </w:tcPr>
          <w:p>
            <w:r>
              <w:rPr>
                <w:sz w:val="17"/>
              </w:rPr>
              <w:t>2,214</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1,602</w:t>
            </w:r>
          </w:p>
        </w:tc>
        <w:tc>
          <w:tcPr>
            <w:tcW w:type="dxa" w:w="1440"/>
            <w:shd w:fill="FAFAFA" w:val="clear"/>
          </w:tcPr>
          <w:p>
            <w:r>
              <w:rPr>
                <w:b/>
                <w:sz w:val="17"/>
              </w:rPr>
              <w:t>1,919</w:t>
            </w:r>
          </w:p>
        </w:tc>
        <w:tc>
          <w:tcPr>
            <w:tcW w:type="dxa" w:w="1440"/>
            <w:shd w:fill="FAFAFA" w:val="clear"/>
          </w:tcPr>
          <w:p>
            <w:r>
              <w:rPr>
                <w:sz w:val="17"/>
              </w:rPr>
              <w:t>2,236</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1,573</w:t>
            </w:r>
          </w:p>
        </w:tc>
        <w:tc>
          <w:tcPr>
            <w:tcW w:type="dxa" w:w="1440"/>
            <w:shd w:fill="FAFAFA" w:val="clear"/>
          </w:tcPr>
          <w:p>
            <w:r>
              <w:rPr>
                <w:b/>
                <w:sz w:val="17"/>
              </w:rPr>
              <w:t>1,915</w:t>
            </w:r>
          </w:p>
        </w:tc>
        <w:tc>
          <w:tcPr>
            <w:tcW w:type="dxa" w:w="1440"/>
            <w:shd w:fill="FAFAFA" w:val="clear"/>
          </w:tcPr>
          <w:p>
            <w:r>
              <w:rPr>
                <w:sz w:val="17"/>
              </w:rPr>
              <w:t>2,257</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1,546</w:t>
            </w:r>
          </w:p>
        </w:tc>
        <w:tc>
          <w:tcPr>
            <w:tcW w:type="dxa" w:w="1440"/>
            <w:shd w:fill="FAFAFA" w:val="clear"/>
          </w:tcPr>
          <w:p>
            <w:r>
              <w:rPr>
                <w:b/>
                <w:sz w:val="17"/>
              </w:rPr>
              <w:t>1,911</w:t>
            </w:r>
          </w:p>
        </w:tc>
        <w:tc>
          <w:tcPr>
            <w:tcW w:type="dxa" w:w="1440"/>
            <w:shd w:fill="FAFAFA" w:val="clear"/>
          </w:tcPr>
          <w:p>
            <w:r>
              <w:rPr>
                <w:sz w:val="17"/>
              </w:rPr>
              <w:t>2,276</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1,521</w:t>
            </w:r>
          </w:p>
        </w:tc>
        <w:tc>
          <w:tcPr>
            <w:tcW w:type="dxa" w:w="1440"/>
            <w:shd w:fill="FFDCE0" w:val="clear"/>
          </w:tcPr>
          <w:p>
            <w:r>
              <w:rPr>
                <w:b/>
                <w:sz w:val="17"/>
              </w:rPr>
              <w:t>1,908</w:t>
            </w:r>
          </w:p>
        </w:tc>
        <w:tc>
          <w:tcPr>
            <w:tcW w:type="dxa" w:w="1440"/>
            <w:shd w:fill="FFDCE0" w:val="clear"/>
          </w:tcPr>
          <w:p>
            <w:r>
              <w:rPr>
                <w:sz w:val="17"/>
              </w:rPr>
              <w:t>2,294</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1,498</w:t>
            </w:r>
          </w:p>
        </w:tc>
        <w:tc>
          <w:tcPr>
            <w:tcW w:type="dxa" w:w="1440"/>
            <w:shd w:fill="FFDCE0" w:val="clear"/>
          </w:tcPr>
          <w:p>
            <w:r>
              <w:rPr>
                <w:b/>
                <w:sz w:val="17"/>
              </w:rPr>
              <w:t>1,905</w:t>
            </w:r>
          </w:p>
        </w:tc>
        <w:tc>
          <w:tcPr>
            <w:tcW w:type="dxa" w:w="1440"/>
            <w:shd w:fill="FFDCE0" w:val="clear"/>
          </w:tcPr>
          <w:p>
            <w:r>
              <w:rPr>
                <w:sz w:val="17"/>
              </w:rPr>
              <w:t>2,311</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12,92 milliards FCFA, un niveau modeste à l'échelle de la BRVM qui la classe parmi les petites capitalisations du compartiment industriel. Le BPA de 3 FCFA/action traduit une rentabilité par titre quasi-symbolique, ce qui explique mécaniquement un PER de 578,8x — un niveau stratosphérique comparé à la moyenne BRVM (8-12x), signalant que les investisseurs paient très cher un bénéfice quasi inexistant. À l'inverse, le P/B de 0,73x indique que le marché valorise l'action à 27% en dessous de sa valeur comptable, ce qui constitue une anomalie potentiellement attractive pour un investisseur « value ». L'EV/EBITDA de 24,1x demeure très exigeant (&gt;15x), suggérant que la valeur d'entreprise intègre des anticipations de redressement opérationnel non encore matérialisées. La lecture croisée de ces ratios révèle un titre dont la valorisation boursière repose davantage sur l'actif net que sur la capacité bénéficiaire.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BNBC a progressé de +22,64%, avec une dernière séance en hausse de +2,63%, portant le titre à 1 950 FCFA. Le range de trading est large, entre un plus bas de 1 495 FCFA et un plus haut de 2 400 FCFA, soit une amplitude de 60% qui témoigne d'une forte nervosité du titre. La moyenne (1 922 FCFA) et la médiane (1 962 FCFA) sont proches, mais le mode (1 990 FCFA) légèrement supérieur suggère une concentration des échanges dans la zone haute du range, bien que le cours actuel se situe en dessous de ces deux repères. L'écart-type de 193 FCFA avec un coefficient de variation de 10,0% indique une dispersion modérée autour de la moyenne. Le kurtosis de 0,172 (mésokurtique) et le skewness de -0,279 (distribution quasi-symétrique) signalent l'absence de pics extrêmes ou d'asymétrie marquée, ce qui est rassurant. En revanche, la volatilité annualisée de 51,3% classe ce titre dans la catégorie « très volatile »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(2 012,5 FCFA) et la MM50 (2 026,8 FCFA) se situent toutes deux au-dessus du cours actuel (1 950 FCFA), ce qui place le titre en configuration baissière de court terme. La MM20 étant légèrement sous la MM50, on observe un début de croisement baissier, confirmant la décision « Vente » fournie par le système.</w:t>
      </w:r>
    </w:p>
    <w:p>
      <w:pPr>
        <w:spacing w:after="120" w:line="276" w:lineRule="auto"/>
      </w:pPr>
      <w:r>
        <w:t>**Bandes de Bollinger** : Le cours (1 950 FCFA) évolue dans la partie médiane de la bande, entre la borne inférieure (1 743,8 FCFA) et la borne supérieure (2 281,2 FCFA). Cette position centrale, couplée à un rétrécissement apparent des bandes, traduit une phase de consolidation sans direction claire, justifiant la décision « Neutre ».</w:t>
      </w:r>
    </w:p>
    <w:p>
      <w:pPr>
        <w:spacing w:after="120" w:line="276" w:lineRule="auto"/>
      </w:pPr>
      <w:r>
        <w:t>**MACD** : La valeur du MACD (-51,285) est inférieure à son signal (-38,763), avec un histogramme négatif. Cette configuration baissière indique que le momentum est orienté à la baisse, bien que l'écart entre les deux lignes se réduise, suggérant un essoufflement possible de la dynamique négative. La décision « Vente » reste toutefois de mise.</w:t>
      </w:r>
    </w:p>
    <w:p>
      <w:pPr>
        <w:spacing w:after="120" w:line="276" w:lineRule="auto"/>
      </w:pPr>
      <w:r>
        <w:t>**RSI** : À 39,31, le RSI se situe dans la zone neutre basse (30-70), sans atteindre la zone de survente (&lt;30). Cela indique une pression vendeuse modérée mais pas de capitulation, laissant la porte ouverte à un rebond technique. La décision « Neutre » est cohérente.</w:t>
      </w:r>
    </w:p>
    <w:p>
      <w:pPr>
        <w:spacing w:after="120" w:line="276" w:lineRule="auto"/>
      </w:pPr>
      <w:r>
        <w:t>**Stochastique** : Le %K (56,0) est nettement supérieur au %D (28,836), ce qui constitue un croisement haussier potentiel. Cette configuration suggère un début de retournement à la hausse, mais la décision reste « Neutre » car le signal n'est pas encore confirmé par les autres indicateurs.</w:t>
      </w:r>
    </w:p>
    <w:p>
      <w:pPr>
        <w:spacing w:after="120" w:line="276" w:lineRule="auto"/>
      </w:pPr>
      <w:r>
        <w:t>**Conclusion technique** : Les indicateurs techniques présentent un tableau mitigé. Les moyennes mobiles et le MACD sont baissiers, tandis que le RSI et le stochastique suggèrent un possible rebond. Les bandes de Bollinger confirment une phase de consolidation. Dans l'ensemble, le titre se trouve à un point d'inflexion technique, avec une légère prédominance des signaux baissiers à court terme, mais un potentiel de retournement à surveiller.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BNBC a réalisé un chiffre d'affaires de 42,454 milliards FCFA, en recul de -6,31% par rapport à 2024 (45,312 milliards FCFA), selon les états financiers annuels. Le résultat net s'établit à 22,318 millions FCFA, en amélioration de +205% par rapport aux 7,313 millions de 2024, mais la marge nette reste quasi-nulle à 0,0526%. Le ROE est de 0,1256% et le ROA de 0,0454%, des niveaux extrêmement faibles qui traduisent une rentabilité anémique. Sur le plan structurel, l'entreprise affiche un BFR de 29,373 milliards FCFA (défavorable), une trésorerie nette négative de -16,689 milliards FCFA et un ratio d'endettement de 105,48%, ce qui révèle une dépendance financière élevée (63,84%). Les délais d'exploitation sont préoccupants : 104,40 jours pour les clients (risque de trésorerie) et 339,23 jours de stockage (immobilisation de capital), tandis que le délai fournisseurs de 116,09 jours est favorable. Le rapport du T1 2026 (publié en 2026) indique un chiffre d'affaires stable à 11,194 milliards FCFA (-0,12%) et un résultat net positif de 65,566 millions FCFA, contre une perte de -16,147 millions au T1 2025, grâce à l'intégration de la division Équipement. Toutefois, le rapport du T3 2025 (daté du 30/09/2025) faisait état d'une perte nette cumulée de -157,03 millions FCFA, et celui du S1 2025 (30/06/2025) d'une perte de -139,57 millions FCFA, ce qui montre une volatilité trimestrielle importante. On estime, sur la base du T1 2026, que l'exercice 2026 pourrait renouer avec un résultat net annuel positif si la montée en puissance des nouvelles divisions se confirme, mais la faiblesse structurelle des marges et la trésorerie négative persistante constituent des risques majeurs. La recommandation fondamentale est donc de **conserver** le titre sous surveillance étroite, en attendant une confirmation durable du redressement opérationnel.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BNBC présente un profil paradoxal : un PER de 578,8x et un EV/EBITDA de 24,1x suggèrent une surévaluation manifeste au regard des bénéfices actuels, mais un P/B de 0,73x indique que le marché valorise l'entreprise en dessous de sa valeur comptable, ce qui pourrait constituer une opportunité pour un investisseur patient. Le comportement du cours sur 100 jours (+22,64%) est haussier, mais la volatilité annualisée de 51,3% et la position du titre sous ses moyennes mobiles (MM20 et MM50) tempèrent l'optimisme. Les signaux techniques sont mitigés : le MACD et les moyennes mobiles sont baissiers, tandis que le RSI et le stochastique suggèrent un possible rebond, sans convergence claire. Les fondamentaux demeurent fragiles : malgré une amélioration du résultat net en 2025 (22,3 millions FCFA) et un T1 2026 positif (65,6 millions FCFA), la marge nette de 0,05%, la trésorerie négative de -16,7 milliards FCFA et le BFR de 29,4 milliards FCFA constituent des risques majeurs. Les prédictions IA pour les 10 prochains jours (1 937 → 1 923 FCFA) anticipent une légère baisse, ce qui contredit les signaux haussiers du stochastique et du RSI, mais s'aligne sur la tendance baissière des moyennes mobiles et du MACD. Sur la base de cette synthèse, la recommandation finale est **CONSERVER**, avec un niveau de confiance **Moyen** et un risque global **Élevé**. L'horizon d'investissement optimal est le **moyen terme (3-12 mois)**, en surveillant les prochains rapports trimestriels (T2 2026) pour confirmer la trajectoire de redressement. Une dégradation supplémentaire des fondamentaux ou une cassure du support de 1 743 FCFA (borne inférieure de Bollinger) justifierait un passage à la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379.65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5,465 titres</w:t>
            </w:r>
          </w:p>
        </w:tc>
        <w:tc>
          <w:tcPr>
            <w:tcW w:type="dxa" w:w="2268"/>
            <w:shd w:fill="FFF2CC" w:val="clear"/>
          </w:tcPr>
          <w:p>
            <w:r>
              <w:rPr>
                <w:b/>
                <w:color w:val="503200"/>
                <w:sz w:val="16"/>
              </w:rPr>
              <w:t xml:space="preserve">Cours actuel : </w:t>
            </w:r>
            <w:r>
              <w:rPr>
                <w:color w:val="000000"/>
                <w:sz w:val="17"/>
              </w:rPr>
              <w:t>9,360 FCFA</w:t>
            </w:r>
          </w:p>
          <w:p>
            <w:r>
              <w:rPr>
                <w:b/>
                <w:color w:val="503200"/>
                <w:sz w:val="16"/>
              </w:rPr>
              <w:t xml:space="preserve">Var. 100 jours : </w:t>
            </w:r>
            <w:r>
              <w:rPr>
                <w:b/>
                <w:color w:val="B40000"/>
                <w:sz w:val="17"/>
              </w:rPr>
              <w:t>-0.53%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μ=9,174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β=0.5396 (Défensif) — Cov=0.000040, Var(idx)=0.000073, ρ=0.253,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8,989</w:t>
            </w:r>
          </w:p>
        </w:tc>
        <w:tc>
          <w:tcPr>
            <w:tcW w:type="dxa" w:w="1440"/>
            <w:shd w:fill="FAFAFA" w:val="clear"/>
          </w:tcPr>
          <w:p>
            <w:r>
              <w:rPr>
                <w:b/>
                <w:sz w:val="17"/>
              </w:rPr>
              <w:t>9,314</w:t>
            </w:r>
          </w:p>
        </w:tc>
        <w:tc>
          <w:tcPr>
            <w:tcW w:type="dxa" w:w="1440"/>
            <w:shd w:fill="FAFAFA" w:val="clear"/>
          </w:tcPr>
          <w:p>
            <w:r>
              <w:rPr>
                <w:sz w:val="17"/>
              </w:rPr>
              <w:t>9,638</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8,831</w:t>
            </w:r>
          </w:p>
        </w:tc>
        <w:tc>
          <w:tcPr>
            <w:tcW w:type="dxa" w:w="1440"/>
            <w:shd w:fill="FAFAFA" w:val="clear"/>
          </w:tcPr>
          <w:p>
            <w:r>
              <w:rPr>
                <w:b/>
                <w:sz w:val="17"/>
              </w:rPr>
              <w:t>9,289</w:t>
            </w:r>
          </w:p>
        </w:tc>
        <w:tc>
          <w:tcPr>
            <w:tcW w:type="dxa" w:w="1440"/>
            <w:shd w:fill="FAFAFA" w:val="clear"/>
          </w:tcPr>
          <w:p>
            <w:r>
              <w:rPr>
                <w:sz w:val="17"/>
              </w:rPr>
              <w:t>9,746</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8,705</w:t>
            </w:r>
          </w:p>
        </w:tc>
        <w:tc>
          <w:tcPr>
            <w:tcW w:type="dxa" w:w="1440"/>
            <w:shd w:fill="FAFAFA" w:val="clear"/>
          </w:tcPr>
          <w:p>
            <w:r>
              <w:rPr>
                <w:b/>
                <w:sz w:val="17"/>
              </w:rPr>
              <w:t>9,263</w:t>
            </w:r>
          </w:p>
        </w:tc>
        <w:tc>
          <w:tcPr>
            <w:tcW w:type="dxa" w:w="1440"/>
            <w:shd w:fill="FAFAFA" w:val="clear"/>
          </w:tcPr>
          <w:p>
            <w:r>
              <w:rPr>
                <w:sz w:val="17"/>
              </w:rPr>
              <w:t>9,822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8,598</w:t>
            </w:r>
          </w:p>
        </w:tc>
        <w:tc>
          <w:tcPr>
            <w:tcW w:type="dxa" w:w="1440"/>
            <w:shd w:fill="FAFAFA" w:val="clear"/>
          </w:tcPr>
          <w:p>
            <w:r>
              <w:rPr>
                <w:b/>
                <w:sz w:val="17"/>
              </w:rPr>
              <w:t>9,242</w:t>
            </w:r>
          </w:p>
        </w:tc>
        <w:tc>
          <w:tcPr>
            <w:tcW w:type="dxa" w:w="1440"/>
            <w:shd w:fill="FAFAFA" w:val="clear"/>
          </w:tcPr>
          <w:p>
            <w:r>
              <w:rPr>
                <w:sz w:val="17"/>
              </w:rPr>
              <w:t>9,886</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8,504</w:t>
            </w:r>
          </w:p>
        </w:tc>
        <w:tc>
          <w:tcPr>
            <w:tcW w:type="dxa" w:w="1440"/>
            <w:shd w:fill="FAFAFA" w:val="clear"/>
          </w:tcPr>
          <w:p>
            <w:r>
              <w:rPr>
                <w:b/>
                <w:sz w:val="17"/>
              </w:rPr>
              <w:t>9,222</w:t>
            </w:r>
          </w:p>
        </w:tc>
        <w:tc>
          <w:tcPr>
            <w:tcW w:type="dxa" w:w="1440"/>
            <w:shd w:fill="FAFAFA" w:val="clear"/>
          </w:tcPr>
          <w:p>
            <w:r>
              <w:rPr>
                <w:sz w:val="17"/>
              </w:rPr>
              <w:t>9,940</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8,418</w:t>
            </w:r>
          </w:p>
        </w:tc>
        <w:tc>
          <w:tcPr>
            <w:tcW w:type="dxa" w:w="1440"/>
            <w:shd w:fill="FAFAFA" w:val="clear"/>
          </w:tcPr>
          <w:p>
            <w:r>
              <w:rPr>
                <w:b/>
                <w:sz w:val="17"/>
              </w:rPr>
              <w:t>9,204</w:t>
            </w:r>
          </w:p>
        </w:tc>
        <w:tc>
          <w:tcPr>
            <w:tcW w:type="dxa" w:w="1440"/>
            <w:shd w:fill="FAFAFA" w:val="clear"/>
          </w:tcPr>
          <w:p>
            <w:r>
              <w:rPr>
                <w:sz w:val="17"/>
              </w:rPr>
              <w:t>9,989</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8,340</w:t>
            </w:r>
          </w:p>
        </w:tc>
        <w:tc>
          <w:tcPr>
            <w:tcW w:type="dxa" w:w="1440"/>
            <w:shd w:fill="FAFAFA" w:val="clear"/>
          </w:tcPr>
          <w:p>
            <w:r>
              <w:rPr>
                <w:b/>
                <w:sz w:val="17"/>
              </w:rPr>
              <w:t>9,186</w:t>
            </w:r>
          </w:p>
        </w:tc>
        <w:tc>
          <w:tcPr>
            <w:tcW w:type="dxa" w:w="1440"/>
            <w:shd w:fill="FAFAFA" w:val="clear"/>
          </w:tcPr>
          <w:p>
            <w:r>
              <w:rPr>
                <w:sz w:val="17"/>
              </w:rPr>
              <w:t>10,033</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8,266</w:t>
            </w:r>
          </w:p>
        </w:tc>
        <w:tc>
          <w:tcPr>
            <w:tcW w:type="dxa" w:w="1440"/>
            <w:shd w:fill="FFDCE0" w:val="clear"/>
          </w:tcPr>
          <w:p>
            <w:r>
              <w:rPr>
                <w:b/>
                <w:sz w:val="17"/>
              </w:rPr>
              <w:t>9,170</w:t>
            </w:r>
          </w:p>
        </w:tc>
        <w:tc>
          <w:tcPr>
            <w:tcW w:type="dxa" w:w="1440"/>
            <w:shd w:fill="FFDCE0" w:val="clear"/>
          </w:tcPr>
          <w:p>
            <w:r>
              <w:rPr>
                <w:sz w:val="17"/>
              </w:rPr>
              <w:t>10,073</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8,197</w:t>
            </w:r>
          </w:p>
        </w:tc>
        <w:tc>
          <w:tcPr>
            <w:tcW w:type="dxa" w:w="1440"/>
            <w:shd w:fill="FFDCE0" w:val="clear"/>
          </w:tcPr>
          <w:p>
            <w:r>
              <w:rPr>
                <w:b/>
                <w:sz w:val="17"/>
              </w:rPr>
              <w:t>9,154</w:t>
            </w:r>
          </w:p>
        </w:tc>
        <w:tc>
          <w:tcPr>
            <w:tcW w:type="dxa" w:w="1440"/>
            <w:shd w:fill="FFDCE0" w:val="clear"/>
          </w:tcPr>
          <w:p>
            <w:r>
              <w:rPr>
                <w:sz w:val="17"/>
              </w:rPr>
              <w:t>10,110</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8,132</w:t>
            </w:r>
          </w:p>
        </w:tc>
        <w:tc>
          <w:tcPr>
            <w:tcW w:type="dxa" w:w="1440"/>
            <w:shd w:fill="FFDCE0" w:val="clear"/>
          </w:tcPr>
          <w:p>
            <w:r>
              <w:rPr>
                <w:b/>
                <w:sz w:val="17"/>
              </w:rPr>
              <w:t>9,138</w:t>
            </w:r>
          </w:p>
        </w:tc>
        <w:tc>
          <w:tcPr>
            <w:tcW w:type="dxa" w:w="1440"/>
            <w:shd w:fill="FFDCE0" w:val="clear"/>
          </w:tcPr>
          <w:p>
            <w:r>
              <w:rPr>
                <w:sz w:val="17"/>
              </w:rPr>
              <w:t>10,145</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379,65 milliards FCFA, BOAB s'impose comme l'une des valeurs bancaires de référence de la cote BRVM, représentant un pilier de liquidité et de stabilité pour le compartiment financier régional. Le BPA de 496 FCFA/action traduit une capacité bénéficiaire solide, chaque titre générant près de 500 FCFA de profit net. Le PER de 18,9x se situe nettement au-dessus de la moyenne du marché BRVM (8-12x), signalant que les investisseurs acceptent une prime de valorisation significative, justifiée par la qualité des fondamentaux et la régularité des dividendes. Le P/B de 3,23x confirme cette prime de croissance : le marché valorise la banque à plus de trois fois sa valeur comptable, reflet de la confiance dans la rentabilité future (ROE &gt;17%). L'EV/EBITDA de 19,5x, très exigeant (&gt;15x), indique que la valeur d'entreprise intègre déjà une forte anticipation de croissance opérationnelle, ce qui limite la marge de sécurité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variation quasi-nulle de -0,53%, avec une légère reprise de +0,21% lors de la dernière séance, traduisant une phase de consolidation latérale après une période de volatilité. Le cours actuel de 9 360 FCFA évolue dans un range de trading de 1 830 FCFA, entre un plus bas de 8 520 FCFA et un plus haut de 10 350 FCFA, soit un écart de près de 21% entre les extrêmes — signe d'une volatilité intra-période significative. La tendance générale est stable à légèrement baissière, le titre ayant cédé du terrain depuis son pic sans toutefois s'effondrer, ce qui suggère une absorption progressive de la pression vendeuse. Les statistiques descriptives révèlent une distribution asymétrique : la moyenne (9 174 FCFA) dépasse la médiane (8 950 FCFA) et le mode (8 700 FCFA), confirmant un skewness positif de 0,933 — plus de journées ont été passées sous la moyenne, mais quelques séances hautes tirent la moyenne vers le haut. L'écart-type de 557 FCFA (CV=6,1%) indique une dispersion modérée du cours, tandis que le kurtosis de -0,544 (mésokurtique) suggère une distribution proche de la normale, sans risque excessif de pics extrêmes. La volatilité annualisée de 28,7% positionne le titre dans la catégorie modérée (15-30%), acceptable pour une valeur bancaire de premier plan.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(9 591 FCFA) et la MM50 (9 448 FCFA) se situent toutes deux au-dessus du cours actuel (9 360 FCFA), ce qui place le titre en position baissière à court terme. Cependant, la MM20 étant supérieure à la MM50, la configuration reste haussière sur le moyen terme, justifiant la décision "Achat" par croisement des moyennes. Le cours devra toutefois reconquérir ces niveaux pour confirmer un retournement.</w:t>
      </w:r>
    </w:p>
    <w:p>
      <w:pPr>
        <w:spacing w:after="120" w:line="276" w:lineRule="auto"/>
      </w:pPr>
      <w:r>
        <w:t>**Bandes de Bollinger** : Le cours actuel (9 360 FCFA) évolue dans la partie basse de la bande, entre la borne inférieure (8 655 FCFA) et la borne supérieure (10 527 FCFA), sans atteindre les extrêmes. Cette position médiane-basse traduit une absence de signal directionnel fort, justifiant la décision "Neutre". La largeur des bandes indique une volatilité normale, sans compression ni expansion notable.</w:t>
      </w:r>
    </w:p>
    <w:p>
      <w:pPr>
        <w:spacing w:after="120" w:line="276" w:lineRule="auto"/>
      </w:pPr>
      <w:r>
        <w:t>**MACD** : La valeur du MACD (-95,662) est inférieure à son signal (-65,988), confirmant un momentum baissier à court terme. La divergence négative entre les deux lignes justifie la décision "Vente", bien que l'écart reste modéré, n'excluant pas un retournement rapide si le cours se stabilise.</w:t>
      </w:r>
    </w:p>
    <w:p>
      <w:pPr>
        <w:spacing w:after="120" w:line="276" w:lineRule="auto"/>
      </w:pPr>
      <w:r>
        <w:t>**RSI** : À 38,571, le RSI se situe en zone neutre-basse (30-70), sans atteindre la zone de survente (&lt;30). Cette position indique une pression vendeuse modérée mais non excessive, justifiant la décision "Neutre". Un rebond technique pourrait survenir si le RSI se rapproche de 30.</w:t>
      </w:r>
    </w:p>
    <w:p>
      <w:pPr>
        <w:spacing w:after="120" w:line="276" w:lineRule="auto"/>
      </w:pPr>
      <w:r>
        <w:t>**Stochastique** : Le %K (43,511) est légèrement supérieur au %D (42,21), sans croisement significatif ni divergence marquée. Cette configuration neutre suggère une absence de signal fort, le marché attendant un catalyseur pour choisir une direction.</w:t>
      </w:r>
    </w:p>
    <w:p>
      <w:pPr>
        <w:spacing w:after="120" w:line="276" w:lineRule="auto"/>
      </w:pPr>
      <w:r>
        <w:t>**Conclusion technique** : Les indicateurs techniques présentent un tableau mitigé. Les moyennes mobiles restent haussières sur le moyen terme mais le cours évolue en dessous, le MACD est baissier, tandis que le RSI et le stochastique sont neutres. Les Bandes de Bollinger ne montrent pas de signal extrême. Cette divergence entre signaux haussiers (MM) et baissiers (MACD) plaide pour une phase de consolidation avant un éventuel rebond, avec un support clé à 8 655 FCFA (borne inférieure de Bollinger) et une résistance à 9 591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brossent le portrait d'une banque solide et rentable. Le Produit Net Bancaire (PNB), équivalent du chiffre d'affaires pour une banque, s'établit à 51,274 milliards FCFA, en croissance de 10,2% sur un an, porté par une marge nette bancaire en amélioration. Le résultat net atteint 20,107 milliards FCFA, générant un ROE de 17,11% (&gt;15% = excellent) et un ROA de 2,08%, confirmant la capacité de la banque à créer de la valeur sur ses fonds propres et ses actifs. Le coefficient d'exploitation de 49,53% (&lt;50% = excellente efficacité) témoigne d'une maîtrise remarquable des charges, tandis que le coût du risque de 22,50% (provisions/charges financières) reste élevé, signalant une vigilance nécessaire sur la qualité du portefeuille de crédit. La structure financière affiche une autonomie financière de 12,18% (capitaux propres/total bilan), inférieure au seuil de 30% considéré comme sain, mais typique du modèle bancaire où les dépôts clientèle (711,642 milliards FCFA) constituent la principale ressource. Le ratio dépôts/crédits de 1,82 (711,6/391,7) indique une surliquidité, la banque collectant plus qu'elle ne prête, ce qui limite le risque mais pèse sur la marge d'intérêt. Les rapports trimestriels récents confirment la dynamique : le T1 2026 (rapport du 31 mars 2026) affiche un PNB de 12,329 milliards FCFA (+11% en glissement annuel), un résultat net de 4,502 milliards FCFA (+1%), et des dépôts clientèle en hausse de 3,5% à 753,7 milliards FCFA. Le T3 2025 (rapport du 30 septembre 2025) montrait déjà un PNB de 37,065 milliards FCFA (+9%) et un résultat net de 15,880 milliards FCFA (+13%), avec une contraction des crédits (-10%) et des dépôts (-5%) liée à des remboursements anticipés. Sur la base de ces tendances, on estime que l'exercice 2026 devrait enregistrer un PNB annuel proche de 53-55 milliards FCFA et un résultat net de l'ordre de 20-21 milliards FCFA, confirmant la solidité de la trajectoire bénéficiaire. La recommandation fondamentale est de **conserver** le titre : la banque affiche une rentabilité robuste, une efficacité opérationnelle excellente et une base de dépôts en croissance, mais la pression sur le résultat net (+1% au T1 2026) et la contraction du bilan (crédits en baisse)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18,9x et P/B de 3,23x intègrent déjà une prime de qualité, limitant le potentiel de revalorisation à court terme, même si la solidité des fondamentaux la justifie partiellement. Le comportement du cours (Partie 1) est neutre à légèrement baissier, avec une volatilité modérée (28,7%) et une distribution asymétrique positive (skewness 0,933) qui suggère que les investisseurs pourraient bénéficier de points d'entrée sur repli. Les signaux techniques (Partie 2) sont mitigés : les moyennes mobiles restent haussières mais le MACD est baissier, le RSI et le stochastique sont neutres, plaidant pour une consolidation avant un rebond. Les fondamentaux (Partie 3) sont solides : ROE de 17,11%, coefficient d'exploitation de 49,53%, PNB en croissance de 10,2% en 2025, mais le résultat net du T1 2026 (+1%) montre un ralentissement. Les prédictions IA (J+1 à J+10) anticipent une légère baisse vers 9 222 FCFA, confirmant la pression baissière à court terme sans effondrement. Sur la base de cette synthèse, la recommandation finale est **CONSERVER** : la convergence entre une valorisation exigeante, des signaux techniques mitigés et des fondamentaux solides mais en ralentissement ne justifie ni un achat agressif ni une vente. Le niveau de confiance est **Moyen**, car les indicateurs sont divergents (MM haussières vs MACD baissier). Le niveau de risque global est **Moyen**, la banque étant solide mais exposée aux aléas macroéconomiques régionaux. L'horizon d'investissement optimal est le **moyen terme (3-12 mois)**, le temps que la consolidation technique s'achève et que les fondamentaux confirment leur trajectoire.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6,370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+46.16%</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17.64% (Élevée) — μ=6,915 FCFA, σ=1,220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β=0.7599 (Défensif) — Cov=0.000056, Var(idx)=0.000073, ρ=0.285,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7,514</w:t>
            </w:r>
          </w:p>
        </w:tc>
        <w:tc>
          <w:tcPr>
            <w:tcW w:type="dxa" w:w="1440"/>
            <w:shd w:fill="FAFAFA" w:val="clear"/>
          </w:tcPr>
          <w:p>
            <w:r>
              <w:rPr>
                <w:b/>
                <w:sz w:val="17"/>
              </w:rPr>
              <w:t>7,884</w:t>
            </w:r>
          </w:p>
        </w:tc>
        <w:tc>
          <w:tcPr>
            <w:tcW w:type="dxa" w:w="1440"/>
            <w:shd w:fill="FAFAFA" w:val="clear"/>
          </w:tcPr>
          <w:p>
            <w:r>
              <w:rPr>
                <w:sz w:val="17"/>
              </w:rPr>
              <w:t>8,254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7,345</w:t>
            </w:r>
          </w:p>
        </w:tc>
        <w:tc>
          <w:tcPr>
            <w:tcW w:type="dxa" w:w="1440"/>
            <w:shd w:fill="FAFAFA" w:val="clear"/>
          </w:tcPr>
          <w:p>
            <w:r>
              <w:rPr>
                <w:b/>
                <w:sz w:val="17"/>
              </w:rPr>
              <w:t>7,867</w:t>
            </w:r>
          </w:p>
        </w:tc>
        <w:tc>
          <w:tcPr>
            <w:tcW w:type="dxa" w:w="1440"/>
            <w:shd w:fill="FAFAFA" w:val="clear"/>
          </w:tcPr>
          <w:p>
            <w:r>
              <w:rPr>
                <w:sz w:val="17"/>
              </w:rPr>
              <w:t>8,390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7,211</w:t>
            </w:r>
          </w:p>
        </w:tc>
        <w:tc>
          <w:tcPr>
            <w:tcW w:type="dxa" w:w="1440"/>
            <w:shd w:fill="FAFAFA" w:val="clear"/>
          </w:tcPr>
          <w:p>
            <w:r>
              <w:rPr>
                <w:b/>
                <w:sz w:val="17"/>
              </w:rPr>
              <w:t>7,849</w:t>
            </w:r>
          </w:p>
        </w:tc>
        <w:tc>
          <w:tcPr>
            <w:tcW w:type="dxa" w:w="1440"/>
            <w:shd w:fill="FAFAFA" w:val="clear"/>
          </w:tcPr>
          <w:p>
            <w:r>
              <w:rPr>
                <w:sz w:val="17"/>
              </w:rPr>
              <w:t>8,487</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7,096</w:t>
            </w:r>
          </w:p>
        </w:tc>
        <w:tc>
          <w:tcPr>
            <w:tcW w:type="dxa" w:w="1440"/>
            <w:shd w:fill="FAFAFA" w:val="clear"/>
          </w:tcPr>
          <w:p>
            <w:r>
              <w:rPr>
                <w:b/>
                <w:sz w:val="17"/>
              </w:rPr>
              <w:t>7,832</w:t>
            </w:r>
          </w:p>
        </w:tc>
        <w:tc>
          <w:tcPr>
            <w:tcW w:type="dxa" w:w="1440"/>
            <w:shd w:fill="FAFAFA" w:val="clear"/>
          </w:tcPr>
          <w:p>
            <w:r>
              <w:rPr>
                <w:sz w:val="17"/>
              </w:rPr>
              <w:t>8,567</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6,994</w:t>
            </w:r>
          </w:p>
        </w:tc>
        <w:tc>
          <w:tcPr>
            <w:tcW w:type="dxa" w:w="1440"/>
            <w:shd w:fill="FAFAFA" w:val="clear"/>
          </w:tcPr>
          <w:p>
            <w:r>
              <w:rPr>
                <w:b/>
                <w:sz w:val="17"/>
              </w:rPr>
              <w:t>7,814</w:t>
            </w:r>
          </w:p>
        </w:tc>
        <w:tc>
          <w:tcPr>
            <w:tcW w:type="dxa" w:w="1440"/>
            <w:shd w:fill="FAFAFA" w:val="clear"/>
          </w:tcPr>
          <w:p>
            <w:r>
              <w:rPr>
                <w:sz w:val="17"/>
              </w:rPr>
              <w:t>8,635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6,901</w:t>
            </w:r>
          </w:p>
        </w:tc>
        <w:tc>
          <w:tcPr>
            <w:tcW w:type="dxa" w:w="1440"/>
            <w:shd w:fill="FAFAFA" w:val="clear"/>
          </w:tcPr>
          <w:p>
            <w:r>
              <w:rPr>
                <w:b/>
                <w:sz w:val="17"/>
              </w:rPr>
              <w:t>7,798</w:t>
            </w:r>
          </w:p>
        </w:tc>
        <w:tc>
          <w:tcPr>
            <w:tcW w:type="dxa" w:w="1440"/>
            <w:shd w:fill="FAFAFA" w:val="clear"/>
          </w:tcPr>
          <w:p>
            <w:r>
              <w:rPr>
                <w:sz w:val="17"/>
              </w:rPr>
              <w:t>8,695</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6,815</w:t>
            </w:r>
          </w:p>
        </w:tc>
        <w:tc>
          <w:tcPr>
            <w:tcW w:type="dxa" w:w="1440"/>
            <w:shd w:fill="FAFAFA" w:val="clear"/>
          </w:tcPr>
          <w:p>
            <w:r>
              <w:rPr>
                <w:b/>
                <w:sz w:val="17"/>
              </w:rPr>
              <w:t>7,782</w:t>
            </w:r>
          </w:p>
        </w:tc>
        <w:tc>
          <w:tcPr>
            <w:tcW w:type="dxa" w:w="1440"/>
            <w:shd w:fill="FAFAFA" w:val="clear"/>
          </w:tcPr>
          <w:p>
            <w:r>
              <w:rPr>
                <w:sz w:val="17"/>
              </w:rPr>
              <w:t>8,748</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6,735</w:t>
            </w:r>
          </w:p>
        </w:tc>
        <w:tc>
          <w:tcPr>
            <w:tcW w:type="dxa" w:w="1440"/>
            <w:shd w:fill="FAFAFA" w:val="clear"/>
          </w:tcPr>
          <w:p>
            <w:r>
              <w:rPr>
                <w:b/>
                <w:sz w:val="17"/>
              </w:rPr>
              <w:t>7,766</w:t>
            </w:r>
          </w:p>
        </w:tc>
        <w:tc>
          <w:tcPr>
            <w:tcW w:type="dxa" w:w="1440"/>
            <w:shd w:fill="FAFAFA" w:val="clear"/>
          </w:tcPr>
          <w:p>
            <w:r>
              <w:rPr>
                <w:sz w:val="17"/>
              </w:rPr>
              <w:t>8,798</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6,660</w:t>
            </w:r>
          </w:p>
        </w:tc>
        <w:tc>
          <w:tcPr>
            <w:tcW w:type="dxa" w:w="1440"/>
            <w:shd w:fill="FAFAFA" w:val="clear"/>
          </w:tcPr>
          <w:p>
            <w:r>
              <w:rPr>
                <w:b/>
                <w:sz w:val="17"/>
              </w:rPr>
              <w:t>7,751</w:t>
            </w:r>
          </w:p>
        </w:tc>
        <w:tc>
          <w:tcPr>
            <w:tcW w:type="dxa" w:w="1440"/>
            <w:shd w:fill="FAFAFA" w:val="clear"/>
          </w:tcPr>
          <w:p>
            <w:r>
              <w:rPr>
                <w:sz w:val="17"/>
              </w:rPr>
              <w:t>8,843</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6,588</w:t>
            </w:r>
          </w:p>
        </w:tc>
        <w:tc>
          <w:tcPr>
            <w:tcW w:type="dxa" w:w="1440"/>
            <w:shd w:fill="FFDCE0" w:val="clear"/>
          </w:tcPr>
          <w:p>
            <w:r>
              <w:rPr>
                <w:b/>
                <w:sz w:val="17"/>
              </w:rPr>
              <w:t>7,737</w:t>
            </w:r>
          </w:p>
        </w:tc>
        <w:tc>
          <w:tcPr>
            <w:tcW w:type="dxa" w:w="1440"/>
            <w:shd w:fill="FFDCE0" w:val="clear"/>
          </w:tcPr>
          <w:p>
            <w:r>
              <w:rPr>
                <w:sz w:val="17"/>
              </w:rPr>
              <w:t>8,885</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347,60 Mds FCFA, BOABF s'impose comme l'une des valeurs bancaires de référence de la cote BRVM, portée par un BPA de 438 FCFA/action qui matérialise le bénéfice net généré pour chaque titre détenu. Le PER de 18,1x traduit une valorisation nettement supérieure à la moyenne du marché BRVM (généralement située entre 8x et 12x), ce qui signifie que les investisseurs acceptent de payer une prime significative pour les bénéfices de la banque — prime qui se justifie en partie par la solidité de ses fondamentaux mais qui expose le titre à un risque de correction en cas de déception sur les résultats. Le P/B de 2,75x confirme cette lecture : le marché valorise BOABF à près de trois fois sa valeur comptable, accordant une prime de croissance et de qualité à l'établissement. Enfin, l'EV/EBITDA de 7,9x, situé dans la fourchette raisonnable de 5-10x, suggère que la valeur d'entreprise reste cohérente avec la capacité opérationnelle de la banque, offrant un contrepoids modérateur à la cherté relative du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+46,16%, passant d'un plus bas de 5 300 FCFA à un plus haut de 9 090 FCFA, avant de se stabiliser à 7 900 FCFA lors de la dernière séance (variation J-1 de 0,00%). Cette tendance haussière marquée traduit un fort engouement des investisseurs, probablement alimenté par la normalisation du coût du risque observée au premier semestre 2026 et par l'annonce d'un dividende de 397 FCFA/action payé le 23 avril 2026. Les statistiques descriptives révèlent une moyenne de 6 915 FCFA légèrement inférieure à la médiane de 7 100 FCFA (elle-même égale au mode), ce qui indique une distribution très légèrement asymétrique à gauche, avec quelques séances de forte baisse tirant la moyenne vers le bas. L'écart-type de 1 226 FCFA et le coefficient de variation de 17,7% témoignent d'une dispersion modérée du cours autour de sa tendance centrale. Le kurtosis négatif (-1,258, distribution platykurtique) signale une distribution aplatie avec une faible concentration des rendements autour de la moyenne, donc un risque de pics extrêmes relativement contenu ; le skewness de 0,237 confirme une distribution quasi-symétrique. La volatilité annualisée de 35,9% positionne le titre dans la catégorie des valeurs à volatilité élevée (&gt;30%), ce qui est cohérent avec son statut de valeur bancaire exposée au risque pays burkinabè.</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8 158,25 FCFA et la MM50 à 7 948,50 FCFA, toutes deux supérieures au cours actuel de 7 900 FCFA. Le croisement haussier (MM20 &gt; MM50) confirme une dynamique de fond positive, mais le fait que le cours évolue sous ses deux moyennes signale une correction à court terme. La décision technique fournie est "Achat", ce qui suggère que le repli actuel pourrait constituer un point d'entrée dans la tendance haussière de fond.</w:t>
      </w:r>
    </w:p>
    <w:p>
      <w:pPr>
        <w:spacing w:after="120" w:line="276" w:lineRule="auto"/>
      </w:pPr>
      <w:r>
        <w:t>**Bandes de Bollinger** : La borne supérieure se situe à 9 099,64 FCFA et la borne inférieure à 7 216,86 FCFA, encadrant un cours actuel de 7 900 FCFA qui évolue dans la partie basse du canal. Cette position suggère que le titre a purgé une partie de sa surchauffe après le rallye de +46%, sans toutefois atteindre la zone de survente. La décision "Neutre" reflète cette situation d'équilibre précaire, avec un potentiel de rebond vers le milieu de bande mais aussi un risque de test de la borne inférieure.</w:t>
      </w:r>
    </w:p>
    <w:p>
      <w:pPr>
        <w:spacing w:after="120" w:line="276" w:lineRule="auto"/>
      </w:pPr>
      <w:r>
        <w:t>**MACD** : La valeur du MACD (-45,358) est nettement inférieure à son signal (2,405), générant un croisement baissier caractéristique d'un momentum négatif à court terme. Cette configuration confirme que la dynamique haussière des 100 derniers jours s'essouffle et que la pression vendeuse l'emporte actuellement. La décision "Vente" qui en découle invite à la prudence avant tout nouvel engagement.</w:t>
      </w:r>
    </w:p>
    <w:p>
      <w:pPr>
        <w:spacing w:after="120" w:line="276" w:lineRule="auto"/>
      </w:pPr>
      <w:r>
        <w:t>**RSI** : À 43,961, le RSI se situe dans la zone neutre (30-70), légèrement en dessous du seuil médian de 50, ce qui traduit un léger déséquilibre en faveur des vendeurs sans pour autant atteindre la zone de survente (&lt;30). La décision "Neutre" indique qu'aucun signal directionnel fort ne se dégage de cet indicateur, laissant la porte ouverte à une reprise comme à une poursuite de la consolidation.</w:t>
      </w:r>
    </w:p>
    <w:p>
      <w:pPr>
        <w:spacing w:after="120" w:line="276" w:lineRule="auto"/>
      </w:pPr>
      <w:r>
        <w:t>**Stochastique** : Le %K (55,556) est légèrement supérieur au %D (52,258), configuration haussière naissante mais sans croisement franc ni divergence notable. La décision "Neutre" confirme l'absence de signal clair, le titre évoluant dans une zone d'indécision technique.</w:t>
      </w:r>
    </w:p>
    <w:p>
      <w:pPr>
        <w:spacing w:after="120" w:line="276" w:lineRule="auto"/>
      </w:pPr>
      <w:r>
        <w:t>**Conclusion technique** : Les indicateurs techniques présentent un tableau mitigé, avec une divergence notable entre les moyennes mobiles (signal d'achat sur le fond) et le MACD (signal de vente sur le momentum). Le RSI et le stochastique, en zone neutre, n'apportent pas d'arbitrage décisif. Cette configuration suggère une phase de consolidation en cours, avec un support potentiel autour de 7 200 FCFA (borne inférieure de Bollinger) et une résistance à 8 158 FCFA (MM20). La prudence est de mise à court terme, en attendant un signal de retournement plus franc.</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 généré un Produit Net Bancaire (PNB) de 57 820 Mds FCFA, quasi stable par rapport à 2024 (+0,6%), pour un résultat net de 19 252 Mds FCFA, en recul de -14,1% sur un an. Cette dégradation s'explique principalement par le doublement du coût du risque, passé de 4 303 à 8 355 Mds FCFA, conséquence d'une dégradation de la qualité du portefeuille de crédits. Le ROE s'établit à 15,22% (au-dessus du seuil d'excellence de 15%) et le ROA à 1,68%, confirmant la solidité structurelle de la rentabilité malgré le choc. Le coefficient d'exploitation de 47,19% (inférieur au seuil de 60%) témoigne d'une excellente efficacité opérationnelle. Le ratio dépôts/crédits s'élève à 877 822/474 064 = 1,85x, traduisant une surliquidité notable, renforcée par des créances interbancaires de 213 132 Mds FCFA (en forte hausse depuis 53 994 Mds FCFA en 2024). L'autonomie financière de 11,01% reste faible, mais c'est une caractéristique structurelle du secteur bancaire.</w:t>
      </w:r>
    </w:p>
    <w:p>
      <w:pPr>
        <w:spacing w:after="120" w:line="276" w:lineRule="auto"/>
      </w:pPr>
      <w:r>
        <w:t>**Estimations basées sur les rapports trimestriels** : Le rapport du T1 2026 (publié le 31/03/2026) fait état d'un PNB de 12 694 Mds FCFA, en repli de -10,75% sur un an, et d'un résultat net de 4 520 Mds FCFA (-12,99%). Le rapport du S1 2026 (publié le 30/06/2026) confirme cette tendance avec un PNB de 27 539 Mds FCFA (-5,2%) mais un résultat net en forte hausse de +31,0% à 10 770 Mds FCFA, grâce à une amélioration de 65,2% du coût du risque (-2 396 Mds FCFA contre -6 876 Mds FCFA un an plus tôt). Sur la base de ces éléments, on peut estimer que l'exercice 2026 devrait enregistrer un PNB en contraction modérée (autour de -3% à -5%, soit environ 55 000-56 000 Mds FCFA) mais un résultat net en nette progression (potentiellement +15% à +20%, soit environ 22 000-23 000 Mds FCFA), porté par la normalisation du coût du risque. Cette dynamique est toutefois fragile car elle repose davantage sur une base de comparaison favorable que sur une réelle accélération commerciale, les crédits nets ne progressant que de +1,3% au S1 2026.</w:t>
      </w:r>
    </w:p>
    <w:p>
      <w:pPr>
        <w:spacing w:after="120" w:line="276" w:lineRule="auto"/>
      </w:pPr>
      <w:r>
        <w:t>**Recommandation fondamentale** : La solidité financière de BOABF reste avérée (ROE &gt;15%, coefficient d'exploitation &lt;50%, surliquidité), mais les perspectives de croissance à moyen terme sont limitées par la stagnation du PNB et la faible dynamique du crédit. Le principal risque réside dans la pérennité de l'amélioration du coût du risque, qui pourrait ne pas se répéter en 2027. Recommandation : CONSERVER, avec un biais positif à court terme lié à la normalisation du risque, mais une vigilance accrue sur la dynamique commerciale sous-jacente.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révèle un profil d'investissement contrasté. Sur le plan de la **valorisation (Partie 0)**, le PER de 18,1x et le P/B de 2,75x indiquent une surévaluation relative par rapport aux standards du marché BRVM, bien que l'EV/EBITDA de 7,9x reste raisonnable. Le **comportement du cours (Partie 1)** montre une tendance haussière impressionnante (+46,16% sur 100 jours) mais une volatilité élevée (35,9%) et une distribution platykurtique qui suggère un risque de pics modéré. Les **signaux techniques (Partie 2)** sont divergents : les moyennes mobiles plaident pour un achat sur repli, tandis que le MACD signale une vente, le RSI et le stochastique restant neutres — configuration typique d'une phase de consolidation. Les **fondamentaux (Partie 3)** demeurent solides (ROE de 15,22%, coefficient d'exploitation de 47,19%) mais sont entachés par la stagnation du PNB et la dépendance à la normalisation du coût du risque. Enfin, les **prédictions IA (J+1 à J+10)** anticipent une légère dérive baissière du cours, de 7 884 FCFA à 7 814 FCFA, ce qui contredit la dynamique haussière de fond mais confirme la phase de consolidation technique actuelle.</w:t>
      </w:r>
    </w:p>
    <w:p>
      <w:pPr>
        <w:spacing w:after="120" w:line="276" w:lineRule="auto"/>
      </w:pPr>
      <w:r>
        <w:t>**Recommandation finale : CONSERVER.** La convergence entre une valorisation tendue, des signaux techniques mitigés et des fondamentaux solides mais sans catalyseur de croissance à court terme plaide pour une position attentiste. Le niveau de confiance est **Moyen**, car les prédictions IA et le MACD suggèrent une poursuite de la consolidation, tandis que les moyennes mobiles et la normalisation du risque offrent un potentiel de rebond. Le niveau de risque global est **Moyen à Élevé**, compte tenu de la volatilité du titre (35,9%) et de l'exposition au risque pays burkinabè. L'horizon d'investissement optimal est le **moyen terme (3-12 mois)**, le temps que la dynamique commerciale se confirme et que le titre retrouve une valorisation plus en ligne avec ses fondamentaux.</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10,809 titres</w:t>
            </w:r>
          </w:p>
        </w:tc>
        <w:tc>
          <w:tcPr>
            <w:tcW w:type="dxa" w:w="2268"/>
            <w:shd w:fill="FFF2CC" w:val="clear"/>
          </w:tcPr>
          <w:p>
            <w:r>
              <w:rPr>
                <w:b/>
                <w:color w:val="503200"/>
                <w:sz w:val="16"/>
              </w:rPr>
              <w:t xml:space="preserve">Cours actuel : </w:t>
            </w:r>
            <w:r>
              <w:rPr>
                <w:color w:val="000000"/>
                <w:sz w:val="17"/>
              </w:rPr>
              <w:t>11,300 FCFA</w:t>
            </w:r>
          </w:p>
          <w:p>
            <w:r>
              <w:rPr>
                <w:b/>
                <w:color w:val="503200"/>
                <w:sz w:val="16"/>
              </w:rPr>
              <w:t xml:space="preserve">Var. 100 jours : </w:t>
            </w:r>
            <w:r>
              <w:rPr>
                <w:b/>
                <w:color w:val="007800"/>
                <w:sz w:val="17"/>
              </w:rPr>
              <w:t>+31.40%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8,600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14.46% (Moyenne) — μ=10,610 FCFA, σ=1,534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β=0.7573 (Défensif) — Cov=0.000055, Var(idx)=0.000073, ρ=0.365,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10,982</w:t>
            </w:r>
          </w:p>
        </w:tc>
        <w:tc>
          <w:tcPr>
            <w:tcW w:type="dxa" w:w="1440"/>
            <w:shd w:fill="FAFAFA" w:val="clear"/>
          </w:tcPr>
          <w:p>
            <w:r>
              <w:rPr>
                <w:b/>
                <w:sz w:val="17"/>
              </w:rPr>
              <w:t>11,308</w:t>
            </w:r>
          </w:p>
        </w:tc>
        <w:tc>
          <w:tcPr>
            <w:tcW w:type="dxa" w:w="1440"/>
            <w:shd w:fill="FAFAFA" w:val="clear"/>
          </w:tcPr>
          <w:p>
            <w:r>
              <w:rPr>
                <w:sz w:val="17"/>
              </w:rPr>
              <w:t>11,633</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10,863</w:t>
            </w:r>
          </w:p>
        </w:tc>
        <w:tc>
          <w:tcPr>
            <w:tcW w:type="dxa" w:w="1440"/>
            <w:shd w:fill="FAFAFA" w:val="clear"/>
          </w:tcPr>
          <w:p>
            <w:r>
              <w:rPr>
                <w:b/>
                <w:sz w:val="17"/>
              </w:rPr>
              <w:t>11,324</w:t>
            </w:r>
          </w:p>
        </w:tc>
        <w:tc>
          <w:tcPr>
            <w:tcW w:type="dxa" w:w="1440"/>
            <w:shd w:fill="FAFAFA" w:val="clear"/>
          </w:tcPr>
          <w:p>
            <w:r>
              <w:rPr>
                <w:sz w:val="17"/>
              </w:rPr>
              <w:t>11,785</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10,776</w:t>
            </w:r>
          </w:p>
        </w:tc>
        <w:tc>
          <w:tcPr>
            <w:tcW w:type="dxa" w:w="1440"/>
            <w:shd w:fill="FAFAFA" w:val="clear"/>
          </w:tcPr>
          <w:p>
            <w:r>
              <w:rPr>
                <w:b/>
                <w:sz w:val="17"/>
              </w:rPr>
              <w:t>11,341</w:t>
            </w:r>
          </w:p>
        </w:tc>
        <w:tc>
          <w:tcPr>
            <w:tcW w:type="dxa" w:w="1440"/>
            <w:shd w:fill="FAFAFA" w:val="clear"/>
          </w:tcPr>
          <w:p>
            <w:r>
              <w:rPr>
                <w:sz w:val="17"/>
              </w:rPr>
              <w:t>11,907</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2026-10-13</w:t>
            </w:r>
          </w:p>
        </w:tc>
        <w:tc>
          <w:tcPr>
            <w:tcW w:type="dxa" w:w="1440"/>
            <w:shd w:fill="FAFAFA" w:val="clear"/>
          </w:tcPr>
          <w:p>
            <w:r>
              <w:rPr>
                <w:sz w:val="17"/>
              </w:rPr>
              <w:t>10,705</w:t>
            </w:r>
          </w:p>
        </w:tc>
        <w:tc>
          <w:tcPr>
            <w:tcW w:type="dxa" w:w="1440"/>
            <w:shd w:fill="FAFAFA" w:val="clear"/>
          </w:tcPr>
          <w:p>
            <w:r>
              <w:rPr>
                <w:b/>
                <w:sz w:val="17"/>
              </w:rPr>
              <w:t>11,359</w:t>
            </w:r>
          </w:p>
        </w:tc>
        <w:tc>
          <w:tcPr>
            <w:tcW w:type="dxa" w:w="1440"/>
            <w:shd w:fill="FAFAFA" w:val="clear"/>
          </w:tcPr>
          <w:p>
            <w:r>
              <w:rPr>
                <w:sz w:val="17"/>
              </w:rPr>
              <w:t>12,012</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2026-10-14</w:t>
            </w:r>
          </w:p>
        </w:tc>
        <w:tc>
          <w:tcPr>
            <w:tcW w:type="dxa" w:w="1440"/>
            <w:shd w:fill="FAFAFA" w:val="clear"/>
          </w:tcPr>
          <w:p>
            <w:r>
              <w:rPr>
                <w:sz w:val="17"/>
              </w:rPr>
              <w:t>10,643</w:t>
            </w:r>
          </w:p>
        </w:tc>
        <w:tc>
          <w:tcPr>
            <w:tcW w:type="dxa" w:w="1440"/>
            <w:shd w:fill="FAFAFA" w:val="clear"/>
          </w:tcPr>
          <w:p>
            <w:r>
              <w:rPr>
                <w:b/>
                <w:sz w:val="17"/>
              </w:rPr>
              <w:t>11,375</w:t>
            </w:r>
          </w:p>
        </w:tc>
        <w:tc>
          <w:tcPr>
            <w:tcW w:type="dxa" w:w="1440"/>
            <w:shd w:fill="FAFAFA" w:val="clear"/>
          </w:tcPr>
          <w:p>
            <w:r>
              <w:rPr>
                <w:sz w:val="17"/>
              </w:rPr>
              <w:t>12,107</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2026-10-15</w:t>
            </w:r>
          </w:p>
        </w:tc>
        <w:tc>
          <w:tcPr>
            <w:tcW w:type="dxa" w:w="1440"/>
            <w:shd w:fill="FAFAFA" w:val="clear"/>
          </w:tcPr>
          <w:p>
            <w:r>
              <w:rPr>
                <w:sz w:val="17"/>
              </w:rPr>
              <w:t>10,589</w:t>
            </w:r>
          </w:p>
        </w:tc>
        <w:tc>
          <w:tcPr>
            <w:tcW w:type="dxa" w:w="1440"/>
            <w:shd w:fill="FAFAFA" w:val="clear"/>
          </w:tcPr>
          <w:p>
            <w:r>
              <w:rPr>
                <w:b/>
                <w:sz w:val="17"/>
              </w:rPr>
              <w:t>11,392</w:t>
            </w:r>
          </w:p>
        </w:tc>
        <w:tc>
          <w:tcPr>
            <w:tcW w:type="dxa" w:w="1440"/>
            <w:shd w:fill="FAFAFA" w:val="clear"/>
          </w:tcPr>
          <w:p>
            <w:r>
              <w:rPr>
                <w:sz w:val="17"/>
              </w:rPr>
              <w:t>12,195</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2026-10-16</w:t>
            </w:r>
          </w:p>
        </w:tc>
        <w:tc>
          <w:tcPr>
            <w:tcW w:type="dxa" w:w="1440"/>
            <w:shd w:fill="FAFAFA" w:val="clear"/>
          </w:tcPr>
          <w:p>
            <w:r>
              <w:rPr>
                <w:sz w:val="17"/>
              </w:rPr>
              <w:t>10,539</w:t>
            </w:r>
          </w:p>
        </w:tc>
        <w:tc>
          <w:tcPr>
            <w:tcW w:type="dxa" w:w="1440"/>
            <w:shd w:fill="FAFAFA" w:val="clear"/>
          </w:tcPr>
          <w:p>
            <w:r>
              <w:rPr>
                <w:b/>
                <w:sz w:val="17"/>
              </w:rPr>
              <w:t>11,407</w:t>
            </w:r>
          </w:p>
        </w:tc>
        <w:tc>
          <w:tcPr>
            <w:tcW w:type="dxa" w:w="1440"/>
            <w:shd w:fill="FAFAFA" w:val="clear"/>
          </w:tcPr>
          <w:p>
            <w:r>
              <w:rPr>
                <w:sz w:val="17"/>
              </w:rPr>
              <w:t>12,276</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2026-10-19</w:t>
            </w:r>
          </w:p>
        </w:tc>
        <w:tc>
          <w:tcPr>
            <w:tcW w:type="dxa" w:w="1440"/>
            <w:shd w:fill="FAFAFA" w:val="clear"/>
          </w:tcPr>
          <w:p>
            <w:r>
              <w:rPr>
                <w:sz w:val="17"/>
              </w:rPr>
              <w:t>10,493</w:t>
            </w:r>
          </w:p>
        </w:tc>
        <w:tc>
          <w:tcPr>
            <w:tcW w:type="dxa" w:w="1440"/>
            <w:shd w:fill="FAFAFA" w:val="clear"/>
          </w:tcPr>
          <w:p>
            <w:r>
              <w:rPr>
                <w:b/>
                <w:sz w:val="17"/>
              </w:rPr>
              <w:t>11,423</w:t>
            </w:r>
          </w:p>
        </w:tc>
        <w:tc>
          <w:tcPr>
            <w:tcW w:type="dxa" w:w="1440"/>
            <w:shd w:fill="FAFAFA" w:val="clear"/>
          </w:tcPr>
          <w:p>
            <w:r>
              <w:rPr>
                <w:sz w:val="17"/>
              </w:rPr>
              <w:t>12,352</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2026-10-20</w:t>
            </w:r>
          </w:p>
        </w:tc>
        <w:tc>
          <w:tcPr>
            <w:tcW w:type="dxa" w:w="1440"/>
            <w:shd w:fill="FAFAFA" w:val="clear"/>
          </w:tcPr>
          <w:p>
            <w:r>
              <w:rPr>
                <w:sz w:val="17"/>
              </w:rPr>
              <w:t>10,450</w:t>
            </w:r>
          </w:p>
        </w:tc>
        <w:tc>
          <w:tcPr>
            <w:tcW w:type="dxa" w:w="1440"/>
            <w:shd w:fill="FAFAFA" w:val="clear"/>
          </w:tcPr>
          <w:p>
            <w:r>
              <w:rPr>
                <w:b/>
                <w:sz w:val="17"/>
              </w:rPr>
              <w:t>11,437</w:t>
            </w:r>
          </w:p>
        </w:tc>
        <w:tc>
          <w:tcPr>
            <w:tcW w:type="dxa" w:w="1440"/>
            <w:shd w:fill="FAFAFA" w:val="clear"/>
          </w:tcPr>
          <w:p>
            <w:r>
              <w:rPr>
                <w:sz w:val="17"/>
              </w:rPr>
              <w:t>12,424</w:t>
            </w:r>
          </w:p>
        </w:tc>
        <w:tc>
          <w:tcPr>
            <w:tcW w:type="dxa" w:w="1440"/>
            <w:shd w:fill="FAFAFA" w:val="clear"/>
          </w:tcPr>
          <w:p>
            <w:r>
              <w:rPr>
                <w:b/>
                <w:color w:val="008000"/>
                <w:sz w:val="17"/>
              </w:rPr>
              <w:t>+1.2%</w:t>
            </w:r>
          </w:p>
        </w:tc>
      </w:tr>
      <w:tr>
        <w:tc>
          <w:tcPr>
            <w:tcW w:type="dxa" w:w="1440"/>
            <w:shd w:fill="FAFAFA" w:val="clear"/>
          </w:tcPr>
          <w:p>
            <w:r>
              <w:rPr>
                <w:sz w:val="17"/>
              </w:rPr>
              <w:t>J+10  Moyenne</w:t>
            </w:r>
          </w:p>
        </w:tc>
        <w:tc>
          <w:tcPr>
            <w:tcW w:type="dxa" w:w="1440"/>
            <w:shd w:fill="FAFAFA" w:val="clear"/>
          </w:tcPr>
          <w:p>
            <w:r>
              <w:rPr>
                <w:sz w:val="17"/>
              </w:rPr>
              <w:t>2026-10-21</w:t>
            </w:r>
          </w:p>
        </w:tc>
        <w:tc>
          <w:tcPr>
            <w:tcW w:type="dxa" w:w="1440"/>
            <w:shd w:fill="FAFAFA" w:val="clear"/>
          </w:tcPr>
          <w:p>
            <w:r>
              <w:rPr>
                <w:sz w:val="17"/>
              </w:rPr>
              <w:t>10,409</w:t>
            </w:r>
          </w:p>
        </w:tc>
        <w:tc>
          <w:tcPr>
            <w:tcW w:type="dxa" w:w="1440"/>
            <w:shd w:fill="FAFAFA" w:val="clear"/>
          </w:tcPr>
          <w:p>
            <w:r>
              <w:rPr>
                <w:b/>
                <w:sz w:val="17"/>
              </w:rPr>
              <w:t>11,451</w:t>
            </w:r>
          </w:p>
        </w:tc>
        <w:tc>
          <w:tcPr>
            <w:tcW w:type="dxa" w:w="1440"/>
            <w:shd w:fill="FAFAFA" w:val="clear"/>
          </w:tcPr>
          <w:p>
            <w:r>
              <w:rPr>
                <w:sz w:val="17"/>
              </w:rPr>
              <w:t>12,493</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452,00 milliards FCFA, BOAC s'impose comme l'une des valeurs bancaires majeures de la cote BRVM, représentant un pilier de liquidité et de profondeur pour le marché régional. Le BPA de 888 FCFA/action signifie que chaque titre détenu génère près de 888 FCFA de bénéfice net, un niveau de rentabilité par action particulièrement élevé. Le PER de 12,7x se situe légèrement au-dessus de la fourchette moyenne du marché BRVM (8-12x), traduisant une valorisation modérée mais non excessive, cohérente avec la qualité des bénéfices. Le P/B de 3,55x indique que le marché valorise la banque à plus de trois fois sa valeur comptable, une prime de croissance justifiée par un ROE exceptionnel de 27,9%. En revanche, l'EV/EBITDA de 26,4x apparaît très exigeant (&gt;15x), signalant que la valeur d'entreprise intègre déjà une forte anticipation de croissance opérationnelle — un niveau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+31,40%, avec une dernière séance quasi stable (+0,13%) à 11 300 FCFA. Le range de trading est particulièrement large, oscillant entre un plus bas de 8 600 FCFA et un plus haut de 13 450 FCFA, soit un écart de plus de 56% entre les extrêmes — révélant une dynamique haussière puissante mais ponctuée de corrections significatives. La tendance générale reste haussière, portée par des fondamentaux solides et un intérêt croissant pour les valeurs bancaires de la zone UMOA. Les statistiques descriptives montrent une moyenne (10 610 FCFA) légèrement supérieure à la médiane (10 498 FCFA), suggérant une très légère asymétrie positive, confirmée par un skewness de 0,232 (distribution quasi symétrique). L'écart-type de 1 542 FCFA avec un coefficient de variation de 14,5% indique une dispersion modérée du cours autour de sa moyenne. Le kurtosis négatif (-1,469, distribution platykurtique) signale une faible concentration des rendements extrêmes — le titre évite les pics de volatilité brutale, ce qui est rassurant pour la gestion du risque. Enfin, la volatilité annualisée de 27,9% classe BOAC dans la catégorie des titres à volatilité modérée (15-30%), un profil équilibré entre performance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(11 734,5 FCFA) et la MM50 (12 027,7 FCFA) se situent toutes deux au-dessus du cours actuel (11 300 FCFA), avec une MM20 inférieure à la MM50 — configuration baissière de court terme. Le cours évoluant sous ses deux moyennes mobiles, la pression vendeuse domine, justifiant la décision technique de **Vente**.</w:t>
      </w:r>
    </w:p>
    <w:p>
      <w:pPr>
        <w:spacing w:after="120" w:line="276" w:lineRule="auto"/>
      </w:pPr>
      <w:r>
        <w:t>**Bandes de Bollinger :** Le cours (11 300 FCFA) se positionne dans la moitié inférieure de la bande, entre la borne inférieure (10 790,6 FCFA) et la borne supérieure (12 678,4 FCFA), sans atteindre les extrêmes. Cette position médiane, couplée à un rétrécissement apparent de la bande, traduit une phase de consolidation avec volatilité contenue, d'où la décision **Neutre**.</w:t>
      </w:r>
    </w:p>
    <w:p>
      <w:pPr>
        <w:spacing w:after="120" w:line="276" w:lineRule="auto"/>
      </w:pPr>
      <w:r>
        <w:t>**MACD :** La valeur du MACD (-211,672) est inférieure à son signal (-161,747), confirmant une divergence baissière persistante. Le momentum négatif indique que la dynamique haussière des 100 derniers jours s'essouffle à court terme, avec un risque de poursuite de la correction — décision **Vente**.</w:t>
      </w:r>
    </w:p>
    <w:p>
      <w:pPr>
        <w:spacing w:after="120" w:line="276" w:lineRule="auto"/>
      </w:pPr>
      <w:r>
        <w:t>**RSI :** À 34,082, le RSI se situe dans la zone neutre basse (30-70), sans atteindre le seuil de survente (&lt;30). Cette position indique une faiblesse relative du titre sans excès baissier, laissant la porte ouverte à un rebond technique — décision **Neutre**.</w:t>
      </w:r>
    </w:p>
    <w:p>
      <w:pPr>
        <w:spacing w:after="120" w:line="276" w:lineRule="auto"/>
      </w:pPr>
      <w:r>
        <w:t>**Stochastique :** Le %K (41,667) est légèrement supérieur au %D (37,769), suggérant un début de croisement haussier en zone basse. Cependant, les deux lignes restent sous la barre des 50, signalant que la pression baissière n'est pas encore totalement résorbée — décision **Neutre**.</w:t>
      </w:r>
    </w:p>
    <w:p>
      <w:pPr>
        <w:spacing w:after="120" w:line="276" w:lineRule="auto"/>
      </w:pPr>
      <w:r>
        <w:t>**Conclusion technique :** Les indicateurs techniques présentent un tableau mitigé à dominante baissière de court terme. Les moyennes mobiles et le MACD confirment une pression vendeuse, tandis que le RSI et le stochastique suggèrent une possible stabilisation voire un rebond technique imminent. Le titre se trouve dans une phase de consolidation après sa forte hausse de +31,40%, et la convergence des signaux neutres (Bollinger, RSI, Stochastique) indique une absence de signal directionnel fort — une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(PNB) de 73 545 millions FCFA, en légère hausse de +1,1% par rapport à 2024 (72 724 millions), et un résultat net de 35 540 millions FCFA, en progression de +10,9% (vs 32 045 millions en 2024). Le ROE s'établit à 27,91% — un niveau exceptionnel (&gt;15% = excellent) — et le ROA à 3,22%, confirmant une rentabilité robuste des actifs. Le coefficient d'exploitation de 36,70% (largement &lt;60%) témoigne d'une efficacité opérationnelle remarquable. Le coût du risque, mesuré à 6,67% des charges financières, reste contenu malgré une hausse de +52,1% des créances en souffrance sur l'année — un point de vigilance. La structure bilancielle est solide : les dépôts clientèle (850 548 millions FCFA) couvrent largement les créances clientèle (430 433 millions FCFA), avec un ratio de transformation sain. Toutefois, l'autonomie financière de 11,54% (capitaux propres/total bilan) est faible, typique du modèle bancaire, mais la solvabilité générale (113,05%) reste satisfaisante.</w:t>
      </w:r>
    </w:p>
    <w:p>
      <w:pPr>
        <w:spacing w:after="120" w:line="276" w:lineRule="auto"/>
      </w:pPr>
      <w:r>
        <w:t>**Estimations basées sur les rapports trimestriels :** Sur la base du rapport T1 2026 (daté du 31 mars 2026), le PNB s'élève à 18 960 millions FCFA (+3,09% vs T1 2025), et le résultat net progresse à 10 801 millions FCFA (+0,91%). Cependant, le coût net du risque bondit de +314,75% (-652 vs -157 millions FCFA), un signal préoccupant qui pourrait peser sur les trimestres suivants. Le rapport semestriel 2025 (daté du 30 juin 2025) confirme une stagnation du PNB (-0,35%) mais une croissance du résultat net (+4,29%) grâce à la maîtrise des charges. On estime donc que l'exercice 2026 devrait maintenir une croissance modérée du résultat net (autour de +5-8%), sous réserve que la dégradation du coût du risque ne s'amplifie pas.</w:t>
      </w:r>
    </w:p>
    <w:p>
      <w:pPr>
        <w:spacing w:after="120" w:line="276" w:lineRule="auto"/>
      </w:pPr>
      <w:r>
        <w:t>**Évolution pluriannuelle :** Entre 2024 et 2025, le PNB a progressé de +19,6% en 2024 puis ralenti à +1,1% en 2025, tandis que le résultat net a suivi une trajectoire similaire (+22,9% en 2024, +10,9% en 2025). Le ROE s'est maintenu au-dessus de 27%, et la banque a renforcé ses fonds propres (127 340 millions FCFA en 2025 vs 112 645 millions en 2024). Le dividende distribué au titre de 2024 s'élève à 684 FCFA/action (payout ~65%), et le BPA 2025 de 889 FCFA laisse entrevoir un dividende potentiel en hausse pour 2026.</w:t>
      </w:r>
    </w:p>
    <w:p>
      <w:pPr>
        <w:spacing w:after="120" w:line="276" w:lineRule="auto"/>
      </w:pPr>
      <w:r>
        <w:t>**Recommandation fondamentale :** BOAC présente des fondamentaux solides — rentabilité exceptionnelle, efficacité opérationnelle, et structure bilancielle saine. Les risques principaux résident dans la hausse des créances en souffrance et la dégradation du coût du risque au T1 2026. La valorisation (PER 12,7x) reste raisonnable au regard de la qualité des bénéfices. **Recommandation : CONSERVER**, avec un biais positif à moyen terme si la qualité du crédit se stabilise.</w:t>
      </w:r>
    </w:p>
    <w:p>
      <w:pPr>
        <w:spacing w:after="120" w:line="276" w:lineRule="auto"/>
      </w:pPr>
      <w:r>
        <w:t>---</w:t>
      </w:r>
    </w:p>
    <w:p>
      <w:pPr>
        <w:spacing w:after="120" w:line="276" w:lineRule="auto"/>
      </w:pPr>
      <w:r>
        <w:t>## PARTIE 4 : CONCLUSION D'INVESTISSEMENT</w:t>
      </w:r>
    </w:p>
    <w:p>
      <w:pPr>
        <w:spacing w:after="120" w:line="276" w:lineRule="auto"/>
      </w:pPr>
      <w:r>
        <w:t>La valorisation de BOAC (PER 12,7x, P/B 3,55x, EV/EBITDA 26,4x) indique une juste appréciation du marché, sans sous-évaluation flagrante mais avec une prime de croissance justifiée par un ROE de 27,9%. Le comportement du cours sur 100 jours (+31,40%) témoigne d'une dynamique haussière robuste, avec une volatilité modérée (27,9%) et une distribution platykurtique (absence de pics extrêmes) — un profil favorable pour les investisseurs recherchant performance et stabilité. Les signaux techniques sont toutefois mitigés à court terme : les moyennes mobiles et le MACD sont baissiers, tandis que le RSI (34,08) et le stochastique suggèrent une possible stabilisation. Les fondamentaux restent solides (PNB 73 545 millions FCFA, résultat net 35 540 millions FCFA en 2025, ROE 27,91%), mais le bond du coût du risque au T1 2026 (+314,75%) constitue un signal d'alerte à surveiller. Les prédictions IA (J+1 à J+10) anticipent une légère reprise progressive (11 308 → 11 375 FCFA), confirmant la thèse d'une consolidation avant rebond. **Recommandation finale : CONSERVER**, avec un niveau de confiance **Moyen** et un risque global **Moyen**. L'horizon optimal est le **moyen terme (3-12 mois)**, le temps que la banque démontre sa capacité à maîtriser la dégradation du coût du risque et à confirmer la reprise de la croissance de son PNB. Un passage à l'achat serait justifié si le titre revenait vers 10 500-10 800 FCFA (zone de support) ou si les prochains rapports trimestriels confirmaient une stabilisation du coût du risque.</w:t>
      </w:r>
    </w:p>
    <w:p>
      <w:pPr>
        <w:spacing w:after="120" w:line="276" w:lineRule="auto"/>
      </w:pPr>
      <w:r>
        <w:t>---</w:t>
      </w:r>
    </w:p>
    <w:p>
      <w:pPr>
        <w:spacing w:after="120" w:line="276" w:lineRule="auto"/>
      </w:pPr>
      <w:r>
        <w:t>*Ce rapport est fourni à titre informatif et ne constitue pas un conseil en investissement. Les investisseurs sont invités à consulter un professionnel avant toute décision.*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6,473 titres</w:t>
            </w:r>
          </w:p>
        </w:tc>
        <w:tc>
          <w:tcPr>
            <w:tcW w:type="dxa" w:w="2268"/>
            <w:shd w:fill="FFF2CC" w:val="clear"/>
          </w:tcPr>
          <w:p>
            <w:r>
              <w:rPr>
                <w:b/>
                <w:color w:val="503200"/>
                <w:sz w:val="16"/>
              </w:rPr>
              <w:t xml:space="preserve">Cours actuel : </w:t>
            </w:r>
            <w:r>
              <w:rPr>
                <w:color w:val="000000"/>
                <w:sz w:val="17"/>
              </w:rPr>
              <w:t>6,095 FCFA</w:t>
            </w:r>
          </w:p>
          <w:p>
            <w:r>
              <w:rPr>
                <w:b/>
                <w:color w:val="503200"/>
                <w:sz w:val="16"/>
              </w:rPr>
              <w:t xml:space="preserve">Var. 100 jours : </w:t>
            </w:r>
            <w:r>
              <w:rPr>
                <w:b/>
                <w:color w:val="007800"/>
                <w:sz w:val="17"/>
              </w:rPr>
              <w:t>+30.37%</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13.64% (Moyenne) — μ=5,630 FCFA, σ=768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β=1.3628 (Agressif) — Cov=0.000100, Var(idx)=0.000073, ρ=0.421,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5,693</w:t>
            </w:r>
          </w:p>
        </w:tc>
        <w:tc>
          <w:tcPr>
            <w:tcW w:type="dxa" w:w="1440"/>
            <w:shd w:fill="FAFAFA" w:val="clear"/>
          </w:tcPr>
          <w:p>
            <w:r>
              <w:rPr>
                <w:b/>
                <w:sz w:val="17"/>
              </w:rPr>
              <w:t>6,034</w:t>
            </w:r>
          </w:p>
        </w:tc>
        <w:tc>
          <w:tcPr>
            <w:tcW w:type="dxa" w:w="1440"/>
            <w:shd w:fill="FAFAFA" w:val="clear"/>
          </w:tcPr>
          <w:p>
            <w:r>
              <w:rPr>
                <w:sz w:val="17"/>
              </w:rPr>
              <w:t>6,375</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2026-10-09</w:t>
            </w:r>
          </w:p>
        </w:tc>
        <w:tc>
          <w:tcPr>
            <w:tcW w:type="dxa" w:w="1440"/>
            <w:shd w:fill="FFDCE0" w:val="clear"/>
          </w:tcPr>
          <w:p>
            <w:r>
              <w:rPr>
                <w:sz w:val="17"/>
              </w:rPr>
              <w:t>5,479</w:t>
            </w:r>
          </w:p>
        </w:tc>
        <w:tc>
          <w:tcPr>
            <w:tcW w:type="dxa" w:w="1440"/>
            <w:shd w:fill="FFDCE0" w:val="clear"/>
          </w:tcPr>
          <w:p>
            <w:r>
              <w:rPr>
                <w:b/>
                <w:sz w:val="17"/>
              </w:rPr>
              <w:t>5,955</w:t>
            </w:r>
          </w:p>
        </w:tc>
        <w:tc>
          <w:tcPr>
            <w:tcW w:type="dxa" w:w="1440"/>
            <w:shd w:fill="FFDCE0" w:val="clear"/>
          </w:tcPr>
          <w:p>
            <w:r>
              <w:rPr>
                <w:sz w:val="17"/>
              </w:rPr>
              <w:t>6,431</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5,304</w:t>
            </w:r>
          </w:p>
        </w:tc>
        <w:tc>
          <w:tcPr>
            <w:tcW w:type="dxa" w:w="1440"/>
            <w:shd w:fill="FFDCE0" w:val="clear"/>
          </w:tcPr>
          <w:p>
            <w:r>
              <w:rPr>
                <w:b/>
                <w:sz w:val="17"/>
              </w:rPr>
              <w:t>5,880</w:t>
            </w:r>
          </w:p>
        </w:tc>
        <w:tc>
          <w:tcPr>
            <w:tcW w:type="dxa" w:w="1440"/>
            <w:shd w:fill="FFDCE0" w:val="clear"/>
          </w:tcPr>
          <w:p>
            <w:r>
              <w:rPr>
                <w:sz w:val="17"/>
              </w:rPr>
              <w:t>6,455</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5,156</w:t>
            </w:r>
          </w:p>
        </w:tc>
        <w:tc>
          <w:tcPr>
            <w:tcW w:type="dxa" w:w="1440"/>
            <w:shd w:fill="FFDCE0" w:val="clear"/>
          </w:tcPr>
          <w:p>
            <w:r>
              <w:rPr>
                <w:b/>
                <w:sz w:val="17"/>
              </w:rPr>
              <w:t>5,813</w:t>
            </w:r>
          </w:p>
        </w:tc>
        <w:tc>
          <w:tcPr>
            <w:tcW w:type="dxa" w:w="1440"/>
            <w:shd w:fill="FFDCE0" w:val="clear"/>
          </w:tcPr>
          <w:p>
            <w:r>
              <w:rPr>
                <w:sz w:val="17"/>
              </w:rPr>
              <w:t>6,470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5,026</w:t>
            </w:r>
          </w:p>
        </w:tc>
        <w:tc>
          <w:tcPr>
            <w:tcW w:type="dxa" w:w="1440"/>
            <w:shd w:fill="FFDCE0" w:val="clear"/>
          </w:tcPr>
          <w:p>
            <w:r>
              <w:rPr>
                <w:b/>
                <w:sz w:val="17"/>
              </w:rPr>
              <w:t>5,753</w:t>
            </w:r>
          </w:p>
        </w:tc>
        <w:tc>
          <w:tcPr>
            <w:tcW w:type="dxa" w:w="1440"/>
            <w:shd w:fill="FFDCE0" w:val="clear"/>
          </w:tcPr>
          <w:p>
            <w:r>
              <w:rPr>
                <w:sz w:val="17"/>
              </w:rPr>
              <w:t>6,480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4,910</w:t>
            </w:r>
          </w:p>
        </w:tc>
        <w:tc>
          <w:tcPr>
            <w:tcW w:type="dxa" w:w="1440"/>
            <w:shd w:fill="FFDCE0" w:val="clear"/>
          </w:tcPr>
          <w:p>
            <w:r>
              <w:rPr>
                <w:b/>
                <w:sz w:val="17"/>
              </w:rPr>
              <w:t>5,698</w:t>
            </w:r>
          </w:p>
        </w:tc>
        <w:tc>
          <w:tcPr>
            <w:tcW w:type="dxa" w:w="1440"/>
            <w:shd w:fill="FFDCE0" w:val="clear"/>
          </w:tcPr>
          <w:p>
            <w:r>
              <w:rPr>
                <w:sz w:val="17"/>
              </w:rPr>
              <w:t>6,487</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4,803</w:t>
            </w:r>
          </w:p>
        </w:tc>
        <w:tc>
          <w:tcPr>
            <w:tcW w:type="dxa" w:w="1440"/>
            <w:shd w:fill="FFDCE0" w:val="clear"/>
          </w:tcPr>
          <w:p>
            <w:r>
              <w:rPr>
                <w:b/>
                <w:sz w:val="17"/>
              </w:rPr>
              <w:t>5,647</w:t>
            </w:r>
          </w:p>
        </w:tc>
        <w:tc>
          <w:tcPr>
            <w:tcW w:type="dxa" w:w="1440"/>
            <w:shd w:fill="FFDCE0" w:val="clear"/>
          </w:tcPr>
          <w:p>
            <w:r>
              <w:rPr>
                <w:sz w:val="17"/>
              </w:rPr>
              <w:t>6,491</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4,703</w:t>
            </w:r>
          </w:p>
        </w:tc>
        <w:tc>
          <w:tcPr>
            <w:tcW w:type="dxa" w:w="1440"/>
            <w:shd w:fill="FFDCE0" w:val="clear"/>
          </w:tcPr>
          <w:p>
            <w:r>
              <w:rPr>
                <w:b/>
                <w:sz w:val="17"/>
              </w:rPr>
              <w:t>5,598</w:t>
            </w:r>
          </w:p>
        </w:tc>
        <w:tc>
          <w:tcPr>
            <w:tcW w:type="dxa" w:w="1440"/>
            <w:shd w:fill="FFDCE0" w:val="clear"/>
          </w:tcPr>
          <w:p>
            <w:r>
              <w:rPr>
                <w:sz w:val="17"/>
              </w:rPr>
              <w:t>6,492</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4,611</w:t>
            </w:r>
          </w:p>
        </w:tc>
        <w:tc>
          <w:tcPr>
            <w:tcW w:type="dxa" w:w="1440"/>
            <w:shd w:fill="FFDCE0" w:val="clear"/>
          </w:tcPr>
          <w:p>
            <w:r>
              <w:rPr>
                <w:b/>
                <w:sz w:val="17"/>
              </w:rPr>
              <w:t>5,551</w:t>
            </w:r>
          </w:p>
        </w:tc>
        <w:tc>
          <w:tcPr>
            <w:tcW w:type="dxa" w:w="1440"/>
            <w:shd w:fill="FFDCE0" w:val="clear"/>
          </w:tcPr>
          <w:p>
            <w:r>
              <w:rPr>
                <w:sz w:val="17"/>
              </w:rPr>
              <w:t>6,492</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4,523</w:t>
            </w:r>
          </w:p>
        </w:tc>
        <w:tc>
          <w:tcPr>
            <w:tcW w:type="dxa" w:w="1440"/>
            <w:shd w:fill="FFDCE0" w:val="clear"/>
          </w:tcPr>
          <w:p>
            <w:r>
              <w:rPr>
                <w:b/>
                <w:sz w:val="17"/>
              </w:rPr>
              <w:t>5,507</w:t>
            </w:r>
          </w:p>
        </w:tc>
        <w:tc>
          <w:tcPr>
            <w:tcW w:type="dxa" w:w="1440"/>
            <w:shd w:fill="FFDCE0" w:val="clear"/>
          </w:tcPr>
          <w:p>
            <w:r>
              <w:rPr>
                <w:sz w:val="17"/>
              </w:rPr>
              <w:t>6,491</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167,31 milliards FCFA, BOA Mali se positionne comme une valeur bancaire de taille intermédiaire sur la BRVM, représentant un actif liquide et accessible aux investisseurs institutionnels régionaux. Le BPA de 404 FCFA/action signifie que chaque titre génère près de 404 FCFA de bénéfice net, ce qui, rapporté au cours actuel de 6 095 FCFA, donne un PER de 15,1x — soit une valorisation modérée mais légèrement supérieure à la moyenne du marché BRVM (8-12x), traduisant une prime de qualité consentie par le marché. Le P/B de 3,36x indique que le marché valorise la banque à plus de trois fois sa valeur comptable, ce qui est cohérent avec un ROE élevé (22,24%) et une prime de croissance accordée aux établissements les plus rentables du secteur. Enfin, l'EV/EBITDA de 7,7x, situé dans la fourchette raisonnable de 5-10x, suggère que la valeur totale de l'entreprise (dette incluse) reste proportionnée à sa capacité opérationnelle, sans exagération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remarquable de +30,37%, portant le cours à 6 095 FCFA, bien que la dernière séance (J-1) affiche une stabilité parfaite (+0,00%), signe d'une pause dans le mouvement haussier. Le range de trading est particulièrement large, avec un plus haut à 7 195 FCFA et un plus bas à 4 425 FCFA, soit un écart de 2 770 FCFA (62,6% du plus bas), ce qui témoigne d'une forte amplitude de négociation et d'un intérêt marqué des investisseurs. La tendance générale est donc nettement haussière sur la période, mais le cours actuel (6 095 FCFA) se situe en retrait de 15,3% par rapport au plus haut, suggérant une phase de consolidation après le rallye. Les statistiques descriptives révèlent une moyenne et une médiane identiques à 5 630 FCFA, indiquant une distribution parfaitement symétrique du cours, confirmée par un skewness de 0,200 (quasi neutre). L'écart-type de 772 FCFA (CV=13,7%) traduit une dispersion modérée autour de la moyenne, tandis que le kurtosis de -1,020 (distribution platykurtique) signale une faible concentration des valeurs extrêmes — le cours évolue de manière fluide sans pics brutaux, ce qui est rassurant pour la gestion du risque. Avec une volatilité annualisée de 43,5%, le titre se classe dans la catégorie des valeurs à volatilité élevée (&gt;30%), ce qui implique un potentiel de gain attractif mais aussi un risque de correction significatif, à intégrer dans toute stratégie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6 428 FCFA et la MM50 à 6 253,7 FCFA, toutes deux supérieures au cours actuel de 6 095 FCFA. Cette configuration — cours sous les deux moyennes — est techniquement baissière à court terme, mais la décision fournie est "Achat", probablement parce que la MM20 reste au-dessus de la MM50 (croisement haussier antérieur) et que le recul actuel pourrait constituer une opportunité de rebond sur support.</w:t>
      </w:r>
    </w:p>
    <w:p>
      <w:pPr>
        <w:spacing w:after="120" w:line="276" w:lineRule="auto"/>
      </w:pPr>
      <w:r>
        <w:t>**Bandes de Bollinger** : Le cours (6 095 FCFA) se situe dans la partie basse de la bande, entre la borne inférieure (5 387,77 FCFA) et la borne supérieure (7 468,23 FCFA), mais plus proche de la borne basse. La décision "Neutre" reflète l'absence de signal extrême : le cours n'est ni en surachat (proche borne haute) ni en survente (proche borne basse), bien que la position actuelle suggère une pression vendeuse modérée.</w:t>
      </w:r>
    </w:p>
    <w:p>
      <w:pPr>
        <w:spacing w:after="120" w:line="276" w:lineRule="auto"/>
      </w:pPr>
      <w:r>
        <w:t>**MACD** : La valeur du MACD (-97,813) est inférieure à son signal (-51,069), confirmant une divergence baissière et un momentum négatif. La décision "Vente" est cohérente avec cette configuration : la ligne MACD sous le signal indique que la dynamique haussière s'essouffle, et un croisement à la baisse pourrait amplifier la correction.</w:t>
      </w:r>
    </w:p>
    <w:p>
      <w:pPr>
        <w:spacing w:after="120" w:line="276" w:lineRule="auto"/>
      </w:pPr>
      <w:r>
        <w:t>**RSI** : À 34,211, le RSI se situe dans la zone neutre basse (30-70), sans atteindre le seuil de survente (30). La décision "Neutre" est justifiée : le titre n'est pas encore survendu, mais la proximité du seuil de 30 suggère qu'une poursuite de la baisse pourrait déclencher un signal d'achat technique.</w:t>
      </w:r>
    </w:p>
    <w:p>
      <w:pPr>
        <w:spacing w:after="120" w:line="276" w:lineRule="auto"/>
      </w:pPr>
      <w:r>
        <w:t>**Stochastique** : Le %K (43,706) et le %D (41,738) évoluent en zone neutre, avec un léger croisement haussier (%K &gt; %D) mais sans franchissement des seuils de 20 (survente) ou 80 (surachat). La décision "Neutre" reflète cette absence de signal directionnel fort, bien que la position basse des deux lignes laisse entrevoir un potentiel de rebond.</w:t>
      </w:r>
    </w:p>
    <w:p>
      <w:pPr>
        <w:spacing w:after="120" w:line="276" w:lineRule="auto"/>
      </w:pPr>
      <w:r>
        <w:t>**Conclusion technique** : Les indicateurs sont majoritairement neutres à baissiers à court terme (MACD vendeur, cours sous les moyennes mobiles), mais le RSI proche de la survente et le stochastique en zone basse suggèrent qu'une correction supplémentaire pourrait offrir un point d'entrée intéressant. La divergence entre la décision "Achat" des moyennes mobiles (basée sur la tendance de fond) et les signaux baissiers à court terme (MACD) indique une phase de consolidation, avec un support potentiel autour de 5 800-5 900 FCFA (borne basse des Bollinger et zone de rebond technique).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(PNB) de 37,996 milliards FCFA, en croissance de 5,08% par rapport à 2024, confirmant la dynamique commerciale de la banque malgré un contexte régional difficile. Le résultat net s'élève à 11,081 milliards FCFA, en très forte hausse par rapport aux 9,12 milliards de 2024 (+21,5%), porté par une maîtrise des charges et une réduction du coût du risque. Le ROE atteint 22,24% (excellent, &gt;15%) et le ROA 1,87%, témoignant d'une rentabilité robuste des fonds propres et des actifs. Le coefficient d'exploitation de 63,14% reste légèrement supérieur au seuil de 60% (banque efficace), mais en amélioration par rapport aux exercices précédents (59,3% en 2022, puis dégradation temporaire). Le coût du risque, mesuré à 43,39% des charges financières, demeure élevé mais en baisse, reflétant une amélioration de la qualité du portefeuille de crédits. La structure financière est solide : les dépôts clientèle (502,89 milliards FCFA) couvrent largement les créances clientèle (253,65 milliards FCFA), avec un ratio de transformation de 50,4%, et la solvabilité générale (109,16%) confirme la capacité de la banque à honorer ses engagements.</w:t>
      </w:r>
    </w:p>
    <w:p>
      <w:pPr>
        <w:spacing w:after="120" w:line="276" w:lineRule="auto"/>
      </w:pPr>
      <w:r>
        <w:t>**Estimations basées sur les rapports trimestriels** : Le rapport du T1 2026 (publié le 31/03/2026) indique un PNB de 10,322 milliards FCFA, en hausse de +22,97% sur un an, et le rapport du S1 2026 (publié le 30/06/2026) confirme cette dynamique avec un PNB de 21,987 milliards FCFA (+17,5% sur un an). Sur la base de ces tendances, on estime que l'exercice 2026 devrait enregistrer un PNB annuel compris entre 44 et 46 milliards FCFA (croissance de 15-20% vs 2025), avec un résultat net potentiellement supérieur à 13 milliards FCFA si la maîtrise des coûts se poursuit. Le rapport du T3 2025 (30/09/2025) soulignait déjà une progression du résultat net de +26,2% sur neuf mois, confirmant la trajectoire haussière. Les rapports antérieurs (S1 2025, T1 2025, exercice 2024) montrent une résilience constante malgré l'insécurité et l'inflation, avec une amélioration continue du coût du risque et une croissance des dépôts (+9,2% depuis fin 2024).</w:t>
      </w:r>
    </w:p>
    <w:p>
      <w:pPr>
        <w:spacing w:after="120" w:line="276" w:lineRule="auto"/>
      </w:pPr>
      <w:r>
        <w:t>**Recommandation fondamentale** : BOA Mali présente des fondamentaux solides, une rentabilité élevée (ROE &gt;20%), une croissance à deux chiffres du PNB et du résultat net, et une structure financière saine. Les risques principaux restent le contexte sécuritaire malien, l'inflation et la concentration géographique, mais la banque démontre une capacité d'adaptation remarquable. La valorisation (PER 15,1x) intègre déjà une prime de qualité, mais la croissance attendue en 2026 pourrait justifier une revalorisation supplémentaire.</w:t>
      </w:r>
    </w:p>
    <w:p>
      <w:pPr>
        <w:spacing w:after="120" w:line="276" w:lineRule="auto"/>
      </w:pPr>
      <w:r>
        <w:t>---</w:t>
      </w:r>
    </w:p>
    <w:p>
      <w:pPr>
        <w:spacing w:after="120" w:line="276" w:lineRule="auto"/>
      </w:pPr>
      <w:r>
        <w:t>## PARTIE 4 : CONCLUSION D'INVESTISSEMENT</w:t>
      </w:r>
    </w:p>
    <w:p>
      <w:pPr>
        <w:spacing w:after="120" w:line="276" w:lineRule="auto"/>
      </w:pPr>
      <w:r>
        <w:t>La valorisation de BOA Mali (PER 15,1x, P/B 3,36x, EV/EBITDA 7,7x) indique une action correctement valorisée, sans sous-évaluation manifeste mais avec une prime de croissance justifiée par un ROE de 22,24% et une dynamique bénéficiaire robuste. Le comportement du cours sur 100 jours (+30,37%) est nettement haussier, mais la volatilité élevée (43,5%) et la distribution platykurtique (absence de pics extrêmes) suggèrent une tendance fluide et durable, bien que le recul actuel de 15,3% par rapport au plus haut appelle à la prudence à court terme. Les signaux techniques sont mitigés : les moyennes mobiles restent haussières de fond (MM20 &gt; MM50), mais le MACD est vendeur et le cours évolue sous les deux moyennes, tandis que le RSI (34,2) et le stochastique (43,7) sont neutres — une convergence qui plaide pour une consolidation avant une reprise. Les fondamentaux sont excellents : PNB 2025 de 37,996 milliards FCFA (+5,08%), résultat net de 11,081 milliards FCFA (+21,5%), ROE de 22,24%, et les rapports T1 2026 (+22,97% de PNB) et S1 2026 (+17,5%) laissent présager une accélération en 2026. Les prédictions IA (J+1 à J+10) anticipent une baisse progressive de 6 034 FCFA à 5 753 FCFA (-5,6% sur 10 jours), ce qui contredit la tendance haussière de fond mais confirme la phase de correction technique en cours. **Recommandation finale : CONSERVER**, avec un biais acheteur en cas de repli vers 5 800-5 900 FCFA (support technique et borne basse des Bollinger). Le niveau de confiance est **Moyen** (divergence entre fondamentaux solides et signaux techniques baissiers à court terme), le risque global est **Moyen** (volatilité élevée mais fondamentaux rassurants), et l'horizon optimal est **moyen terme (3-12 mois)**, le temps que la consolidation s'achève et que la croissance bénéficiaire de 2026 se matérialise dans le cours.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8,920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+47.28%</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15.25% (Élevée) — μ=4,696 FCFA, σ=716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β=1.3690 (Agressif) — Cov=0.000100, Var(idx)=0.000073, ρ=0.443,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4,710</w:t>
            </w:r>
          </w:p>
        </w:tc>
        <w:tc>
          <w:tcPr>
            <w:tcW w:type="dxa" w:w="1440"/>
            <w:shd w:fill="FAFAFA" w:val="clear"/>
          </w:tcPr>
          <w:p>
            <w:r>
              <w:rPr>
                <w:b/>
                <w:sz w:val="17"/>
              </w:rPr>
              <w:t>4,983</w:t>
            </w:r>
          </w:p>
        </w:tc>
        <w:tc>
          <w:tcPr>
            <w:tcW w:type="dxa" w:w="1440"/>
            <w:shd w:fill="FAFAFA" w:val="clear"/>
          </w:tcPr>
          <w:p>
            <w:r>
              <w:rPr>
                <w:sz w:val="17"/>
              </w:rPr>
              <w:t>5,257</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4,620</w:t>
            </w:r>
          </w:p>
        </w:tc>
        <w:tc>
          <w:tcPr>
            <w:tcW w:type="dxa" w:w="1440"/>
            <w:shd w:fill="FAFAFA" w:val="clear"/>
          </w:tcPr>
          <w:p>
            <w:r>
              <w:rPr>
                <w:b/>
                <w:sz w:val="17"/>
              </w:rPr>
              <w:t>5,009</w:t>
            </w:r>
          </w:p>
        </w:tc>
        <w:tc>
          <w:tcPr>
            <w:tcW w:type="dxa" w:w="1440"/>
            <w:shd w:fill="FAFAFA" w:val="clear"/>
          </w:tcPr>
          <w:p>
            <w:r>
              <w:rPr>
                <w:sz w:val="17"/>
              </w:rPr>
              <w:t>5,398</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4,553</w:t>
            </w:r>
          </w:p>
        </w:tc>
        <w:tc>
          <w:tcPr>
            <w:tcW w:type="dxa" w:w="1440"/>
            <w:shd w:fill="FAFAFA" w:val="clear"/>
          </w:tcPr>
          <w:p>
            <w:r>
              <w:rPr>
                <w:b/>
                <w:sz w:val="17"/>
              </w:rPr>
              <w:t>5,032</w:t>
            </w:r>
          </w:p>
        </w:tc>
        <w:tc>
          <w:tcPr>
            <w:tcW w:type="dxa" w:w="1440"/>
            <w:shd w:fill="FAFAFA" w:val="clear"/>
          </w:tcPr>
          <w:p>
            <w:r>
              <w:rPr>
                <w:sz w:val="17"/>
              </w:rPr>
              <w:t>5,511</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4,499</w:t>
            </w:r>
          </w:p>
        </w:tc>
        <w:tc>
          <w:tcPr>
            <w:tcW w:type="dxa" w:w="1440"/>
            <w:shd w:fill="FAFAFA" w:val="clear"/>
          </w:tcPr>
          <w:p>
            <w:r>
              <w:rPr>
                <w:b/>
                <w:sz w:val="17"/>
              </w:rPr>
              <w:t>5,054</w:t>
            </w:r>
          </w:p>
        </w:tc>
        <w:tc>
          <w:tcPr>
            <w:tcW w:type="dxa" w:w="1440"/>
            <w:shd w:fill="FAFAFA" w:val="clear"/>
          </w:tcPr>
          <w:p>
            <w:r>
              <w:rPr>
                <w:sz w:val="17"/>
              </w:rPr>
              <w:t>5,609</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4,452</w:t>
            </w:r>
          </w:p>
        </w:tc>
        <w:tc>
          <w:tcPr>
            <w:tcW w:type="dxa" w:w="1440"/>
            <w:shd w:fill="FAFAFA" w:val="clear"/>
          </w:tcPr>
          <w:p>
            <w:r>
              <w:rPr>
                <w:b/>
                <w:sz w:val="17"/>
              </w:rPr>
              <w:t>5,076</w:t>
            </w:r>
          </w:p>
        </w:tc>
        <w:tc>
          <w:tcPr>
            <w:tcW w:type="dxa" w:w="1440"/>
            <w:shd w:fill="FAFAFA" w:val="clear"/>
          </w:tcPr>
          <w:p>
            <w:r>
              <w:rPr>
                <w:sz w:val="17"/>
              </w:rPr>
              <w:t>5,699</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4,411</w:t>
            </w:r>
          </w:p>
        </w:tc>
        <w:tc>
          <w:tcPr>
            <w:tcW w:type="dxa" w:w="1440"/>
            <w:shd w:fill="FAFAFA" w:val="clear"/>
          </w:tcPr>
          <w:p>
            <w:r>
              <w:rPr>
                <w:b/>
                <w:sz w:val="17"/>
              </w:rPr>
              <w:t>5,097</w:t>
            </w:r>
          </w:p>
        </w:tc>
        <w:tc>
          <w:tcPr>
            <w:tcW w:type="dxa" w:w="1440"/>
            <w:shd w:fill="FAFAFA" w:val="clear"/>
          </w:tcPr>
          <w:p>
            <w:r>
              <w:rPr>
                <w:sz w:val="17"/>
              </w:rPr>
              <w:t>5,783</w:t>
            </w:r>
          </w:p>
        </w:tc>
        <w:tc>
          <w:tcPr>
            <w:tcW w:type="dxa" w:w="1440"/>
            <w:shd w:fill="FAFAFA" w:val="clear"/>
          </w:tcPr>
          <w:p>
            <w:r>
              <w:rPr>
                <w:b/>
                <w:color w:val="008000"/>
                <w:sz w:val="17"/>
              </w:rPr>
              <w:t>+1.9%</w:t>
            </w:r>
          </w:p>
        </w:tc>
      </w:tr>
      <w:tr>
        <w:tc>
          <w:tcPr>
            <w:tcW w:type="dxa" w:w="1440"/>
            <w:shd w:fill="C6EFCE" w:val="clear"/>
          </w:tcPr>
          <w:p>
            <w:r>
              <w:rPr>
                <w:sz w:val="17"/>
              </w:rPr>
              <w:t>J+7  ⭐</w:t>
            </w:r>
          </w:p>
        </w:tc>
        <w:tc>
          <w:tcPr>
            <w:tcW w:type="dxa" w:w="1440"/>
            <w:shd w:fill="C6EFCE" w:val="clear"/>
          </w:tcPr>
          <w:p>
            <w:r>
              <w:rPr>
                <w:sz w:val="17"/>
              </w:rPr>
              <w:t>2026-10-16</w:t>
            </w:r>
          </w:p>
        </w:tc>
        <w:tc>
          <w:tcPr>
            <w:tcW w:type="dxa" w:w="1440"/>
            <w:shd w:fill="C6EFCE" w:val="clear"/>
          </w:tcPr>
          <w:p>
            <w:r>
              <w:rPr>
                <w:sz w:val="17"/>
              </w:rPr>
              <w:t>4,375</w:t>
            </w:r>
          </w:p>
        </w:tc>
        <w:tc>
          <w:tcPr>
            <w:tcW w:type="dxa" w:w="1440"/>
            <w:shd w:fill="C6EFCE" w:val="clear"/>
          </w:tcPr>
          <w:p>
            <w:r>
              <w:rPr>
                <w:b/>
                <w:sz w:val="17"/>
              </w:rPr>
              <w:t>5,118</w:t>
            </w:r>
          </w:p>
        </w:tc>
        <w:tc>
          <w:tcPr>
            <w:tcW w:type="dxa" w:w="1440"/>
            <w:shd w:fill="C6EFCE" w:val="clear"/>
          </w:tcPr>
          <w:p>
            <w:r>
              <w:rPr>
                <w:sz w:val="17"/>
              </w:rPr>
              <w:t>5,862</w:t>
            </w:r>
          </w:p>
        </w:tc>
        <w:tc>
          <w:tcPr>
            <w:tcW w:type="dxa" w:w="1440"/>
            <w:shd w:fill="C6EFCE" w:val="clear"/>
          </w:tcPr>
          <w:p>
            <w:r>
              <w:rPr>
                <w:b/>
                <w:color w:val="008000"/>
                <w:sz w:val="17"/>
              </w:rPr>
              <w:t>+2.4%</w:t>
            </w:r>
          </w:p>
        </w:tc>
      </w:tr>
      <w:tr>
        <w:tc>
          <w:tcPr>
            <w:tcW w:type="dxa" w:w="1440"/>
            <w:shd w:fill="C6EFCE" w:val="clear"/>
          </w:tcPr>
          <w:p>
            <w:r>
              <w:rPr>
                <w:sz w:val="17"/>
              </w:rPr>
              <w:t>J+8  ⭐</w:t>
            </w:r>
          </w:p>
        </w:tc>
        <w:tc>
          <w:tcPr>
            <w:tcW w:type="dxa" w:w="1440"/>
            <w:shd w:fill="C6EFCE" w:val="clear"/>
          </w:tcPr>
          <w:p>
            <w:r>
              <w:rPr>
                <w:sz w:val="17"/>
              </w:rPr>
              <w:t>2026-10-19</w:t>
            </w:r>
          </w:p>
        </w:tc>
        <w:tc>
          <w:tcPr>
            <w:tcW w:type="dxa" w:w="1440"/>
            <w:shd w:fill="C6EFCE" w:val="clear"/>
          </w:tcPr>
          <w:p>
            <w:r>
              <w:rPr>
                <w:sz w:val="17"/>
              </w:rPr>
              <w:t>4,341</w:t>
            </w:r>
          </w:p>
        </w:tc>
        <w:tc>
          <w:tcPr>
            <w:tcW w:type="dxa" w:w="1440"/>
            <w:shd w:fill="C6EFCE" w:val="clear"/>
          </w:tcPr>
          <w:p>
            <w:r>
              <w:rPr>
                <w:b/>
                <w:sz w:val="17"/>
              </w:rPr>
              <w:t>5,139</w:t>
            </w:r>
          </w:p>
        </w:tc>
        <w:tc>
          <w:tcPr>
            <w:tcW w:type="dxa" w:w="1440"/>
            <w:shd w:fill="C6EFCE" w:val="clear"/>
          </w:tcPr>
          <w:p>
            <w:r>
              <w:rPr>
                <w:sz w:val="17"/>
              </w:rPr>
              <w:t>5,938</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2026-10-20</w:t>
            </w:r>
          </w:p>
        </w:tc>
        <w:tc>
          <w:tcPr>
            <w:tcW w:type="dxa" w:w="1440"/>
            <w:shd w:fill="C6EFCE" w:val="clear"/>
          </w:tcPr>
          <w:p>
            <w:r>
              <w:rPr>
                <w:sz w:val="17"/>
              </w:rPr>
              <w:t>4,310</w:t>
            </w:r>
          </w:p>
        </w:tc>
        <w:tc>
          <w:tcPr>
            <w:tcW w:type="dxa" w:w="1440"/>
            <w:shd w:fill="C6EFCE" w:val="clear"/>
          </w:tcPr>
          <w:p>
            <w:r>
              <w:rPr>
                <w:b/>
                <w:sz w:val="17"/>
              </w:rPr>
              <w:t>5,160</w:t>
            </w:r>
          </w:p>
        </w:tc>
        <w:tc>
          <w:tcPr>
            <w:tcW w:type="dxa" w:w="1440"/>
            <w:shd w:fill="C6EFCE" w:val="clear"/>
          </w:tcPr>
          <w:p>
            <w:r>
              <w:rPr>
                <w:sz w:val="17"/>
              </w:rPr>
              <w:t>6,010</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2026-10-21</w:t>
            </w:r>
          </w:p>
        </w:tc>
        <w:tc>
          <w:tcPr>
            <w:tcW w:type="dxa" w:w="1440"/>
            <w:shd w:fill="C6EFCE" w:val="clear"/>
          </w:tcPr>
          <w:p>
            <w:r>
              <w:rPr>
                <w:sz w:val="17"/>
              </w:rPr>
              <w:t>4,281</w:t>
            </w:r>
          </w:p>
        </w:tc>
        <w:tc>
          <w:tcPr>
            <w:tcW w:type="dxa" w:w="1440"/>
            <w:shd w:fill="C6EFCE" w:val="clear"/>
          </w:tcPr>
          <w:p>
            <w:r>
              <w:rPr>
                <w:b/>
                <w:sz w:val="17"/>
              </w:rPr>
              <w:t>5,181</w:t>
            </w:r>
          </w:p>
        </w:tc>
        <w:tc>
          <w:tcPr>
            <w:tcW w:type="dxa" w:w="1440"/>
            <w:shd w:fill="C6EFCE" w:val="clear"/>
          </w:tcPr>
          <w:p>
            <w:r>
              <w:rPr>
                <w:sz w:val="17"/>
              </w:rPr>
              <w:t>6,081</w:t>
            </w:r>
          </w:p>
        </w:tc>
        <w:tc>
          <w:tcPr>
            <w:tcW w:type="dxa" w:w="1440"/>
            <w:shd w:fill="C6EFCE" w:val="clear"/>
          </w:tcPr>
          <w:p>
            <w:r>
              <w:rPr>
                <w:b/>
                <w:color w:val="008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104,00 Mds FCFA, BOAN se positionne comme une valeur de taille intermédiaire sur la BRVM, loin des poids lourds du secteur bancaire régional (SGBCI, BOAB, etc.). Le BPA de 20 FCFA/action, calculé sur un résultat net 2025 effondré à 409 M FCFA, conduit à un PER de 254,3x — un niveau stratosphérique qui traduit une décorrélation totale entre le prix de marché et la capacité bénéficiaire actuelle, bien au-delà de la moyenne BRVM (~8-12x). Le P/B de 2,88x indique que le marché valorise la banque à près de trois fois ses fonds propres comptables (36,06 Mds FCFA), soit une prime de croissance significative difficile à justifier par les fondamentaux présents. Enfin, l'EV/EBITDA de 39,1x (très supérieur au seuil de 15x) confirme que la valeur d'entreprise intègre des anticipations de redressement très ambitieuses, rendant ces multiples dépendants d'une exécution parfaite du plan 2026.</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performance spectaculaire de +47,28%, avec une dernière séance en hausse de +2,04% à 5 000 FCFA, confirmant un momentum haussier de court terme. Le titre a évolué dans un range très large de 3 395 FCFA (plus bas) à 5 645 FCFA (plus haut), soit une amplitude de plus de 66%, témoignant d'une forte nervosité du marché. La tendance générale est nettement haussière, portée par les anticipations de redressement post-sanctions et le rebond du T1 2026, mais le cours actuel (5 000 FCFA) reste en retrait de 11,4% par rapport à son plus haut. Les statistiques descriptives révèlent une moyenne (4 696 FCFA) inférieure à la médiane (5 088 FCFA), signe d'une distribution asymétrique tirée vers le bas par des périodes de faiblesse, tandis que le mode à 3 700 FCFA rappelle le point d'ancrage bas du titre. L'écart-type de 720 FCFA (CV=15,3%) traduit une dispersion modérée, mais la volatilité annualisée de 41,6% classe BOAN parmi les titres à volatilité élevée (&gt;30%), ce qui implique un risque de drawdown important. Le kurtosis négatif (-1,463, distribution platykurtique) indique une faible concentration des rendements autour de la moyenne, donc des mouvements amples et fréquents plutôt que des pics extrêmes isolés, tandis que le skewness de -0,427 (distribution quasi-symétrique) suggère un léger biais baissier, sans asymétrie marquée.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(5 203,5 FCFA) et la MM50 (5 255,2 FCFA) sont toutes deux supérieures au cours actuel (5 000 FCFA), et la MM20 est légèrement en dessous de la MM50, configuration baissière. Le signal de vente est confirmé par le fait que le cours évolue sous ses deux moyennes, indiquant une pression vendeuse persistante malgré le rebond récent.</w:t>
      </w:r>
    </w:p>
    <w:p>
      <w:pPr>
        <w:spacing w:after="120" w:line="276" w:lineRule="auto"/>
      </w:pPr>
      <w:r>
        <w:t>**Bandes de Bollinger** : Le cours (5 000 FCFA) se situe dans la moitié inférieure de la bande, entre la borne inférieure (4 617,1 FCFA) et la borne supérieure (5 789,9 FCFA), sans toucher les extrêmes. Cette position médiane, couplée à une largeur de bande élevée, traduit une volatilité importante mais un signal neutre, le marché n'étant ni en surachat ni en survente.</w:t>
      </w:r>
    </w:p>
    <w:p>
      <w:pPr>
        <w:spacing w:after="120" w:line="276" w:lineRule="auto"/>
      </w:pPr>
      <w:r>
        <w:t>**MACD** : La valeur du MACD (-78,685) est inférieure à son signal (-48,438), avec un histogramme négatif, confirmant un momentum baissier. La divergence négative entre les deux lignes justifie la décision de vente, bien que l'écart se réduise, suggérant un possible essoufflement de la tendance baissière.</w:t>
      </w:r>
    </w:p>
    <w:p>
      <w:pPr>
        <w:spacing w:after="120" w:line="276" w:lineRule="auto"/>
      </w:pPr>
      <w:r>
        <w:t>**RSI** : À 42,828, le RSI se situe dans la zone neutre (30-70), sans signal de surachat ni de survente. Cette valeur légèrement sous 50 indique une dynamique baissière modérée, mais l'absence de divergence notable invite à la prudence plutôt qu'à l'action immédiate.</w:t>
      </w:r>
    </w:p>
    <w:p>
      <w:pPr>
        <w:spacing w:after="120" w:line="276" w:lineRule="auto"/>
      </w:pPr>
      <w:r>
        <w:t>**Stochastique** : Le %K (46,875) est supérieur au %D (39,931), avec un croisement haussier en cours dans la zone neutre. Ce signal positif, bien que faible, suggère un possible retournement de court terme, mais il reste à confirmer par une cassure au-dessus de 50.</w:t>
      </w:r>
    </w:p>
    <w:p>
      <w:pPr>
        <w:spacing w:after="120" w:line="276" w:lineRule="auto"/>
      </w:pPr>
      <w:r>
        <w:t>**Conclusion technique** : Les indicateurs sont majoritairement baissiers (MM, MACD) ou neutres (Bollinger, RSI, Stochastique), avec un seul signal haussier naissant (Stochastique). Le titre se trouve dans une phase de consolidation sous ses moyennes mobiles, avec un momentum négatif mais des signes d'essoufflement baissier. Une cassure au-dessus de 5 255 FCFA (MM50) serait nécessaire pour valider un retournement haussier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BOAN a traversé une année catastrophique sur le plan financier : le Produit Net Bancaire (PNB) s'est établi à 21 125 M FCFA, en léger repli de -1,2% sur un an, tandis que le résultat net s'est effondré de -91,8% à seulement 409 M FCFA (contre 5 002 M FCFA en 2024). Cette chute est principalement imputable à une explosion du coût du risque (+121,5%, à -6 016 M FCFA), incluant une provision exceptionnelle de 4,8 Mds FCFA liée au taux de sinistralité sectoriel de 24% au Niger, ainsi qu'à une hausse des charges générales (+6,5%). Les ratios de rentabilité se sont effondrés : le ROE est tombé à 1,05% (contre 11,39% en 2024) et le ROA à 0,13% (contre 1,49%), tandis que le coefficient d'exploitation s'est dégradé à 74,37% (bien au-dessus du seuil de 60% d'efficacité). La structure financière reste néanmoins solide, avec un ratio de solvabilité de 14,06% (conforme aux exigences UEMOA) et un coefficient de liquidité de 123,95%, mais l'autonomie financière (12,36%) et la couverture des intérêts (17,59%) demeurent faibles. Les dépôts clientèle ont progressé de +4% à 189 867 M FCFA, surperformant un secteur en hausse de seulement +1%, tandis que les crédits ont été volontairement réduits de -20,9% à 128 447 M FCFA dans le cadre d'une politique sélective de réduction des risques. Sur la base du rapport T1 2026 (publié le 31 mars 2026), on estime que l'exercice 2026 devrait marquer un redressement : le PNB a progressé de +7,9% à 5 170 M FCFA, le résultat net de +28,9% à 1 467,3 M FCFA, et le coefficient d'exploitation s'est amélioré à 56,2% (contre 66,8% un an plus tôt), bien que le coût du risque reste élevé (+104,3%). La recommandation fondamentale est de **CONSERVER sous surveillance rapprochée** : la banque dispose d'atouts (soutien du groupe BOA, ratios prudentiels conformes, plan stratégique 2025-2027), mais les risques (instabilité politique, qualité du portefeuille, absence de dividende depuis 3 ans) justifient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BOAN apparaît très tendue (PER de 254,3x, P/B de 2,88x, EV/EBITDA de 39,1x), reflétant des anticipations de redressement ambitieuses qui ne sont pas encore confirmées par les fondamentaux. Le comportement du cours sur 100 jours est haussier (+47,28%) mais volatile (41,6% annualisée), avec une distribution platykurtique et un léger biais baissier (skewness de -0,427), ce qui suggère des mouvements amples et un risque de correction. Les signaux techniques sont majoritairement baissiers (MM20 et MM50 au-dessus du cours, MACD négatif) ou neutres (Bollinger, RSI, Stochastique), avec un seul signal haussier naissant, ce qui plaide pour une consolidation avant un éventuel retournement. Les fondamentaux restent fragiles : l'année 2025 a été catastrophique (ROE de 1,05%, ROA de 0,13%), mais le T1 2026 montre un début de redressement (résultat net +28,9%, coefficient d'exploitation à 56,2%), qu'il convient de confirmer sur plusieurs trimestres. Les prédictions IA pour les 10 prochains jours (4983 → 5076 FCFA) suggèrent une légère hausse (+1,5% cumulé), ce qui contredit partiellement les signaux techniques baissiers mais reste cohérent avec le rebond fondamental en cours. Sur la base de cette synthèse, la recommandation finale est **CONSERVER** : la convergence entre un redressement opérationnel naissant (T1 2026) et des signaux techniques encore baissiers invite à la patience, tandis que la valorisation exigeante et les risques élevés (politique, crédit) excluent un achat agressif. Le niveau de confiance est **Moyen** (les données T1 2026 sont encourageantes mais un seul trimestre ne suffit pas à confirmer la tendance), et le risque global est **Élevé** (volatilité de 41,6%, instabilité politique au Niger, absence de dividende). L'horizon d'investissement optimal est le **moyen terme (3-12 mois)**, en attendant la confirmation du redressement sur les trimestres suivants et une amélioration durable des indicateurs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295.02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11,670 titres</w:t>
            </w:r>
          </w:p>
        </w:tc>
        <w:tc>
          <w:tcPr>
            <w:tcW w:type="dxa" w:w="2268"/>
            <w:shd w:fill="FFF2CC" w:val="clear"/>
          </w:tcPr>
          <w:p>
            <w:r>
              <w:rPr>
                <w:b/>
                <w:color w:val="503200"/>
                <w:sz w:val="16"/>
              </w:rPr>
              <w:t xml:space="preserve">Cours actuel : </w:t>
            </w:r>
            <w:r>
              <w:rPr>
                <w:color w:val="000000"/>
                <w:sz w:val="17"/>
              </w:rPr>
              <w:t>8,195 FCFA</w:t>
            </w:r>
          </w:p>
          <w:p>
            <w:r>
              <w:rPr>
                <w:b/>
                <w:color w:val="503200"/>
                <w:sz w:val="16"/>
              </w:rPr>
              <w:t xml:space="preserve">Var. 100 jours : </w:t>
            </w:r>
            <w:r>
              <w:rPr>
                <w:b/>
                <w:color w:val="007800"/>
                <w:sz w:val="17"/>
              </w:rPr>
              <w:t>+8.47%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4.75% (Faible) — μ=7,751 FCFA, σ=368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β=0.5854 (Défensif) — Cov=0.000043, Var(idx)=0.000073, ρ=0.297,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11,670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2026-10-08</w:t>
            </w:r>
          </w:p>
        </w:tc>
        <w:tc>
          <w:tcPr>
            <w:tcW w:type="dxa" w:w="1440"/>
            <w:shd w:fill="FFDCE0" w:val="clear"/>
          </w:tcPr>
          <w:p>
            <w:r>
              <w:rPr>
                <w:sz w:val="17"/>
              </w:rPr>
              <w:t>7,816</w:t>
            </w:r>
          </w:p>
        </w:tc>
        <w:tc>
          <w:tcPr>
            <w:tcW w:type="dxa" w:w="1440"/>
            <w:shd w:fill="FFDCE0" w:val="clear"/>
          </w:tcPr>
          <w:p>
            <w:r>
              <w:rPr>
                <w:b/>
                <w:sz w:val="17"/>
              </w:rPr>
              <w:t>7,997</w:t>
            </w:r>
          </w:p>
        </w:tc>
        <w:tc>
          <w:tcPr>
            <w:tcW w:type="dxa" w:w="1440"/>
            <w:shd w:fill="FFDCE0" w:val="clear"/>
          </w:tcPr>
          <w:p>
            <w:r>
              <w:rPr>
                <w:sz w:val="17"/>
              </w:rPr>
              <w:t>8,178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2026-10-09</w:t>
            </w:r>
          </w:p>
        </w:tc>
        <w:tc>
          <w:tcPr>
            <w:tcW w:type="dxa" w:w="1440"/>
            <w:shd w:fill="FFDCE0" w:val="clear"/>
          </w:tcPr>
          <w:p>
            <w:r>
              <w:rPr>
                <w:sz w:val="17"/>
              </w:rPr>
              <w:t>7,626</w:t>
            </w:r>
          </w:p>
        </w:tc>
        <w:tc>
          <w:tcPr>
            <w:tcW w:type="dxa" w:w="1440"/>
            <w:shd w:fill="FFDCE0" w:val="clear"/>
          </w:tcPr>
          <w:p>
            <w:r>
              <w:rPr>
                <w:b/>
                <w:sz w:val="17"/>
              </w:rPr>
              <w:t>7,878</w:t>
            </w:r>
          </w:p>
        </w:tc>
        <w:tc>
          <w:tcPr>
            <w:tcW w:type="dxa" w:w="1440"/>
            <w:shd w:fill="FFDCE0" w:val="clear"/>
          </w:tcPr>
          <w:p>
            <w:r>
              <w:rPr>
                <w:sz w:val="17"/>
              </w:rPr>
              <w:t>8,130</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2026-10-12</w:t>
            </w:r>
          </w:p>
        </w:tc>
        <w:tc>
          <w:tcPr>
            <w:tcW w:type="dxa" w:w="1440"/>
            <w:shd w:fill="FFDCE0" w:val="clear"/>
          </w:tcPr>
          <w:p>
            <w:r>
              <w:rPr>
                <w:sz w:val="17"/>
              </w:rPr>
              <w:t>7,458</w:t>
            </w:r>
          </w:p>
        </w:tc>
        <w:tc>
          <w:tcPr>
            <w:tcW w:type="dxa" w:w="1440"/>
            <w:shd w:fill="FFDCE0" w:val="clear"/>
          </w:tcPr>
          <w:p>
            <w:r>
              <w:rPr>
                <w:b/>
                <w:sz w:val="17"/>
              </w:rPr>
              <w:t>7,762</w:t>
            </w:r>
          </w:p>
        </w:tc>
        <w:tc>
          <w:tcPr>
            <w:tcW w:type="dxa" w:w="1440"/>
            <w:shd w:fill="FFDCE0" w:val="clear"/>
          </w:tcPr>
          <w:p>
            <w:r>
              <w:rPr>
                <w:sz w:val="17"/>
              </w:rPr>
              <w:t>8,066</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2026-10-13</w:t>
            </w:r>
          </w:p>
        </w:tc>
        <w:tc>
          <w:tcPr>
            <w:tcW w:type="dxa" w:w="1440"/>
            <w:shd w:fill="FFDCE0" w:val="clear"/>
          </w:tcPr>
          <w:p>
            <w:r>
              <w:rPr>
                <w:sz w:val="17"/>
              </w:rPr>
              <w:t>7,310</w:t>
            </w:r>
          </w:p>
        </w:tc>
        <w:tc>
          <w:tcPr>
            <w:tcW w:type="dxa" w:w="1440"/>
            <w:shd w:fill="FFDCE0" w:val="clear"/>
          </w:tcPr>
          <w:p>
            <w:r>
              <w:rPr>
                <w:b/>
                <w:sz w:val="17"/>
              </w:rPr>
              <w:t>7,656</w:t>
            </w:r>
          </w:p>
        </w:tc>
        <w:tc>
          <w:tcPr>
            <w:tcW w:type="dxa" w:w="1440"/>
            <w:shd w:fill="FFDCE0" w:val="clear"/>
          </w:tcPr>
          <w:p>
            <w:r>
              <w:rPr>
                <w:sz w:val="17"/>
              </w:rPr>
              <w:t>8,003</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2026-10-14</w:t>
            </w:r>
          </w:p>
        </w:tc>
        <w:tc>
          <w:tcPr>
            <w:tcW w:type="dxa" w:w="1440"/>
            <w:shd w:fill="FFDCE0" w:val="clear"/>
          </w:tcPr>
          <w:p>
            <w:r>
              <w:rPr>
                <w:sz w:val="17"/>
              </w:rPr>
              <w:t>7,175</w:t>
            </w:r>
          </w:p>
        </w:tc>
        <w:tc>
          <w:tcPr>
            <w:tcW w:type="dxa" w:w="1440"/>
            <w:shd w:fill="FFDCE0" w:val="clear"/>
          </w:tcPr>
          <w:p>
            <w:r>
              <w:rPr>
                <w:b/>
                <w:sz w:val="17"/>
              </w:rPr>
              <w:t>7,558</w:t>
            </w:r>
          </w:p>
        </w:tc>
        <w:tc>
          <w:tcPr>
            <w:tcW w:type="dxa" w:w="1440"/>
            <w:shd w:fill="FFDCE0" w:val="clear"/>
          </w:tcPr>
          <w:p>
            <w:r>
              <w:rPr>
                <w:sz w:val="17"/>
              </w:rPr>
              <w:t>7,940</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2026-10-15</w:t>
            </w:r>
          </w:p>
        </w:tc>
        <w:tc>
          <w:tcPr>
            <w:tcW w:type="dxa" w:w="1440"/>
            <w:shd w:fill="FFDCE0" w:val="clear"/>
          </w:tcPr>
          <w:p>
            <w:r>
              <w:rPr>
                <w:sz w:val="17"/>
              </w:rPr>
              <w:t>7,050</w:t>
            </w:r>
          </w:p>
        </w:tc>
        <w:tc>
          <w:tcPr>
            <w:tcW w:type="dxa" w:w="1440"/>
            <w:shd w:fill="FFDCE0" w:val="clear"/>
          </w:tcPr>
          <w:p>
            <w:r>
              <w:rPr>
                <w:b/>
                <w:sz w:val="17"/>
              </w:rPr>
              <w:t>7,464</w:t>
            </w:r>
          </w:p>
        </w:tc>
        <w:tc>
          <w:tcPr>
            <w:tcW w:type="dxa" w:w="1440"/>
            <w:shd w:fill="FFDCE0" w:val="clear"/>
          </w:tcPr>
          <w:p>
            <w:r>
              <w:rPr>
                <w:sz w:val="17"/>
              </w:rPr>
              <w:t>7,878</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2026-10-16</w:t>
            </w:r>
          </w:p>
        </w:tc>
        <w:tc>
          <w:tcPr>
            <w:tcW w:type="dxa" w:w="1440"/>
            <w:shd w:fill="FFDCE0" w:val="clear"/>
          </w:tcPr>
          <w:p>
            <w:r>
              <w:rPr>
                <w:sz w:val="17"/>
              </w:rPr>
              <w:t>6,932</w:t>
            </w:r>
          </w:p>
        </w:tc>
        <w:tc>
          <w:tcPr>
            <w:tcW w:type="dxa" w:w="1440"/>
            <w:shd w:fill="FFDCE0" w:val="clear"/>
          </w:tcPr>
          <w:p>
            <w:r>
              <w:rPr>
                <w:b/>
                <w:sz w:val="17"/>
              </w:rPr>
              <w:t>7,374</w:t>
            </w:r>
          </w:p>
        </w:tc>
        <w:tc>
          <w:tcPr>
            <w:tcW w:type="dxa" w:w="1440"/>
            <w:shd w:fill="FFDCE0" w:val="clear"/>
          </w:tcPr>
          <w:p>
            <w:r>
              <w:rPr>
                <w:sz w:val="17"/>
              </w:rPr>
              <w:t>7,816</w:t>
            </w:r>
          </w:p>
        </w:tc>
        <w:tc>
          <w:tcPr>
            <w:tcW w:type="dxa" w:w="1440"/>
            <w:shd w:fill="FFDCE0" w:val="clear"/>
          </w:tcPr>
          <w:p>
            <w:r>
              <w:rPr>
                <w:b/>
                <w:color w:val="C00000"/>
                <w:sz w:val="17"/>
              </w:rPr>
              <w:t>-10.0%</w:t>
            </w:r>
          </w:p>
        </w:tc>
      </w:tr>
      <w:tr>
        <w:tc>
          <w:tcPr>
            <w:tcW w:type="dxa" w:w="1440"/>
            <w:shd w:fill="FFDCE0" w:val="clear"/>
          </w:tcPr>
          <w:p>
            <w:r>
              <w:rPr>
                <w:sz w:val="17"/>
              </w:rPr>
              <w:t>J+8  Moyenne</w:t>
            </w:r>
          </w:p>
        </w:tc>
        <w:tc>
          <w:tcPr>
            <w:tcW w:type="dxa" w:w="1440"/>
            <w:shd w:fill="FFDCE0" w:val="clear"/>
          </w:tcPr>
          <w:p>
            <w:r>
              <w:rPr>
                <w:sz w:val="17"/>
              </w:rPr>
              <w:t>2026-10-19</w:t>
            </w:r>
          </w:p>
        </w:tc>
        <w:tc>
          <w:tcPr>
            <w:tcW w:type="dxa" w:w="1440"/>
            <w:shd w:fill="FFDCE0" w:val="clear"/>
          </w:tcPr>
          <w:p>
            <w:r>
              <w:rPr>
                <w:sz w:val="17"/>
              </w:rPr>
              <w:t>6,822</w:t>
            </w:r>
          </w:p>
        </w:tc>
        <w:tc>
          <w:tcPr>
            <w:tcW w:type="dxa" w:w="1440"/>
            <w:shd w:fill="FFDCE0" w:val="clear"/>
          </w:tcPr>
          <w:p>
            <w:r>
              <w:rPr>
                <w:b/>
                <w:sz w:val="17"/>
              </w:rPr>
              <w:t>7,288</w:t>
            </w:r>
          </w:p>
        </w:tc>
        <w:tc>
          <w:tcPr>
            <w:tcW w:type="dxa" w:w="1440"/>
            <w:shd w:fill="FFDCE0" w:val="clear"/>
          </w:tcPr>
          <w:p>
            <w:r>
              <w:rPr>
                <w:sz w:val="17"/>
              </w:rPr>
              <w:t>7,755</w:t>
            </w:r>
          </w:p>
        </w:tc>
        <w:tc>
          <w:tcPr>
            <w:tcW w:type="dxa" w:w="1440"/>
            <w:shd w:fill="FFDCE0" w:val="clear"/>
          </w:tcPr>
          <w:p>
            <w:r>
              <w:rPr>
                <w:b/>
                <w:color w:val="C00000"/>
                <w:sz w:val="17"/>
              </w:rPr>
              <w:t>-11.1%</w:t>
            </w:r>
          </w:p>
        </w:tc>
      </w:tr>
      <w:tr>
        <w:tc>
          <w:tcPr>
            <w:tcW w:type="dxa" w:w="1440"/>
            <w:shd w:fill="FFDCE0" w:val="clear"/>
          </w:tcPr>
          <w:p>
            <w:r>
              <w:rPr>
                <w:sz w:val="17"/>
              </w:rPr>
              <w:t>J+9  Moyenne</w:t>
            </w:r>
          </w:p>
        </w:tc>
        <w:tc>
          <w:tcPr>
            <w:tcW w:type="dxa" w:w="1440"/>
            <w:shd w:fill="FFDCE0" w:val="clear"/>
          </w:tcPr>
          <w:p>
            <w:r>
              <w:rPr>
                <w:sz w:val="17"/>
              </w:rPr>
              <w:t>2026-10-20</w:t>
            </w:r>
          </w:p>
        </w:tc>
        <w:tc>
          <w:tcPr>
            <w:tcW w:type="dxa" w:w="1440"/>
            <w:shd w:fill="FFDCE0" w:val="clear"/>
          </w:tcPr>
          <w:p>
            <w:r>
              <w:rPr>
                <w:sz w:val="17"/>
              </w:rPr>
              <w:t>6,717</w:t>
            </w:r>
          </w:p>
        </w:tc>
        <w:tc>
          <w:tcPr>
            <w:tcW w:type="dxa" w:w="1440"/>
            <w:shd w:fill="FFDCE0" w:val="clear"/>
          </w:tcPr>
          <w:p>
            <w:r>
              <w:rPr>
                <w:b/>
                <w:sz w:val="17"/>
              </w:rPr>
              <w:t>7,207</w:t>
            </w:r>
          </w:p>
        </w:tc>
        <w:tc>
          <w:tcPr>
            <w:tcW w:type="dxa" w:w="1440"/>
            <w:shd w:fill="FFDCE0" w:val="clear"/>
          </w:tcPr>
          <w:p>
            <w:r>
              <w:rPr>
                <w:sz w:val="17"/>
              </w:rPr>
              <w:t>7,696</w:t>
            </w:r>
          </w:p>
        </w:tc>
        <w:tc>
          <w:tcPr>
            <w:tcW w:type="dxa" w:w="1440"/>
            <w:shd w:fill="FFDCE0" w:val="clear"/>
          </w:tcPr>
          <w:p>
            <w:r>
              <w:rPr>
                <w:b/>
                <w:color w:val="C00000"/>
                <w:sz w:val="17"/>
              </w:rPr>
              <w:t>-12.1%</w:t>
            </w:r>
          </w:p>
        </w:tc>
      </w:tr>
      <w:tr>
        <w:tc>
          <w:tcPr>
            <w:tcW w:type="dxa" w:w="1440"/>
            <w:shd w:fill="FFDCE0" w:val="clear"/>
          </w:tcPr>
          <w:p>
            <w:r>
              <w:rPr>
                <w:sz w:val="17"/>
              </w:rPr>
              <w:t>J+10  Moyenne</w:t>
            </w:r>
          </w:p>
        </w:tc>
        <w:tc>
          <w:tcPr>
            <w:tcW w:type="dxa" w:w="1440"/>
            <w:shd w:fill="FFDCE0" w:val="clear"/>
          </w:tcPr>
          <w:p>
            <w:r>
              <w:rPr>
                <w:sz w:val="17"/>
              </w:rPr>
              <w:t>2026-10-21</w:t>
            </w:r>
          </w:p>
        </w:tc>
        <w:tc>
          <w:tcPr>
            <w:tcW w:type="dxa" w:w="1440"/>
            <w:shd w:fill="FFDCE0" w:val="clear"/>
          </w:tcPr>
          <w:p>
            <w:r>
              <w:rPr>
                <w:sz w:val="17"/>
              </w:rPr>
              <w:t>6,618</w:t>
            </w:r>
          </w:p>
        </w:tc>
        <w:tc>
          <w:tcPr>
            <w:tcW w:type="dxa" w:w="1440"/>
            <w:shd w:fill="FFDCE0" w:val="clear"/>
          </w:tcPr>
          <w:p>
            <w:r>
              <w:rPr>
                <w:b/>
                <w:sz w:val="17"/>
              </w:rPr>
              <w:t>7,128</w:t>
            </w:r>
          </w:p>
        </w:tc>
        <w:tc>
          <w:tcPr>
            <w:tcW w:type="dxa" w:w="1440"/>
            <w:shd w:fill="FFDCE0" w:val="clear"/>
          </w:tcPr>
          <w:p>
            <w:r>
              <w:rPr>
                <w:sz w:val="17"/>
              </w:rPr>
              <w:t>7,639</w:t>
            </w:r>
          </w:p>
        </w:tc>
        <w:tc>
          <w:tcPr>
            <w:tcW w:type="dxa" w:w="1440"/>
            <w:shd w:fill="FFDCE0" w:val="clear"/>
          </w:tcPr>
          <w:p>
            <w:r>
              <w:rPr>
                <w:b/>
                <w:color w:val="C00000"/>
                <w:sz w:val="17"/>
              </w:rPr>
              <w:t>-13.0%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295,02 milliards FCFA, BOAS s'impose comme l'une des valeurs bancaires de référence de la cote BRVM, un niveau qui traduit la confiance des investisseurs dans le modèle de la banque sénégalaise. Le BPA de 608 FCFA par action signifie que chaque titre génère près de 608 FCFA de bénéfice net, ce qui, rapporté au cours actuel de 8 195 FCFA, donne un PER de 13,5x — légèrement supérieur à la moyenne du marché BRVM (8-12x), mais justifié par la qualité de la croissance et la régularité des résultats. Le P/B de 3,06x indique que le marché valorise la banque à environ trois fois ses fonds propres comptables, une prime de croissance significative qui reflète la rentabilité élevée des capitaux propres (ROE de 22,69%). Enfin, l'EV/EBITDA de 8,7x, situé dans la fourchette raisonnable de 5-10x, suggère que la valeur totale de l'entreprise reste cohérente avec sa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affiche une progression totale de +8,47%, avec une dernière séance en hausse de +0,61%, confirmant une dynamique haussière modérée mais régulière. Le titre a évolué dans un range de 1 250 FCFA, entre un plus bas de 7 250 FCFA et un plus haut de 8 500 FCFA, le cours actuel de 8 195 FCFA se situant dans la partie supérieure de cette fourchette, à environ 3,6% sous son sommet. La moyenne de 7 751 FCFA est très proche de la médiane (7 700 FCFA) et du mode (7 700 FCFA), ce qui indique une distribution quasi symétrique du cours, confirmée par un skewness de 0,291 (asymétrie légèrement positive mais globalement équilibrée). L'écart-type de 370 FCFA, soit un coefficient de variation de seulement 4,8%, témoigne d'une dispersion très faible du cours autour de sa moyenne, signe d'une certaine stabilité. Le kurtosis de -1,247 (distribution platykurtique) indique une distribution aplatie avec une faible concentration des valeurs extrêmes, ce qui suggère un risque de pics de volatilité limité. Avec une volatilité annualisée de 26,5%, le titre se situe dans la catégorie des valeurs à volatilité modérée (15-30%), offrant un profil équilibré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(8 119,5 FCFA) et la MM50 (8 038,5 FCFA) se situent toutes deux sous le cours actuel (8 195 FCFA), avec la MM20 au-dessus de la MM50, configurant un croisement haussier classique. Cette configuration en « golden cross » implicite valide la décision d'achat, le cours évoluant au-dessus de ses deux moyennes de référence.</w:t>
      </w:r>
    </w:p>
    <w:p>
      <w:pPr>
        <w:spacing w:after="120" w:line="276" w:lineRule="auto"/>
      </w:pPr>
      <w:r>
        <w:t>**Bandes de Bollinger** : Le cours actuel (8 195 FCFA) se situe dans la partie haute du canal, entre la borne inférieure (7 778,47 FCFA) et la borne supérieure (8 460,53 FCFA), sans toutefois les toucher. Cette position médiane-haute, couplée à une décision neutre, indique une absence de signal extrême : ni suracheté, ni survente, la volatilité restant contenue dans les bandes.</w:t>
      </w:r>
    </w:p>
    <w:p>
      <w:pPr>
        <w:spacing w:after="120" w:line="276" w:lineRule="auto"/>
      </w:pPr>
      <w:r>
        <w:t>**MACD** : La valeur du MACD (21,722) est nettement supérieure à son signal (16,391), avec un histogramme positif, confirmant un momentum haussier en cours. La décision d'achat est justifiée par cette divergence positive persistante, qui indique que la dynamique de court terme reste favorable aux acheteurs.</w:t>
      </w:r>
    </w:p>
    <w:p>
      <w:pPr>
        <w:spacing w:after="120" w:line="276" w:lineRule="auto"/>
      </w:pPr>
      <w:r>
        <w:t>**RSI** : À 47,718, le RSI se situe en zone neutre (30-70), sans signal de surachat (&gt;70) ni de survente (&lt;30). Cette position médiane suggère que le titre dispose encore d'un potentiel de hausse sans être techniquement tendu, ce qui justifie la décision neutre.</w:t>
      </w:r>
    </w:p>
    <w:p>
      <w:pPr>
        <w:spacing w:after="120" w:line="276" w:lineRule="auto"/>
      </w:pPr>
      <w:r>
        <w:t>**Stochastique** : Le %K (100,0) est en zone de surachat extrême, au-dessus du %D (86,474), avec un croisement potentiellement baissier à surveiller. Cette configuration justifie la décision de vente à court terme, le titre ayant atteint un niveau de surchauffe technique qui pourrait précéder une correction.</w:t>
      </w:r>
    </w:p>
    <w:p>
      <w:pPr>
        <w:spacing w:after="120" w:line="276" w:lineRule="auto"/>
      </w:pPr>
      <w:r>
        <w:t>**Conclusion technique** : Les indicateurs présentent une divergence notable : les moyennes mobiles et le MACD confirment une tendance haussière de fond, tandis que le stochastique signale un surachat de court terme et que le RSI et les bandes de Bollinger restent neutres. Cette configuration suggère une consolidation possible avant une reprise, avec un support dynamique à 8 119 FCFA (MM20) et une résistance à 8 460 FCFA (borne supérieure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BOAS affichent un Produit Net Bancaire (PNB) de 51,926 milliards FCFA, un résultat net de 21,905 milliards FCFA, un ROE de 22,69% (excellent, &gt;15%) et un ROA de 2,62%, confirmant la solidité et la rentabilité élevée de la banque. Le coefficient d'exploitation de 44,02% (largement inférieur au seuil de 60% et proche du seuil d'excellence de 50%) témoigne d'une efficacité opérationnelle remarquable, tandis que le coût du risque de 23,31% des charges financières reste un point de vigilance, bien qu'il soit en amélioration selon les rapports trimestriels. La structure financière montre une autonomie financière de 11,54% (faible mais typique du modèle bancaire) et une solvabilité générale de 113,05%, avec un ratio de couverture des intérêts de 132,58%, assurant une bonne capacité de remboursement (1,54 an de CAF). Les rapports trimestriels récents confirment cette dynamique : le rapport du T1 2026 (publié le 31 mars 2026) fait état d'un PNB de 12,580 milliards FCFA (+6,82%), d'un résultat net de 5,741 milliards FCFA (+9,78%) et d'un coefficient d'exploitation en amélioration à 42,1% (contre 42,8% un an plus tôt), avec une forte progression des ressources clientèle (+16,68% à 648,038 milliards FCFA). Le rapport du S1 2026 (publié le 30 juin 2026) indique un PNB semestriel de 27,206 milliards FCFA, en hausse par rapport aux 25,37 milliards du S1 2025 (+6,77%), confirmant la tendance. Sur la base de ces rapports trimestriels, on peut estimer que l'exercice 2026 devrait enregistrer un PNB annuel d'environ 54-55 milliards FCFA et un résultat net de l'ordre de 23-24 milliards FCFA, soit une croissance de 5-8% par rapport à 2025. Le rapport du T3 2025 (30 septembre 2025) confirme cette trajectoire avec un PNB cumulé de 37,44 milliards FCFA (+6,71%) et un résultat net de 16,37 milliards FCFA (+10,01%), ainsi qu'une baisse du coût du risque (de -1,8% à -0,5% du PNB) et du coefficient d'exploitation (de 46,1% à 44,4%). La recommandation fondamentale est donc positive : BOAS présente une solidité financière avérée, une croissance régulière et une rentabilité supérieure à la moyenne du secteur, avec des risques maîtrisés (concentration sur le marché sénégalais, coût du risque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de 13,5x, P/B de 3,06x, EV/EBITDA de 8,7x) apparaît raisonnable au regard de la qualité de ses fondamentaux, bien que légèrement supérieure à la moyenne du marché BRVM, ce qui traduit une prime de qualité justifiée par un ROE de 22,69% et une croissance régulière. Le comportement du cours sur 100 jours (+8,47%) est favorable, avec une volatilité modérée (26,5%) et une distribution stable (kurtosis platykurtique, skewness équilibré), sans signe de surchauffe excessive malgré le stochastique en zone de surachat. Les signaux techniques sont mitigés : les moyennes mobiles et le MACD confirment la tendance haussière, mais le stochastique et le RSI neutre suggèrent une consolidation imminente, ce qui plaide pour une entrée progressive plutôt qu'agressive. Les fondamentaux sont solides, avec une croissance estimée de 5-8% du résultat net en 2026 sur la base des rapports T1 et S1 2026, une efficacité opérationnelle en amélioration et une bonne maîtrise des risques. Les prédictions IA pour les 10 prochains jours (7997 → 7558 FCFA) indiquent une correction baissière d'environ 7,8%, ce qui contredit la tendance haussière de fond mais confirme le signal de surachat du stochastique à court terme. Sur la base de cette synthèse, la recommandation finale est **CONSERVER** avec un biais haussier à moyen terme : la convergence entre valorisation raisonnable, fondamentaux solides et tendance de fond haussière est positive, mais la divergence à court terme (prédictions baissières et surachat technique) invite à la prudence. Le niveau de confiance est **Moyen** (en raison de la divergence court terme/long terme) et le niveau de risque global est **Moyen** (volatilité modérée, concentration géographique, coût du risque). L'horizon d'investissement optimal est le **moyen terme (3-12 mois)**, permettant d'absorber la correction attendue à court terme et de profiter de la croissance fondamentale de la banque.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19.24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2,039 titres</w:t>
            </w:r>
          </w:p>
        </w:tc>
        <w:tc>
          <w:tcPr>
            <w:tcW w:type="dxa" w:w="2268"/>
            <w:shd w:fill="FFF2CC" w:val="clear"/>
          </w:tcPr>
          <w:p>
            <w:r>
              <w:rPr>
                <w:b/>
                <w:color w:val="503200"/>
                <w:sz w:val="16"/>
              </w:rPr>
              <w:t xml:space="preserve">Cours actuel : </w:t>
            </w:r>
            <w:r>
              <w:rPr>
                <w:color w:val="000000"/>
                <w:sz w:val="17"/>
              </w:rPr>
              <w:t>3,250 FCFA</w:t>
            </w:r>
          </w:p>
          <w:p>
            <w:r>
              <w:rPr>
                <w:b/>
                <w:color w:val="503200"/>
                <w:sz w:val="16"/>
              </w:rPr>
              <w:t xml:space="preserve">Var. 100 jours : </w:t>
            </w:r>
            <w:r>
              <w:rPr>
                <w:b/>
                <w:color w:val="B40000"/>
                <w:sz w:val="17"/>
              </w:rPr>
              <w:t>-7.14%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8.00% (Moyenne) — μ=3,677 FCFA, σ=294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β=0.3447 (Défensif) — Cov=0.000025, Var(idx)=0.000073, ρ=0.104,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3,144</w:t>
            </w:r>
          </w:p>
        </w:tc>
        <w:tc>
          <w:tcPr>
            <w:tcW w:type="dxa" w:w="1440"/>
            <w:shd w:fill="FAFAFA" w:val="clear"/>
          </w:tcPr>
          <w:p>
            <w:r>
              <w:rPr>
                <w:b/>
                <w:sz w:val="17"/>
              </w:rPr>
              <w:t>3,244</w:t>
            </w:r>
          </w:p>
        </w:tc>
        <w:tc>
          <w:tcPr>
            <w:tcW w:type="dxa" w:w="1440"/>
            <w:shd w:fill="FAFAFA" w:val="clear"/>
          </w:tcPr>
          <w:p>
            <w:r>
              <w:rPr>
                <w:sz w:val="17"/>
              </w:rPr>
              <w:t>3,345</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3,096</w:t>
            </w:r>
          </w:p>
        </w:tc>
        <w:tc>
          <w:tcPr>
            <w:tcW w:type="dxa" w:w="1440"/>
            <w:shd w:fill="FAFAFA" w:val="clear"/>
          </w:tcPr>
          <w:p>
            <w:r>
              <w:rPr>
                <w:b/>
                <w:sz w:val="17"/>
              </w:rPr>
              <w:t>3,237</w:t>
            </w:r>
          </w:p>
        </w:tc>
        <w:tc>
          <w:tcPr>
            <w:tcW w:type="dxa" w:w="1440"/>
            <w:shd w:fill="FAFAFA" w:val="clear"/>
          </w:tcPr>
          <w:p>
            <w:r>
              <w:rPr>
                <w:sz w:val="17"/>
              </w:rPr>
              <w:t>3,379</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3,063</w:t>
            </w:r>
          </w:p>
        </w:tc>
        <w:tc>
          <w:tcPr>
            <w:tcW w:type="dxa" w:w="1440"/>
            <w:shd w:fill="FAFAFA" w:val="clear"/>
          </w:tcPr>
          <w:p>
            <w:r>
              <w:rPr>
                <w:b/>
                <w:sz w:val="17"/>
              </w:rPr>
              <w:t>3,236</w:t>
            </w:r>
          </w:p>
        </w:tc>
        <w:tc>
          <w:tcPr>
            <w:tcW w:type="dxa" w:w="1440"/>
            <w:shd w:fill="FAFAFA" w:val="clear"/>
          </w:tcPr>
          <w:p>
            <w:r>
              <w:rPr>
                <w:sz w:val="17"/>
              </w:rPr>
              <w:t>3,410</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3,038</w:t>
            </w:r>
          </w:p>
        </w:tc>
        <w:tc>
          <w:tcPr>
            <w:tcW w:type="dxa" w:w="1440"/>
            <w:shd w:fill="FAFAFA" w:val="clear"/>
          </w:tcPr>
          <w:p>
            <w:r>
              <w:rPr>
                <w:b/>
                <w:sz w:val="17"/>
              </w:rPr>
              <w:t>3,238</w:t>
            </w:r>
          </w:p>
        </w:tc>
        <w:tc>
          <w:tcPr>
            <w:tcW w:type="dxa" w:w="1440"/>
            <w:shd w:fill="FAFAFA" w:val="clear"/>
          </w:tcPr>
          <w:p>
            <w:r>
              <w:rPr>
                <w:sz w:val="17"/>
              </w:rPr>
              <w:t>3,438</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3,017</w:t>
            </w:r>
          </w:p>
        </w:tc>
        <w:tc>
          <w:tcPr>
            <w:tcW w:type="dxa" w:w="1440"/>
            <w:shd w:fill="FAFAFA" w:val="clear"/>
          </w:tcPr>
          <w:p>
            <w:r>
              <w:rPr>
                <w:b/>
                <w:sz w:val="17"/>
              </w:rPr>
              <w:t>3,241</w:t>
            </w:r>
          </w:p>
        </w:tc>
        <w:tc>
          <w:tcPr>
            <w:tcW w:type="dxa" w:w="1440"/>
            <w:shd w:fill="FAFAFA" w:val="clear"/>
          </w:tcPr>
          <w:p>
            <w:r>
              <w:rPr>
                <w:sz w:val="17"/>
              </w:rPr>
              <w:t>3,465</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2,998</w:t>
            </w:r>
          </w:p>
        </w:tc>
        <w:tc>
          <w:tcPr>
            <w:tcW w:type="dxa" w:w="1440"/>
            <w:shd w:fill="FAFAFA" w:val="clear"/>
          </w:tcPr>
          <w:p>
            <w:r>
              <w:rPr>
                <w:b/>
                <w:sz w:val="17"/>
              </w:rPr>
              <w:t>3,243</w:t>
            </w:r>
          </w:p>
        </w:tc>
        <w:tc>
          <w:tcPr>
            <w:tcW w:type="dxa" w:w="1440"/>
            <w:shd w:fill="FAFAFA" w:val="clear"/>
          </w:tcPr>
          <w:p>
            <w:r>
              <w:rPr>
                <w:sz w:val="17"/>
              </w:rPr>
              <w:t>3,489</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2,979</w:t>
            </w:r>
          </w:p>
        </w:tc>
        <w:tc>
          <w:tcPr>
            <w:tcW w:type="dxa" w:w="1440"/>
            <w:shd w:fill="FAFAFA" w:val="clear"/>
          </w:tcPr>
          <w:p>
            <w:r>
              <w:rPr>
                <w:b/>
                <w:sz w:val="17"/>
              </w:rPr>
              <w:t>3,244</w:t>
            </w:r>
          </w:p>
        </w:tc>
        <w:tc>
          <w:tcPr>
            <w:tcW w:type="dxa" w:w="1440"/>
            <w:shd w:fill="FAFAFA" w:val="clear"/>
          </w:tcPr>
          <w:p>
            <w:r>
              <w:rPr>
                <w:sz w:val="17"/>
              </w:rPr>
              <w:t>3,510</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2,960</w:t>
            </w:r>
          </w:p>
        </w:tc>
        <w:tc>
          <w:tcPr>
            <w:tcW w:type="dxa" w:w="1440"/>
            <w:shd w:fill="FAFAFA" w:val="clear"/>
          </w:tcPr>
          <w:p>
            <w:r>
              <w:rPr>
                <w:b/>
                <w:sz w:val="17"/>
              </w:rPr>
              <w:t>3,244</w:t>
            </w:r>
          </w:p>
        </w:tc>
        <w:tc>
          <w:tcPr>
            <w:tcW w:type="dxa" w:w="1440"/>
            <w:shd w:fill="FAFAFA" w:val="clear"/>
          </w:tcPr>
          <w:p>
            <w:r>
              <w:rPr>
                <w:sz w:val="17"/>
              </w:rPr>
              <w:t>3,527</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2,941</w:t>
            </w:r>
          </w:p>
        </w:tc>
        <w:tc>
          <w:tcPr>
            <w:tcW w:type="dxa" w:w="1440"/>
            <w:shd w:fill="FAFAFA" w:val="clear"/>
          </w:tcPr>
          <w:p>
            <w:r>
              <w:rPr>
                <w:b/>
                <w:sz w:val="17"/>
              </w:rPr>
              <w:t>3,242</w:t>
            </w:r>
          </w:p>
        </w:tc>
        <w:tc>
          <w:tcPr>
            <w:tcW w:type="dxa" w:w="1440"/>
            <w:shd w:fill="FAFAFA" w:val="clear"/>
          </w:tcPr>
          <w:p>
            <w:r>
              <w:rPr>
                <w:sz w:val="17"/>
              </w:rPr>
              <w:t>3,542</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2,922</w:t>
            </w:r>
          </w:p>
        </w:tc>
        <w:tc>
          <w:tcPr>
            <w:tcW w:type="dxa" w:w="1440"/>
            <w:shd w:fill="FAFAFA" w:val="clear"/>
          </w:tcPr>
          <w:p>
            <w:r>
              <w:rPr>
                <w:b/>
                <w:sz w:val="17"/>
              </w:rPr>
              <w:t>3,238</w:t>
            </w:r>
          </w:p>
        </w:tc>
        <w:tc>
          <w:tcPr>
            <w:tcW w:type="dxa" w:w="1440"/>
            <w:shd w:fill="FAFAFA" w:val="clear"/>
          </w:tcPr>
          <w:p>
            <w:r>
              <w:rPr>
                <w:sz w:val="17"/>
              </w:rPr>
              <w:t>3,555</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19,24 Mds FCFA, CABC se situe dans la catégorie des valeurs moyennes de la BRVM, loin des poids lourds comme SONATEL ou les grandes banques régionales. Le BPA de 243 FCFA/action indique ce que chaque titre rapporte en bénéfice, et le PER de 13,4x traduit une valorisation légèrement supérieure à la moyenne du marché BRVM (8-12x), ce qui suggère que les investisseurs paient une prime modérée pour les bénéfices actuels. Le P/B de 2,06x montre que le marché valorise l'entreprise à plus du double de sa valeur comptable, une prime de croissance qui n'est justifiée que si la rentabilité future se maintient. Enfin, l'EV/EBITDA de 6,6x, dans la fourchette raisonnable de 5-10x, indique que la valeur totale de l'entreprise (dette incluse)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-7,14%, avec une dernière séance en repli de -1,52%, confirmant une dynamique baissière persistante. Le cours actuel de 3 250 FCFA se situe dans la moitié basse du range de trading, le plus haut ayant atteint 4 500 FCFA et le plus bas 3 190 FCFA — soit un écart de plus de 40% entre les extrêmes, témoignant d'une forte amplitude. La tendance générale est clairement baissière, le cours évoluant sous ses moyennes mobiles. Les statistiques descriptives révèlent une moyenne de 3 677 FCFA supérieure à la médiane de 3 592 FCFA, avec un skewness positif de 0,910 indiquant une asymétrie vers la droite : davantage de journées se sont négociées sous la moyenne, ce qui traduit une pression vendeuse récurrente. L'écart-type de 296 FCFA (CV=8,0%) montre une dispersion modérée autour de la moyenne, tandis que le kurtosis de 0,390 (mésokurtique) suggère une distribution proche de la normale, sans risque excessif de pics extrêmes. La volatilité annualisée de 44,7% classe le titre dans la catégorie des valeurs très volatiles (&gt;30%), ce qui implique un risque élevé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(3 378,25 FCFA) et la MM50 (3 482,40 FCFA) se situent toutes deux au-dessus du cours actuel (3 250 FCFA), avec la MM20 sous la MM50 — configuration baissière classique. Le cours évoluant sous ses deux moyennes, la décision technique est logiquement « Vente », confirmant la pression baissière.</w:t>
      </w:r>
    </w:p>
    <w:p>
      <w:pPr>
        <w:spacing w:after="120" w:line="276" w:lineRule="auto"/>
      </w:pPr>
      <w:r>
        <w:t>**Bandes de Bollinger** : Le cours (3 250 FCFA) se situe dans la partie basse de la bande, entre la borne inférieure (3 176,175 FCFA) et la borne supérieure (3 580,325 FCFA), sans franchir les extrêmes. Cette position médiane-basse, couplée à une largeur de bande significative, traduit une volatilité élevée mais sans signal de retournement immédiat. La décision est « Neutre ».</w:t>
      </w:r>
    </w:p>
    <w:p>
      <w:pPr>
        <w:spacing w:after="120" w:line="276" w:lineRule="auto"/>
      </w:pPr>
      <w:r>
        <w:t>**MACD** : La valeur du MACD (-61,309) est légèrement supérieure à son signal (-63,612), générant un croisement haussier marginal. Cette divergence positive, bien que faible, suggère un essoufflement de la dynamique baissière et justifie la décision « Achat » — un signal de retournement potentiel à surveiller.</w:t>
      </w:r>
    </w:p>
    <w:p>
      <w:pPr>
        <w:spacing w:after="120" w:line="276" w:lineRule="auto"/>
      </w:pPr>
      <w:r>
        <w:t>**RSI** : À 31,343, le RSI se situe juste au-dessus du seuil de survente (30), indiquant que le titre est proche d'une zone de rebond technique potentiel, sans y être encore. La décision « Neutre » reflète cette position charnière, entre pression vendeuse et possibilité de correction haussière.</w:t>
      </w:r>
    </w:p>
    <w:p>
      <w:pPr>
        <w:spacing w:after="120" w:line="276" w:lineRule="auto"/>
      </w:pPr>
      <w:r>
        <w:t>**Stochastique** : Le %K (25,0) est inférieur au %D (36,828), avec un croisement baissier en zone basse. Cette configuration suggère que la pression vendeuse pourrait persister à court terme, mais la proximité de la zone de survente (20) limite le potentiel de baisse. La décision « Neutre » est cohérente avec cette incertitude.</w:t>
      </w:r>
    </w:p>
    <w:p>
      <w:pPr>
        <w:spacing w:after="120" w:line="276" w:lineRule="auto"/>
      </w:pPr>
      <w:r>
        <w:t>**Conclusion technique** : Les indicateurs sont majoritairement baissiers (MM, position du cours), mais le MACD et le RSI commencent à montrer des signes d'essoufflement de la baisse. La convergence entre un RSI proche de la survente et un MACD en croisement haussier marginal suggère qu'un rebond technique est possible, mais la tendance de fond reste négative tant que le cours évolue sous ses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une situation contrastée : le chiffre d'affaires s'établit à 21 263 Mds FCFA, en croissance de 11,18% sur un an, porté par une demande résiliente dans les câbles électriques et télécoms. Le résultat net atteint 1 439 Mds FCFA, avec une marge nette de 6,77% et un ROE de 15,40% — un niveau excellent (&gt;15%) qui témoigne d'une bonne rentabilité des fonds propres. Le ROA de 6,10% reste modéré, reflétant une rotation des actifs de 90,06%. Cependant, des signaux d'alerte apparaissent : le BFR de 7 186 Mds FCFA (bien que qualifié de favorable dans les données) et surtout des délais clients de 144,69 jours et une durée de stockage de 152,12 jours — des niveaux élevés qui immobilisent du capital et exposent l'entreprise à un risque de trésorerie. Le flux opérationnel est négatif (-819,66 M FCFA) et le Free Cash Flow s'établit à -982,71 M FCFA, malgré une CAF positive de 1 593 Mds FCFA. La structure financière reste saine (autonomie financière de 39,58%, endettement de 60,42%), mais la trésorerie nette de 5 139 Mds FCFA a diminué de 25% par rapport à 2024 (6 865 Mds FCFA selon le rapport annuel 2024).</w:t>
      </w:r>
    </w:p>
    <w:p>
      <w:pPr>
        <w:spacing w:after="120" w:line="276" w:lineRule="auto"/>
      </w:pPr>
      <w:r>
        <w:t>Les rapports narratifs confirment cette dynamique. Le rapport du 3ème trimestre 2025 (daté du 30/09/2025) indique un CA cumulé de 16 630 M FCFA (+13,7%) et un résultat net de 1 329,5 M FCFA (+26,0%), avec une marge nette de 8,0% — meilleure que la moyenne annuelle. Le rapport du 1er semestre 2025 (daté du 30/06/2025) affichait un résultat net de 851,5 M FCFA (+55,3%) et une marge nette de 7,9%, porté par des conditions de marché favorables (cours des métaux, demande électorale). Toutefois, le rapport du T1 2026 (daté de 2026) révèle une dégradation brutale : CA en baisse de 26,5% à 3 794 M FCFA, perte d'exploitation de 237 M FCFA et résultat net déficitaire de 222 M FCFA, en raison d'une maintenance planifiée et d'une inflation des cours des métaux (+23% en 3 mois). La direction anticipe une normalisation dès le T2 2026, mais cette prévision reste incertaine.</w:t>
      </w:r>
    </w:p>
    <w:p>
      <w:pPr>
        <w:spacing w:after="120" w:line="276" w:lineRule="auto"/>
      </w:pPr>
      <w:r>
        <w:t>L'évolution sur plusieurs années montre une croissance du CA de 39,9% entre 2019 et 2025, avec un résultat net passant de 696 M FCFA en 2021 à 1 439 M FCFA en 2025. Cependant, la politique de dividende est volatile (taux de distribution entre 38% et 125%), et l'absence de dividendes en 2024 (selon le rapport annuel 2024) contraste avec la distribution de 758 M FCFA en 2025 (52,7% du résultat net), ce qui pourrait peser sur la trésorerie. En conclusion, la solidité financière de CABC est réelle mais fragilisée par des risques opérationnels (délais clients, stocks, volatilité des matières premières) et une dégradation récente au T1 2026 qui nécessite une surveillance étroite. La recommandation fondamentale est de **conserver** avec vigilance, en attendant la confirmation d'un redressement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est modérément tendue : PER de 13,4x (au-dessus de la moyenne BRVM), P/B de 2,06x (prime de croissance) et EV/EBITDA de 6,6x (raisonnable), ce qui suggère une juste valeur, sans sous-évaluation flagrante. Le comportement du cours (Partie 1) est préoccupant : tendance baissière (-7,14% sur 100 jours), volatilité élevée (44,7%), skewness positif (0,910) indiquant une pression vendeuse persistante, et cours sous les moyennes mobiles. Les signaux techniques (Partie 2) sont mitigés : majoritairement baissiers (MM, Stochastique), mais le MACD et le RSI montrent des signes d'essoufflement de la baisse, suggérant un rebond technique possible à court terme. Les fondamentaux (Partie 3) sont solides sur l'année 2025 (CA +11,18%, ROE 15,40%, marge nette 6,77%), mais fragilisés par des risques opérationnels (délais clients de 144,69 jours, flux opérationnel négatif) et une dégradation brutale au T1 2026 (perte nette de 222 M FCFA). Les prédictions IA (J+1 à J+10) anticipent une stabilisation autour de 3 236-3 244 FCFA, confirmant l'absence de rebond significatif à court terme.</w:t>
      </w:r>
    </w:p>
    <w:p>
      <w:pPr>
        <w:spacing w:after="120" w:line="276" w:lineRule="auto"/>
      </w:pPr>
      <w:r>
        <w:t>Sur la base de cette synthèse, la recommandation finale est **CONSERVER** avec un niveau de confiance **Moyen** et un risque global **Élevé**. La convergence entre une valorisation sans excès, des fondamentaux annuels solides mais des signaux techniques baissiers et une dégradation récente au T1 2026 incite à la prudence. L'horizon d'investissement optimal est **moyen terme (3-12 mois)**, en attendant la confirmation d'un redressement au T2 2026 et une stabilisation du cours au-dessus de la MM20 (3 378 FCFA). Les investisseurs à court terme devraient éviter le titre en raison de la volatilité élevée, tandis que les investisseurs long terme pourraient envisager un renforcement progressif si le cours se stabilise autour de 3 200 FCFA et que les fondamentaux se confirment.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1,590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+68.45%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18,700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16.35% (Élevée) — μ=27,052 FCFA, σ=4,422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β=1.3727 (Agressif) — Cov=0.000101, Var(idx)=0.000073, ρ=0.413,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2026-10-08</w:t>
            </w:r>
          </w:p>
        </w:tc>
        <w:tc>
          <w:tcPr>
            <w:tcW w:type="dxa" w:w="1440"/>
            <w:shd w:fill="FFDCE0" w:val="clear"/>
          </w:tcPr>
          <w:p>
            <w:r>
              <w:rPr>
                <w:sz w:val="17"/>
              </w:rPr>
              <w:t>28,837</w:t>
            </w:r>
          </w:p>
        </w:tc>
        <w:tc>
          <w:tcPr>
            <w:tcW w:type="dxa" w:w="1440"/>
            <w:shd w:fill="FFDCE0" w:val="clear"/>
          </w:tcPr>
          <w:p>
            <w:r>
              <w:rPr>
                <w:b/>
                <w:sz w:val="17"/>
              </w:rPr>
              <w:t>30,424</w:t>
            </w:r>
          </w:p>
        </w:tc>
        <w:tc>
          <w:tcPr>
            <w:tcW w:type="dxa" w:w="1440"/>
            <w:shd w:fill="FFDCE0" w:val="clear"/>
          </w:tcPr>
          <w:p>
            <w:r>
              <w:rPr>
                <w:sz w:val="17"/>
              </w:rPr>
              <w:t>32,011</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2026-10-09</w:t>
            </w:r>
          </w:p>
        </w:tc>
        <w:tc>
          <w:tcPr>
            <w:tcW w:type="dxa" w:w="1440"/>
            <w:shd w:fill="FFDCE0" w:val="clear"/>
          </w:tcPr>
          <w:p>
            <w:r>
              <w:rPr>
                <w:sz w:val="17"/>
              </w:rPr>
              <w:t>27,714</w:t>
            </w:r>
          </w:p>
        </w:tc>
        <w:tc>
          <w:tcPr>
            <w:tcW w:type="dxa" w:w="1440"/>
            <w:shd w:fill="FFDCE0" w:val="clear"/>
          </w:tcPr>
          <w:p>
            <w:r>
              <w:rPr>
                <w:b/>
                <w:sz w:val="17"/>
              </w:rPr>
              <w:t>29,921</w:t>
            </w:r>
          </w:p>
        </w:tc>
        <w:tc>
          <w:tcPr>
            <w:tcW w:type="dxa" w:w="1440"/>
            <w:shd w:fill="FFDCE0" w:val="clear"/>
          </w:tcPr>
          <w:p>
            <w:r>
              <w:rPr>
                <w:sz w:val="17"/>
              </w:rPr>
              <w:t>32,129</w:t>
            </w:r>
          </w:p>
        </w:tc>
        <w:tc>
          <w:tcPr>
            <w:tcW w:type="dxa" w:w="1440"/>
            <w:shd w:fill="FFDCE0" w:val="clear"/>
          </w:tcPr>
          <w:p>
            <w:r>
              <w:rPr>
                <w:b/>
                <w:color w:val="C00000"/>
                <w:sz w:val="17"/>
              </w:rPr>
              <w:t>-5.0%</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26,991</w:t>
            </w:r>
          </w:p>
        </w:tc>
        <w:tc>
          <w:tcPr>
            <w:tcW w:type="dxa" w:w="1440"/>
            <w:shd w:fill="FFDCE0" w:val="clear"/>
          </w:tcPr>
          <w:p>
            <w:r>
              <w:rPr>
                <w:b/>
                <w:sz w:val="17"/>
              </w:rPr>
              <w:t>29,672</w:t>
            </w:r>
          </w:p>
        </w:tc>
        <w:tc>
          <w:tcPr>
            <w:tcW w:type="dxa" w:w="1440"/>
            <w:shd w:fill="FFDCE0" w:val="clear"/>
          </w:tcPr>
          <w:p>
            <w:r>
              <w:rPr>
                <w:sz w:val="17"/>
              </w:rPr>
              <w:t>32,353</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26,416</w:t>
            </w:r>
          </w:p>
        </w:tc>
        <w:tc>
          <w:tcPr>
            <w:tcW w:type="dxa" w:w="1440"/>
            <w:shd w:fill="FFDCE0" w:val="clear"/>
          </w:tcPr>
          <w:p>
            <w:r>
              <w:rPr>
                <w:b/>
                <w:sz w:val="17"/>
              </w:rPr>
              <w:t>29,493</w:t>
            </w:r>
          </w:p>
        </w:tc>
        <w:tc>
          <w:tcPr>
            <w:tcW w:type="dxa" w:w="1440"/>
            <w:shd w:fill="FFDCE0" w:val="clear"/>
          </w:tcPr>
          <w:p>
            <w:r>
              <w:rPr>
                <w:sz w:val="17"/>
              </w:rPr>
              <w:t>32,571</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25,912</w:t>
            </w:r>
          </w:p>
        </w:tc>
        <w:tc>
          <w:tcPr>
            <w:tcW w:type="dxa" w:w="1440"/>
            <w:shd w:fill="FFDCE0" w:val="clear"/>
          </w:tcPr>
          <w:p>
            <w:r>
              <w:rPr>
                <w:b/>
                <w:sz w:val="17"/>
              </w:rPr>
              <w:t>29,334</w:t>
            </w:r>
          </w:p>
        </w:tc>
        <w:tc>
          <w:tcPr>
            <w:tcW w:type="dxa" w:w="1440"/>
            <w:shd w:fill="FFDCE0" w:val="clear"/>
          </w:tcPr>
          <w:p>
            <w:r>
              <w:rPr>
                <w:sz w:val="17"/>
              </w:rPr>
              <w:t>32,756</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25,466</w:t>
            </w:r>
          </w:p>
        </w:tc>
        <w:tc>
          <w:tcPr>
            <w:tcW w:type="dxa" w:w="1440"/>
            <w:shd w:fill="FFDCE0" w:val="clear"/>
          </w:tcPr>
          <w:p>
            <w:r>
              <w:rPr>
                <w:b/>
                <w:sz w:val="17"/>
              </w:rPr>
              <w:t>29,197</w:t>
            </w:r>
          </w:p>
        </w:tc>
        <w:tc>
          <w:tcPr>
            <w:tcW w:type="dxa" w:w="1440"/>
            <w:shd w:fill="FFDCE0" w:val="clear"/>
          </w:tcPr>
          <w:p>
            <w:r>
              <w:rPr>
                <w:sz w:val="17"/>
              </w:rPr>
              <w:t>32,928</w:t>
            </w:r>
          </w:p>
        </w:tc>
        <w:tc>
          <w:tcPr>
            <w:tcW w:type="dxa" w:w="1440"/>
            <w:shd w:fill="FFDCE0" w:val="clear"/>
          </w:tcPr>
          <w:p>
            <w:r>
              <w:rPr>
                <w:b/>
                <w:color w:val="C00000"/>
                <w:sz w:val="17"/>
              </w:rPr>
              <w:t>-7.3%</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25,064</w:t>
            </w:r>
          </w:p>
        </w:tc>
        <w:tc>
          <w:tcPr>
            <w:tcW w:type="dxa" w:w="1440"/>
            <w:shd w:fill="FFDCE0" w:val="clear"/>
          </w:tcPr>
          <w:p>
            <w:r>
              <w:rPr>
                <w:b/>
                <w:sz w:val="17"/>
              </w:rPr>
              <w:t>29,078</w:t>
            </w:r>
          </w:p>
        </w:tc>
        <w:tc>
          <w:tcPr>
            <w:tcW w:type="dxa" w:w="1440"/>
            <w:shd w:fill="FFDCE0" w:val="clear"/>
          </w:tcPr>
          <w:p>
            <w:r>
              <w:rPr>
                <w:sz w:val="17"/>
              </w:rPr>
              <w:t>33,091</w:t>
            </w:r>
          </w:p>
        </w:tc>
        <w:tc>
          <w:tcPr>
            <w:tcW w:type="dxa" w:w="1440"/>
            <w:shd w:fill="FFDCE0" w:val="clear"/>
          </w:tcPr>
          <w:p>
            <w:r>
              <w:rPr>
                <w:b/>
                <w:color w:val="C00000"/>
                <w:sz w:val="17"/>
              </w:rPr>
              <w:t>-7.7%</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24,698</w:t>
            </w:r>
          </w:p>
        </w:tc>
        <w:tc>
          <w:tcPr>
            <w:tcW w:type="dxa" w:w="1440"/>
            <w:shd w:fill="FFDCE0" w:val="clear"/>
          </w:tcPr>
          <w:p>
            <w:r>
              <w:rPr>
                <w:b/>
                <w:sz w:val="17"/>
              </w:rPr>
              <w:t>28,973</w:t>
            </w:r>
          </w:p>
        </w:tc>
        <w:tc>
          <w:tcPr>
            <w:tcW w:type="dxa" w:w="1440"/>
            <w:shd w:fill="FFDCE0" w:val="clear"/>
          </w:tcPr>
          <w:p>
            <w:r>
              <w:rPr>
                <w:sz w:val="17"/>
              </w:rPr>
              <w:t>33,248</w:t>
            </w:r>
          </w:p>
        </w:tc>
        <w:tc>
          <w:tcPr>
            <w:tcW w:type="dxa" w:w="1440"/>
            <w:shd w:fill="FFDCE0" w:val="clear"/>
          </w:tcPr>
          <w:p>
            <w:r>
              <w:rPr>
                <w:b/>
                <w:color w:val="C00000"/>
                <w:sz w:val="17"/>
              </w:rPr>
              <w:t>-8.0%</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24,360</w:t>
            </w:r>
          </w:p>
        </w:tc>
        <w:tc>
          <w:tcPr>
            <w:tcW w:type="dxa" w:w="1440"/>
            <w:shd w:fill="FFDCE0" w:val="clear"/>
          </w:tcPr>
          <w:p>
            <w:r>
              <w:rPr>
                <w:b/>
                <w:sz w:val="17"/>
              </w:rPr>
              <w:t>28,880</w:t>
            </w:r>
          </w:p>
        </w:tc>
        <w:tc>
          <w:tcPr>
            <w:tcW w:type="dxa" w:w="1440"/>
            <w:shd w:fill="FFDCE0" w:val="clear"/>
          </w:tcPr>
          <w:p>
            <w:r>
              <w:rPr>
                <w:sz w:val="17"/>
              </w:rPr>
              <w:t>33,400</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24,046</w:t>
            </w:r>
          </w:p>
        </w:tc>
        <w:tc>
          <w:tcPr>
            <w:tcW w:type="dxa" w:w="1440"/>
            <w:shd w:fill="FFDCE0" w:val="clear"/>
          </w:tcPr>
          <w:p>
            <w:r>
              <w:rPr>
                <w:b/>
                <w:sz w:val="17"/>
              </w:rPr>
              <w:t>28,797</w:t>
            </w:r>
          </w:p>
        </w:tc>
        <w:tc>
          <w:tcPr>
            <w:tcW w:type="dxa" w:w="1440"/>
            <w:shd w:fill="FFDCE0" w:val="clear"/>
          </w:tcPr>
          <w:p>
            <w:r>
              <w:rPr>
                <w:sz w:val="17"/>
              </w:rPr>
              <w:t>33,547</w:t>
            </w:r>
          </w:p>
        </w:tc>
        <w:tc>
          <w:tcPr>
            <w:tcW w:type="dxa" w:w="1440"/>
            <w:shd w:fill="FFDCE0" w:val="clear"/>
          </w:tcPr>
          <w:p>
            <w:r>
              <w:rPr>
                <w:b/>
                <w:color w:val="C00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1 008,00 milliards FCFA, CBIBF s'impose comme l'une des toutes premières capitalisations de la BRVM, un statut de « blue chip » régional qui traduit la confiance du marché envers le groupe. Le BPA de 2 047 FCFA/action signifie que chaque titre génère près de 2 047 FCFA de bénéfice net, un niveau élevé qui reflète la forte rentabilité de la banque. Le PER de 15,4x se situe au-dessus de la moyenne BRVM (généralement 8-12x), ce qui indique que les investisseurs acceptent de payer une prime de qualité pour ce titre — cohérent avec un leader sectoriel en forte croissance, mais qui laisse moins de marge de sécurité en cas de déception. Le ratio EV/EBITDA de 11,4x, dans la fourchette 10-15x, confirme une valorisation élevée de la capacité opérationnelle, bien que justifiée par la dynamique bénéficiaire (+36,6% en 2025). Le P/B n'étant pas fourni dans les données, il n'est pas commenté ici.</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+68,45%, avec une dernière séance quasi stable (+0,19%), portant le cours à 31 500 FCFA. Le range de trading est très large, entre un plus bas de 18 700 FCFA et un plus haut de 34 450 FCFA, soit une amplitude de plus de 84% qui témoigne d'une tendance nettement haussière, mais aussi d'une forte nervosité. La moyenne (27 052 FCFA) est inférieure à la médiane (28 300 FCFA), signe d'une légère asymétrie négative confirmée par le skewness de -0,109 : la distribution est quasi symétrique, avec quelques valeurs basses qui tirent la moyenne vers le bas. L'écart-type de 4 444 FCFA (CV = 16,4%) indique une dispersion modérée du cours autour de sa moyenne, tandis que le kurtosis de -1,262 (distribution platykurtique) révèle une faible concentration des rendements et donc un risque de pics extrêmes relativement limité — un point rassurant pour la gestion du risque. Enfin, la volatilité annualisée de 44,7% classe ce titre dans la catégorie des valeurs à volatilité élevée (&gt;30%), ce qui implique un potentiel de gain important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(32 280 FCFA) et la MM50 (30 557 FCFA) sont toutes deux supérieures au cours actuel (31 500 FCFA), ce qui place le titre sous ses moyennes court et moyen terme. Toutefois, la MM20 reste au-dessus de la MM50, configuration qui maintient une structure haussière de fond et justifie la décision « Achat » fournie, bien qu'avec prudence.</w:t>
      </w:r>
    </w:p>
    <w:p>
      <w:pPr>
        <w:spacing w:after="120" w:line="276" w:lineRule="auto"/>
      </w:pPr>
      <w:r>
        <w:t>**Bandes de Bollinger** : Le cours (31 500 FCFA) évolue à l'intérieur des bandes, entre la borne inférieure (28 931 FCFA) et la borne supérieure (35 629 FCFA), sans les toucher. Cette position centrale traduit une absence de signal directionnel fort et justifie la décision « Neutre », avec une volatilité qui reste contenue dans le canal.</w:t>
      </w:r>
    </w:p>
    <w:p>
      <w:pPr>
        <w:spacing w:after="120" w:line="276" w:lineRule="auto"/>
      </w:pPr>
      <w:r>
        <w:t>**MACD** : La valeur du MACD (43,425) est nettement inférieure à son signal (280,164), configuration baissière caractéristique d'un essoufflement du momentum haussier. Cette divergence négative marquée justifie la décision « Vente » et suggère une possible consolidation à court terme.</w:t>
      </w:r>
    </w:p>
    <w:p>
      <w:pPr>
        <w:spacing w:after="120" w:line="276" w:lineRule="auto"/>
      </w:pPr>
      <w:r>
        <w:t>**RSI** : À 39,583, le RSI se situe dans la zone neutre basse (30-70), sans atteindre la zone de survente (&lt;30). Le titre n'est donc ni suracheté ni survendu, ce qui justifie la décision « Neutre » et laisse la porte ouverte à une reprise comme à une poursuite de la baisse.</w:t>
      </w:r>
    </w:p>
    <w:p>
      <w:pPr>
        <w:spacing w:after="120" w:line="276" w:lineRule="auto"/>
      </w:pPr>
      <w:r>
        <w:t>**Stochastique** : Le %K (54,695) est légèrement supérieur au %D (50,209), signal faiblement haussier sans croisement franc. Les deux lignes évoluent en zone neutre, justifiant la décision « Neutre » et l'absence de signal d'achat ou de vente clair.</w:t>
      </w:r>
    </w:p>
    <w:p>
      <w:pPr>
        <w:spacing w:after="120" w:line="276" w:lineRule="auto"/>
      </w:pPr>
      <w:r>
        <w:t>**Conclusion technique** : Les indicateurs sont globalement divergents — les moyennes mobiles restent haussières de fond, mais le MACD est clairement baissier et le RSI/stochastique sont neutres. Le titre se trouve dans une phase de consolidation après sa forte hausse, avec un biais court terme légèrement négatif mais sans signal de retournement majeur. La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Coris Bank International affiche des fondamentaux solides : le Produit Net Bancaire (équivalent du chiffre d'affaires pour une banque) s'établit à 138,986 milliards FCFA, en croissance de +6,1% sur un an, tandis que le résultat net atteint 65,495 milliards FCFA, en progression remarquable de +36,6% par rapport aux 47,937 milliards de 2024. Le coefficient d'exploitation de 36,39% est excellent (largement inférieur au seuil de 60% d'efficacité), signe d'une maîtrise rigoureuse des charges. Le ROA de 2,18% et la marge nette de 47,12% confirment la qualité de la rentabilité, tandis que le coût du risque s'est nettement amélioré (-59,3% selon le rapport annuel 2025 publié le 31/12/2025), traduisant l'assainissement réussi du portefeuille de crédits. La structure bilancielle est saine : 2 015,284 milliards FCFA de dépôts clientèle pour 1 326,977 milliards FCFA de créances, soit un ratio de transformation de 65,8% qui reste prudent. Les rapports trimestriels plus récents confirment cette dynamique : le T1 2026 (rapport publié le 31/03/2026) affiche un PNB de 36,8 milliards FCFA (+28,5%) et un résultat net de 21,5 milliards FCFA (+22,2%), avec des dépôts en forte hausse de +37,9% à 2 365,1 milliards FCFA. Sur la base de ce T1 2026, on peut estimer que l'exercice 2026 devrait enregistrer un PNB supérieur à 150 milliards FCFA et un résultat net approchant 80 milliards FCFA, confirmant la trajectoire de croissance. Le principal risque identifié reste l'environnement sécuritaire et géopolitique régional (UEMOA), ainsi que la croissance modérée des crédits (+3,8% au T1 2026) face à une collecte de dépôts très dynamique, qui pourrait peser sur la marge d'intérêt à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affiche un PER de 15,4x et un EV/EBITDA de 11,4x, soit une prime par rapport à la moyenne BRVM, mais cohérente avec la qualité et la croissance du titre — on peut donc parler d'une valorisation « juste à légèrement riche », sans surévaluation manifeste. Le comportement du cours (Partie 1) est nettement haussier (+68,45% sur 100 jours) mais avec une volatilité élevée (44,7%) et une distribution platykurtique qui limite le risque de pics extrêmes, un profil favorable mais exigeant. Les signaux techniques (Partie 2) sont divergents : les moyennes mobiles restent haussières, mais le MACD baissier et le RSI neutre plaident pour une consolidation à court terme, ce qui invite à la patience plutôt qu'à l'achat immédiat. Les fondamentaux (Partie 3) sont excellents — résultat net 2025 en hausse de +36,6%, coefficient d'exploitation de 36,4%, T1 2026 confirmant la dynamique (+22,2% de résultat net) — et soutiennent une thèse d'investissement solide à moyen terme. Les prédictions IA (J+1 à J+10) anticipent une légère correction vers 29 334 FCFA d'ici le 14/10/2026, ce qui confirme le biais baissier court terme du MACD et contredit temporairement la tendance haussière de fond. Sur la base de cette synthèse, la recommandation finale est **CONSERVER** (avec opportunité d'achat sur repli vers 29 000-30 000 FCFA), car la convergence entre fondamentaux solides et valorisation raisonnable est contrebalancée par un signal technique court terme baissier et des prédictions IA correctives. Le niveau de confiance est **Moyen** (fondamentaux clairs mais technique incertain), le niveau de risque global est **Moyen à Élevé** (volatilité 44,7% et exposition aux risques pays UEMOA), et l'horizon d'investissement optimal est le **moyen terme (3-12 mois)**, le temps que la consolidation technique s'achève et que la croissance bénéficiaire 2026 se matérialise.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278.41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3,605 titres</w:t>
            </w:r>
          </w:p>
        </w:tc>
        <w:tc>
          <w:tcPr>
            <w:tcW w:type="dxa" w:w="2268"/>
            <w:shd w:fill="FFF2CC" w:val="clear"/>
          </w:tcPr>
          <w:p>
            <w:r>
              <w:rPr>
                <w:b/>
                <w:color w:val="503200"/>
                <w:sz w:val="16"/>
              </w:rPr>
              <w:t xml:space="preserve">Cours actuel : </w:t>
            </w:r>
            <w:r>
              <w:rPr>
                <w:color w:val="000000"/>
                <w:sz w:val="17"/>
              </w:rPr>
              <w:t>1,535 FCFA</w:t>
            </w:r>
          </w:p>
          <w:p>
            <w:r>
              <w:rPr>
                <w:b/>
                <w:color w:val="503200"/>
                <w:sz w:val="16"/>
              </w:rPr>
              <w:t xml:space="preserve">Var. 100 jours : </w:t>
            </w:r>
            <w:r>
              <w:rPr>
                <w:b/>
                <w:color w:val="007800"/>
                <w:sz w:val="17"/>
              </w:rPr>
              <w:t>+3.72%</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46.1%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5.48% (Moyenne) — μ=1,637 FCFA, σ=90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β=1.1348 (Neutre (suit le marché)) — Cov=0.000083, Var(idx)=0.000073, ρ=0.336,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σ_j=2.91%/j (Stable) — Vol. annualisée≈46.1%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1,469</w:t>
            </w:r>
          </w:p>
        </w:tc>
        <w:tc>
          <w:tcPr>
            <w:tcW w:type="dxa" w:w="1440"/>
            <w:shd w:fill="FAFAFA" w:val="clear"/>
          </w:tcPr>
          <w:p>
            <w:r>
              <w:rPr>
                <w:b/>
                <w:sz w:val="17"/>
              </w:rPr>
              <w:t>1,534</w:t>
            </w:r>
          </w:p>
        </w:tc>
        <w:tc>
          <w:tcPr>
            <w:tcW w:type="dxa" w:w="1440"/>
            <w:shd w:fill="FAFAFA" w:val="clear"/>
          </w:tcPr>
          <w:p>
            <w:r>
              <w:rPr>
                <w:sz w:val="17"/>
              </w:rPr>
              <w:t>1,598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1,448</w:t>
            </w:r>
          </w:p>
        </w:tc>
        <w:tc>
          <w:tcPr>
            <w:tcW w:type="dxa" w:w="1440"/>
            <w:shd w:fill="FAFAFA" w:val="clear"/>
          </w:tcPr>
          <w:p>
            <w:r>
              <w:rPr>
                <w:b/>
                <w:sz w:val="17"/>
              </w:rPr>
              <w:t>1,540</w:t>
            </w:r>
          </w:p>
        </w:tc>
        <w:tc>
          <w:tcPr>
            <w:tcW w:type="dxa" w:w="1440"/>
            <w:shd w:fill="FAFAFA" w:val="clear"/>
          </w:tcPr>
          <w:p>
            <w:r>
              <w:rPr>
                <w:sz w:val="17"/>
              </w:rPr>
              <w:t>1,632</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1,432</w:t>
            </w:r>
          </w:p>
        </w:tc>
        <w:tc>
          <w:tcPr>
            <w:tcW w:type="dxa" w:w="1440"/>
            <w:shd w:fill="FAFAFA" w:val="clear"/>
          </w:tcPr>
          <w:p>
            <w:r>
              <w:rPr>
                <w:b/>
                <w:sz w:val="17"/>
              </w:rPr>
              <w:t>1,545</w:t>
            </w:r>
          </w:p>
        </w:tc>
        <w:tc>
          <w:tcPr>
            <w:tcW w:type="dxa" w:w="1440"/>
            <w:shd w:fill="FAFAFA" w:val="clear"/>
          </w:tcPr>
          <w:p>
            <w:r>
              <w:rPr>
                <w:sz w:val="17"/>
              </w:rPr>
              <w:t>1,658</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1,419</w:t>
            </w:r>
          </w:p>
        </w:tc>
        <w:tc>
          <w:tcPr>
            <w:tcW w:type="dxa" w:w="1440"/>
            <w:shd w:fill="FAFAFA" w:val="clear"/>
          </w:tcPr>
          <w:p>
            <w:r>
              <w:rPr>
                <w:b/>
                <w:sz w:val="17"/>
              </w:rPr>
              <w:t>1,550</w:t>
            </w:r>
          </w:p>
        </w:tc>
        <w:tc>
          <w:tcPr>
            <w:tcW w:type="dxa" w:w="1440"/>
            <w:shd w:fill="FAFAFA" w:val="clear"/>
          </w:tcPr>
          <w:p>
            <w:r>
              <w:rPr>
                <w:sz w:val="17"/>
              </w:rPr>
              <w:t>1,681</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1,408</w:t>
            </w:r>
          </w:p>
        </w:tc>
        <w:tc>
          <w:tcPr>
            <w:tcW w:type="dxa" w:w="1440"/>
            <w:shd w:fill="FAFAFA" w:val="clear"/>
          </w:tcPr>
          <w:p>
            <w:r>
              <w:rPr>
                <w:b/>
                <w:sz w:val="17"/>
              </w:rPr>
              <w:t>1,555</w:t>
            </w:r>
          </w:p>
        </w:tc>
        <w:tc>
          <w:tcPr>
            <w:tcW w:type="dxa" w:w="1440"/>
            <w:shd w:fill="FAFAFA" w:val="clear"/>
          </w:tcPr>
          <w:p>
            <w:r>
              <w:rPr>
                <w:sz w:val="17"/>
              </w:rPr>
              <w:t>1,701</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1,398</w:t>
            </w:r>
          </w:p>
        </w:tc>
        <w:tc>
          <w:tcPr>
            <w:tcW w:type="dxa" w:w="1440"/>
            <w:shd w:fill="FAFAFA" w:val="clear"/>
          </w:tcPr>
          <w:p>
            <w:r>
              <w:rPr>
                <w:b/>
                <w:sz w:val="17"/>
              </w:rPr>
              <w:t>1,559</w:t>
            </w:r>
          </w:p>
        </w:tc>
        <w:tc>
          <w:tcPr>
            <w:tcW w:type="dxa" w:w="1440"/>
            <w:shd w:fill="FAFAFA" w:val="clear"/>
          </w:tcPr>
          <w:p>
            <w:r>
              <w:rPr>
                <w:sz w:val="17"/>
              </w:rPr>
              <w:t>1,720</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1,389</w:t>
            </w:r>
          </w:p>
        </w:tc>
        <w:tc>
          <w:tcPr>
            <w:tcW w:type="dxa" w:w="1440"/>
            <w:shd w:fill="FAFAFA" w:val="clear"/>
          </w:tcPr>
          <w:p>
            <w:r>
              <w:rPr>
                <w:b/>
                <w:sz w:val="17"/>
              </w:rPr>
              <w:t>1,564</w:t>
            </w:r>
          </w:p>
        </w:tc>
        <w:tc>
          <w:tcPr>
            <w:tcW w:type="dxa" w:w="1440"/>
            <w:shd w:fill="FAFAFA" w:val="clear"/>
          </w:tcPr>
          <w:p>
            <w:r>
              <w:rPr>
                <w:sz w:val="17"/>
              </w:rPr>
              <w:t>1,738</w:t>
            </w:r>
          </w:p>
        </w:tc>
        <w:tc>
          <w:tcPr>
            <w:tcW w:type="dxa" w:w="1440"/>
            <w:shd w:fill="FAFAFA" w:val="clear"/>
          </w:tcPr>
          <w:p>
            <w:r>
              <w:rPr>
                <w:b/>
                <w:color w:val="008000"/>
                <w:sz w:val="17"/>
              </w:rPr>
              <w:t>+1.9%</w:t>
            </w:r>
          </w:p>
        </w:tc>
      </w:tr>
      <w:tr>
        <w:tc>
          <w:tcPr>
            <w:tcW w:type="dxa" w:w="1440"/>
            <w:shd w:fill="C6EFCE" w:val="clear"/>
          </w:tcPr>
          <w:p>
            <w:r>
              <w:rPr>
                <w:sz w:val="17"/>
              </w:rPr>
              <w:t>J+8  ⭐</w:t>
            </w:r>
          </w:p>
        </w:tc>
        <w:tc>
          <w:tcPr>
            <w:tcW w:type="dxa" w:w="1440"/>
            <w:shd w:fill="C6EFCE" w:val="clear"/>
          </w:tcPr>
          <w:p>
            <w:r>
              <w:rPr>
                <w:sz w:val="17"/>
              </w:rPr>
              <w:t>2026-10-19</w:t>
            </w:r>
          </w:p>
        </w:tc>
        <w:tc>
          <w:tcPr>
            <w:tcW w:type="dxa" w:w="1440"/>
            <w:shd w:fill="C6EFCE" w:val="clear"/>
          </w:tcPr>
          <w:p>
            <w:r>
              <w:rPr>
                <w:sz w:val="17"/>
              </w:rPr>
              <w:t>1,381</w:t>
            </w:r>
          </w:p>
        </w:tc>
        <w:tc>
          <w:tcPr>
            <w:tcW w:type="dxa" w:w="1440"/>
            <w:shd w:fill="C6EFCE" w:val="clear"/>
          </w:tcPr>
          <w:p>
            <w:r>
              <w:rPr>
                <w:b/>
                <w:sz w:val="17"/>
              </w:rPr>
              <w:t>1,568</w:t>
            </w:r>
          </w:p>
        </w:tc>
        <w:tc>
          <w:tcPr>
            <w:tcW w:type="dxa" w:w="1440"/>
            <w:shd w:fill="C6EFCE" w:val="clear"/>
          </w:tcPr>
          <w:p>
            <w:r>
              <w:rPr>
                <w:sz w:val="17"/>
              </w:rPr>
              <w:t>1,755</w:t>
            </w:r>
          </w:p>
        </w:tc>
        <w:tc>
          <w:tcPr>
            <w:tcW w:type="dxa" w:w="1440"/>
            <w:shd w:fill="C6EFCE" w:val="clear"/>
          </w:tcPr>
          <w:p>
            <w:r>
              <w:rPr>
                <w:b/>
                <w:color w:val="008000"/>
                <w:sz w:val="17"/>
              </w:rPr>
              <w:t>+2.1%</w:t>
            </w:r>
          </w:p>
        </w:tc>
      </w:tr>
      <w:tr>
        <w:tc>
          <w:tcPr>
            <w:tcW w:type="dxa" w:w="1440"/>
            <w:shd w:fill="C6EFCE" w:val="clear"/>
          </w:tcPr>
          <w:p>
            <w:r>
              <w:rPr>
                <w:sz w:val="17"/>
              </w:rPr>
              <w:t>J+9  ⭐</w:t>
            </w:r>
          </w:p>
        </w:tc>
        <w:tc>
          <w:tcPr>
            <w:tcW w:type="dxa" w:w="1440"/>
            <w:shd w:fill="C6EFCE" w:val="clear"/>
          </w:tcPr>
          <w:p>
            <w:r>
              <w:rPr>
                <w:sz w:val="17"/>
              </w:rPr>
              <w:t>2026-10-20</w:t>
            </w:r>
          </w:p>
        </w:tc>
        <w:tc>
          <w:tcPr>
            <w:tcW w:type="dxa" w:w="1440"/>
            <w:shd w:fill="C6EFCE" w:val="clear"/>
          </w:tcPr>
          <w:p>
            <w:r>
              <w:rPr>
                <w:sz w:val="17"/>
              </w:rPr>
              <w:t>1,373</w:t>
            </w:r>
          </w:p>
        </w:tc>
        <w:tc>
          <w:tcPr>
            <w:tcW w:type="dxa" w:w="1440"/>
            <w:shd w:fill="C6EFCE" w:val="clear"/>
          </w:tcPr>
          <w:p>
            <w:r>
              <w:rPr>
                <w:b/>
                <w:sz w:val="17"/>
              </w:rPr>
              <w:t>1,572</w:t>
            </w:r>
          </w:p>
        </w:tc>
        <w:tc>
          <w:tcPr>
            <w:tcW w:type="dxa" w:w="1440"/>
            <w:shd w:fill="C6EFCE" w:val="clear"/>
          </w:tcPr>
          <w:p>
            <w:r>
              <w:rPr>
                <w:sz w:val="17"/>
              </w:rPr>
              <w:t>1,771</w:t>
            </w:r>
          </w:p>
        </w:tc>
        <w:tc>
          <w:tcPr>
            <w:tcW w:type="dxa" w:w="1440"/>
            <w:shd w:fill="C6EFCE" w:val="clear"/>
          </w:tcPr>
          <w:p>
            <w:r>
              <w:rPr>
                <w:b/>
                <w:color w:val="008000"/>
                <w:sz w:val="17"/>
              </w:rPr>
              <w:t>+2.4%</w:t>
            </w:r>
          </w:p>
        </w:tc>
      </w:tr>
      <w:tr>
        <w:tc>
          <w:tcPr>
            <w:tcW w:type="dxa" w:w="1440"/>
            <w:shd w:fill="C6EFCE" w:val="clear"/>
          </w:tcPr>
          <w:p>
            <w:r>
              <w:rPr>
                <w:sz w:val="17"/>
              </w:rPr>
              <w:t>J+10  ⭐</w:t>
            </w:r>
          </w:p>
        </w:tc>
        <w:tc>
          <w:tcPr>
            <w:tcW w:type="dxa" w:w="1440"/>
            <w:shd w:fill="C6EFCE" w:val="clear"/>
          </w:tcPr>
          <w:p>
            <w:r>
              <w:rPr>
                <w:sz w:val="17"/>
              </w:rPr>
              <w:t>2026-10-21</w:t>
            </w:r>
          </w:p>
        </w:tc>
        <w:tc>
          <w:tcPr>
            <w:tcW w:type="dxa" w:w="1440"/>
            <w:shd w:fill="C6EFCE" w:val="clear"/>
          </w:tcPr>
          <w:p>
            <w:r>
              <w:rPr>
                <w:sz w:val="17"/>
              </w:rPr>
              <w:t>1,366</w:t>
            </w:r>
          </w:p>
        </w:tc>
        <w:tc>
          <w:tcPr>
            <w:tcW w:type="dxa" w:w="1440"/>
            <w:shd w:fill="C6EFCE" w:val="clear"/>
          </w:tcPr>
          <w:p>
            <w:r>
              <w:rPr>
                <w:b/>
                <w:sz w:val="17"/>
              </w:rPr>
              <w:t>1,576</w:t>
            </w:r>
          </w:p>
        </w:tc>
        <w:tc>
          <w:tcPr>
            <w:tcW w:type="dxa" w:w="1440"/>
            <w:shd w:fill="C6EFCE" w:val="clear"/>
          </w:tcPr>
          <w:p>
            <w:r>
              <w:rPr>
                <w:sz w:val="17"/>
              </w:rPr>
              <w:t>1,786</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278,41 milliards FCFA, CFAC figure parmi les valeurs les plus importantes de la cote BRVM, ce qui témoigne de sa stature de leader du marché automobile ivoirien et de sa liquidité relative. Le BPA s'établit à 26 FCFA par action, un niveau modeste qui, rapporté au cours actuel de 1 535 FCFA, génère un PER de 59,3x — très largement supérieur à la moyenne du marché BRVM (8-12x), signalant que les investisseurs paient une prime considérable pour les bénéfices actuels. Le ratio P/B de 14,31x confirme cette valorisation exigeante : le marché valorise l'entreprise à plus de 14 fois sa valeur comptable, ce qui suppose des anticipations de croissance future très optimistes. Enfin, l'EV/EBITDA de 30,2x, bien au-delà du seuil de 15x généralement considéré comme exigeant, indique que la valeur d'entreprise intègre une forte prime opérationnelle. L'ensemble de ces ratios dessine une action chèrement valorisée, dont la justification repose davantage sur des perspectives de redressement que sur les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a enregistré une variation positive de +3,72%, avec une dernière séance stable (+0,00%), clôturant à 1 535 FCFA. Le titre a évolué dans un range de 365 FCFA, entre un plus bas de 1 460 FCFA et un plus haut de 1 825 FCFA, ce qui traduit une tendance générale haussière mais avec une correction récente depuis les sommets. Les statistiques descriptives révèlent une moyenne de 1 637 FCFA légèrement supérieure à la médiane de 1 642 FCFA, avec un mode à 1 600 FCFA, indiquant une distribution quasi-symétrique (skewness de -0,123) sans biais directionnel marqué. L'écart-type de 90 FCFA (CV de 5,5%) témoigne d'une dispersion modérée du cours autour de sa moyenne, tandis que le kurtosis négatif (-1,025, distribution platykurtique) suggère une faible concentration des valeurs extrêmes et un risque de pics limité. La volatilité annualisée de 46,1% positionne clairement CFAC dans la catégorie des titres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(1 605 FCFA) et la MM50 (1 657,8 FCFA) se situent toutes deux au-dessus du cours actuel (1 535 FCFA), avec une MM20 inférieure à la MM50, configuration baissière caractéristique. Le cours évoluant sous ses deux moyennes, la pression vendeuse domine, justifiant la décision technique de **Vente**.</w:t>
      </w:r>
    </w:p>
    <w:p>
      <w:pPr>
        <w:spacing w:after="120" w:line="276" w:lineRule="auto"/>
      </w:pPr>
      <w:r>
        <w:t>**Bandes de Bollinger** : Le cours (1 535 FCFA) se situe dans la partie basse du canal, entre la borne inférieure (1 439,95 FCFA) et la borne supérieure (1 770,05 FCFA), sans franchissement des limites. Cette position neutre, couplée à un rétrécissement potentiel des bandes, suggère une absence de signal directionnel fort, d'où la décision **Neutre**.</w:t>
      </w:r>
    </w:p>
    <w:p>
      <w:pPr>
        <w:spacing w:after="120" w:line="276" w:lineRule="auto"/>
      </w:pPr>
      <w:r>
        <w:t>**MACD** : La valeur du MACD (-45,945) est inférieure à son signal (-38,138), confirmant une divergence baissière persistante et un momentum négatif. Cette configuration en territoire négatif plaide pour une poursuite de la pression baissière à court terme, justifiant la décision de **Vente**.</w:t>
      </w:r>
    </w:p>
    <w:p>
      <w:pPr>
        <w:spacing w:after="120" w:line="276" w:lineRule="auto"/>
      </w:pPr>
      <w:r>
        <w:t>**RSI** : À 36,522, le RSI se situe dans la zone neutre basse (30-70), sans atteindre le seuil de survente (&lt;30). Cette position indique une faiblesse relative sans excès baissier, laissant présager un possible rebond technique mais sans signal d'achat confirmé, d'où la décision **Neutre**.</w:t>
      </w:r>
    </w:p>
    <w:p>
      <w:pPr>
        <w:spacing w:after="120" w:line="276" w:lineRule="auto"/>
      </w:pPr>
      <w:r>
        <w:t>**Stochastique** : Le %K (39,474) est supérieur au %D (24,027), avec un croisement récent à la hausse en zone basse, signal potentiellement haussier à court terme. Toutefois, les deux lignes restant sous le seuil de 50, la dynamique demeure fragile, justifiant la décision **Neutre**.</w:t>
      </w:r>
    </w:p>
    <w:p>
      <w:pPr>
        <w:spacing w:after="120" w:line="276" w:lineRule="auto"/>
      </w:pPr>
      <w:r>
        <w:t>**Conclusion technique** : Les indicateurs techniques présentent un tableau majoritairement baissier (MM et MACD en Vente), tempéré par des signaux neutres (Bollinger, RSI, Stochastique) qui suggèrent une possible stabilisation. La convergence des MM baissières et du MACD négatif pèse sur le titre, mais la position basse du RSI et le croisement haussier du stochastique ouvrent la porte à un rebond technique limité. Dans l'ensemble, la configuration reste défavorable à court terme, avec une tendance baissière dominante mais essoufflée.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Le ROE reste néanmoins élevé à 24,13% (résultat net/capitaux propres), tandis que le ROA s'établit à 5,52%, traduisant une bonne rentabilité des fonds propres mais une efficacité limitée des actifs. La marge nette de 2,96% et la marge opérationnelle de 4,96% confirment une pression sur les marges, dans un contexte de contraction du marché automobile ivoirien (-5,5% en volume). Les délais d'exploitation montrent un délai client de 36,64 jours (risque de trésorerie modéré), un délai fournisseur de 81,75 jours (favorable à la trésorerie) et une durée de stockage de 88,35 jours (immobilisation de capital importante). Le BFR est négatif à -3,482 milliards FCFA (favorable), mais la trésorerie nette est négative à -624,20 millions FCFA, et le Free Cash Flow s'élève à -1,650 milliard FCFA, reflétant des investissements lourds (-8,741 milliards FCFA). L'autonomie financière de 22,88% est inférieure au seuil sain de 30%, et la liquidité générale de 93,63% est juste en dessous de l'unité.</w:t>
      </w:r>
    </w:p>
    <w:p>
      <w:pPr>
        <w:spacing w:after="120" w:line="276" w:lineRule="auto"/>
      </w:pPr>
      <w:r>
        <w:t>Les rapports narratifs confirment cette dynamique contrastée. Le rapport du **T1 2025 (daté du 31 mars 2025)** fait état d'un chiffre d'affaires de 46,161 milliards FCFA (+14,5%) et d'un résultat net de 3,836 milliards FCFA (+279,7%), avec une marge nette de 8,3% — un redressement spectaculaire après l'exercice 2024 difficile. Le **S1 2025 (daté du 30 juin 2025)** confirme cette tendance avec un CA de 91,182 milliards FCFA (+18,4%) et un résultat net de 5,420 milliards FCFA (+152,7%), porté par une marge opérationnelle de 8,2%. Le **T3 2025 (daté du 30 septembre 2025)** poursuit sur cette lancée avec un CA de 43,580 milliards FCFA (+18,3%) et un résultat net de 1,489 milliard FCFA (+38,1%). Sur la base de ces rapports trimestriels, on peut estimer que l'exercice 2025 devrait afficher un chiffre d'affaires annuel d'environ 180-185 milliards FCFA et un résultat net de l'ordre de 10-11 milliards FCFA, soit une nette amélioration par rapport à 2024. Le rapport annuel 2024 (daté du 31 décembre 2024) souligne les perspectives stratégiques : développement du réseau (showroom à Cocody), diversification (SHACMAN, LOVOL, BYD), et digitalisation. Les risques identifiés incluent la dépendance aux coûts d'achat (79% du CA), l'endettement croissant (dettes financières de 4,488 milliards FCFA) et une politique de dividende agressive (taux de distribution de 88,1% en 2023). En synthèse, CFAC présente une solidité financière correcte mais perfectible, avec une rentabilité en redressement en 2025, des risques liés à la trésorerie et à l'endettement, et des perspectives positives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très exigeante : le PER de 59,3x, le P/B de 14,31x et l'EV/EBITDA de 30,2x intègrent une prime de croissance considérable, bien supérieure aux moyennes du marché BRVM, ce qui laisse peu de marge d'erreur. Le comportement du cours sur 100 jours montre une tendance haussière (+3,72%) mais avec une correction récente depuis le plus haut de 1 825 FCFA, une volatilité élevée (46,1%) et une distribution platykurtique (risque de pics limité) — des statistiques mitigées qui ne plaident ni pour un optimisme excessif ni pour un pessimisme marqué. Les signaux techniques sont majoritairement baissiers (MM20 et MM50 au-dessus du cours, MACD négatif), mais tempérés par des indicateurs neutres (RSI à 36,5, stochastique en croisement haussier), suggérant une possible stabilisation à court terme. Les fondamentaux révèlent un redressement spectaculaire en 2025 (CA +18,4% au S1, résultat net +152,7%), qui contraste avec la contraction de 2024, mais les ratios de valorisation intègrent déjà cette reprise, limitant le potentiel d'appréciation. Les prédictions IA (J+1 à J+10) tablent sur une légère hausse vers 1 555 FCFA, confirmant une stabilisation sans emballement. Sur la base de cette synthèse, la recommandation finale est **CONSERVER** : la convergence entre une valorisation tendue, des signaux techniques baissiers mais essoufflés, et des fondamentaux en amélioration mais déjà anticipés par le marché, ne justifie ni un achat agressif ni une vente précipitée. Le niveau de confiance est **Moyen**, le risque global est **Élevé** (volatilité de 46,1%, endettement, dépendance au marché automobile), et l'horizon d'investissement optimal est **moyen terme (3-12 mois)**, en attendant la confirmation des résultats annuels 2025 et une clarification de la trajectoire bénéficiaire.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6,869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+96.97%</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3,290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17.81% (Élevée) — μ=5,537 FCFA, σ=986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β=0.7164 (Défensif) — Cov=0.000052, Var(idx)=0.000073, ρ=0.196,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2026-10-08</w:t>
            </w:r>
          </w:p>
        </w:tc>
        <w:tc>
          <w:tcPr>
            <w:tcW w:type="dxa" w:w="1440"/>
            <w:shd w:fill="FFDCE0" w:val="clear"/>
          </w:tcPr>
          <w:p>
            <w:r>
              <w:rPr>
                <w:sz w:val="17"/>
              </w:rPr>
              <w:t>6,080</w:t>
            </w:r>
          </w:p>
        </w:tc>
        <w:tc>
          <w:tcPr>
            <w:tcW w:type="dxa" w:w="1440"/>
            <w:shd w:fill="FFDCE0" w:val="clear"/>
          </w:tcPr>
          <w:p>
            <w:r>
              <w:rPr>
                <w:b/>
                <w:sz w:val="17"/>
              </w:rPr>
              <w:t>6,370</w:t>
            </w:r>
          </w:p>
        </w:tc>
        <w:tc>
          <w:tcPr>
            <w:tcW w:type="dxa" w:w="1440"/>
            <w:shd w:fill="FFDCE0" w:val="clear"/>
          </w:tcPr>
          <w:p>
            <w:r>
              <w:rPr>
                <w:sz w:val="17"/>
              </w:rPr>
              <w:t>6,659</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2026-10-09</w:t>
            </w:r>
          </w:p>
        </w:tc>
        <w:tc>
          <w:tcPr>
            <w:tcW w:type="dxa" w:w="1440"/>
            <w:shd w:fill="FFDCE0" w:val="clear"/>
          </w:tcPr>
          <w:p>
            <w:r>
              <w:rPr>
                <w:sz w:val="17"/>
              </w:rPr>
              <w:t>5,903</w:t>
            </w:r>
          </w:p>
        </w:tc>
        <w:tc>
          <w:tcPr>
            <w:tcW w:type="dxa" w:w="1440"/>
            <w:shd w:fill="FFDCE0" w:val="clear"/>
          </w:tcPr>
          <w:p>
            <w:r>
              <w:rPr>
                <w:b/>
                <w:sz w:val="17"/>
              </w:rPr>
              <w:t>6,308</w:t>
            </w:r>
          </w:p>
        </w:tc>
        <w:tc>
          <w:tcPr>
            <w:tcW w:type="dxa" w:w="1440"/>
            <w:shd w:fill="FFDCE0" w:val="clear"/>
          </w:tcPr>
          <w:p>
            <w:r>
              <w:rPr>
                <w:sz w:val="17"/>
              </w:rPr>
              <w:t>6,714</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5,750</w:t>
            </w:r>
          </w:p>
        </w:tc>
        <w:tc>
          <w:tcPr>
            <w:tcW w:type="dxa" w:w="1440"/>
            <w:shd w:fill="FFDCE0" w:val="clear"/>
          </w:tcPr>
          <w:p>
            <w:r>
              <w:rPr>
                <w:b/>
                <w:sz w:val="17"/>
              </w:rPr>
              <w:t>6,241</w:t>
            </w:r>
          </w:p>
        </w:tc>
        <w:tc>
          <w:tcPr>
            <w:tcW w:type="dxa" w:w="1440"/>
            <w:shd w:fill="FFDCE0" w:val="clear"/>
          </w:tcPr>
          <w:p>
            <w:r>
              <w:rPr>
                <w:sz w:val="17"/>
              </w:rPr>
              <w:t>6,733</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5,644</w:t>
            </w:r>
          </w:p>
        </w:tc>
        <w:tc>
          <w:tcPr>
            <w:tcW w:type="dxa" w:w="1440"/>
            <w:shd w:fill="FFDCE0" w:val="clear"/>
          </w:tcPr>
          <w:p>
            <w:r>
              <w:rPr>
                <w:b/>
                <w:sz w:val="17"/>
              </w:rPr>
              <w:t>6,209</w:t>
            </w:r>
          </w:p>
        </w:tc>
        <w:tc>
          <w:tcPr>
            <w:tcW w:type="dxa" w:w="1440"/>
            <w:shd w:fill="FFDCE0" w:val="clear"/>
          </w:tcPr>
          <w:p>
            <w:r>
              <w:rPr>
                <w:sz w:val="17"/>
              </w:rPr>
              <w:t>6,774</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5,562</w:t>
            </w:r>
          </w:p>
        </w:tc>
        <w:tc>
          <w:tcPr>
            <w:tcW w:type="dxa" w:w="1440"/>
            <w:shd w:fill="FFDCE0" w:val="clear"/>
          </w:tcPr>
          <w:p>
            <w:r>
              <w:rPr>
                <w:b/>
                <w:sz w:val="17"/>
              </w:rPr>
              <w:t>6,191</w:t>
            </w:r>
          </w:p>
        </w:tc>
        <w:tc>
          <w:tcPr>
            <w:tcW w:type="dxa" w:w="1440"/>
            <w:shd w:fill="FFDCE0" w:val="clear"/>
          </w:tcPr>
          <w:p>
            <w:r>
              <w:rPr>
                <w:sz w:val="17"/>
              </w:rPr>
              <w:t>6,821</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5,489</w:t>
            </w:r>
          </w:p>
        </w:tc>
        <w:tc>
          <w:tcPr>
            <w:tcW w:type="dxa" w:w="1440"/>
            <w:shd w:fill="FFDCE0" w:val="clear"/>
          </w:tcPr>
          <w:p>
            <w:r>
              <w:rPr>
                <w:b/>
                <w:sz w:val="17"/>
              </w:rPr>
              <w:t>6,177</w:t>
            </w:r>
          </w:p>
        </w:tc>
        <w:tc>
          <w:tcPr>
            <w:tcW w:type="dxa" w:w="1440"/>
            <w:shd w:fill="FFDCE0" w:val="clear"/>
          </w:tcPr>
          <w:p>
            <w:r>
              <w:rPr>
                <w:sz w:val="17"/>
              </w:rPr>
              <w:t>6,865</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5,423</w:t>
            </w:r>
          </w:p>
        </w:tc>
        <w:tc>
          <w:tcPr>
            <w:tcW w:type="dxa" w:w="1440"/>
            <w:shd w:fill="FFDCE0" w:val="clear"/>
          </w:tcPr>
          <w:p>
            <w:r>
              <w:rPr>
                <w:b/>
                <w:sz w:val="17"/>
              </w:rPr>
              <w:t>6,165</w:t>
            </w:r>
          </w:p>
        </w:tc>
        <w:tc>
          <w:tcPr>
            <w:tcW w:type="dxa" w:w="1440"/>
            <w:shd w:fill="FFDCE0" w:val="clear"/>
          </w:tcPr>
          <w:p>
            <w:r>
              <w:rPr>
                <w:sz w:val="17"/>
              </w:rPr>
              <w:t>6,907</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5,363</w:t>
            </w:r>
          </w:p>
        </w:tc>
        <w:tc>
          <w:tcPr>
            <w:tcW w:type="dxa" w:w="1440"/>
            <w:shd w:fill="FFDCE0" w:val="clear"/>
          </w:tcPr>
          <w:p>
            <w:r>
              <w:rPr>
                <w:b/>
                <w:sz w:val="17"/>
              </w:rPr>
              <w:t>6,155</w:t>
            </w:r>
          </w:p>
        </w:tc>
        <w:tc>
          <w:tcPr>
            <w:tcW w:type="dxa" w:w="1440"/>
            <w:shd w:fill="FFDCE0" w:val="clear"/>
          </w:tcPr>
          <w:p>
            <w:r>
              <w:rPr>
                <w:sz w:val="17"/>
              </w:rPr>
              <w:t>6,947</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5,308</w:t>
            </w:r>
          </w:p>
        </w:tc>
        <w:tc>
          <w:tcPr>
            <w:tcW w:type="dxa" w:w="1440"/>
            <w:shd w:fill="FFDCE0" w:val="clear"/>
          </w:tcPr>
          <w:p>
            <w:r>
              <w:rPr>
                <w:b/>
                <w:sz w:val="17"/>
              </w:rPr>
              <w:t>6,146</w:t>
            </w:r>
          </w:p>
        </w:tc>
        <w:tc>
          <w:tcPr>
            <w:tcW w:type="dxa" w:w="1440"/>
            <w:shd w:fill="FFDCE0" w:val="clear"/>
          </w:tcPr>
          <w:p>
            <w:r>
              <w:rPr>
                <w:sz w:val="17"/>
              </w:rPr>
              <w:t>6,985</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5,257</w:t>
            </w:r>
          </w:p>
        </w:tc>
        <w:tc>
          <w:tcPr>
            <w:tcW w:type="dxa" w:w="1440"/>
            <w:shd w:fill="FFDCE0" w:val="clear"/>
          </w:tcPr>
          <w:p>
            <w:r>
              <w:rPr>
                <w:b/>
                <w:sz w:val="17"/>
              </w:rPr>
              <w:t>6,140</w:t>
            </w:r>
          </w:p>
        </w:tc>
        <w:tc>
          <w:tcPr>
            <w:tcW w:type="dxa" w:w="1440"/>
            <w:shd w:fill="FFDCE0" w:val="clear"/>
          </w:tcPr>
          <w:p>
            <w:r>
              <w:rPr>
                <w:sz w:val="17"/>
              </w:rPr>
              <w:t>7,023</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(BRVM)**</w:t>
        <w:br/>
        <w:t>*Date d'analyse : Octobre 2026 | Analyste : Marchés Actions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364,00 Mds FCFA, la CIEC s'impose comme l'une des plus importantes capitalisations de la BRVM, ce qui témoigne de son statut d'entreprise stratégique dans le secteur de l'électricité en Côte d'Ivoire. Le BPA de 234 FCFA/action signifie que chaque titre génère 234 FCFA de bénéfice net, un niveau correct pour une utility régulée. Le PER de 27,7x est nettement supérieur à la moyenne du marché BRVM (~8-12x), ce qui indique que les investisseurs paient une prime significative pour la croissance attendue ou que le titre est surévalué. Le P/B de 10,12x confirme cette tendance : le marché valorise la société à plus de 10 fois sa valeur comptable, une prime très élevée qui s'explique par la faiblesse des capitaux propres (35,96 Mds FCFA) face à la capitalisation. Enfin, l'EV/EBITDA de 14,9x, dans la fourchette haute (10-15x), suggère que la valeur totale de l'entreprise (incluant la dette) est chèrement valorisée par rapport à sa capacité opérationnelle, ce qui laisse peu de marge de sécurité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+96,97%, avec une dernière séance en hausse de +4,84%, portant le cours à 6 500 FCFA. Le titre a évolué dans un range très large entre un plus bas de 3 290 FCFA et un plus haut de 7 400 FCFA, soit une amplitude de plus de 125%, ce qui traduit une tendance haussière puissante mais aussi une forte nervosité. La moyenne du cours s'établit à 5 537 FCFA, supérieure à la médiane de 5 300 FCFA, ce qui indique une légère asymétrie positive : les périodes de prix élevés tirent la moyenne vers le haut, bien que le skewness de -0,141 révèle une distribution globalement symétrique. L'écart-type de 991 FCFA et le coefficient de variation de 17,9% témoignent d'une dispersion modérée du cours autour de sa moyenne, tandis que le kurtosis de -0,451 (mésokurtique) suggère une distribution proche de la normale, sans risque excessif de pics extrêmes. La volatilité annualisée de 50,0% classe le titre dans la catégorie des valeurs à volatilité élevée (&gt;30%), ce qui implique un risque de marché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(6 587,25 FCFA) et la MM50 (6 250,00 FCFA) sont toutes deux supérieures au cours actuel de 6 500 FCFA, mais la MM20 reste au-dessus de la MM50, ce qui confirme une configuration haussière de fond. Le cours évoluant légèrement sous la MM20, la décision technique est à l'achat, suggérant un potentiel de rebond vers les moyennes.</w:t>
      </w:r>
    </w:p>
    <w:p>
      <w:pPr>
        <w:spacing w:after="120" w:line="276" w:lineRule="auto"/>
      </w:pPr>
      <w:r>
        <w:t>**Bandes de Bollinger** : Le cours (6 500 FCFA) se situe entre la borne inférieure (5 917,27 FCFA) et la borne supérieure (7 257,23 FCFA), plus proche de la borne inférieure, ce qui indique une volatilité modérée et une absence de signal directionnel fort. La décision est neutre, le marché attendant un catalyseur pour choisir sa direction.</w:t>
      </w:r>
    </w:p>
    <w:p>
      <w:pPr>
        <w:spacing w:after="120" w:line="276" w:lineRule="auto"/>
      </w:pPr>
      <w:r>
        <w:t>**MACD** : La valeur du MACD (-15,969) est inférieure à son signal (27,68), générant une décision de vente. Cette divergence négative indique un momentum baissier à court terme, bien que l'écart reste modéré et puisse se résorber rapidement.</w:t>
      </w:r>
    </w:p>
    <w:p>
      <w:pPr>
        <w:spacing w:after="120" w:line="276" w:lineRule="auto"/>
      </w:pPr>
      <w:r>
        <w:t>**RSI** : À 46,231, le RSI se situe en zone neutre (30-70), sans signal de surachat ni de survente. La décision est neutre, le titre n'étant ni surévalué ni sous-évalué à court terme selon cet indicateur.</w:t>
      </w:r>
    </w:p>
    <w:p>
      <w:pPr>
        <w:spacing w:after="120" w:line="276" w:lineRule="auto"/>
      </w:pPr>
      <w:r>
        <w:t>**Stochastique** : Le %K (61,404) est supérieur au %D (36,212), ce qui pourrait annoncer un croisement haussier à venir, mais la décision reste neutre car les deux lignes évoluent dans une zone médiane sans signal fort.</w:t>
      </w:r>
    </w:p>
    <w:p>
      <w:pPr>
        <w:spacing w:after="120" w:line="276" w:lineRule="auto"/>
      </w:pPr>
      <w:r>
        <w:t>**Conclusion technique** : Les indicateurs sont majoritairement neutres, avec une légère divergence entre la tendance de fond haussière (moyennes mobiles) et le momentum baissier à court terme (MACD). Le titre semble en phase de consolidation après sa forte hausse, et un rebond pourrait se matérialiser si le cours parvient à se maintenir au-dessus de la MM50 (6 250 FCFA). La prudence reste de mise tant que le MACD ne repasse pas au-dessus de son signal.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CIEC affiche un chiffre d'affaires de 302,32 Mds FCFA, en croissance de +14,8% par rapport à 2024 (263,29 Mds FCFA), portée par la hausse des ventes d'énergie (+8,3% en volume) et l'expansion du nombre de clients (+15,1% à 5,28 millions). Le résultat net s'élève à 13,127 Mds FCFA, en progression de +24,4%, avec une marge nette de 4,34%, typique d'une utility régulée. Le ROE atteint 36,50%, un niveau excellent (&gt;15%), mais il est mécaniquement gonflé par la faiblesse des capitaux propres (35,96 Mds FCFA), tandis que le ROA de 0,65% reste faible en raison de l'importance du total actif (2 018,45 Mds FCFA). Le BFR est négatif (-90,24 Mds FCFA), ce qui est favorable car les dettes fournisseurs (278,11 Mds FCFA) financent largement les créances clients (137,73 Mds FCFA) et les stocks (50,13 Mds FCFA). Cependant, le délai client de 164 jours constitue un risque de trésorerie important, tandis que le délai fournisseur de 970 jours offre un coussin de liquidité. La structure financière est très endettée (ratio d'endettement de 612,94%, autonomie financière de 1,78%), mais la capacité de remboursement (7,64 années de CAF) et la couverture des intérêts (617,75%) restent acceptables. Sur la base du rapport du 1er semestre 2025 (CA de 134,92 Mds FCFA, +18,85% ; résultat net de 5,096 Mds FCFA, +13,4%), on peut estimer que l'exercice 2026 devrait maintenir une croissance à deux chiffres, portée par le programme PEPT et la demande énergétique régionale. La recommandation fondamentale est de **CONSERVER** : la société est solide et en croissance, mais la valorisation boursière intègre déjà une grande partie de ces bonnes perspectives, et les risques de crédit client et de dépendance réglementaire limitent le potentiel de surprise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27,7x, P/B de 10,12x et EV/EBITDA de 14,9x indiquent que le marché paie une prime très élevée pour les bénéfices et les actifs de la CIEC, ce qui laisse peu de marge de sécurité. Le comportement du cours (Partie 1) est haussier sur 100 jours (+96,97%) mais avec une volatilité élevée (50%) et une distribution symétrique (skewness -0,141) sans risque de pics extrêmes (kurtosis -0,451), ce qui est rassurant mais n'élimine pas le risque de correction après une telle performance. Les signaux techniques (Partie 2) sont mitigés : les moyennes mobiles restent haussières, mais le MACD est baissier et les autres indicateurs sont neutres, suggérant une consolidation avant une nouvelle impulsion. Les fondamentaux (Partie 3) sont solides : croissance du CA (+14,8%) et du résultat net (+24,4%) en 2025, ROE élevé (36,5%), BFR négatif favorable, mais endettement important et délai client élevé. Les prédictions IA (J+1 à J+10) anticipent une baisse progressive de 6 370 FCFA à 6 191 FCFA, ce qui contredit la tendance haussière de fond et confirme le momentum baissier à court terme. Sur la base de cette synthèse, la recommandation finale est **CONSERVER** : la convergence entre une valorisation tendue, des signaux techniques mitigés et des fondamentaux solides mais sans surprise majeure justifie une position attentiste. Le niveau de confiance est **Moyen**, car les indicateurs sont divergents, et le niveau de risque global est **Élevé** en raison de la volatilité du titre et de sa valorisation. L'horizon d'investissement optimal est **moyen terme (3-12 mois)**, le temps que la consolidation technique s'achève et que les prochains résultats confirment la trajectoire de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919.35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4,161 titres</w:t>
            </w:r>
          </w:p>
        </w:tc>
        <w:tc>
          <w:tcPr>
            <w:tcW w:type="dxa" w:w="2268"/>
            <w:shd w:fill="FFF2CC" w:val="clear"/>
          </w:tcPr>
          <w:p>
            <w:r>
              <w:rPr>
                <w:b/>
                <w:color w:val="503200"/>
                <w:sz w:val="16"/>
              </w:rPr>
              <w:t xml:space="preserve">Cours actuel : </w:t>
            </w:r>
            <w:r>
              <w:rPr>
                <w:color w:val="000000"/>
                <w:sz w:val="17"/>
              </w:rPr>
              <w:t>16,700 FCFA</w:t>
            </w:r>
          </w:p>
          <w:p>
            <w:r>
              <w:rPr>
                <w:b/>
                <w:color w:val="503200"/>
                <w:sz w:val="16"/>
              </w:rPr>
              <w:t xml:space="preserve">Var. 100 jours : </w:t>
            </w:r>
            <w:r>
              <w:rPr>
                <w:b/>
                <w:color w:val="007800"/>
                <w:sz w:val="17"/>
              </w:rPr>
              <w:t>+2.45%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2.71% (Faible) — μ=16,580 FCFA, σ=449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β=0.2732 (Défensif) — Cov=0.000020, Var(idx)=0.000073, ρ=0.135,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16,376</w:t>
            </w:r>
          </w:p>
        </w:tc>
        <w:tc>
          <w:tcPr>
            <w:tcW w:type="dxa" w:w="1440"/>
            <w:shd w:fill="FAFAFA" w:val="clear"/>
          </w:tcPr>
          <w:p>
            <w:r>
              <w:rPr>
                <w:b/>
                <w:sz w:val="17"/>
              </w:rPr>
              <w:t>16,801</w:t>
            </w:r>
          </w:p>
        </w:tc>
        <w:tc>
          <w:tcPr>
            <w:tcW w:type="dxa" w:w="1440"/>
            <w:shd w:fill="FAFAFA" w:val="clear"/>
          </w:tcPr>
          <w:p>
            <w:r>
              <w:rPr>
                <w:sz w:val="17"/>
              </w:rPr>
              <w:t>17,226</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16,211</w:t>
            </w:r>
          </w:p>
        </w:tc>
        <w:tc>
          <w:tcPr>
            <w:tcW w:type="dxa" w:w="1440"/>
            <w:shd w:fill="FAFAFA" w:val="clear"/>
          </w:tcPr>
          <w:p>
            <w:r>
              <w:rPr>
                <w:b/>
                <w:sz w:val="17"/>
              </w:rPr>
              <w:t>16,813</w:t>
            </w:r>
          </w:p>
        </w:tc>
        <w:tc>
          <w:tcPr>
            <w:tcW w:type="dxa" w:w="1440"/>
            <w:shd w:fill="FAFAFA" w:val="clear"/>
          </w:tcPr>
          <w:p>
            <w:r>
              <w:rPr>
                <w:sz w:val="17"/>
              </w:rPr>
              <w:t>17,414</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16,093</w:t>
            </w:r>
          </w:p>
        </w:tc>
        <w:tc>
          <w:tcPr>
            <w:tcW w:type="dxa" w:w="1440"/>
            <w:shd w:fill="FAFAFA" w:val="clear"/>
          </w:tcPr>
          <w:p>
            <w:r>
              <w:rPr>
                <w:b/>
                <w:sz w:val="17"/>
              </w:rPr>
              <w:t>16,830</w:t>
            </w:r>
          </w:p>
        </w:tc>
        <w:tc>
          <w:tcPr>
            <w:tcW w:type="dxa" w:w="1440"/>
            <w:shd w:fill="FAFAFA" w:val="clear"/>
          </w:tcPr>
          <w:p>
            <w:r>
              <w:rPr>
                <w:sz w:val="17"/>
              </w:rPr>
              <w:t>17,567</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2026-10-13</w:t>
            </w:r>
          </w:p>
        </w:tc>
        <w:tc>
          <w:tcPr>
            <w:tcW w:type="dxa" w:w="1440"/>
            <w:shd w:fill="FAFAFA" w:val="clear"/>
          </w:tcPr>
          <w:p>
            <w:r>
              <w:rPr>
                <w:sz w:val="17"/>
              </w:rPr>
              <w:t>15,994</w:t>
            </w:r>
          </w:p>
        </w:tc>
        <w:tc>
          <w:tcPr>
            <w:tcW w:type="dxa" w:w="1440"/>
            <w:shd w:fill="FAFAFA" w:val="clear"/>
          </w:tcPr>
          <w:p>
            <w:r>
              <w:rPr>
                <w:b/>
                <w:sz w:val="17"/>
              </w:rPr>
              <w:t>16,846</w:t>
            </w:r>
          </w:p>
        </w:tc>
        <w:tc>
          <w:tcPr>
            <w:tcW w:type="dxa" w:w="1440"/>
            <w:shd w:fill="FAFAFA" w:val="clear"/>
          </w:tcPr>
          <w:p>
            <w:r>
              <w:rPr>
                <w:sz w:val="17"/>
              </w:rPr>
              <w:t>17,698</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2026-10-14</w:t>
            </w:r>
          </w:p>
        </w:tc>
        <w:tc>
          <w:tcPr>
            <w:tcW w:type="dxa" w:w="1440"/>
            <w:shd w:fill="FAFAFA" w:val="clear"/>
          </w:tcPr>
          <w:p>
            <w:r>
              <w:rPr>
                <w:sz w:val="17"/>
              </w:rPr>
              <w:t>15,907</w:t>
            </w:r>
          </w:p>
        </w:tc>
        <w:tc>
          <w:tcPr>
            <w:tcW w:type="dxa" w:w="1440"/>
            <w:shd w:fill="FAFAFA" w:val="clear"/>
          </w:tcPr>
          <w:p>
            <w:r>
              <w:rPr>
                <w:b/>
                <w:sz w:val="17"/>
              </w:rPr>
              <w:t>16,860</w:t>
            </w:r>
          </w:p>
        </w:tc>
        <w:tc>
          <w:tcPr>
            <w:tcW w:type="dxa" w:w="1440"/>
            <w:shd w:fill="FAFAFA" w:val="clear"/>
          </w:tcPr>
          <w:p>
            <w:r>
              <w:rPr>
                <w:sz w:val="17"/>
              </w:rPr>
              <w:t>17,814</w:t>
            </w:r>
          </w:p>
        </w:tc>
        <w:tc>
          <w:tcPr>
            <w:tcW w:type="dxa" w:w="1440"/>
            <w:shd w:fill="FAFAFA" w:val="clear"/>
          </w:tcPr>
          <w:p>
            <w:r>
              <w:rPr>
                <w:b/>
                <w:color w:val="008000"/>
                <w:sz w:val="17"/>
              </w:rPr>
              <w:t>+1.0%</w:t>
            </w:r>
          </w:p>
        </w:tc>
      </w:tr>
      <w:tr>
        <w:tc>
          <w:tcPr>
            <w:tcW w:type="dxa" w:w="1440"/>
            <w:shd w:fill="FAFAFA" w:val="clear"/>
          </w:tcPr>
          <w:p>
            <w:r>
              <w:rPr>
                <w:sz w:val="17"/>
              </w:rPr>
              <w:t>J+6  Moyenne</w:t>
            </w:r>
          </w:p>
        </w:tc>
        <w:tc>
          <w:tcPr>
            <w:tcW w:type="dxa" w:w="1440"/>
            <w:shd w:fill="FAFAFA" w:val="clear"/>
          </w:tcPr>
          <w:p>
            <w:r>
              <w:rPr>
                <w:sz w:val="17"/>
              </w:rPr>
              <w:t>2026-10-15</w:t>
            </w:r>
          </w:p>
        </w:tc>
        <w:tc>
          <w:tcPr>
            <w:tcW w:type="dxa" w:w="1440"/>
            <w:shd w:fill="FAFAFA" w:val="clear"/>
          </w:tcPr>
          <w:p>
            <w:r>
              <w:rPr>
                <w:sz w:val="17"/>
              </w:rPr>
              <w:t>15,829</w:t>
            </w:r>
          </w:p>
        </w:tc>
        <w:tc>
          <w:tcPr>
            <w:tcW w:type="dxa" w:w="1440"/>
            <w:shd w:fill="FAFAFA" w:val="clear"/>
          </w:tcPr>
          <w:p>
            <w:r>
              <w:rPr>
                <w:b/>
                <w:sz w:val="17"/>
              </w:rPr>
              <w:t>16,874</w:t>
            </w:r>
          </w:p>
        </w:tc>
        <w:tc>
          <w:tcPr>
            <w:tcW w:type="dxa" w:w="1440"/>
            <w:shd w:fill="FAFAFA" w:val="clear"/>
          </w:tcPr>
          <w:p>
            <w:r>
              <w:rPr>
                <w:sz w:val="17"/>
              </w:rPr>
              <w:t>17,919</w:t>
            </w:r>
          </w:p>
        </w:tc>
        <w:tc>
          <w:tcPr>
            <w:tcW w:type="dxa" w:w="1440"/>
            <w:shd w:fill="FAFAFA" w:val="clear"/>
          </w:tcPr>
          <w:p>
            <w:r>
              <w:rPr>
                <w:b/>
                <w:color w:val="008000"/>
                <w:sz w:val="17"/>
              </w:rPr>
              <w:t>+1.0%</w:t>
            </w:r>
          </w:p>
        </w:tc>
      </w:tr>
      <w:tr>
        <w:tc>
          <w:tcPr>
            <w:tcW w:type="dxa" w:w="1440"/>
            <w:shd w:fill="FAFAFA" w:val="clear"/>
          </w:tcPr>
          <w:p>
            <w:r>
              <w:rPr>
                <w:sz w:val="17"/>
              </w:rPr>
              <w:t>J+7  Moyenne</w:t>
            </w:r>
          </w:p>
        </w:tc>
        <w:tc>
          <w:tcPr>
            <w:tcW w:type="dxa" w:w="1440"/>
            <w:shd w:fill="FAFAFA" w:val="clear"/>
          </w:tcPr>
          <w:p>
            <w:r>
              <w:rPr>
                <w:sz w:val="17"/>
              </w:rPr>
              <w:t>2026-10-16</w:t>
            </w:r>
          </w:p>
        </w:tc>
        <w:tc>
          <w:tcPr>
            <w:tcW w:type="dxa" w:w="1440"/>
            <w:shd w:fill="FAFAFA" w:val="clear"/>
          </w:tcPr>
          <w:p>
            <w:r>
              <w:rPr>
                <w:sz w:val="17"/>
              </w:rPr>
              <w:t>15,758</w:t>
            </w:r>
          </w:p>
        </w:tc>
        <w:tc>
          <w:tcPr>
            <w:tcW w:type="dxa" w:w="1440"/>
            <w:shd w:fill="FAFAFA" w:val="clear"/>
          </w:tcPr>
          <w:p>
            <w:r>
              <w:rPr>
                <w:b/>
                <w:sz w:val="17"/>
              </w:rPr>
              <w:t>16,888</w:t>
            </w:r>
          </w:p>
        </w:tc>
        <w:tc>
          <w:tcPr>
            <w:tcW w:type="dxa" w:w="1440"/>
            <w:shd w:fill="FAFAFA" w:val="clear"/>
          </w:tcPr>
          <w:p>
            <w:r>
              <w:rPr>
                <w:sz w:val="17"/>
              </w:rPr>
              <w:t>18,018</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2026-10-19</w:t>
            </w:r>
          </w:p>
        </w:tc>
        <w:tc>
          <w:tcPr>
            <w:tcW w:type="dxa" w:w="1440"/>
            <w:shd w:fill="FAFAFA" w:val="clear"/>
          </w:tcPr>
          <w:p>
            <w:r>
              <w:rPr>
                <w:sz w:val="17"/>
              </w:rPr>
              <w:t>15,692</w:t>
            </w:r>
          </w:p>
        </w:tc>
        <w:tc>
          <w:tcPr>
            <w:tcW w:type="dxa" w:w="1440"/>
            <w:shd w:fill="FAFAFA" w:val="clear"/>
          </w:tcPr>
          <w:p>
            <w:r>
              <w:rPr>
                <w:b/>
                <w:sz w:val="17"/>
              </w:rPr>
              <w:t>16,901</w:t>
            </w:r>
          </w:p>
        </w:tc>
        <w:tc>
          <w:tcPr>
            <w:tcW w:type="dxa" w:w="1440"/>
            <w:shd w:fill="FAFAFA" w:val="clear"/>
          </w:tcPr>
          <w:p>
            <w:r>
              <w:rPr>
                <w:sz w:val="17"/>
              </w:rPr>
              <w:t>18,110</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2026-10-20</w:t>
            </w:r>
          </w:p>
        </w:tc>
        <w:tc>
          <w:tcPr>
            <w:tcW w:type="dxa" w:w="1440"/>
            <w:shd w:fill="FAFAFA" w:val="clear"/>
          </w:tcPr>
          <w:p>
            <w:r>
              <w:rPr>
                <w:sz w:val="17"/>
              </w:rPr>
              <w:t>15,631</w:t>
            </w:r>
          </w:p>
        </w:tc>
        <w:tc>
          <w:tcPr>
            <w:tcW w:type="dxa" w:w="1440"/>
            <w:shd w:fill="FAFAFA" w:val="clear"/>
          </w:tcPr>
          <w:p>
            <w:r>
              <w:rPr>
                <w:b/>
                <w:sz w:val="17"/>
              </w:rPr>
              <w:t>16,914</w:t>
            </w:r>
          </w:p>
        </w:tc>
        <w:tc>
          <w:tcPr>
            <w:tcW w:type="dxa" w:w="1440"/>
            <w:shd w:fill="FAFAFA" w:val="clear"/>
          </w:tcPr>
          <w:p>
            <w:r>
              <w:rPr>
                <w:sz w:val="17"/>
              </w:rPr>
              <w:t>18,198</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2026-10-21</w:t>
            </w:r>
          </w:p>
        </w:tc>
        <w:tc>
          <w:tcPr>
            <w:tcW w:type="dxa" w:w="1440"/>
            <w:shd w:fill="FAFAFA" w:val="clear"/>
          </w:tcPr>
          <w:p>
            <w:r>
              <w:rPr>
                <w:sz w:val="17"/>
              </w:rPr>
              <w:t>15,574</w:t>
            </w:r>
          </w:p>
        </w:tc>
        <w:tc>
          <w:tcPr>
            <w:tcW w:type="dxa" w:w="1440"/>
            <w:shd w:fill="FAFAFA" w:val="clear"/>
          </w:tcPr>
          <w:p>
            <w:r>
              <w:rPr>
                <w:b/>
                <w:sz w:val="17"/>
              </w:rPr>
              <w:t>16,928</w:t>
            </w:r>
          </w:p>
        </w:tc>
        <w:tc>
          <w:tcPr>
            <w:tcW w:type="dxa" w:w="1440"/>
            <w:shd w:fill="FAFAFA" w:val="clear"/>
          </w:tcPr>
          <w:p>
            <w:r>
              <w:rPr>
                <w:sz w:val="17"/>
              </w:rPr>
              <w:t>18,281</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919,35 milliards FCFA, ECOC figure parmi les toutes premières capitalisations de la BRVM, ce qui en fait un pilier de l'indice BRVM Composite et un titre incontournable pour les investisseurs institutionnels de la zone UEMOA. Le BPA de 1 153 FCFA/action signifie que chaque titre génère un bénéfice net d'environ 1 153 FCFA, ce qui, rapporté au cours actuel de 16 700 FCFA, aboutit à un PER de 14,5x — un niveau modéré mais supérieur à la moyenne du marché BRVM (8-12x), traduisant une prime de qualité consentie par le marché pour ce dossier bancaire. Le P/B de 4,21x indique que le marché valorise la banque à plus de quatre fois sa valeur comptable, une prime exigeante qui se justifie par la rentabilité exceptionnelle des fonds propres (ROE de 29,04% en 2025) mais qui laisse peu de marge d'erreur en cas de dégradation. Enfin, l'EV/EBITDA de 14,1x, dans la fourchette haute (10-15x), confirme que la valeur d'entreprise intègre déjà une bonne partie de la capacité bénéficiaire actuelle, ce qui invite à la sélectivité sur le point d'entrée.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modérée de +2,45%, avec toutefois un repli de -0,30% sur la dernière séance (J-1), signalant un léger essoufflement de court terme. Le cours a évolué dans un range relativement étroit entre un plus bas de 15 520 FCFA et un plus haut de 17 725 FCFA, soit une amplitude d'environ 14%, ce qui témoigne d'une tendance générale haussière mais sans emballement spéculatif, le titre se maintenant à 16 700 FCFA, soit à mi-chemin de son canal. Les statistiques descriptives confirment cette stabilité : la moyenne (16 580 FCFA) et la médiane (16 555 FCFA) sont quasi confondues, écart de seulement 25 FCFA qui traduit une distribution symétrique, corroborée par un skewness de 0,185 proche de zéro. L'écart-type de 452 FCFA et le coefficient de variation de 2,7% indiquent une dispersion très faible du cours autour de sa moyenne, tandis que le kurtosis de -0,204 (mésokurtique) suggère une distribution proche de la normale, sans risque marqué de pics extrêmes — un profil rassurant pour un investisseur recherchant la stabilité. Avec une volatilité annualisée de 27,2%, le titre se situe dans la fourchette modérée (15-30%), cohérent avec un dossier bancaire de qualité mais dont la liquidité reste limitée (volume moyen de 4 161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(16 947,75 FCFA) et la MM50 (16 720,70 FCFA) se situent toutes deux au-dessus du cours actuel (16 700 FCFA), ce qui place le titre en position légèrement baissière par rapport à ses références de court et moyen terme. Toutefois, la MM20 reste supérieure à la MM50, configuration haussière de fond, ce qui justifie la décision « Achat » fournie, à condition d'une reprise du cours au-dessus de 16 950 FCFA.</w:t>
      </w:r>
    </w:p>
    <w:p>
      <w:pPr>
        <w:spacing w:after="120" w:line="276" w:lineRule="auto"/>
      </w:pPr>
      <w:r>
        <w:t>**Bandes de Bollinger** : Le cours (16 700 FCFA) évolue dans la partie basse du canal, entre la borne inférieure (16 458,92 FCFA) et la borne supérieure (17 436,58 FCFA), sans franchissement des extrêmes, ce qui traduit une volatilité contenue et une absence de signal directionnel fort. La décision « Neutre » est cohérente avec cette position médiane, le titre n'étant ni en survente ni en surachat technique.</w:t>
      </w:r>
    </w:p>
    <w:p>
      <w:pPr>
        <w:spacing w:after="120" w:line="276" w:lineRule="auto"/>
      </w:pPr>
      <w:r>
        <w:t>**MACD** : La valeur du MACD (-29,532) est nettement inférieure à son signal (19,041), générant un croisement baissier et un momentum négatif. Cette divergence confirme la décision « Vente » à court terme, signalant que la dynamique haussière des mois précédents s'essouffle et qu'une consolidation est en cours.</w:t>
      </w:r>
    </w:p>
    <w:p>
      <w:pPr>
        <w:spacing w:after="120" w:line="276" w:lineRule="auto"/>
      </w:pPr>
      <w:r>
        <w:t>**RSI** : À 40,95, le RSI se situe en zone neutre basse, sans atteindre le seuil de survente (30). La décision « Neutre » reflète un équilibre entre pression vendeuse et acheteuse, avec une légère prédominance baissière mais sans excès qui justifierait un rebond technique immédiat.</w:t>
      </w:r>
    </w:p>
    <w:p>
      <w:pPr>
        <w:spacing w:after="120" w:line="276" w:lineRule="auto"/>
      </w:pPr>
      <w:r>
        <w:t>**Stochastique** : Le %K (18,349) est inférieur au %D (27,523), les deux oscillateurs évoluant en zone de survente (&lt;20 pour le %K), ce qui génère un signal « Achat » contrarien. Ce positionnement suggère qu'un rebond technique est probable à court terme, le titre étant survendu sur cet indicateur.</w:t>
      </w:r>
    </w:p>
    <w:p>
      <w:pPr>
        <w:spacing w:after="120" w:line="276" w:lineRule="auto"/>
      </w:pPr>
      <w:r>
        <w:t>**Conclusion technique** : Les indicateurs présentent un tableau mitigé et divergent. Les signaux baissiers du MACD et la position du cours sous ses moyennes mobiles plaident pour une consolidation à court terme, tandis que le stochastique en survente et la configuration haussière de fond (MM20 &gt; MM50) offrent un potentiel de rebond. Le RSI neutre et les Bandes de Bollinger sans signal directionnel confirment l'absence de tendance claire. En synthèse, le titre est en phase de consolidation technique dans un canal haussier de moyen terme, avec un point d'entrée optimal autour de 16 500-16 600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structurés de l'exercice 2025 (données officielles brvm_donnees_financieres) révèlent une banque de premier plan : le Produit Net Bancaire (équivalent du chiffre d'affaires pour une banque) s'établit à 132,725 milliards FCFA, générant un résultat net de 63,482 milliards FCFA, soit une marge nette exceptionnelle de 47,83%. La rentabilité des fonds propres (ROE) atteint 29,04%, très au-dessus du seuil d'excellence de 15%, et le ROA de 3,09% confirme l'efficacité de l'utilisation des actifs. Le coefficient d'exploitation de 42,89% — inférieur au seuil de 60% et même de 50% — classe ECOC parmi les banques les plus efficaces de la zone UEMOA, tandis que le coût du risque rapporté aux charges financières (1,36%) reste modéré, témoignant d'un portefeuille de crédits globalement sain. La structure financière montre un total bilan de 2 054,491 milliards FCFA, dominé par les créances sur la clientèle (1 050,803 milliards FCFA) et les dépôts clientèle (1 626,223 milliards FCFA), avec un ratio de transformation (crédits/dépôts) de seulement 64,6%, laissant une marge de déploiement importante. Le taux de croissance du PNB de 8,51% confirme la dynamique commerciale, tandis que la solvabilité générale (111,91%) et la couverture des intérêts (317,71%) attestent de la solidité du bilan. Les rapports narratifs enrichissent cette analyse : le rapport annuel 2024 (publié le 31/12/2024) faisait état d'un PNB de 122,3 milliards FCFA (+11,0%) et d'un résultat net de 57,5 milliards FCFA (+19,6%), avec un dividende brut de 804 FCFA/action (taux de distribution de 77%). Le rapport S1 2026 (publié le 26/08/2026) montre un PNB de 64,078 milliards FCFA (+2,0%) et un résultat net de 26,408 milliards FCFA (-8,6%), pénalisé par un coût du risque multiplié par 7,4 à 5,197 milliards FCFA — provisionnement volontairement prudent — tandis que le ROE recule à 26,9% mais reste excellent. Le rapport T1 2026 (publié le 15/04/2026) confirme cette tendance avec un PNB de 30,8 milliards FCFA (+3,7%) et un résultat net de 13,0 milliards FCFA (-1,6%). Sur la base de ces éléments, on estime que l'exercice 2026 devrait enregistrer un PNB annuel d'environ 128-130 milliards FCFA (+2-3%) et un résultat net de l'ordre de 55-58 milliards FCFA (-8 à -10%), sous l'effet du provisionnement accru, mais avec des fondamentaux préservés. Le dividende proposé de 888 FCFA brut/action (781 FCFA net) pour 2025, en hausse de 10,4% par rapport à 2024, offre un rendement attractif de 5,3% au cours actuel, et le maintien d'un payout élevé (77%) confirme la générosité de la politique actionnariale. En conclusion, ECOC présente une solidité fondamentale remarquable (ROE &gt;25%, coefficient d'exploitation &lt;46%, solvabilité &gt;110%), avec un risque principal lié à la dégradation du coût du risque et à la contraction des produits hors intérêts (-25,9% au S1 2026), mais ces éléments apparaissent conjoncturels et volontaires plutôt que structurels.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équilibré avec une légère prime de valorisation. La valorisation (Partie 0) est exigeante — PER de 14,5x supérieur à la moyenne BRVM, P/B de 4,21x et EV/EBITDA de 14,1x — mais se justifie par la rentabilité exceptionnelle (ROE 29%) et la solidité du bilan, bien qu'elle limite le potentiel de revalorisation à court terme. Le comportement du cours (Partie 1) est rassurant : tendance haussière modérée (+2,45%), volatilité contenue (27,2%), distribution symétrique (skewness 0,185) et absence de risque de pics (kurtosis -0,204), ce qui en fait un titre adapté aux investisseurs recherchant la stabilité. Les signaux techniques (Partie 2) sont divergents : le MACD baissier et la position du cours sous les moyennes mobiles plaident pour une consolidation, tandis que le stochastique en survente et la configuration MM20 &gt; MM50 offrent un potentiel de rebond, le tout dans un canal haussier de moyen terme. Les fondamentaux (Partie 3) demeurent solides malgré le repli du résultat net au S1 2026 (-8,6%), avec un ROE de 26,9%, un coefficient d'exploitation de 45,2% et un dividende en hausse (888 FCFA brut, rendement 5,3%), les estimations pour 2026 tablant sur un résultat net de 55-58 milliards FCFA. Les prédictions IA (J+1 à J+10) anticipent une trajectoire haussière modérée, de 16 801 FCFA (08/10/2026) à 16 860 FCFA (14/10/2026), soit une progression d'environ +1,0% sur 10 jours, ce qui confirme la thèse d'un rebond technique progressif sans emballement. Sur la base de cette synthèse globale, la recommandation finale est **CONSERVER**, avec un niveau de confiance **Moyen** et un niveau de risque global **Moyen**. Cette recommandation se justifie par la convergence entre des fondamentaux solides (ROE &gt;25%, dividende attractif), une technique en phase de consolidation offrant un point d'entrée raisonnable, et des prédictions IA modérément haussières, mais tempérée par une valorisation exigeante et un coût du risque à surveiller. L'horizon d'investissement optimal est le **moyen terme (3-12 mois)**, le temps que la normalisation du coût du risque se confirme et que le titre retrouve sa dynamique haussière, avec un objectif de cours de 17 500-18 000 FCFA en cas de stabilisation des provisions et de maintien du dividende. Un passage à **ACHAT** serait justifié si le cours revenait sous 16 000 FCFA (rendement dividende &gt;5,5%) ou si le coût du risque se stabilisait au second semestre 2026, tandis qu'un passage à **VENTE** serait envisagé en cas de dégradation persistante de la qualité du portefeuille (créances en souffrance &gt;6%) ou de baisse du dividende.</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1,689,365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+120.00%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30.17% (Élevée) — μ=56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β=2.0139 (Très agressif) — Cov=0.000148, Var(idx)=0.000073, ρ=0.435,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1,689,365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σ_j=3.93%/j (Modérée) — Vol. annualisée≈62.3%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69</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1 193,55 milliards FCFA, ETIT s'impose comme l'une des plus importantes capitalisations de la BRVM, ce qui en fait un titre de référence pour les investisseurs institutionnels de la zone UEMOA. Le BPA de 19 FCFA par action signifie que chaque titre génère près de 19 FCFA de bénéfice net, un niveau de rentabilité par action solide pour le secteur. Le PER de 3,5x est remarquablement faible comparé à la moyenne du marché BRVM (généralement située entre 8x et 12x), ce qui suggère une sous-évaluation potentielle très marquée du titre par rapport à ses bénéfices. Le ratio P/B de 0,75x indique que le marché valorise ETIT en dessous de sa valeur comptable, une situation souvent considérée comme une opportunité d'achat pour les investisseurs value. Enfin, l'EV/EBITDA de 5,0x, inférieur au seuil de 5x, confirme que la valeur totale de l'entreprise (dette incluse) reste très abordable au regard de sa capacité opérationnelle à générer des profits, renforçant le diagnostic de sous-évaluation globale.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+120,00%, avec une dernière séance (J-1) en hausse de +1,54%, confirmant la dynamique haussière en cours. Le cours actuel de 66 FCFA se situe dans la partie haute du range de trading, le plus haut ayant atteint 78 FCFA et le plus bas 29 FCFA, soit une amplitude de 49 FCFA qui témoigne d'une forte volatilité. La tendance générale est clairement haussière, portée par un volume moyen quotidien de 1 689 365 titres, signe d'un intérêt soutenu des investisseurs. Les statistiques descriptives révèlent une moyenne de 56 FCFA contre une médiane de 65 FCFA, cet écart significatif indiquant une distribution asymétrique avec davantage de séances passées au-dessus de la moyenne. L'écart-type de 17 FCFA (CV=30,3%) traduit une dispersion élevée du cours, tandis que le kurtosis de -1,463 (distribution platykurtique) suggère une faible concentration des variations autour de la moyenne, avec un risque de pics moins prononcé qu'une distribution normale. Le skewness de -0,574 (asymétrie négative) confirme que le titre a connu plus de journées de hausse que de baisse, un signal favorable pour les détenteurs. La volatilité annualisée de 62,3% classe ce titre dans la catégorie à volatilité élevée (&gt;30%), ce qui implique un risque de fluctuation important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(68,5 FCFA) et la MM50 (67,76 FCFA) se situent toutes deux au-dessus du cours actuel de 66 FCFA, ce qui place le titre en position légèrement baissière à court terme. Toutefois, la proximité des deux moyennes et leur pente globalement haussière sur la période justifient la décision "Achat" fournie, le cours étant proche d'un point de retournement potentiel.</w:t>
      </w:r>
    </w:p>
    <w:p>
      <w:pPr>
        <w:spacing w:after="120" w:line="276" w:lineRule="auto"/>
      </w:pPr>
      <w:r>
        <w:t>**Bandes de Bollinger** : Le cours actuel (66 FCFA) se situe entre la borne inférieure (64,27 FCFA) et la borne supérieure (72,73 FCFA), plus proche de la borne basse, ce qui indique une pression vendeuse récente mais sans rupture. La largeur des bandes reflète une volatilité modérée, et la décision "Neutre" est cohérente avec cette position médiane du cours dans le canal.</w:t>
      </w:r>
    </w:p>
    <w:p>
      <w:pPr>
        <w:spacing w:after="120" w:line="276" w:lineRule="auto"/>
      </w:pPr>
      <w:r>
        <w:t>**MACD** : La valeur du MACD (-0,452) est inférieure à son signal (0,105), générant une divergence baissière qui justifie la décision "Vente". Le momentum est actuellement négatif, mais l'écart reste faible, suggérant une possible inversion prochaine si le cours se stabilise au-dessus de 66 FCFA.</w:t>
      </w:r>
    </w:p>
    <w:p>
      <w:pPr>
        <w:spacing w:after="120" w:line="276" w:lineRule="auto"/>
      </w:pPr>
      <w:r>
        <w:t>**RSI** : À 37,5, le RSI se situe dans la zone neutre basse (30-70), sans atteindre la zone de survente (&lt;30), ce qui justifie la décision "Neutre". Le titre n'est ni suracheté ni survendu, laissant une marge de progression sans risque immédiat de correction violente.</w:t>
      </w:r>
    </w:p>
    <w:p>
      <w:pPr>
        <w:spacing w:after="120" w:line="276" w:lineRule="auto"/>
      </w:pPr>
      <w:r>
        <w:t>**Stochastique** : Le %K (33,333) est supérieur au %D (21,429), avec un croisement potentiellement haussier en formation, mais les deux valeurs restent en zone basse. La décision "Neutre" reflète cette configuration ambiguë, le signal d'achat n'étant pas encore confirmé.</w:t>
      </w:r>
    </w:p>
    <w:p>
      <w:pPr>
        <w:spacing w:after="120" w:line="276" w:lineRule="auto"/>
      </w:pPr>
      <w:r>
        <w:t>**Conclusion technique** : Les indicateurs techniques présentent un tableau mitigé, avec une majorité de signaux neutres (Bollinger, RSI, Stochastique) et un signal baissier (MACD) compensé par une décision d'achat sur les moyennes mobiles. Le titre se trouve dans une phase de consolidation après sa forte hausse, et la convergence des signaux vers une stabilisation autour de 66 FCFA suggère une attente de catalyseur pour relancer la tendance haussière.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de 1 424,261 milliards FCFA, équivalent du chiffre d'affaires pour une banque, avec un résultat net de 345,523 milliards FCFA, soit une marge nette de 24,26%. Le ROE s'établit à 21,62%, largement supérieur au seuil de 15% considéré comme excellent, et le ROA à 1,80%, confirmant la rentabilité des actifs. Le coefficient d'exploitation de 27,35% est exceptionnellement bas (seuil d'efficacité &lt;60%), témoignant d'une maîtrise remarquable des charges. Le coût du risque, mesuré par le ratio provisions/charges financières, s'élève à 18,97%, un niveau élevé qui signale un risque de crédit significatif dans le portefeuille. La structure financière montre une autonomie financière de 8,30% (capitaux propres/total bilan), inférieure au seuil sain de 30%, mais typique du modèle bancaire où les dépôts clientèle (14 120,139 milliards FCFA) constituent la principale ressource. Le ratio de solvabilité générale de 109,06% (&gt;100%) confirme la capacité de la banque à couvrir ses dettes.</w:t>
      </w:r>
    </w:p>
    <w:p>
      <w:pPr>
        <w:spacing w:after="120" w:line="276" w:lineRule="auto"/>
      </w:pPr>
      <w:r>
        <w:t>**Estimations basées sur les rapports trimestriels** : Le rapport semestriel 2026 (publié le 30 juin 2026) indique un PNB de 1 281 330 milliers $EU (721 318 millions FCFA) en hausse de +15% sur un an, avec un résultat net consolidé de 296 091 milliers $EU (166 682 millions FCFA) en progression de +6%. Le coefficient d'exploitation s'améliore à 48,4%, et le ratio de prêts non performants (NPL) baisse à 7,6%. Cependant, le coût du risque bondit de +40%, un signal d'alerte majeur. Le rapport du T1 2026 (publié en 2026) montre un PNB en hausse de +23% à 636,2 millions $EU et un résultat net de 142,5 millions $EU (+16%), mais avec un coût du risque en hausse de +73%. Sur la base de ces tendances, on estime que l'exercice 2026 devrait enregistrer une croissance du PNB d'environ +15% à +20%, mais le résultat net pourrait être impacté par la hausse des provisions, avec une progression limitée à +5% à +10%.</w:t>
      </w:r>
    </w:p>
    <w:p>
      <w:pPr>
        <w:spacing w:after="120" w:line="276" w:lineRule="auto"/>
      </w:pPr>
      <w:r>
        <w:t>**Recommandation fondamentale** : ETIT présente des fondamentaux solides (ROE élevé, coefficient d'exploitation excellent, croissance du PNB robuste) mais des risques croissants (coût du risque en forte hausse, autonomie financière faible). La valorisation attractive (PER 3,5x, P/B 0,75x) contraste avec ces risques, créant une opportunité pour les investisseurs tolérants au risque. La recommandation fondamentale est **CONSERVER** avec un biais positif, en attendant la confirmation de la maîtrise du coût du risque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apparaît nettement sous-évaluée avec un PER de 3,5x (vs moyenne BRVM 8-12x), un P/B de 0,75x (&lt;1) et un EV/EBITDA de 5,0x, offrant une marge de sécurité significative. Le comportement du cours sur 100 jours est haussier (+120%), avec une volatilité élevée (62,3%) et une asymétrie négative (skewness -0,574) indiquant plus de journées de hausse, mais le kurtosis platykurtique (-1,463) suggère une distribution aplatie avec des pics moins fréquents. Les signaux techniques sont mitigés : les moyennes mobiles donnent un signal d'achat, mais le MACD est baissier, tandis que le RSI, les Bandes de Bollinger et le Stochastique restent neutres, reflétant une phase de consolidation. Les fondamentaux sont solides (ROE 21,62%, coefficient d'exploitation 27,35%, PNB 2025 de 1 424,261 milliards FCFA) mais entachés par un coût du risque élevé (18,97%) et une hausse des provisions (+40% au S1 2026), ce qui tempère les perspectives de croissance du résultat net. Les prédictions IA pour les 10 prochains jours (66 FCFA stable) confirment une phase de stabilisation, sans direction claire à court terme. Sur la base de cette synthèse, la recommandation finale est **CONSERVER**, avec un niveau de confiance **Moyen** et un risque global **Élevé** en raison de la volatilité du titre et des incertitudes sur le coût du risque. L'horizon d'investissement optimal est **moyen terme (3-12 mois)**, en attendant les résultats annuels 2026 pour évaluer la capacité de la banque à transformer sa croissance du PNB en bénéfices nets durables et à maîtriser ses provisions.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4,131 titres</w:t>
            </w:r>
          </w:p>
        </w:tc>
        <w:tc>
          <w:tcPr>
            <w:tcW w:type="dxa" w:w="2268"/>
            <w:shd w:fill="FFF2CC" w:val="clear"/>
          </w:tcPr>
          <w:p>
            <w:r>
              <w:rPr>
                <w:b/>
                <w:color w:val="503200"/>
                <w:sz w:val="16"/>
              </w:rPr>
              <w:t xml:space="preserve">Cours actuel : </w:t>
            </w:r>
            <w:r>
              <w:rPr>
                <w:color w:val="000000"/>
                <w:sz w:val="17"/>
              </w:rPr>
              <w:t>1,970 FCFA</w:t>
            </w:r>
          </w:p>
          <w:p>
            <w:r>
              <w:rPr>
                <w:b/>
                <w:color w:val="503200"/>
                <w:sz w:val="16"/>
              </w:rPr>
              <w:t xml:space="preserve">Var. 100 jours : </w:t>
            </w:r>
            <w:r>
              <w:rPr>
                <w:b/>
                <w:color w:val="B40000"/>
                <w:sz w:val="17"/>
              </w:rPr>
              <w:t>-12.44%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μ=2,103 FCFA, σ=132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β=0.4564 (Défensif) — Cov=0.000033, Var(idx)=0.000073, ρ=0.175,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1,873</w:t>
            </w:r>
          </w:p>
        </w:tc>
        <w:tc>
          <w:tcPr>
            <w:tcW w:type="dxa" w:w="1440"/>
            <w:shd w:fill="FAFAFA" w:val="clear"/>
          </w:tcPr>
          <w:p>
            <w:r>
              <w:rPr>
                <w:b/>
                <w:sz w:val="17"/>
              </w:rPr>
              <w:t>1,958</w:t>
            </w:r>
          </w:p>
        </w:tc>
        <w:tc>
          <w:tcPr>
            <w:tcW w:type="dxa" w:w="1440"/>
            <w:shd w:fill="FAFAFA" w:val="clear"/>
          </w:tcPr>
          <w:p>
            <w:r>
              <w:rPr>
                <w:sz w:val="17"/>
              </w:rPr>
              <w:t>2,042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1,824</w:t>
            </w:r>
          </w:p>
        </w:tc>
        <w:tc>
          <w:tcPr>
            <w:tcW w:type="dxa" w:w="1440"/>
            <w:shd w:fill="FAFAFA" w:val="clear"/>
          </w:tcPr>
          <w:p>
            <w:r>
              <w:rPr>
                <w:b/>
                <w:sz w:val="17"/>
              </w:rPr>
              <w:t>1,943</w:t>
            </w:r>
          </w:p>
        </w:tc>
        <w:tc>
          <w:tcPr>
            <w:tcW w:type="dxa" w:w="1440"/>
            <w:shd w:fill="FAFAFA" w:val="clear"/>
          </w:tcPr>
          <w:p>
            <w:r>
              <w:rPr>
                <w:sz w:val="17"/>
              </w:rPr>
              <w:t>2,062</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1,784</w:t>
            </w:r>
          </w:p>
        </w:tc>
        <w:tc>
          <w:tcPr>
            <w:tcW w:type="dxa" w:w="1440"/>
            <w:shd w:fill="FFDCE0" w:val="clear"/>
          </w:tcPr>
          <w:p>
            <w:r>
              <w:rPr>
                <w:b/>
                <w:sz w:val="17"/>
              </w:rPr>
              <w:t>1,928</w:t>
            </w:r>
          </w:p>
        </w:tc>
        <w:tc>
          <w:tcPr>
            <w:tcW w:type="dxa" w:w="1440"/>
            <w:shd w:fill="FFDCE0" w:val="clear"/>
          </w:tcPr>
          <w:p>
            <w:r>
              <w:rPr>
                <w:sz w:val="17"/>
              </w:rPr>
              <w:t>2,072</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1,748</w:t>
            </w:r>
          </w:p>
        </w:tc>
        <w:tc>
          <w:tcPr>
            <w:tcW w:type="dxa" w:w="1440"/>
            <w:shd w:fill="FFDCE0" w:val="clear"/>
          </w:tcPr>
          <w:p>
            <w:r>
              <w:rPr>
                <w:b/>
                <w:sz w:val="17"/>
              </w:rPr>
              <w:t>1,914</w:t>
            </w:r>
          </w:p>
        </w:tc>
        <w:tc>
          <w:tcPr>
            <w:tcW w:type="dxa" w:w="1440"/>
            <w:shd w:fill="FFDCE0" w:val="clear"/>
          </w:tcPr>
          <w:p>
            <w:r>
              <w:rPr>
                <w:sz w:val="17"/>
              </w:rPr>
              <w:t>2,079</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1,717</w:t>
            </w:r>
          </w:p>
        </w:tc>
        <w:tc>
          <w:tcPr>
            <w:tcW w:type="dxa" w:w="1440"/>
            <w:shd w:fill="FFDCE0" w:val="clear"/>
          </w:tcPr>
          <w:p>
            <w:r>
              <w:rPr>
                <w:b/>
                <w:sz w:val="17"/>
              </w:rPr>
              <w:t>1,900</w:t>
            </w:r>
          </w:p>
        </w:tc>
        <w:tc>
          <w:tcPr>
            <w:tcW w:type="dxa" w:w="1440"/>
            <w:shd w:fill="FFDCE0" w:val="clear"/>
          </w:tcPr>
          <w:p>
            <w:r>
              <w:rPr>
                <w:sz w:val="17"/>
              </w:rPr>
              <w:t>2,084</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1,687</w:t>
            </w:r>
          </w:p>
        </w:tc>
        <w:tc>
          <w:tcPr>
            <w:tcW w:type="dxa" w:w="1440"/>
            <w:shd w:fill="FFDCE0" w:val="clear"/>
          </w:tcPr>
          <w:p>
            <w:r>
              <w:rPr>
                <w:b/>
                <w:sz w:val="17"/>
              </w:rPr>
              <w:t>1,887</w:t>
            </w:r>
          </w:p>
        </w:tc>
        <w:tc>
          <w:tcPr>
            <w:tcW w:type="dxa" w:w="1440"/>
            <w:shd w:fill="FFDCE0" w:val="clear"/>
          </w:tcPr>
          <w:p>
            <w:r>
              <w:rPr>
                <w:sz w:val="17"/>
              </w:rPr>
              <w:t>2,087</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1,660</w:t>
            </w:r>
          </w:p>
        </w:tc>
        <w:tc>
          <w:tcPr>
            <w:tcW w:type="dxa" w:w="1440"/>
            <w:shd w:fill="FFDCE0" w:val="clear"/>
          </w:tcPr>
          <w:p>
            <w:r>
              <w:rPr>
                <w:b/>
                <w:sz w:val="17"/>
              </w:rPr>
              <w:t>1,874</w:t>
            </w:r>
          </w:p>
        </w:tc>
        <w:tc>
          <w:tcPr>
            <w:tcW w:type="dxa" w:w="1440"/>
            <w:shd w:fill="FFDCE0" w:val="clear"/>
          </w:tcPr>
          <w:p>
            <w:r>
              <w:rPr>
                <w:sz w:val="17"/>
              </w:rPr>
              <w:t>2,088</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1,634</w:t>
            </w:r>
          </w:p>
        </w:tc>
        <w:tc>
          <w:tcPr>
            <w:tcW w:type="dxa" w:w="1440"/>
            <w:shd w:fill="FFDCE0" w:val="clear"/>
          </w:tcPr>
          <w:p>
            <w:r>
              <w:rPr>
                <w:b/>
                <w:sz w:val="17"/>
              </w:rPr>
              <w:t>1,861</w:t>
            </w:r>
          </w:p>
        </w:tc>
        <w:tc>
          <w:tcPr>
            <w:tcW w:type="dxa" w:w="1440"/>
            <w:shd w:fill="FFDCE0" w:val="clear"/>
          </w:tcPr>
          <w:p>
            <w:r>
              <w:rPr>
                <w:sz w:val="17"/>
              </w:rPr>
              <w:t>2,089</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1,609</w:t>
            </w:r>
          </w:p>
        </w:tc>
        <w:tc>
          <w:tcPr>
            <w:tcW w:type="dxa" w:w="1440"/>
            <w:shd w:fill="FFDCE0" w:val="clear"/>
          </w:tcPr>
          <w:p>
            <w:r>
              <w:rPr>
                <w:b/>
                <w:sz w:val="17"/>
              </w:rPr>
              <w:t>1,849</w:t>
            </w:r>
          </w:p>
        </w:tc>
        <w:tc>
          <w:tcPr>
            <w:tcW w:type="dxa" w:w="1440"/>
            <w:shd w:fill="FFDCE0" w:val="clear"/>
          </w:tcPr>
          <w:p>
            <w:r>
              <w:rPr>
                <w:sz w:val="17"/>
              </w:rPr>
              <w:t>2,089</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1,586</w:t>
            </w:r>
          </w:p>
        </w:tc>
        <w:tc>
          <w:tcPr>
            <w:tcW w:type="dxa" w:w="1440"/>
            <w:shd w:fill="FFDCE0" w:val="clear"/>
          </w:tcPr>
          <w:p>
            <w:r>
              <w:rPr>
                <w:b/>
                <w:sz w:val="17"/>
              </w:rPr>
              <w:t>1,837</w:t>
            </w:r>
          </w:p>
        </w:tc>
        <w:tc>
          <w:tcPr>
            <w:tcW w:type="dxa" w:w="1440"/>
            <w:shd w:fill="FFDCE0" w:val="clear"/>
          </w:tcPr>
          <w:p>
            <w:r>
              <w:rPr>
                <w:sz w:val="17"/>
              </w:rPr>
              <w:t>2,088</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27,78 milliards FCFA, FTSC se positionne comme une valeur de taille moyenne sur le compartiment industriel de la BRVM, loin des poids lourds bancaires et télécoms. Le BPA de 33 FCFA/action signifie que chaque titre génère théoriquement 33 FCFA de bénéfice net, un niveau faible qui traduit l'effondrement du résultat net 2025 (466 MFCFA contre 18,6 Mds FCFA en 2024). Le PER de 59,6x est extrêmement élevé au regard de la moyenne BRVM (8-12x) : les investisseurs paient environ 60 fois les bénéfices actuels, ce qui n'est justifiable que si une forte reprise des profits est anticipée — or cette reprise reste hypothétique. Le P/B de 1,77x indique que le marché valorise le titre à près du double de sa valeur comptable (capitaux propres de 15,7 Mds FCFA), un niveau raisonnable en soi mais qui contraste avec la fragilité des résultats. Enfin, l'EV/EBITDA de 36,4x est très exigeant (seuil d'alerte &gt;15x), signifiant que la valeur d'entreprise intègre une prime spéculative que la capacité opérationnelle actuelle (EBE de 1,5 Md FCFA) ne justifie pas pleinement.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**-12,44%**, avec une dernière séance en léger repli de -0,25%, confirmant une tendance baissière persistante. Le cours actuel de 1 970 FCFA se situe dans la moitié basse du range de trading (plus haut 2 430 FCFA, plus bas 1 850 FCFA), soit environ 19% en dessous du sommet et 6,5% au-dessus du plancher. Les statistiques descriptives révèlent une distribution quasi symétrique : la moyenne (2 103 FCFA) et la médiane (2 100 FCFA) sont pratiquement confondues, tandis que le mode (1 990 FCFA) est légèrement inférieur, suggérant une concentration des échanges autour de 2 000 FCFA. L'écart-type de 132 FCFA avec un coefficient de variation de 6,3% indique une dispersion modérée du cours, mais la volatilité annualisée de **36,7%** classe le titre dans la catégorie **élevée** (&gt;30%), ce qui traduit une incertitude significative. Le kurtosis de -0,602 (mésokurtique) signifie que la distribution est proche de la normale, sans risque majeur de pics extrêmes, tandis que le skewness positif de 0,507 révèle une asymétrie à droite : davantage de journées ont clôturé sous la moyenne, ce qui est cohérent avec la pression vendeuse observée. Le volume moyen de 4 131 titres/jour reste modeste, limitant la liquidité du titre.</w:t>
      </w:r>
    </w:p>
    <w:p>
      <w:pPr>
        <w:spacing w:after="120" w:line="276" w:lineRule="auto"/>
      </w:pPr>
      <w:r>
        <w:t>---</w:t>
      </w:r>
    </w:p>
    <w:p>
      <w:pPr>
        <w:spacing w:after="120" w:line="276" w:lineRule="auto"/>
      </w:pPr>
      <w:r>
        <w:t>## PARTIE 2 : ANALYSE TECHNIQUE DÉTAILLÉE</w:t>
      </w:r>
    </w:p>
    <w:p>
      <w:pPr>
        <w:spacing w:after="120" w:line="276" w:lineRule="auto"/>
      </w:pPr>
      <w:r>
        <w:t>**Moyennes Mobiles** : La MM20 (2 026,25 FCFA) et la MM50 (2 068,30 FCFA) se situent toutes deux au-dessus du cours actuel (1 970 FCFA), avec la MM20 sous la MM50 — configuration baissière classique (croisement mort confirmé). Le cours évoluant sous ses deux moyennes, la pression vendeuse domine, justifiant la décision **Vente**.</w:t>
      </w:r>
    </w:p>
    <w:p>
      <w:pPr>
        <w:spacing w:after="120" w:line="276" w:lineRule="auto"/>
      </w:pPr>
      <w:r>
        <w:t>**Bandes de Bollinger** : Le cours (1 970 FCFA) se situe dans la partie inférieure de la bande (borne supérieure 2 175,38 FCFA, borne inférieure 1 877,12 FCFA), sans en atteindre la limite basse. Cette position médiane-basse, couplée à un rétrécissement des bandes, suggère une volatilité contenue et une absence de signal directionnel fort, d'où la décision **Neutre**.</w:t>
      </w:r>
    </w:p>
    <w:p>
      <w:pPr>
        <w:spacing w:after="120" w:line="276" w:lineRule="auto"/>
      </w:pPr>
      <w:r>
        <w:t>**MACD** : La valeur du MACD (-39,98) est inférieure à son signal (-32,29), avec un histogramme négatif — configuration baissière où le momentum reste orienté à la baisse. L'écart entre les deux lignes ne se creuse pas significativement, ce qui pourrait annoncer un essoufflement de la tendance baissière, mais la décision reste **Vente**.</w:t>
      </w:r>
    </w:p>
    <w:p>
      <w:pPr>
        <w:spacing w:after="120" w:line="276" w:lineRule="auto"/>
      </w:pPr>
      <w:r>
        <w:t>**RSI** : À 40,16, le RSI se situe en zone neutre basse (30-70), sans atteindre la zone de survente (&lt;30). Cela indique que le titre n'est pas encore techniquement "survendu" et conserve un potentiel de baisse résiduel, justifiant la décision **Neutre** avec un biais prudent.</w:t>
      </w:r>
    </w:p>
    <w:p>
      <w:pPr>
        <w:spacing w:after="120" w:line="276" w:lineRule="auto"/>
      </w:pPr>
      <w:r>
        <w:t>**Stochastique** : Le %K (48,98) est supérieur au %D (33,33), avec un croisement récent à la hausse — signal haussier de court terme. Toutefois, les deux lignes restent en zone basse, et ce signal contredit partiellement les autres indicateurs, d'où la décision **Neutre**.</w:t>
      </w:r>
    </w:p>
    <w:p>
      <w:pPr>
        <w:spacing w:after="120" w:line="276" w:lineRule="auto"/>
      </w:pPr>
      <w:r>
        <w:t>**Conclusion technique** : Les indicateurs sont majoritairement baissiers (MM, MACD) ou neutres (Bollinger, RSI, Stochastique), avec un seul signal haussier marginal (croisement stochastique). Le cours évolue sous ses moyennes mobiles, le momentum reste négatif, et l'absence de survente technique suggère que la pression baissière pourrait se poursuivre à court terme. La configuration globale plaide pour une **prudence**, avec un potentiel de rebond technique limité tant que le cours ne repasse pas au-dessus de la MM20 (2 026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**32,11 Mds FCFA** (+4,6% vs 2024), mais son résultat net s'est effondré à **466 MFCFA** contre 18,6 Mds FCFA en 2024 (-97,5%), principalement en raison de l'absence des produits exceptionnels de cession de filiales enregistrés en 2024 (résultat HAO de 381 MFCFA en 2025 contre 18,9 Mds FCFA en 2024). La marge nette chute à **1,45%** (contre 60,6% en 2024, niveau artificiel), le ROE à **2,97%** (très en dessous du seuil d'excellence de 15%) et le ROA à **1,19%**, traduisant une rentabilité structurellement faible. **Adapté au secteur industriel** : le BFR s'élève à 11,53 Mds FCFA (contre 2,55 Mds en 2024), avec des délais clients de **213,72 jours** (très élevés, signalant un risque de trésorerie majeur) et des délais fournisseurs de 140,71 jours ; la trésorerie nette est négative à **-11,53 Mds FCFA**, conséquence du versement de dividendes massifs en 2024 (18,6 Mds FCFA). L'endettement reste contenu (ratio d'endettement de 97,6%, autonomie financière de 40,1%), mais la capacité de remboursement (11,49 années de CAF) et la couverture des intérêts (40,6%) sont préoccupantes. **Estimations basées sur les rapports trimestriels** : le rapport T1 2026 (publié le 31/03/2026) fait état d'un chiffre d'affaires de **8 901 MFCFA** (+55% vs T1 2025), porté par la demande d'emballages cacao, avec un résultat d'exploitation redevenu positif (+75 MFCFA contre -78 MFCFA) mais un résultat net toujours déficitaire (-154 MFCFA). On estime donc que l'exercice 2026 pourrait afficher une amélioration opérationnelle progressive, mais la rentabilité nette annuelle reste incertaine et dépendante de la campagne cacaoyère. **Recommandation fondamentale** : la société présente une solidité financière fragile (rentabilité quasi nulle, trésorerie négative, absence de dividende en 2025), mais des signes de redressement opérationnel émergent au T1 2026. Le profil est celui d'un **retournement non confirmé**, justifiant une position attentiste.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La **valorisation (Partie 0)** est clairement tendue : PER de 59,6x et EV/EBITDA de 36,4x intègrent une prime spéculative que les bénéfices actuels (BPA de 33 FCFA) ne justifient pas, même si le P/B de 1,77x reste raisonnable. Le **comportement du cours (Partie 1)** est baissier (-12,44% sur 100 jours), avec une volatilité élevée (36,7%) et un skewness positif indiquant une pression vendeuse persistante, bien que le kurtosis mésokurtique limite le risque de pics extrêmes. Les **signaux techniques (Partie 2)** sont majoritairement négatifs (cours sous MM20/MM50, MACD baissier), avec un RSI neutre et un croisement stochastique haussier marginal qui ne suffit pas à inverser la tendance. Les **fondamentaux (Partie 3)** montrent une dégradation spectaculaire en 2025 (résultat net -97,5%, trésorerie négative, absence de dividende), mais le T1 2026 (+55% de CA, résultat d'exploitation positif) suggère un début de redressement opérationnel — toutefois non confirmé par un retour aux bénéfices nets. Les **prédictions IA (J+1 à J+10)** anticipent une poursuite de la baisse (1 958 → 1 900 FCFA), confirmant la tendance baissière de court terme et contredisant l'espoir d'un rebond immédiat. **Recommandation finale : CONSERVER** (avec biais baissier). La convergence des signaux techniques et prédictifs à la baisse, couplée à une valorisation exigeante et des fondamentaux encore fragiles, ne justifie pas un achat. Toutefois, le potentiel de redressement opérationnel (T1 2026) et la décote du P/B incitent à ne pas vendre précipitamment. **Niveau de confiance : Moyen** (les données T1 2026 sont encourageantes mais insuffisantes pour confirmer une inversion durable). **Niveau de risque : Élevé** (volatilité 36,7%, trésorerie négative, dépendance au cacao). **Horizon d'investissement : Moyen terme (3-12 mois)**, en surveillant deux trimestres consécutifs de résultat net positif et une clarification de la politique de dividende comme signaux d'achat.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4,643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B40000"/>
                <w:sz w:val="17"/>
              </w:rPr>
              <w:t>-0.26%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μ=4,075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β=0.6492 (Défensif) — Cov=0.000048, Var(idx)=0.000073, ρ=0.212,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3,750</w:t>
            </w:r>
          </w:p>
        </w:tc>
        <w:tc>
          <w:tcPr>
            <w:tcW w:type="dxa" w:w="1440"/>
            <w:shd w:fill="FAFAFA" w:val="clear"/>
          </w:tcPr>
          <w:p>
            <w:r>
              <w:rPr>
                <w:b/>
                <w:sz w:val="17"/>
              </w:rPr>
              <w:t>3,915</w:t>
            </w:r>
          </w:p>
        </w:tc>
        <w:tc>
          <w:tcPr>
            <w:tcW w:type="dxa" w:w="1440"/>
            <w:shd w:fill="FAFAFA" w:val="clear"/>
          </w:tcPr>
          <w:p>
            <w:r>
              <w:rPr>
                <w:sz w:val="17"/>
              </w:rPr>
              <w:t>4,080</w:t>
            </w:r>
          </w:p>
        </w:tc>
        <w:tc>
          <w:tcPr>
            <w:tcW w:type="dxa" w:w="1440"/>
            <w:shd w:fill="FAFAFA" w:val="clear"/>
          </w:tcPr>
          <w:p>
            <w:r>
              <w:rPr>
                <w:b/>
                <w:color w:val="008000"/>
                <w:sz w:val="17"/>
              </w:rPr>
              <w:t>+0.6%</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3,684</w:t>
            </w:r>
          </w:p>
        </w:tc>
        <w:tc>
          <w:tcPr>
            <w:tcW w:type="dxa" w:w="1440"/>
            <w:shd w:fill="FAFAFA" w:val="clear"/>
          </w:tcPr>
          <w:p>
            <w:r>
              <w:rPr>
                <w:b/>
                <w:sz w:val="17"/>
              </w:rPr>
              <w:t>3,917</w:t>
            </w:r>
          </w:p>
        </w:tc>
        <w:tc>
          <w:tcPr>
            <w:tcW w:type="dxa" w:w="1440"/>
            <w:shd w:fill="FAFAFA" w:val="clear"/>
          </w:tcPr>
          <w:p>
            <w:r>
              <w:rPr>
                <w:sz w:val="17"/>
              </w:rPr>
              <w:t>4,151</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3,634</w:t>
            </w:r>
          </w:p>
        </w:tc>
        <w:tc>
          <w:tcPr>
            <w:tcW w:type="dxa" w:w="1440"/>
            <w:shd w:fill="FAFAFA" w:val="clear"/>
          </w:tcPr>
          <w:p>
            <w:r>
              <w:rPr>
                <w:b/>
                <w:sz w:val="17"/>
              </w:rPr>
              <w:t>3,920</w:t>
            </w:r>
          </w:p>
        </w:tc>
        <w:tc>
          <w:tcPr>
            <w:tcW w:type="dxa" w:w="1440"/>
            <w:shd w:fill="FAFAFA" w:val="clear"/>
          </w:tcPr>
          <w:p>
            <w:r>
              <w:rPr>
                <w:sz w:val="17"/>
              </w:rPr>
              <w:t>4,206</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3,591</w:t>
            </w:r>
          </w:p>
        </w:tc>
        <w:tc>
          <w:tcPr>
            <w:tcW w:type="dxa" w:w="1440"/>
            <w:shd w:fill="FAFAFA" w:val="clear"/>
          </w:tcPr>
          <w:p>
            <w:r>
              <w:rPr>
                <w:b/>
                <w:sz w:val="17"/>
              </w:rPr>
              <w:t>3,922</w:t>
            </w:r>
          </w:p>
        </w:tc>
        <w:tc>
          <w:tcPr>
            <w:tcW w:type="dxa" w:w="1440"/>
            <w:shd w:fill="FAFAFA" w:val="clear"/>
          </w:tcPr>
          <w:p>
            <w:r>
              <w:rPr>
                <w:sz w:val="17"/>
              </w:rPr>
              <w:t>4,253</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3,553</w:t>
            </w:r>
          </w:p>
        </w:tc>
        <w:tc>
          <w:tcPr>
            <w:tcW w:type="dxa" w:w="1440"/>
            <w:shd w:fill="FAFAFA" w:val="clear"/>
          </w:tcPr>
          <w:p>
            <w:r>
              <w:rPr>
                <w:b/>
                <w:sz w:val="17"/>
              </w:rPr>
              <w:t>3,923</w:t>
            </w:r>
          </w:p>
        </w:tc>
        <w:tc>
          <w:tcPr>
            <w:tcW w:type="dxa" w:w="1440"/>
            <w:shd w:fill="FAFAFA" w:val="clear"/>
          </w:tcPr>
          <w:p>
            <w:r>
              <w:rPr>
                <w:sz w:val="17"/>
              </w:rPr>
              <w:t>4,293</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3,518</w:t>
            </w:r>
          </w:p>
        </w:tc>
        <w:tc>
          <w:tcPr>
            <w:tcW w:type="dxa" w:w="1440"/>
            <w:shd w:fill="FAFAFA" w:val="clear"/>
          </w:tcPr>
          <w:p>
            <w:r>
              <w:rPr>
                <w:b/>
                <w:sz w:val="17"/>
              </w:rPr>
              <w:t>3,923</w:t>
            </w:r>
          </w:p>
        </w:tc>
        <w:tc>
          <w:tcPr>
            <w:tcW w:type="dxa" w:w="1440"/>
            <w:shd w:fill="FAFAFA" w:val="clear"/>
          </w:tcPr>
          <w:p>
            <w:r>
              <w:rPr>
                <w:sz w:val="17"/>
              </w:rPr>
              <w:t>4,328</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3,489</w:t>
            </w:r>
          </w:p>
        </w:tc>
        <w:tc>
          <w:tcPr>
            <w:tcW w:type="dxa" w:w="1440"/>
            <w:shd w:fill="FAFAFA" w:val="clear"/>
          </w:tcPr>
          <w:p>
            <w:r>
              <w:rPr>
                <w:b/>
                <w:sz w:val="17"/>
              </w:rPr>
              <w:t>3,927</w:t>
            </w:r>
          </w:p>
        </w:tc>
        <w:tc>
          <w:tcPr>
            <w:tcW w:type="dxa" w:w="1440"/>
            <w:shd w:fill="FAFAFA" w:val="clear"/>
          </w:tcPr>
          <w:p>
            <w:r>
              <w:rPr>
                <w:sz w:val="17"/>
              </w:rPr>
              <w:t>4,364</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3,463</w:t>
            </w:r>
          </w:p>
        </w:tc>
        <w:tc>
          <w:tcPr>
            <w:tcW w:type="dxa" w:w="1440"/>
            <w:shd w:fill="FAFAFA" w:val="clear"/>
          </w:tcPr>
          <w:p>
            <w:r>
              <w:rPr>
                <w:b/>
                <w:sz w:val="17"/>
              </w:rPr>
              <w:t>3,932</w:t>
            </w:r>
          </w:p>
        </w:tc>
        <w:tc>
          <w:tcPr>
            <w:tcW w:type="dxa" w:w="1440"/>
            <w:shd w:fill="FAFAFA" w:val="clear"/>
          </w:tcPr>
          <w:p>
            <w:r>
              <w:rPr>
                <w:sz w:val="17"/>
              </w:rPr>
              <w:t>4,400</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3,437</w:t>
            </w:r>
          </w:p>
        </w:tc>
        <w:tc>
          <w:tcPr>
            <w:tcW w:type="dxa" w:w="1440"/>
            <w:shd w:fill="FAFAFA" w:val="clear"/>
          </w:tcPr>
          <w:p>
            <w:r>
              <w:rPr>
                <w:b/>
                <w:sz w:val="17"/>
              </w:rPr>
              <w:t>3,934</w:t>
            </w:r>
          </w:p>
        </w:tc>
        <w:tc>
          <w:tcPr>
            <w:tcW w:type="dxa" w:w="1440"/>
            <w:shd w:fill="FAFAFA" w:val="clear"/>
          </w:tcPr>
          <w:p>
            <w:r>
              <w:rPr>
                <w:sz w:val="17"/>
              </w:rPr>
              <w:t>4,432</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3,412</w:t>
            </w:r>
          </w:p>
        </w:tc>
        <w:tc>
          <w:tcPr>
            <w:tcW w:type="dxa" w:w="1440"/>
            <w:shd w:fill="FAFAFA" w:val="clear"/>
          </w:tcPr>
          <w:p>
            <w:r>
              <w:rPr>
                <w:b/>
                <w:sz w:val="17"/>
              </w:rPr>
              <w:t>3,936</w:t>
            </w:r>
          </w:p>
        </w:tc>
        <w:tc>
          <w:tcPr>
            <w:tcW w:type="dxa" w:w="1440"/>
            <w:shd w:fill="FAFAFA" w:val="clear"/>
          </w:tcPr>
          <w:p>
            <w:r>
              <w:rPr>
                <w:sz w:val="17"/>
              </w:rPr>
              <w:t>4,461</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 (Jeux &amp; Loterie)*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77,80 Mds FCFA, LNBB se positionne comme une valeur de taille intermédiaire sur le marché BRVM, représentant un poids non négligeable dans l'indice composite. Le BPA de 231 FCFA/action signifie que chaque titre génère près de 231 FCFA de bénéfice net, ce qui, rapporté au cours actuel de 3 890 FCFA, donne un PER de 16,8x. Ce multiple est supérieur à la moyenne du marché BRVM (généralement comprise entre 8x et 12x), indiquant que les investisseurs acceptent de payer une prime pour les bénéfices de la société, probablement en anticipation de la dynamique de digitalisation et de la rentabilité future. Le P/B de 3,54x montre que le marché valorise LNBB à plus de trois fois sa valeur comptable, reflétant une prime de croissance significative — cohérente avec un ROE élevé de 21,05%. Enfin, l'EV/EBITDA de 9,8x, bien que dans la fourchette raisonnable de 5-10x, se situe dans la partie haute de cette fourchette, suggérant que la valeur totale de l'entreprise (dette incluse) est correctement, voire légèrement généreusement, valorisée par rapport à sa capacité opérationnelle. Dans l'ensemble, ces ratios dessinent une valorisation modérée à légèrement tendue, justifiée par la qualité des fondamentaux mais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 enregistré une variation quasi-nulle de -0,26%, avec une dernière séance en repli de -1,02%, traduisant une phase de consolidation sans direction claire. Le titre a évolué dans un range de 860 FCFA, entre un plus bas de 3 700 FCFA et un plus haut de 4 560 FCFA, ce qui représente une amplitude de trading relativement large (23% du cours actuel). La tendance générale est donc stable à légèrement baissière, le cours actuel (3 890 FCFA) se situant en dessous de sa moyenne de période (4 075 FCFA) et de sa médiane (4 050 FCFA), signalant une pression vendeuse modérée en fin de période. Les statistiques descriptives révèlent une distribution quasi-symétrique : la moyenne (4 075 FCFA) et la médiane (4 050 FCFA) sont très proches, et le skewness de 0,456 (interprété comme symétrique) confirme l'absence de biais directionnel marqué. L'écart-type de 193 FCFA, avec un coefficient de variation de seulement 4,7%, indique une dispersion faible du cours autour de sa moyenne, ce qui est rassurant pour la stabilité. Le kurtosis de -0,780 (mésokurtique, proche d'une distribution normale) suggère une absence de risque de pics extrêmes — les mouvements brusques sont peu probables. Enfin, la volatilité annualisée de 41,3% classe ce titre dans la catégorie des valeurs à volatilité élevée (&gt;30%), ce qui implique un risque de prix non négligeable pour les investisseurs, malgré la stabilité relative observée sur la période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(3 953,75 FCFA) et la MM50 (4 079,40 FCFA) encadrent le cours actuel (3 890 FCFA) par le haut, ce qui signifie que le titre évolue en dessous de ses deux moyennes mobiles. Cette configuration est baissière à court et moyen terme, car elle indique que les prix récents sont inférieurs aux prix moyens des 20 et 50 dernières séances. La décision technique qui en découle est logiquement **Vente**, le marché n'ayant pas encore trouvé de support suffisant pour inverser la tendance.</w:t>
      </w:r>
    </w:p>
    <w:p>
      <w:pPr>
        <w:spacing w:after="120" w:line="276" w:lineRule="auto"/>
      </w:pPr>
      <w:r>
        <w:t>**Bandes de Bollinger** : Le cours actuel (3 890 FCFA) se situe dans la partie basse de la bande de Bollinger, entre la borne inférieure (3 766,78 FCFA) et la borne supérieure (4 140,72 FCFA), mais plus proche de la borne basse. Cette position suggère que le titre est légèrement survendu à court terme, sans toutefois atteindre le seuil d'une survente extrême. La largeur des bandes (environ 374 FCFA) reflète une volatilité modérée. La décision technique est **Neutre**, le cours n'étant ni en zone d'achat agressive (proche de la borne inférieure) ni en zone de vente agressive (proche de la borne supérieure).</w:t>
      </w:r>
    </w:p>
    <w:p>
      <w:pPr>
        <w:spacing w:after="120" w:line="276" w:lineRule="auto"/>
      </w:pPr>
      <w:r>
        <w:t>**MACD** : Le MACD (-50,833) est légèrement au-dessus de sa ligne de signal (-53,032), ce qui constitue un croisement haussier — bien que les deux valeurs restent en territoire négatif. Ce croisement suggère un ralentissement de la dynamique baissière et un possible début de retournement à la hausse. Le momentum reste toutefois fragile, car les deux lignes sont encore profondément négatives. La décision technique qui en résulte est **Achat**, mais avec une confiance modérée, ce signal étant précoce et non confirmé par les autres indicateurs.</w:t>
      </w:r>
    </w:p>
    <w:p>
      <w:pPr>
        <w:spacing w:after="120" w:line="276" w:lineRule="auto"/>
      </w:pPr>
      <w:r>
        <w:t>**RSI** : Le RSI s'établit à 38,462, ce qui le place en zone neutre basse (entre 30 et 70), sans atteindre le seuil de survente (&lt;30). Cette valeur indique que le titre n'est pas encore techniquement "bon marché" malgré la baisse récente, et qu'il pourrait encore baisser avant de trouver un support solide. La décision technique est **Neutre**, le RSI n'offrant pas de signal directionnel fort.</w:t>
      </w:r>
    </w:p>
    <w:p>
      <w:pPr>
        <w:spacing w:after="120" w:line="276" w:lineRule="auto"/>
      </w:pPr>
      <w:r>
        <w:t>**Stochastique** : Le %K (48,101) est légèrement en dessous du %D (51,034), ce qui constitue un croisement baissier — bien que les deux valeurs soient proches de la zone médiane (50). Ce croisement suggère une pression vendeuse à court terme, mais sans excès. La décision technique est **Neutre**, le stochastique n'indiquant ni surachat ni survente, et le croisement étant trop faible pour être significatif.</w:t>
      </w:r>
    </w:p>
    <w:p>
      <w:pPr>
        <w:spacing w:after="120" w:line="276" w:lineRule="auto"/>
      </w:pPr>
      <w:r>
        <w:t>**Conclusion technique** : Les indicateurs techniques sont majoritairement neutres à baissiers, avec un seul signal d'achat (MACD) qui reste fragile et non confirmé. Le cours évolue sous ses moyennes mobiles, dans la partie basse des bandes de Bollinger, avec un RSI et un stochastique en zone neutre. La configuration globale suggère une phase de consolidation baissière, sans signal fort d'achat ou de vente. Les investisseurs techniques attendront probablement une confirmation (cassure de la MM20 à la hausse ou RSI &lt;30) avant d'agir.</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LNBB a réalisé un chiffre d'affaires de 98,598 Mds FCFA, en baisse de -3,85% par rapport à 2024 (102,544 Mds FCFA), sous l'effet d'une concurrence illégale accrue. Le résultat net s'établit à 4,622 Mds FCFA, en recul de -35,6% par rapport à 2024 (7,176 Mds FCFA), principalement en raison de l'absence de produits exceptionnels significatifs en 2025 (contre 3,1 Mds FCFA en 2024). Malgré cette baisse, les fondamentaux opérationnels restent solides : la Valeur Ajoutée progresse de +22% à 10,548 Mds FCFA, et l'EBE augmente de +34% à 7,164 Mds FCFA, témoignant d'une excellente maîtrise des charges. Le ROE de 21,05% et le ROA de 14,17% confirment la rentabilité élevée de la société, bien qu'en retrait par rapport à 2024. La structure financière est très saine : autonomie financière de 67,32%, ratio d'endettement de seulement 2,57%, et trésorerie nette positive de 7,979 Mds FCFA. Le BFR est négatif (217,45 M FCFA), ce qui est favorable, et les délais clients (4,82 jours) et fournisseurs (20,41 jours) sont bien maîtrisés.</w:t>
      </w:r>
    </w:p>
    <w:p>
      <w:pPr>
        <w:spacing w:after="120" w:line="276" w:lineRule="auto"/>
      </w:pPr>
      <w:r>
        <w:t>**Estimations basées sur les rapports trimestriels** : Le rapport du S1 2026 (publié le 30 juillet 2026) indique un chiffre d'affaires de 49,937 Mds FCFA, en hausse de +4% par rapport au S1 2025, et un résultat net en progression de +60%, grâce à la maîtrise des charges et aux revenus de partenariats. Toutefois, le Produit Brut des Jeux (PBJ) recule de -9%, signalant une pression sur la marge brute. Le rapport du T1 2026 (publié le 7 mai 2026) montre un résultat net de 848 M FCFA, en chute de -46% par rapport au T1 2025 (1,574 Mds FCFA), en raison d'un mix produit défavorable (pari sportif à 95% de taux de retour). Sur la base de ces éléments, on estime que l'exercice 2026 devrait afficher une croissance du CA de l'ordre de +4% à +6%, mais une rentabilité nette encore sous pression, avec un résultat net annuel estimé entre 4,5 et 5,5 Mds FCFA, soit un BPA compris entre 225 et 275 FCFA. La politique de dividende reste très généreuse, avec un dividende brut de 173 FCFA/action proposé pour 2025 (rendement de 4,45% au cours actuel), et un taux de distribution d'environ 80%.</w:t>
      </w:r>
    </w:p>
    <w:p>
      <w:pPr>
        <w:spacing w:after="120" w:line="276" w:lineRule="auto"/>
      </w:pPr>
      <w:r>
        <w:t>**Recommandation fondamentale** : LNBB présente une solidité financière remarquable (autonomie financière, trésorerie nette positive, faible endettement) et une rentabilité opérationnelle en amélioration (EBE +34%, VA +22%). Cependant, la pression sur les marges (PBJ -9%, résultat net -36% en 2025) et la dépendance croissante au pari sportif à faible marge constituent des risques majeurs. Les perspectives 2026 sont mitigées : la croissance du CA devrait se poursuivre, mais la rentabilité nette pourrait rester déprimée. La valorisation actuelle (PER 16,8x) intègre déjà une bonne partie du potentiel de redressement, ce qui limite le potentiel d'appréciation à court terme. La recommandation fondamentale est **CONSERVER**, avec un biais positif à moyen terme si les nouveaux produits à forte marge (loto 5/90, tickets à gratter) et les partenariats B2B portent leurs fruits.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**Valorisation (Partie 0)** : les ratios PER (16,8x), P/B (3,54x) et EV/EBITDA (9,8x) indiquent une valorisation modérée à légèrement tendue, sans sous-évaluation flagrante mais sans bulle spéculative non plus. **Comportement du cours (Partie 1)** : la tendance est stable à légèrement baissière (-0,26% sur 100 jours), avec une volatilité élevée (41,3%) mais une distribution symétrique et sans risque de pics extrêmes (kurtosis -0,78), ce qui est rassurant pour la stabilité. **Signaux techniques (Partie 2)** : les indicateurs sont majoritairement neutres à baissiers (cours sous MM20 et MM50, RSI à 38,46, stochastique en zone médiane), avec un seul signal d'achat fragile (MACD). **Fondamentaux (Partie 3)** : la société affiche une solidité financière exceptionnelle (autonomie financière 67,32%, trésorerie nette 7,98 Mds FCFA) et une rentabilité opérationnelle en amélioration (EBE +34%), mais la rentabilité nette est sous pression (résultat net -36% en 2025, -46% au T1 2026). Les perspectives 2026 sont mitigées, avec une croissance du CA attendue mais une marge nette encore déprimée. **Prédictions IA (J+1 à J+10)** : la trajectoire prédite est légèrement haussière, passant de 3 915 FCFA à 3 923 FCFA, ce qui confirme une stabilisation du cours à court terme, sans dynamique forte. Sur la base de cette synthèse, la recommandation finale est **CONSERVER**, avec un niveau de confiance **Moyen** et un niveau de risque **Moyen**. En effet, la convergence entre la valorisation correcte, les fondamentaux solides mais sous pression, et les signaux techniques neutres ne justifie ni un achat agressif ni une vente. L'horizon d'investissement optimal est le **moyen terme (3-12 mois)**, en attendant la confirmation de l'amélioration des marges au S2 2026 et la concrétisation des initiatives stratégiques (déploiement de 1 500 terminaux, nouveaux produits). Les investisseurs déjà positionnés peuvent conserver leurs titres pour bénéficier du dividende attractif (rendement ~4,45%) et d'un potentiel de redressement progressif.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2,482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+10.55%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12.41% (Moyenne) — μ=2,311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β=0.0396 (Défensif) — Cov=0.000003, Var(idx)=0.000073,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σ_j=3.32%/j (Modérée) — Vol. annualisée≈52.8%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2,053</w:t>
            </w:r>
          </w:p>
        </w:tc>
        <w:tc>
          <w:tcPr>
            <w:tcW w:type="dxa" w:w="1440"/>
            <w:shd w:fill="FAFAFA" w:val="clear"/>
          </w:tcPr>
          <w:p>
            <w:r>
              <w:rPr>
                <w:b/>
                <w:sz w:val="17"/>
              </w:rPr>
              <w:t>2,188</w:t>
            </w:r>
          </w:p>
        </w:tc>
        <w:tc>
          <w:tcPr>
            <w:tcW w:type="dxa" w:w="1440"/>
            <w:shd w:fill="FAFAFA" w:val="clear"/>
          </w:tcPr>
          <w:p>
            <w:r>
              <w:rPr>
                <w:sz w:val="17"/>
              </w:rPr>
              <w:t>2,322</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1,984</w:t>
            </w:r>
          </w:p>
        </w:tc>
        <w:tc>
          <w:tcPr>
            <w:tcW w:type="dxa" w:w="1440"/>
            <w:shd w:fill="FAFAFA" w:val="clear"/>
          </w:tcPr>
          <w:p>
            <w:r>
              <w:rPr>
                <w:b/>
                <w:sz w:val="17"/>
              </w:rPr>
              <w:t>2,173</w:t>
            </w:r>
          </w:p>
        </w:tc>
        <w:tc>
          <w:tcPr>
            <w:tcW w:type="dxa" w:w="1440"/>
            <w:shd w:fill="FAFAFA" w:val="clear"/>
          </w:tcPr>
          <w:p>
            <w:r>
              <w:rPr>
                <w:sz w:val="17"/>
              </w:rPr>
              <w:t>2,362</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1,930</w:t>
            </w:r>
          </w:p>
        </w:tc>
        <w:tc>
          <w:tcPr>
            <w:tcW w:type="dxa" w:w="1440"/>
            <w:shd w:fill="FAFAFA" w:val="clear"/>
          </w:tcPr>
          <w:p>
            <w:r>
              <w:rPr>
                <w:b/>
                <w:sz w:val="17"/>
              </w:rPr>
              <w:t>2,160</w:t>
            </w:r>
          </w:p>
        </w:tc>
        <w:tc>
          <w:tcPr>
            <w:tcW w:type="dxa" w:w="1440"/>
            <w:shd w:fill="FAFAFA" w:val="clear"/>
          </w:tcPr>
          <w:p>
            <w:r>
              <w:rPr>
                <w:sz w:val="17"/>
              </w:rPr>
              <w:t>2,390</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1,883</w:t>
            </w:r>
          </w:p>
        </w:tc>
        <w:tc>
          <w:tcPr>
            <w:tcW w:type="dxa" w:w="1440"/>
            <w:shd w:fill="FFDCE0" w:val="clear"/>
          </w:tcPr>
          <w:p>
            <w:r>
              <w:rPr>
                <w:b/>
                <w:sz w:val="17"/>
              </w:rPr>
              <w:t>2,147</w:t>
            </w:r>
          </w:p>
        </w:tc>
        <w:tc>
          <w:tcPr>
            <w:tcW w:type="dxa" w:w="1440"/>
            <w:shd w:fill="FFDCE0" w:val="clear"/>
          </w:tcPr>
          <w:p>
            <w:r>
              <w:rPr>
                <w:sz w:val="17"/>
              </w:rPr>
              <w:t>2,411</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1,842</w:t>
            </w:r>
          </w:p>
        </w:tc>
        <w:tc>
          <w:tcPr>
            <w:tcW w:type="dxa" w:w="1440"/>
            <w:shd w:fill="FFDCE0" w:val="clear"/>
          </w:tcPr>
          <w:p>
            <w:r>
              <w:rPr>
                <w:b/>
                <w:sz w:val="17"/>
              </w:rPr>
              <w:t>2,135</w:t>
            </w:r>
          </w:p>
        </w:tc>
        <w:tc>
          <w:tcPr>
            <w:tcW w:type="dxa" w:w="1440"/>
            <w:shd w:fill="FFDCE0" w:val="clear"/>
          </w:tcPr>
          <w:p>
            <w:r>
              <w:rPr>
                <w:sz w:val="17"/>
              </w:rPr>
              <w:t>2,429</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1,804</w:t>
            </w:r>
          </w:p>
        </w:tc>
        <w:tc>
          <w:tcPr>
            <w:tcW w:type="dxa" w:w="1440"/>
            <w:shd w:fill="FFDCE0" w:val="clear"/>
          </w:tcPr>
          <w:p>
            <w:r>
              <w:rPr>
                <w:b/>
                <w:sz w:val="17"/>
              </w:rPr>
              <w:t>2,123</w:t>
            </w:r>
          </w:p>
        </w:tc>
        <w:tc>
          <w:tcPr>
            <w:tcW w:type="dxa" w:w="1440"/>
            <w:shd w:fill="FFDCE0" w:val="clear"/>
          </w:tcPr>
          <w:p>
            <w:r>
              <w:rPr>
                <w:sz w:val="17"/>
              </w:rPr>
              <w:t>2,443</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1,769</w:t>
            </w:r>
          </w:p>
        </w:tc>
        <w:tc>
          <w:tcPr>
            <w:tcW w:type="dxa" w:w="1440"/>
            <w:shd w:fill="FFDCE0" w:val="clear"/>
          </w:tcPr>
          <w:p>
            <w:r>
              <w:rPr>
                <w:b/>
                <w:sz w:val="17"/>
              </w:rPr>
              <w:t>2,112</w:t>
            </w:r>
          </w:p>
        </w:tc>
        <w:tc>
          <w:tcPr>
            <w:tcW w:type="dxa" w:w="1440"/>
            <w:shd w:fill="FFDCE0" w:val="clear"/>
          </w:tcPr>
          <w:p>
            <w:r>
              <w:rPr>
                <w:sz w:val="17"/>
              </w:rPr>
              <w:t>2,456</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1,736</w:t>
            </w:r>
          </w:p>
        </w:tc>
        <w:tc>
          <w:tcPr>
            <w:tcW w:type="dxa" w:w="1440"/>
            <w:shd w:fill="FFDCE0" w:val="clear"/>
          </w:tcPr>
          <w:p>
            <w:r>
              <w:rPr>
                <w:b/>
                <w:sz w:val="17"/>
              </w:rPr>
              <w:t>2,102</w:t>
            </w:r>
          </w:p>
        </w:tc>
        <w:tc>
          <w:tcPr>
            <w:tcW w:type="dxa" w:w="1440"/>
            <w:shd w:fill="FFDCE0" w:val="clear"/>
          </w:tcPr>
          <w:p>
            <w:r>
              <w:rPr>
                <w:sz w:val="17"/>
              </w:rPr>
              <w:t>2,467</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1,706</w:t>
            </w:r>
          </w:p>
        </w:tc>
        <w:tc>
          <w:tcPr>
            <w:tcW w:type="dxa" w:w="1440"/>
            <w:shd w:fill="FFDCE0" w:val="clear"/>
          </w:tcPr>
          <w:p>
            <w:r>
              <w:rPr>
                <w:b/>
                <w:sz w:val="17"/>
              </w:rPr>
              <w:t>2,091</w:t>
            </w:r>
          </w:p>
        </w:tc>
        <w:tc>
          <w:tcPr>
            <w:tcW w:type="dxa" w:w="1440"/>
            <w:shd w:fill="FFDCE0" w:val="clear"/>
          </w:tcPr>
          <w:p>
            <w:r>
              <w:rPr>
                <w:sz w:val="17"/>
              </w:rPr>
              <w:t>2,477</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1,677</w:t>
            </w:r>
          </w:p>
        </w:tc>
        <w:tc>
          <w:tcPr>
            <w:tcW w:type="dxa" w:w="1440"/>
            <w:shd w:fill="FFDCE0" w:val="clear"/>
          </w:tcPr>
          <w:p>
            <w:r>
              <w:rPr>
                <w:b/>
                <w:sz w:val="17"/>
              </w:rPr>
              <w:t>2,082</w:t>
            </w:r>
          </w:p>
        </w:tc>
        <w:tc>
          <w:tcPr>
            <w:tcW w:type="dxa" w:w="1440"/>
            <w:shd w:fill="FFDCE0" w:val="clear"/>
          </w:tcPr>
          <w:p>
            <w:r>
              <w:rPr>
                <w:sz w:val="17"/>
              </w:rPr>
              <w:t>2,486</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28,08 milliards FCFA, NEIC se positionne comme une valeur de taille moyenne sur le compartiment des sociétés non-financières de la BRVM, ce qui reste modeste à l'échelle régionale mais cohérent avec la taille de son activité (CA 2025 de 5,139 Mds FCFA). Le BPA de 160 FCFA/action signifie que chaque titre génère 160 FCFA de bénéfice net, ce qui, rapporté au cours actuel de 2 200 FCFA, donne un PER de 13,8x — légèrement supérieur à la moyenne BRVM (8-12x), traduisant une valorisation modérée mais non excessive au regard de la croissance récente des résultats. Le P/B de 4,88x constitue en revanche un signal d'alerte : le marché valorise l'entreprise près de 5 fois sa valeur comptable, une prime très élevée qui suppose une confiance forte dans la pérennité des bénéfices futurs. Enfin, l'EV/EBITDA de 20,4x (très supérieur au seuil de 15x) confirme que la valeur d'entreprise intègre une anticipation de croissance opérationnelle soutenue, ce qui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progression totale de +10,55%, malgré un repli de -1,12% lors de la dernière séance, signalant une dynamique haussière de fond mais un essoufflement récent. Le cours a évolué dans un range large de 1 900 FCFA (plus bas) à 3 000 FCFA (plus haut), soit une amplitude de 57,9%, ce qui témoigne d'une forte nervosité du titre. Le cours actuel de 2 200 FCFA se situe donc dans la moitié inférieure de ce range, suggérant une correction après le pic de 3 000 FCFA. Les statistiques descriptives révèlent une moyenne (2 311 FCFA) supérieure à la médiane (2 272 FCFA), avec un mode à 1 990 FCFA : cet écart indique une distribution asymétrique où les cours élevés tirent la moyenne vers le haut, tandis que la fréquence la plus élevée se situe à des niveaux plus bas. L'écart-type de 288 FCFA (CV = 12,5%) traduit une dispersion modérée autour de la moyenne, mais la volatilité annualisée de 52,8% classe le titre dans la catégorie **très volatile** (&gt;30%), ce qui implique un risque de marché élevé. Le kurtosis de 0,389 (mésokurtique) indique une distribution proche de la normale, sans risque extrême de pics, tandis que le skewness de 0,954 (asymétrie positive) confirme que les journées sous la moyenne sont plus fréquentes, mais compensées par des hausses ponctuelles fortes — un profil typique de titre spéculatif en phase de correction.</w:t>
      </w:r>
    </w:p>
    <w:p>
      <w:pPr>
        <w:spacing w:after="120" w:line="276" w:lineRule="auto"/>
      </w:pPr>
      <w:r>
        <w:t>---</w:t>
      </w:r>
    </w:p>
    <w:p>
      <w:pPr>
        <w:spacing w:after="120" w:line="276" w:lineRule="auto"/>
      </w:pPr>
      <w:r>
        <w:t>## PARTIE 2 : ANALYSE TECHNIQUE DÉTAILLÉE</w:t>
      </w:r>
    </w:p>
    <w:p>
      <w:pPr>
        <w:spacing w:after="120" w:line="276" w:lineRule="auto"/>
      </w:pPr>
      <w:r>
        <w:t>**Moyennes Mobiles** : La MM20 (2 470,5 FCFA) et la MM50 (2 480,6 FCFA) sont toutes deux nettement supérieures au cours actuel (2 200 FCFA), et leur quasi-superposition indique une absence de tendance directionnelle claire sur moyen terme. Le cours évoluant sous ses deux moyennes, la décision technique est logiquement **Vente**, signalant une pression baissière persistante.</w:t>
      </w:r>
    </w:p>
    <w:p>
      <w:pPr>
        <w:spacing w:after="120" w:line="276" w:lineRule="auto"/>
      </w:pPr>
      <w:r>
        <w:t>**Bandes de Bollinger** : La borne supérieure se situe à 2 900,85 FCFA et la borne inférieure à 2 040,15 FCFA, avec un cours actuel de 2 200 FCFA positionné dans la moitié basse du canal. Cette position, sans franchissement de la borne inférieure, justifie la décision **Neutre** : le titre n'est ni en survente extrême ni en surachat, mais la largeur des bandes confirme une volatilité élevée.</w:t>
      </w:r>
    </w:p>
    <w:p>
      <w:pPr>
        <w:spacing w:after="120" w:line="276" w:lineRule="auto"/>
      </w:pPr>
      <w:r>
        <w:t>**MACD** : La valeur du MACD (-103,05) est inférieure à son signal (-64,15), avec un histogramme négatif — configuration baissière classique. Le momentum est clairement négatif et la décision **Vente** est cohérente avec la pression vendeuse actuelle.</w:t>
      </w:r>
    </w:p>
    <w:p>
      <w:pPr>
        <w:spacing w:after="120" w:line="276" w:lineRule="auto"/>
      </w:pPr>
      <w:r>
        <w:t>**RSI** : À 14,38, le RSI est en zone de **survente extrême** (&lt;30), ce qui déclenche une décision **Achat** technique. Ce niveau suggère un rebond potentiel à court terme, mais dans un contexte de tendance baissière, il peut aussi signaler une faiblesse structurelle prolongée.</w:t>
      </w:r>
    </w:p>
    <w:p>
      <w:pPr>
        <w:spacing w:after="120" w:line="276" w:lineRule="auto"/>
      </w:pPr>
      <w:r>
        <w:t>**Stochastique** : Le %K et le %D sont tous deux à 0,0, indiquant une survente maximale et un possible retournement imminent. La décision **Achat** est cohérente avec le RSI, mais l'absence de croisement haussier confirmé invite à la prudence.</w:t>
      </w:r>
    </w:p>
    <w:p>
      <w:pPr>
        <w:spacing w:after="120" w:line="276" w:lineRule="auto"/>
      </w:pPr>
      <w:r>
        <w:t>**Conclusion technique** : Les indicateurs sont **divergents** : les moyennes mobiles et le MACD confirment une tendance baissière, tandis que le RSI et le stochastique signalent une survente extrême propice à un rebond technique. Cette configuration suggère un titre en phase de correction, avec un potentiel de rebond à court terme mais une tendance de fond encore fragile. La prudence est de mise tant que le cours ne repasse pas au-dessus de la MM20 (2 470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 affiche un chiffre d'affaires de 5,139 Mds FCFA, en **baisse de 23,8%** par rapport à l'exercice précédent, ce qui constitue un signal de ralentissement commercial préoccupant. Le résultat net s'établit à 2,037 Mds FCFA, avec une marge nette exceptionnelle de 39,6%, un ROE de 35,4% et un ROA de 27,3% — des niveaux de rentabilité excellents, mais à nuancer car ils intègrent des éléments non récurrents. En effet, le rapport du T3 2025 (daté du 30/09/2025) précise que le bénéfice net a été gonflé par une **reprise de provision pour redressement fiscal** de 1 596 M FCFA, sans laquelle la performance opérationnelle serait bien plus modeste. Le rapport du T1 2025 (31/03/2025) confirme cette fragilité : le CA s'était effondré à 48,5 M FCFA (-154%) avec une perte nette de -189,9 M FCFA, avant un redressement spectaculaire au T1 2026 (CA de 115,1 M FCFA, +137%, perte réduite à -168,9 M FCFA). **Adapté au secteur ENTREPRISE** : le BFR de 1,498 Mds FCFA est positif (défavorable), le délai client de 154,72 jours est très élevé (risque de trésorerie important), tandis que le délai fournisseur de 69,56 jours et la durée de stockage de 54,49 jours restent gérables. La structure financière est solide (autonomie financière de 77%, liquidité générale de 448%), mais le flux opérationnel négatif (-527 M FCFA) et le Free Cash Flow négatif (-565,9 M FCFA) en 2025 sont des signaux d'alerte. **Estimations basées sur les rapports trimestriels** : sur la base du T1 2026 (CA +137%) et du rapport annuel 2025 (CA +29% à 6,74 Mds FCFA selon le rapport 2), on peut estimer que l'exercice 2026 devrait confirmer la reprise commerciale, mais la rentabilité nette restera dépendante d'éléments exceptionnels. **Recommandation fondamentale** : la solidité du bilan et la reprise du CA sont positives, mais la qualité des bénéfices (non récurrents) et les flux de trésorerie négatifs incitent à la **prudence**.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**Valorisation (Partie 0)** : le PER de 13,8x est modéré, mais le P/B de 4,88x et l'EV/EBITDA de 20,4x indiquent une **surévaluation** relative, le marché intégrant déjà une forte croissance future. **Comportement du cours (Partie 1)** : la tendance haussière de +10,55% sur 100 jours est tempérée par une volatilité très élevée (52,8%) et une asymétrie positive (skewness 0,954) qui traduit une fragilité sous-jacente. **Signaux techniques (Partie 2)** : divergence entre les indicateurs baissiers (MM, MACD) et les signaux de survente (RSI 14,38, Stochastique 0,0) — un rebond technique est possible, mais la tendance de fond reste baissière. **Fondamentaux (Partie 3)** : la rentabilité 2025 (ROE 35,4%) est excellente mais artificiellement gonflée par des éléments non récurrents, tandis que la baisse du CA (-23,8%) et les flux de trésorerie négatifs constituent des risques majeurs. **Prédictions IA (J+1 à J+10)** : la trajectoire prévue (2 188 → 2 135 FCFA) confirme la pression baissière à court terme, en ligne avec les signaux techniques négatifs. **Recommandation finale : CONSERVER** — la convergence entre la surévaluation, la tendance baissière de fond et les risques fondamentaux (qualité des bénéfices, trésorerie) l'emporte sur le potentiel de rebond technique à court terme. Le niveau de confiance est **Moyen** (divergence des indicateurs) et le niveau de risque **Élevé** (volatilité 52,8%, dépendance aux éléments exceptionnels). L'horizon d'investissement optimal est **moyen terme (3-12 mois)**, en attendant la confirmation d'une reprise durable du chiffre d'affaires et d'une amélioration des flux de trésorerie opérationnels.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2,916 titres</w:t>
            </w:r>
          </w:p>
        </w:tc>
        <w:tc>
          <w:tcPr>
            <w:tcW w:type="dxa" w:w="2268"/>
            <w:shd w:fill="FFF2CC" w:val="clear"/>
          </w:tcPr>
          <w:p>
            <w:r>
              <w:rPr>
                <w:b/>
                <w:color w:val="503200"/>
                <w:sz w:val="16"/>
              </w:rPr>
              <w:t xml:space="preserve">Cours actuel : </w:t>
            </w:r>
            <w:r>
              <w:rPr>
                <w:color w:val="000000"/>
                <w:sz w:val="17"/>
              </w:rPr>
              <w:t>21,000 FCFA</w:t>
            </w:r>
          </w:p>
          <w:p>
            <w:r>
              <w:rPr>
                <w:b/>
                <w:color w:val="503200"/>
                <w:sz w:val="16"/>
              </w:rPr>
              <w:t xml:space="preserve">Var. 100 jours : </w:t>
            </w:r>
            <w:r>
              <w:rPr>
                <w:b/>
                <w:color w:val="007800"/>
                <w:sz w:val="17"/>
              </w:rPr>
              <w:t>+48.94%</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14,100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11.00% (Moyenne) — μ=21,376 FCFA, σ=2,351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β=1.3704 (Agressif) — Cov=0.000100, Var(idx)=0.000073, ρ=0.445,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19,787</w:t>
            </w:r>
          </w:p>
        </w:tc>
        <w:tc>
          <w:tcPr>
            <w:tcW w:type="dxa" w:w="1440"/>
            <w:shd w:fill="FAFAFA" w:val="clear"/>
          </w:tcPr>
          <w:p>
            <w:r>
              <w:rPr>
                <w:b/>
                <w:sz w:val="17"/>
              </w:rPr>
              <w:t>20,764</w:t>
            </w:r>
          </w:p>
        </w:tc>
        <w:tc>
          <w:tcPr>
            <w:tcW w:type="dxa" w:w="1440"/>
            <w:shd w:fill="FAFAFA" w:val="clear"/>
          </w:tcPr>
          <w:p>
            <w:r>
              <w:rPr>
                <w:sz w:val="17"/>
              </w:rPr>
              <w:t>21,741</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2026-10-09</w:t>
            </w:r>
          </w:p>
        </w:tc>
        <w:tc>
          <w:tcPr>
            <w:tcW w:type="dxa" w:w="1440"/>
            <w:shd w:fill="FFDCE0" w:val="clear"/>
          </w:tcPr>
          <w:p>
            <w:r>
              <w:rPr>
                <w:sz w:val="17"/>
              </w:rPr>
              <w:t>19,188</w:t>
            </w:r>
          </w:p>
        </w:tc>
        <w:tc>
          <w:tcPr>
            <w:tcW w:type="dxa" w:w="1440"/>
            <w:shd w:fill="FFDCE0" w:val="clear"/>
          </w:tcPr>
          <w:p>
            <w:r>
              <w:rPr>
                <w:b/>
                <w:sz w:val="17"/>
              </w:rPr>
              <w:t>20,555</w:t>
            </w:r>
          </w:p>
        </w:tc>
        <w:tc>
          <w:tcPr>
            <w:tcW w:type="dxa" w:w="1440"/>
            <w:shd w:fill="FFDCE0" w:val="clear"/>
          </w:tcPr>
          <w:p>
            <w:r>
              <w:rPr>
                <w:sz w:val="17"/>
              </w:rPr>
              <w:t>21,922</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18,683</w:t>
            </w:r>
          </w:p>
        </w:tc>
        <w:tc>
          <w:tcPr>
            <w:tcW w:type="dxa" w:w="1440"/>
            <w:shd w:fill="FFDCE0" w:val="clear"/>
          </w:tcPr>
          <w:p>
            <w:r>
              <w:rPr>
                <w:b/>
                <w:sz w:val="17"/>
              </w:rPr>
              <w:t>20,339</w:t>
            </w:r>
          </w:p>
        </w:tc>
        <w:tc>
          <w:tcPr>
            <w:tcW w:type="dxa" w:w="1440"/>
            <w:shd w:fill="FFDCE0" w:val="clear"/>
          </w:tcPr>
          <w:p>
            <w:r>
              <w:rPr>
                <w:sz w:val="17"/>
              </w:rPr>
              <w:t>21,996</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18,235</w:t>
            </w:r>
          </w:p>
        </w:tc>
        <w:tc>
          <w:tcPr>
            <w:tcW w:type="dxa" w:w="1440"/>
            <w:shd w:fill="FFDCE0" w:val="clear"/>
          </w:tcPr>
          <w:p>
            <w:r>
              <w:rPr>
                <w:b/>
                <w:sz w:val="17"/>
              </w:rPr>
              <w:t>20,128</w:t>
            </w:r>
          </w:p>
        </w:tc>
        <w:tc>
          <w:tcPr>
            <w:tcW w:type="dxa" w:w="1440"/>
            <w:shd w:fill="FFDCE0" w:val="clear"/>
          </w:tcPr>
          <w:p>
            <w:r>
              <w:rPr>
                <w:sz w:val="17"/>
              </w:rPr>
              <w:t>22,021</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17,824</w:t>
            </w:r>
          </w:p>
        </w:tc>
        <w:tc>
          <w:tcPr>
            <w:tcW w:type="dxa" w:w="1440"/>
            <w:shd w:fill="FFDCE0" w:val="clear"/>
          </w:tcPr>
          <w:p>
            <w:r>
              <w:rPr>
                <w:b/>
                <w:sz w:val="17"/>
              </w:rPr>
              <w:t>19,919</w:t>
            </w:r>
          </w:p>
        </w:tc>
        <w:tc>
          <w:tcPr>
            <w:tcW w:type="dxa" w:w="1440"/>
            <w:shd w:fill="FFDCE0" w:val="clear"/>
          </w:tcPr>
          <w:p>
            <w:r>
              <w:rPr>
                <w:sz w:val="17"/>
              </w:rPr>
              <w:t>22,014</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17,442</w:t>
            </w:r>
          </w:p>
        </w:tc>
        <w:tc>
          <w:tcPr>
            <w:tcW w:type="dxa" w:w="1440"/>
            <w:shd w:fill="FFDCE0" w:val="clear"/>
          </w:tcPr>
          <w:p>
            <w:r>
              <w:rPr>
                <w:b/>
                <w:sz w:val="17"/>
              </w:rPr>
              <w:t>19,713</w:t>
            </w:r>
          </w:p>
        </w:tc>
        <w:tc>
          <w:tcPr>
            <w:tcW w:type="dxa" w:w="1440"/>
            <w:shd w:fill="FFDCE0" w:val="clear"/>
          </w:tcPr>
          <w:p>
            <w:r>
              <w:rPr>
                <w:sz w:val="17"/>
              </w:rPr>
              <w:t>21,984</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17,081</w:t>
            </w:r>
          </w:p>
        </w:tc>
        <w:tc>
          <w:tcPr>
            <w:tcW w:type="dxa" w:w="1440"/>
            <w:shd w:fill="FFDCE0" w:val="clear"/>
          </w:tcPr>
          <w:p>
            <w:r>
              <w:rPr>
                <w:b/>
                <w:sz w:val="17"/>
              </w:rPr>
              <w:t>19,509</w:t>
            </w:r>
          </w:p>
        </w:tc>
        <w:tc>
          <w:tcPr>
            <w:tcW w:type="dxa" w:w="1440"/>
            <w:shd w:fill="FFDCE0" w:val="clear"/>
          </w:tcPr>
          <w:p>
            <w:r>
              <w:rPr>
                <w:sz w:val="17"/>
              </w:rPr>
              <w:t>21,937</w:t>
            </w:r>
          </w:p>
        </w:tc>
        <w:tc>
          <w:tcPr>
            <w:tcW w:type="dxa" w:w="1440"/>
            <w:shd w:fill="FFDCE0" w:val="clear"/>
          </w:tcPr>
          <w:p>
            <w:r>
              <w:rPr>
                <w:b/>
                <w:color w:val="C00000"/>
                <w:sz w:val="17"/>
              </w:rPr>
              <w:t>-7.1%</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16,739</w:t>
            </w:r>
          </w:p>
        </w:tc>
        <w:tc>
          <w:tcPr>
            <w:tcW w:type="dxa" w:w="1440"/>
            <w:shd w:fill="FFDCE0" w:val="clear"/>
          </w:tcPr>
          <w:p>
            <w:r>
              <w:rPr>
                <w:b/>
                <w:sz w:val="17"/>
              </w:rPr>
              <w:t>19,307</w:t>
            </w:r>
          </w:p>
        </w:tc>
        <w:tc>
          <w:tcPr>
            <w:tcW w:type="dxa" w:w="1440"/>
            <w:shd w:fill="FFDCE0" w:val="clear"/>
          </w:tcPr>
          <w:p>
            <w:r>
              <w:rPr>
                <w:sz w:val="17"/>
              </w:rPr>
              <w:t>21,876</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16,412</w:t>
            </w:r>
          </w:p>
        </w:tc>
        <w:tc>
          <w:tcPr>
            <w:tcW w:type="dxa" w:w="1440"/>
            <w:shd w:fill="FFDCE0" w:val="clear"/>
          </w:tcPr>
          <w:p>
            <w:r>
              <w:rPr>
                <w:b/>
                <w:sz w:val="17"/>
              </w:rPr>
              <w:t>19,108</w:t>
            </w:r>
          </w:p>
        </w:tc>
        <w:tc>
          <w:tcPr>
            <w:tcW w:type="dxa" w:w="1440"/>
            <w:shd w:fill="FFDCE0" w:val="clear"/>
          </w:tcPr>
          <w:p>
            <w:r>
              <w:rPr>
                <w:sz w:val="17"/>
              </w:rPr>
              <w:t>21,804</w:t>
            </w:r>
          </w:p>
        </w:tc>
        <w:tc>
          <w:tcPr>
            <w:tcW w:type="dxa" w:w="1440"/>
            <w:shd w:fill="FFDCE0" w:val="clear"/>
          </w:tcPr>
          <w:p>
            <w:r>
              <w:rPr>
                <w:b/>
                <w:color w:val="C00000"/>
                <w:sz w:val="17"/>
              </w:rPr>
              <w:t>-9.0%</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16,098</w:t>
            </w:r>
          </w:p>
        </w:tc>
        <w:tc>
          <w:tcPr>
            <w:tcW w:type="dxa" w:w="1440"/>
            <w:shd w:fill="FFDCE0" w:val="clear"/>
          </w:tcPr>
          <w:p>
            <w:r>
              <w:rPr>
                <w:b/>
                <w:sz w:val="17"/>
              </w:rPr>
              <w:t>18,910</w:t>
            </w:r>
          </w:p>
        </w:tc>
        <w:tc>
          <w:tcPr>
            <w:tcW w:type="dxa" w:w="1440"/>
            <w:shd w:fill="FFDCE0" w:val="clear"/>
          </w:tcPr>
          <w:p>
            <w:r>
              <w:rPr>
                <w:sz w:val="17"/>
              </w:rPr>
              <w:t>21,723</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 RAPPORT D'ANALYSE FINANCIÈRE — NSBC (NSIA Banque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**519,43 Mds FCFA**, NSBC s'impose comme l'une des valeurs bancaires majeures de la cote BRVM, reflétant la solidité d'un établissement dont le total bilan atteint 3 073 Mds FCFA. Le **BPA de 1 646 FCFA/action** traduit une rentabilité nette par titre robuste, cohérente avec un résultat net de 40,7 Mds FCFA en 2025. Le **PER de 12,8x** situe le titre légèrement au-dessus de la moyenne BRVM (~8-12x), mais reste modéré au regard de la croissance des bénéfices (+7% en 2025, +53% au T1 2026), ce qui suggère une valorisation raisonnable plutôt qu'une surévaluation. Le **P/B de 2,23x** indique que le marché valorise la banque à plus du double de ses fonds propres comptables (233,3 Mds FCFA), une prime de croissance justifiée par un **ROE de 17,45%** nettement supérieur au coût des fonds propres. En revanche, l'**EV/EBITDA de 20,5x** apparaît très exigeant (&gt;15x), signalant que la valeur d'entreprise intègre déjà une bonne partie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affiche une **variation totale de +48,94%**, une performance remarquable qui contraste avec une séance J-1 stable (+0,00%), le cours clôturant à **21 000 FCFA**. Le range de trading est large, avec un **plus haut à 24 885 FCFA** et un **plus bas à 14 100 FCFA**, soit un écart de plus de 76% entre les extrêmes — témoignant d'une dynamique haussière puissante mais entrecoupée de corrections. La tendance générale est donc nettement haussière sur la période, portée par les excellents résultats publiés (T1 2026 : résultat net +53%). Les statistiques descriptives révèlent une **moyenne de 21 376 FCFA** légèrement inférieure à la **médiane de 22 000 FCFA**, avec un **mode à 23 000 FCFA** : cet écart indique une distribution asymétrique où le cours a passé plus de temps dans les niveaux élevés, mais a été tiré vers le bas par des journées de correction. L'**écart-type de 2 363 FCFA (CV=11,1%)** traduit une dispersion modérée autour de la moyenne, tandis que le **kurtosis de -0,111 (mésokurtique)** suggère une distribution proche de la normale, sans risque excessif de pics extrêmes. Le **skewness de -0,697** confirme une asymétrie négative : les investisseurs ont connu plus de journées au-dessus de la moyenne, mais les corrections ont été plus violentes que les hausses. Enfin, la **volatilité annualisée de 42,3%**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(22 888 FCFA)** et la **MM50 (23 129,8 FCFA)** se situent toutes deux au-dessus du cours actuel (21 000 FCFA), avec une MM20 inférieure à la MM50 — configuration baissière de court terme. Le cours évoluant sous ses deux moyennes, la pression vendeuse domine, ce qui justifie la **décision de Vente** émise par cet indicateur.</w:t>
      </w:r>
    </w:p>
    <w:p>
      <w:pPr>
        <w:spacing w:after="120" w:line="276" w:lineRule="auto"/>
      </w:pPr>
      <w:r>
        <w:t>**Bandes de Bollinger** : Le cours (21 000 FCFA) se situe dans la moitié inférieure de la bande, entre la **borne inférieure (20 108 FCFA)** et la **borne supérieure (25 668 FCFA)**. Cette position proche de la borne basse, sans franchissement, indique une volatilité contenue et un potentiel de rebond technique. La **décision Neutre** reflète l'absence de signal directionnel fort, le cours n'étant ni en surachat ni en survente extrême.</w:t>
      </w:r>
    </w:p>
    <w:p>
      <w:pPr>
        <w:spacing w:after="120" w:line="276" w:lineRule="auto"/>
      </w:pPr>
      <w:r>
        <w:t>**MACD** : La **valeur du MACD (-548,44)** est inférieure à son **signal (-325,16)**, confirmant un momentum baissier persistant. Cette divergence négative indique que la pression vendeuse reste dominante à court terme, bien que l'écart entre les deux lignes se réduise légèrement — un signe précurseur possible d'un retournement. La **décision de Vente** est cohérente avec cette configuration.</w:t>
      </w:r>
    </w:p>
    <w:p>
      <w:pPr>
        <w:spacing w:after="120" w:line="276" w:lineRule="auto"/>
      </w:pPr>
      <w:r>
        <w:t>**RSI** : À **28,34**, le RSI se situe en zone de **survente** (seuil &lt;30), signalant que le titre a été excessivement vendu et qu'un rebond technique est probable. Cette lecture justifie la **décision d'Achat** émise par l'indicateur, bien que la prudence reste de mise tant que le RSI n'amorce pas de retournement franc au-dessus de 30.</w:t>
      </w:r>
    </w:p>
    <w:p>
      <w:pPr>
        <w:spacing w:after="120" w:line="276" w:lineRule="auto"/>
      </w:pPr>
      <w:r>
        <w:t>**Stochastique** : Le **%K (5,01)** est très bas et inférieur au **%D (14,95)**, confirmant une situation de survente extrême. Un croisement haussier du %K au-dessus du %D serait un signal d'achat technique, mais en l'état, la **décision d'Achat** repose sur l'anticipation d'un rebond imminent, sans confirmation encore établie.</w:t>
      </w:r>
    </w:p>
    <w:p>
      <w:pPr>
        <w:spacing w:after="120" w:line="276" w:lineRule="auto"/>
      </w:pPr>
      <w:r>
        <w:t>**Conclusion technique** : Les indicateurs présentent une **divergence notable** : les moyennes mobiles et le MACD émettent des signaux baissiers (cours sous MM20/MM50, MACD négatif), tandis que le RSI et le stochastique signalent une survente propice à un rebond. Les Bandes de Bollinger restent neutres. Cette configuration suggère que le titre se trouve dans une **phase de correction au sein d'une tendance haussière plus large**, avec un potentiel de rebond technique à court terme, mais sans confirmation d'un retournement durable tant que le cours ne repasse pas au-dessus de la MM20 (22 888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NSIA Banque Côte d'Ivoire affiche un **Produit Net Bancaire (PNB) de 112,928 Mds FCFA**, en croissance de **+15,45%** par rapport à 2024 (97,8 Mds FCFA), confirmant une dynamique commerciale soutenue. Le **résultat net s'établit à 40,712 Mds FCFA**, en hausse de +7%, avec une **marge nette de 36,05%** — un niveau élevé qui témoigne d'une excellente transformation du PNB en profit. Le **ROE de 17,45%** (résultat net / capitaux propres de 233,3 Mds FCFA) dépasse le seuil de 15% considéré comme excellent, tandis que le **ROA de 1,32%** reste dans la norme bancaire. Le **coefficient d'exploitation de 54,59%** (&lt;60%) confirme l'efficacité opérationnelle de la banque, avec une amélioration de 5,1 points selon le rapport annuel 2025 (daté du 31/12/2025). Le **coût du risque de 7,54%** (provisions / charges financières) est un point de vigilance : le rapport annuel 2025 (analysé le 13/05/2026) indique une dégradation du coût net du risque, passé de +0,6 Md FCFA (reprise) en 2024 à **-8,5 Mds FCFA (dotation)** en 2025, pesant sur le résultat net malgré la forte croissance du RBE (+30%). La structure financière montre une **autonomie financière de 7,59%** (capitaux propres / total bilan), inférieure au seuil de 30% mais typique du modèle bancaire, et un **ratio d'endettement de 227,9%**, reflétant la dépendance aux dépôts clientèle (2 242 Mds FCFA) comme principale ressource.</w:t>
      </w:r>
    </w:p>
    <w:p>
      <w:pPr>
        <w:spacing w:after="120" w:line="276" w:lineRule="auto"/>
      </w:pPr>
      <w:r>
        <w:t>**Estimations basées sur les rapports trimestriels** : Le **rapport T1 2026 (daté du 31/03/2026, analysé le 01/05/2026)** révèle une **accélération spectaculaire** : PNB de 28,615 Mds FCFA (+28% sur un an), résultat net de 10,912 Mds FCFA (+53%), et marge nette de 38,1% (contre 31,9% au T1 2025). Cette performance est principalement tirée par l'activité titres, avec une maîtrise du coût du risque. Sur cette base, on peut **estimer** que l'exercice 2026 devrait afficher une croissance du PNB supérieure à 20% et un résultat net en progression de 30-40%, sous réserve que la tendance se maintienne. Le **rapport T3 2025 (daté du 30/09/2025)** confirmait déjà cette dynamique avec un PNB de 77,4 Mds FCFA (+7%) et un résultat net de 25,0 Mds FCFA (+6%), tandis que le **rapport S1 2025 (daté du 30/06/2025)** montrait une amélioration du coefficient d'exploitation à 56,9% (contre 59,9%). L'évolution temporelle des indicateurs (T1 2025 : +2,5% de PNB ; S1 2025 : +10,6% ; T3 2025 : +7% ; T1 2026 : +28%) témoigne d'une **accélération progressive de la croissance**, portée par la marge d'intérêts et l'activité titres.</w:t>
      </w:r>
    </w:p>
    <w:p>
      <w:pPr>
        <w:spacing w:after="120" w:line="276" w:lineRule="auto"/>
      </w:pPr>
      <w:r>
        <w:t>**Recommandation fondamentale** : NSBC présente des **fondamentaux solides** avec une croissance robuste, une rentabilité élevée (ROE &gt;17%) et une efficacité opérationnelle confirmée. Les **risques principaux** résident dans la dégradation du coût du risque en 2025 (-8,5 Mds FCFA) et la concentration de la performance sur l'activité titres, potentiellement volatile. La **recommandation fondamentale est CONSERVER**, avec un biais positif, en attendant la confirmation de la tendance au T2 2026 et des précisions sur la politique de dividende (non communiquée dans les rapports disponibles).</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apparaît **raisonnable** avec un PER de 12,8x légèrement supérieur à la moyenne BRVM mais justifié par la croissance, un P/B de 2,23x reflétant une prime de croissance, et un EV/EBITDA de 20,5x exigeant. Le comportement du cours (Partie 1) est **haussier sur 100 jours (+48,94%)** mais avec une volatilité élevée (42,3%) et une asymétrie négative (skewness -0,697), indiquant des corrections violentes malgré une tendance de fond positive. Les signaux techniques (Partie 2) sont **mitigés** : baissiers pour les MM et le MACD, mais haussiers pour le RSI (28,34, survente) et le stochastique (5,01, survente extrême), suggérant un rebond technique imminent sans confirmation durable. Les fondamentaux (Partie 3) sont **solides** : PNB +15,45% en 2025, résultat net +7%, ROE de 17,45%, coefficient d'exploitation de 54,59%, et une accélération spectaculaire au T1 2026 (+53% de résultat net). Les **prédictions IA (J+1 à J+10)** anticipent une **baisse progressive** de 20 764 FCFA (J+1) à 19 919 FCFA (J+5), ce qui **contredit** les signaux de survente technique et suggère que la pression baissière pourrait persister à court terme.</w:t>
      </w:r>
    </w:p>
    <w:p>
      <w:pPr>
        <w:spacing w:after="120" w:line="276" w:lineRule="auto"/>
      </w:pPr>
      <w:r>
        <w:t>**Recommandation finale** : **CONSERVER**, avec un **niveau de confiance Moyen** et un **risque global Élevé** (volatilité de 42,3%, coût du risque en hausse, dépendance à l'activité titres). La convergence entre valorisation raisonnable, fondamentaux solides et signaux techniques de survente plaide pour une **stabilisation à moyen terme**, mais la divergence avec les prédictions IA (baissières à court terme) et la pression baissière des MM/MACD incitent à la prudence. **Horizon d'investissement optimal : moyen terme (3-12 mois)**, en surveillant le retour du cours au-dessus de la MM20 (22 888 FCFA) et la confirmation de la maîtrise du coût du risque au T2 2026. Les investisseurs déjà positionnés peuvent conserver leurs titres en profitant de la dynamique fondamentale, tandis que les nouveaux entrants devraient attendre un signal technique plus clair (croisement haussier du stochastique, RSI &gt;30)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342.09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1,280 titres</w:t>
            </w:r>
          </w:p>
        </w:tc>
        <w:tc>
          <w:tcPr>
            <w:tcW w:type="dxa" w:w="2268"/>
            <w:shd w:fill="FFF2CC" w:val="clear"/>
          </w:tcPr>
          <w:p>
            <w:r>
              <w:rPr>
                <w:b/>
                <w:color w:val="503200"/>
                <w:sz w:val="16"/>
              </w:rPr>
              <w:t xml:space="preserve">Cours actuel : </w:t>
            </w:r>
            <w:r>
              <w:rPr>
                <w:color w:val="000000"/>
                <w:sz w:val="17"/>
              </w:rPr>
              <w:t>15,500 FCFA</w:t>
            </w:r>
          </w:p>
          <w:p>
            <w:r>
              <w:rPr>
                <w:b/>
                <w:color w:val="503200"/>
                <w:sz w:val="16"/>
              </w:rPr>
              <w:t xml:space="preserve">Var. 100 jours : </w:t>
            </w:r>
            <w:r>
              <w:rPr>
                <w:b/>
                <w:color w:val="007800"/>
                <w:sz w:val="17"/>
              </w:rPr>
              <w:t>+33.62%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11,600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9.72% (Moyenne) — μ=15,535 FCFA, σ=1,510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β=0.4572 (Défensif) — Cov=0.000034, Var(idx)=0.000073, ρ=0.170,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14,561</w:t>
            </w:r>
          </w:p>
        </w:tc>
        <w:tc>
          <w:tcPr>
            <w:tcW w:type="dxa" w:w="1440"/>
            <w:shd w:fill="FAFAFA" w:val="clear"/>
          </w:tcPr>
          <w:p>
            <w:r>
              <w:rPr>
                <w:b/>
                <w:sz w:val="17"/>
              </w:rPr>
              <w:t>15,322</w:t>
            </w:r>
          </w:p>
        </w:tc>
        <w:tc>
          <w:tcPr>
            <w:tcW w:type="dxa" w:w="1440"/>
            <w:shd w:fill="FAFAFA" w:val="clear"/>
          </w:tcPr>
          <w:p>
            <w:r>
              <w:rPr>
                <w:sz w:val="17"/>
              </w:rPr>
              <w:t>16,084</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14,261</w:t>
            </w:r>
          </w:p>
        </w:tc>
        <w:tc>
          <w:tcPr>
            <w:tcW w:type="dxa" w:w="1440"/>
            <w:shd w:fill="FAFAFA" w:val="clear"/>
          </w:tcPr>
          <w:p>
            <w:r>
              <w:rPr>
                <w:b/>
                <w:sz w:val="17"/>
              </w:rPr>
              <w:t>15,338</w:t>
            </w:r>
          </w:p>
        </w:tc>
        <w:tc>
          <w:tcPr>
            <w:tcW w:type="dxa" w:w="1440"/>
            <w:shd w:fill="FAFAFA" w:val="clear"/>
          </w:tcPr>
          <w:p>
            <w:r>
              <w:rPr>
                <w:sz w:val="17"/>
              </w:rPr>
              <w:t>16,416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14,015</w:t>
            </w:r>
          </w:p>
        </w:tc>
        <w:tc>
          <w:tcPr>
            <w:tcW w:type="dxa" w:w="1440"/>
            <w:shd w:fill="FAFAFA" w:val="clear"/>
          </w:tcPr>
          <w:p>
            <w:r>
              <w:rPr>
                <w:b/>
                <w:sz w:val="17"/>
              </w:rPr>
              <w:t>15,335</w:t>
            </w:r>
          </w:p>
        </w:tc>
        <w:tc>
          <w:tcPr>
            <w:tcW w:type="dxa" w:w="1440"/>
            <w:shd w:fill="FAFAFA" w:val="clear"/>
          </w:tcPr>
          <w:p>
            <w:r>
              <w:rPr>
                <w:sz w:val="17"/>
              </w:rPr>
              <w:t>16,654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13,803</w:t>
            </w:r>
          </w:p>
        </w:tc>
        <w:tc>
          <w:tcPr>
            <w:tcW w:type="dxa" w:w="1440"/>
            <w:shd w:fill="FAFAFA" w:val="clear"/>
          </w:tcPr>
          <w:p>
            <w:r>
              <w:rPr>
                <w:b/>
                <w:sz w:val="17"/>
              </w:rPr>
              <w:t>15,326</w:t>
            </w:r>
          </w:p>
        </w:tc>
        <w:tc>
          <w:tcPr>
            <w:tcW w:type="dxa" w:w="1440"/>
            <w:shd w:fill="FAFAFA" w:val="clear"/>
          </w:tcPr>
          <w:p>
            <w:r>
              <w:rPr>
                <w:sz w:val="17"/>
              </w:rPr>
              <w:t>16,849</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13,616</w:t>
            </w:r>
          </w:p>
        </w:tc>
        <w:tc>
          <w:tcPr>
            <w:tcW w:type="dxa" w:w="1440"/>
            <w:shd w:fill="FAFAFA" w:val="clear"/>
          </w:tcPr>
          <w:p>
            <w:r>
              <w:rPr>
                <w:b/>
                <w:sz w:val="17"/>
              </w:rPr>
              <w:t>15,318</w:t>
            </w:r>
          </w:p>
        </w:tc>
        <w:tc>
          <w:tcPr>
            <w:tcW w:type="dxa" w:w="1440"/>
            <w:shd w:fill="FAFAFA" w:val="clear"/>
          </w:tcPr>
          <w:p>
            <w:r>
              <w:rPr>
                <w:sz w:val="17"/>
              </w:rPr>
              <w:t>17,020</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13,446</w:t>
            </w:r>
          </w:p>
        </w:tc>
        <w:tc>
          <w:tcPr>
            <w:tcW w:type="dxa" w:w="1440"/>
            <w:shd w:fill="FAFAFA" w:val="clear"/>
          </w:tcPr>
          <w:p>
            <w:r>
              <w:rPr>
                <w:b/>
                <w:sz w:val="17"/>
              </w:rPr>
              <w:t>15,310</w:t>
            </w:r>
          </w:p>
        </w:tc>
        <w:tc>
          <w:tcPr>
            <w:tcW w:type="dxa" w:w="1440"/>
            <w:shd w:fill="FAFAFA" w:val="clear"/>
          </w:tcPr>
          <w:p>
            <w:r>
              <w:rPr>
                <w:sz w:val="17"/>
              </w:rPr>
              <w:t>17,173</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13,291</w:t>
            </w:r>
          </w:p>
        </w:tc>
        <w:tc>
          <w:tcPr>
            <w:tcW w:type="dxa" w:w="1440"/>
            <w:shd w:fill="FAFAFA" w:val="clear"/>
          </w:tcPr>
          <w:p>
            <w:r>
              <w:rPr>
                <w:b/>
                <w:sz w:val="17"/>
              </w:rPr>
              <w:t>15,303</w:t>
            </w:r>
          </w:p>
        </w:tc>
        <w:tc>
          <w:tcPr>
            <w:tcW w:type="dxa" w:w="1440"/>
            <w:shd w:fill="FAFAFA" w:val="clear"/>
          </w:tcPr>
          <w:p>
            <w:r>
              <w:rPr>
                <w:sz w:val="17"/>
              </w:rPr>
              <w:t>17,315</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13,146</w:t>
            </w:r>
          </w:p>
        </w:tc>
        <w:tc>
          <w:tcPr>
            <w:tcW w:type="dxa" w:w="1440"/>
            <w:shd w:fill="FAFAFA" w:val="clear"/>
          </w:tcPr>
          <w:p>
            <w:r>
              <w:rPr>
                <w:b/>
                <w:sz w:val="17"/>
              </w:rPr>
              <w:t>15,296</w:t>
            </w:r>
          </w:p>
        </w:tc>
        <w:tc>
          <w:tcPr>
            <w:tcW w:type="dxa" w:w="1440"/>
            <w:shd w:fill="FAFAFA" w:val="clear"/>
          </w:tcPr>
          <w:p>
            <w:r>
              <w:rPr>
                <w:sz w:val="17"/>
              </w:rPr>
              <w:t>17,446</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13,011</w:t>
            </w:r>
          </w:p>
        </w:tc>
        <w:tc>
          <w:tcPr>
            <w:tcW w:type="dxa" w:w="1440"/>
            <w:shd w:fill="FAFAFA" w:val="clear"/>
          </w:tcPr>
          <w:p>
            <w:r>
              <w:rPr>
                <w:b/>
                <w:sz w:val="17"/>
              </w:rPr>
              <w:t>15,290</w:t>
            </w:r>
          </w:p>
        </w:tc>
        <w:tc>
          <w:tcPr>
            <w:tcW w:type="dxa" w:w="1440"/>
            <w:shd w:fill="FAFAFA" w:val="clear"/>
          </w:tcPr>
          <w:p>
            <w:r>
              <w:rPr>
                <w:sz w:val="17"/>
              </w:rPr>
              <w:t>17,569</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12,882</w:t>
            </w:r>
          </w:p>
        </w:tc>
        <w:tc>
          <w:tcPr>
            <w:tcW w:type="dxa" w:w="1440"/>
            <w:shd w:fill="FAFAFA" w:val="clear"/>
          </w:tcPr>
          <w:p>
            <w:r>
              <w:rPr>
                <w:b/>
                <w:sz w:val="17"/>
              </w:rPr>
              <w:t>15,284</w:t>
            </w:r>
          </w:p>
        </w:tc>
        <w:tc>
          <w:tcPr>
            <w:tcW w:type="dxa" w:w="1440"/>
            <w:shd w:fill="FAFAFA" w:val="clear"/>
          </w:tcPr>
          <w:p>
            <w:r>
              <w:rPr>
                <w:sz w:val="17"/>
              </w:rPr>
              <w:t>17,685</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Entreprise (Biens de consommation)*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342,09 milliards FCFA, NTLC figure parmi les valeurs les plus importantes de la cote BRVM, ce qui en fait un pilier de l'indice BRVM 30 et un titre de référence pour les investisseurs institutionnels. Le BPA s'établit à 835 FCFA par action, ce qui signifie que chaque titre détenu génère 835 FCFA de bénéfice net attribuable. Le PER de 18,6x traduit une valorisation modérée mais supérieure à la moyenne du marché BRVM (généralement comprise entre 8 et 12x), indiquant que les investisseurs acceptent de payer une prime pour la qualité de la signature Nestlé. Le P/B de 11,56x, très supérieur au seuil de 4x, révèle une valorisation exigeante par rapport à la valeur comptable — caractéristique des sociétés à forte rentabilité des fonds propres (ROE de 62,3%) dont l'actif est largement immatériel (marques, savoir-faire). Enfin, l'EV/EBITDA de 9,3x, situé dans la fourchette raisonnable de 5-10x, montre que la valeur d'entreprise reste cohérente avec la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totale de +33,62%, avec une dernière séance quasi stable (+0,06%), le cours s'établissant à 15 500 FCFA. La amplitude de trading est significative, le cours ayant oscillé entre un plus bas de 11 600 FCFA et un plus haut de 18 000 FCFA, soit un range de 6 400 FCFA (55% du plus bas) qui témoigne d'une forte dynamique haussière entrecoupée de corrections. La tendance générale est donc nettement haussière sur la période, portée par les bonnes publications trimestrielles. Les statistiques descriptives révèlent une moyenne de 15 535 FCFA légèrement inférieure à la médiane de 15 995 FCFA, avec un mode à 16 900 FCFA : cet écart indique une distribution asymétrique où les journées de forte hausse tirent la moyenne vers le bas par rapport au mode, confirmant le skewness négatif de -1,025 (plus de journées au-dessus de la moyenne, mais quelques journées de baisse marquée). L'écart-type de 1 517 FCFA et le coefficient de variation de 9,8% traduisent une dispersion modérée du cours autour de sa moyenne. Le kurtosis de 0,213 (mésokurtique) indique une distribution proche de la normale, sans risque excessif de pics extrêmes. Enfin, la volatilité annualisée de 36,1% positionne le titre dans la catégorie des valeurs à volatilité élevée (&gt;30%), ce qui implique un risque de marché non négligeable mais compensé par le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(15 751,25 FCFA) et la MM50 (16 407,40 FCFA) se situent toutes deux au-dessus du cours actuel (15 500 FCFA), avec la MM20 en dessous de la MM50 — configuration baissière de court terme. Le cours évoluant sous ses deux moyennes, la pression vendeuse domine et justifie la décision technique de **Vente**.</w:t>
      </w:r>
    </w:p>
    <w:p>
      <w:pPr>
        <w:spacing w:after="120" w:line="276" w:lineRule="auto"/>
      </w:pPr>
      <w:r>
        <w:t>**Bandes de Bollinger** : Le cours (15 500 FCFA) se situe dans la partie basse de la bande, entre la borne inférieure (14 181,75 FCFA) et la borne supérieure (17 320,75 FCFA), sans atteindre les extrêmes. Cette position médiane-basse, couplée à un écart-type modéré, traduit une volatilité contenue et une absence de signal directionnel fort, d'où la décision **Neutre**.</w:t>
      </w:r>
    </w:p>
    <w:p>
      <w:pPr>
        <w:spacing w:after="120" w:line="276" w:lineRule="auto"/>
      </w:pPr>
      <w:r>
        <w:t>**MACD** : La valeur du MACD (-356,885) est supérieure à sa ligne de signal (-376,541), générant un croisement haussier (MACD &gt; Signal) bien que les deux restent en territoire négatif. Ce différentiel positif indique un essoufflement de la dynamique baissière et un début de retournement du momentum, justifiant la décision d'**Achat** technique.</w:t>
      </w:r>
    </w:p>
    <w:p>
      <w:pPr>
        <w:spacing w:after="120" w:line="276" w:lineRule="auto"/>
      </w:pPr>
      <w:r>
        <w:t>**RSI** : À 38,462, le RSI se situe dans la zone neutre basse (30-70), sans atteindre le seuil de survente (&lt;30). Cette valeur indique que le titre n'est ni suracheté ni survendu, mais penche légèrement vers la faiblesse, ce qui justifie la décision **Neutre** — un rebond technique reste possible sans signal fort.</w:t>
      </w:r>
    </w:p>
    <w:p>
      <w:pPr>
        <w:spacing w:after="120" w:line="276" w:lineRule="auto"/>
      </w:pPr>
      <w:r>
        <w:t>**Stochastique** : Le %K (53,908) est légèrement supérieur au %D (51,838), avec un croisement haussier naissant au-dessus du niveau médian de 50. Cette configuration suggère une reprise progressive de la pression acheteuse, mais l'absence de franchissement net des 80 (surachat) maintient la décision **Neutre**.</w:t>
      </w:r>
    </w:p>
    <w:p>
      <w:pPr>
        <w:spacing w:after="120" w:line="276" w:lineRule="auto"/>
      </w:pPr>
      <w:r>
        <w:t>**Conclusion technique** : Les indicateurs présentent une configuration mitigée. Les moyennes mobiles sont baissières (cours sous MM20 et MM50), mais le MACD amorce un croisement haussier et le stochastique se retourne à la hausse. Le RSI et les Bandes de Bollinger restent neutres, sans signal extrême. Cette divergence entre tendance de fond (baissière) et momentum (haussier naissant) suggère une phase de consolidation, avec un potentiel de rebond technique à court terme mais une prudence nécessaire tant que le cours n'a pas reconquis la MM20 (15 751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233,261 milliards FCFA, en croissance de 5,97% par rapport à 2024, et un résultat net de 18,427 milliards FCFA (+1,53%). Le ROE atteint 62,28%, un niveau exceptionnel qui traduit une rentabilité des fonds propres très élevée, tandis que le ROA de 9,70% et la rotation des actifs de 122,80% témoignent d'une bonne efficacité dans l'utilisation des actifs. La marge nette de 7,90% reste stable mais légèrement en baisse par rapport à 2024 (8,25%), sous l'effet d'une hausse des charges financières (+25,8% à 7,957 milliards FCFA) et d'une pression fiscale accrue. En tant qu'entreprise industrielle, les délais d'exploitation méritent attention : le délai clients de 74,30 jours et la durée de stockage de 59,39 jours immobilisent du capital, mais le BFR de 22,625 milliards FCFA reste positif et le fonds de roulement négatif (-24,206 milliards FCFA) signale une dépendance aux financements court terme. La structure financière est tendue : l'autonomie financière de 15,58% est inférieure au seuil sain de 30%, et le ratio d'endettement de 135,85% (dettes totales/capitaux propres) est élevé, bien que la solvabilité générale (118,45%) reste supérieure à 1. La couverture des intérêts de 473,63% indique que le résultat d'exploitation couvre largement les charges financières, ce qui limite le risque de défaut. Les rapports trimestriels confirment cette dynamique : le T1 2026 (publié le 31 mars 2026) affiche un chiffre d'affaires de 70,822 milliards FCFA (+31% sur un an) et un résultat net de 7,526 milliards FCFA (+37%), avec une marge nette en amélioration à 10,6% (contre 10,1% au T1 2025). Sur la base de ce rapport T1 2026, on peut estimer que l'exercice 2026 devrait enregistrer une accélération de la croissance du chiffre d'affaires (potentiellement +15% à +20% en rythme annualisé) et une amélioration de la marge nette, sous réserve que la pression sur les coûts des matières premières reste maîtrisée. La politique de dividende a toutefois été réduite en 2025 (9,270 milliards FCFA distribués, soit un payout de 50,3%, contre 99,7% en 2024), signalant une stratégie de réinvestissement et de renforcement des fonds propres — un choix prudent qui pourrait soutenir la croissance future mais décevoir les investisseurs en quête de rendement immédiat. En synthèse, la solidité fondamentale de NTLC est avérée (croissance, rentabilité élevée, couverture des intérêts), mais les risques liés à l'endettement, à la dépendance aux matières premières et à la compression des marges opérationnelles (RAO +15% vs CA +31% au T1 2026) incitent à une recommandation de **Conserver** avec un biais positif.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 PER de 18,6x et le P/B de 11,56x indiquent une surévaluation relative par rapport aux standards du marché BRVM, bien que l'EV/EBITDA de 9,3x reste raisonnable — le titre intègre déjà une prime de qualité. Le **comportement du cours (Partie 1)** est haussier sur 100 jours (+33,62%) mais la volatilité élevée (36,1%) et le skewness négatif (-1,025) suggèrent une asymétrie défavorable avec des corrections brutales possibles. Les **signaux techniques (Partie 2)** sont divergents : baissiers pour les moyennes mobiles, haussiers pour le MACD et le stochastique, neutres pour le RSI et les Bollinger — une configuration de consolidation sans direction claire. Les **fondamentaux (Partie 3)** demeurent solides (CA 2025 de 233,3 Mds FCFA, RN de 18,4 Mds FCFA, ROE de 62,3%) et le T1 2026 (+31% de CA, +37% de RN) confirme une accélération prometteuse, mais l'endettement élevé et la réduction du dividende tempèrent l'enthousiasme. Les **prédictions IA (J+1 à J+10)** tablent sur une légère baisse du cours (15 322 FCFA à 15 318 FCFA), en ligne avec la pression baissière des moyennes mobiles et l'absence de catalyseur technique immédiat. Compte tenu de cette convergence partielle — fondamentaux solides mais valorisation exigeante, technique mitigée et prédictions baissières — la recommandation finale est **CONSERVER**. Le niveau de confiance est **Moyen** (les signaux ne sont pas tous alignés), le niveau de risque global est **Moyen** (volatilité élevée mais fondamentaux robustes), et l'horizon d'investissement optimal est le **moyen terme (3-12 mois)**, le temps que les investissements productifs et la stratégie de réinvestissement portent leurs fruits et que la valorisation se normalise. Un passage à l'achat serait justifié en cas de correction du cours vers 14 000-14 500 FCFA (zone de support des Bandes de Bollinger) ou de confirmation d'une accélération durable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188.36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5,786 titres</w:t>
            </w:r>
          </w:p>
        </w:tc>
        <w:tc>
          <w:tcPr>
            <w:tcW w:type="dxa" w:w="2268"/>
            <w:shd w:fill="FFF2CC" w:val="clear"/>
          </w:tcPr>
          <w:p>
            <w:r>
              <w:rPr>
                <w:b/>
                <w:color w:val="503200"/>
                <w:sz w:val="16"/>
              </w:rPr>
              <w:t xml:space="preserve">Cours actuel : </w:t>
            </w:r>
            <w:r>
              <w:rPr>
                <w:color w:val="000000"/>
                <w:sz w:val="17"/>
              </w:rPr>
              <w:t>2,770 FCFA</w:t>
            </w:r>
          </w:p>
          <w:p>
            <w:r>
              <w:rPr>
                <w:b/>
                <w:color w:val="503200"/>
                <w:sz w:val="16"/>
              </w:rPr>
              <w:t xml:space="preserve">Var. 100 jours : </w:t>
            </w:r>
            <w:r>
              <w:rPr>
                <w:b/>
                <w:color w:val="007800"/>
                <w:sz w:val="17"/>
              </w:rPr>
              <w:t>+0.73%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μ=2,854 FCFA, σ=79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β=0.4525 (Défensif) — Cov=0.000033, Var(idx)=0.000073, ρ=0.192,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2026-10-08</w:t>
            </w:r>
          </w:p>
        </w:tc>
        <w:tc>
          <w:tcPr>
            <w:tcW w:type="dxa" w:w="1440"/>
            <w:shd w:fill="C6EFCE" w:val="clear"/>
          </w:tcPr>
          <w:p>
            <w:r>
              <w:rPr>
                <w:sz w:val="17"/>
              </w:rPr>
              <w:t>2,728</w:t>
            </w:r>
          </w:p>
        </w:tc>
        <w:tc>
          <w:tcPr>
            <w:tcW w:type="dxa" w:w="1440"/>
            <w:shd w:fill="C6EFCE" w:val="clear"/>
          </w:tcPr>
          <w:p>
            <w:r>
              <w:rPr>
                <w:b/>
                <w:sz w:val="17"/>
              </w:rPr>
              <w:t>2,837</w:t>
            </w:r>
          </w:p>
        </w:tc>
        <w:tc>
          <w:tcPr>
            <w:tcW w:type="dxa" w:w="1440"/>
            <w:shd w:fill="C6EFCE" w:val="clear"/>
          </w:tcPr>
          <w:p>
            <w:r>
              <w:rPr>
                <w:sz w:val="17"/>
              </w:rPr>
              <w:t>2,946</w:t>
            </w:r>
          </w:p>
        </w:tc>
        <w:tc>
          <w:tcPr>
            <w:tcW w:type="dxa" w:w="1440"/>
            <w:shd w:fill="C6EFCE" w:val="clear"/>
          </w:tcPr>
          <w:p>
            <w:r>
              <w:rPr>
                <w:b/>
                <w:color w:val="008000"/>
                <w:sz w:val="17"/>
              </w:rPr>
              <w:t>+2.4%</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2,669</w:t>
            </w:r>
          </w:p>
        </w:tc>
        <w:tc>
          <w:tcPr>
            <w:tcW w:type="dxa" w:w="1440"/>
            <w:shd w:fill="FAFAFA" w:val="clear"/>
          </w:tcPr>
          <w:p>
            <w:r>
              <w:rPr>
                <w:b/>
                <w:sz w:val="17"/>
              </w:rPr>
              <w:t>2,823</w:t>
            </w:r>
          </w:p>
        </w:tc>
        <w:tc>
          <w:tcPr>
            <w:tcW w:type="dxa" w:w="1440"/>
            <w:shd w:fill="FAFAFA" w:val="clear"/>
          </w:tcPr>
          <w:p>
            <w:r>
              <w:rPr>
                <w:sz w:val="17"/>
              </w:rPr>
              <w:t>2,976</w:t>
            </w:r>
          </w:p>
        </w:tc>
        <w:tc>
          <w:tcPr>
            <w:tcW w:type="dxa" w:w="1440"/>
            <w:shd w:fill="FAFAFA" w:val="clear"/>
          </w:tcPr>
          <w:p>
            <w:r>
              <w:rPr>
                <w:b/>
                <w:color w:val="008000"/>
                <w:sz w:val="17"/>
              </w:rPr>
              <w:t>+1.9%</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2,629</w:t>
            </w:r>
          </w:p>
        </w:tc>
        <w:tc>
          <w:tcPr>
            <w:tcW w:type="dxa" w:w="1440"/>
            <w:shd w:fill="FAFAFA" w:val="clear"/>
          </w:tcPr>
          <w:p>
            <w:r>
              <w:rPr>
                <w:b/>
                <w:sz w:val="17"/>
              </w:rPr>
              <w:t>2,816</w:t>
            </w:r>
          </w:p>
        </w:tc>
        <w:tc>
          <w:tcPr>
            <w:tcW w:type="dxa" w:w="1440"/>
            <w:shd w:fill="FAFAFA" w:val="clear"/>
          </w:tcPr>
          <w:p>
            <w:r>
              <w:rPr>
                <w:sz w:val="17"/>
              </w:rPr>
              <w:t>3,004</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2,595</w:t>
            </w:r>
          </w:p>
        </w:tc>
        <w:tc>
          <w:tcPr>
            <w:tcW w:type="dxa" w:w="1440"/>
            <w:shd w:fill="FAFAFA" w:val="clear"/>
          </w:tcPr>
          <w:p>
            <w:r>
              <w:rPr>
                <w:b/>
                <w:sz w:val="17"/>
              </w:rPr>
              <w:t>2,811</w:t>
            </w:r>
          </w:p>
        </w:tc>
        <w:tc>
          <w:tcPr>
            <w:tcW w:type="dxa" w:w="1440"/>
            <w:shd w:fill="FAFAFA" w:val="clear"/>
          </w:tcPr>
          <w:p>
            <w:r>
              <w:rPr>
                <w:sz w:val="17"/>
              </w:rPr>
              <w:t>3,027</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2,565</w:t>
            </w:r>
          </w:p>
        </w:tc>
        <w:tc>
          <w:tcPr>
            <w:tcW w:type="dxa" w:w="1440"/>
            <w:shd w:fill="FAFAFA" w:val="clear"/>
          </w:tcPr>
          <w:p>
            <w:r>
              <w:rPr>
                <w:b/>
                <w:sz w:val="17"/>
              </w:rPr>
              <w:t>2,806</w:t>
            </w:r>
          </w:p>
        </w:tc>
        <w:tc>
          <w:tcPr>
            <w:tcW w:type="dxa" w:w="1440"/>
            <w:shd w:fill="FAFAFA" w:val="clear"/>
          </w:tcPr>
          <w:p>
            <w:r>
              <w:rPr>
                <w:sz w:val="17"/>
              </w:rPr>
              <w:t>3,047</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2,537</w:t>
            </w:r>
          </w:p>
        </w:tc>
        <w:tc>
          <w:tcPr>
            <w:tcW w:type="dxa" w:w="1440"/>
            <w:shd w:fill="FAFAFA" w:val="clear"/>
          </w:tcPr>
          <w:p>
            <w:r>
              <w:rPr>
                <w:b/>
                <w:sz w:val="17"/>
              </w:rPr>
              <w:t>2,801</w:t>
            </w:r>
          </w:p>
        </w:tc>
        <w:tc>
          <w:tcPr>
            <w:tcW w:type="dxa" w:w="1440"/>
            <w:shd w:fill="FAFAFA" w:val="clear"/>
          </w:tcPr>
          <w:p>
            <w:r>
              <w:rPr>
                <w:sz w:val="17"/>
              </w:rPr>
              <w:t>3,064</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2,511</w:t>
            </w:r>
          </w:p>
        </w:tc>
        <w:tc>
          <w:tcPr>
            <w:tcW w:type="dxa" w:w="1440"/>
            <w:shd w:fill="FAFAFA" w:val="clear"/>
          </w:tcPr>
          <w:p>
            <w:r>
              <w:rPr>
                <w:b/>
                <w:sz w:val="17"/>
              </w:rPr>
              <w:t>2,795</w:t>
            </w:r>
          </w:p>
        </w:tc>
        <w:tc>
          <w:tcPr>
            <w:tcW w:type="dxa" w:w="1440"/>
            <w:shd w:fill="FAFAFA" w:val="clear"/>
          </w:tcPr>
          <w:p>
            <w:r>
              <w:rPr>
                <w:sz w:val="17"/>
              </w:rPr>
              <w:t>3,079</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2,487</w:t>
            </w:r>
          </w:p>
        </w:tc>
        <w:tc>
          <w:tcPr>
            <w:tcW w:type="dxa" w:w="1440"/>
            <w:shd w:fill="FAFAFA" w:val="clear"/>
          </w:tcPr>
          <w:p>
            <w:r>
              <w:rPr>
                <w:b/>
                <w:sz w:val="17"/>
              </w:rPr>
              <w:t>2,790</w:t>
            </w:r>
          </w:p>
        </w:tc>
        <w:tc>
          <w:tcPr>
            <w:tcW w:type="dxa" w:w="1440"/>
            <w:shd w:fill="FAFAFA" w:val="clear"/>
          </w:tcPr>
          <w:p>
            <w:r>
              <w:rPr>
                <w:sz w:val="17"/>
              </w:rPr>
              <w:t>3,093</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2,465</w:t>
            </w:r>
          </w:p>
        </w:tc>
        <w:tc>
          <w:tcPr>
            <w:tcW w:type="dxa" w:w="1440"/>
            <w:shd w:fill="FAFAFA" w:val="clear"/>
          </w:tcPr>
          <w:p>
            <w:r>
              <w:rPr>
                <w:b/>
                <w:sz w:val="17"/>
              </w:rPr>
              <w:t>2,785</w:t>
            </w:r>
          </w:p>
        </w:tc>
        <w:tc>
          <w:tcPr>
            <w:tcW w:type="dxa" w:w="1440"/>
            <w:shd w:fill="FAFAFA" w:val="clear"/>
          </w:tcPr>
          <w:p>
            <w:r>
              <w:rPr>
                <w:sz w:val="17"/>
              </w:rPr>
              <w:t>3,106</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2,443</w:t>
            </w:r>
          </w:p>
        </w:tc>
        <w:tc>
          <w:tcPr>
            <w:tcW w:type="dxa" w:w="1440"/>
            <w:shd w:fill="FAFAFA" w:val="clear"/>
          </w:tcPr>
          <w:p>
            <w:r>
              <w:rPr>
                <w:b/>
                <w:sz w:val="17"/>
              </w:rPr>
              <w:t>2,780</w:t>
            </w:r>
          </w:p>
        </w:tc>
        <w:tc>
          <w:tcPr>
            <w:tcW w:type="dxa" w:w="1440"/>
            <w:shd w:fill="FAFAFA" w:val="clear"/>
          </w:tcPr>
          <w:p>
            <w:r>
              <w:rPr>
                <w:sz w:val="17"/>
              </w:rPr>
              <w:t>3,118</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 — Secteur Télécommunications*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188,36 milliards FCFA, ONTBF figure parmi les valeurs moyennes de la cote BRVM, loin des géants comme Sonatel mais avec une liquidité correcte pour le marché régional. Le BPA de 234 FCFA/action signifie que chaque titre génère près de 234 FCFA de bénéfice net, ce qui, rapporté au cours actuel de 2 770 FCFA, donne un PER de 11,9x — un niveau modéré, légèrement supérieur à la moyenne BRVM (8-12x), traduisant une valorisation raisonnable mais sans décote flagrante. Le P/B de 3,27x indique que le marché valorise l'action à plus de trois fois sa valeur comptable, une prime de croissance justifiée par la solidité des fonds propres (57,5 Mds FCFA) et la qualité des actifs incorporels (licences, réseau). Enfin, l'EV/EBITDA de 5,0x situe la valeur d'entreprise à seulement cinq fois l'excédent brut d'exploitation, un niveau attractif qui suggère que le marché sous-évalue la capacité opérationnelle de génération de cash, surtout au regard d'un EBE de 56,7 Mds FCFA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variation quasi-nulle de +0,73%, mais la dernière séance (J-1) a enregistré une chute brutale de -5,94%, ramenant le cours à 2 770 FCFA. Le range de trading s'étend de 2 675 FCFA (plus bas) à 3 070 FCFA (plus haut), soit une amplitude de près de 15%, témoignant d'une réelle nervosité malgré la stabilité apparente de la performance globale. La tendance générale est baissière depuis le pic de 3 070 FCFA, le cours se rapprochant désormais de sa borne inférieure. Les statistiques descriptives révèlent une moyenne (2 854 FCFA) quasi-identique à la médiane (2 855 FCFA), confirmant une distribution symétrique (skewness de -0,050), tandis que le mode à 2 800 FCFA indique un point d'équilibre psychologique. L'écart-type de 79 FCFA (CV de 2,8%) traduit une dispersion modérée du cours, et le kurtosis de -0,249 (mésokurtique) suggère une distribution proche de la normale, sans risque excessif de pics extrêmes. La volatilité annualisée de 33,2% classe le titre dans la catégorie des valeurs à volatilité élevée (&gt;30%), ce qui implique un risque de marché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(2 891,75 FCFA) et la MM50 (2 891,2 FCFA) sont quasiment confondues et se situent nettement au-dessus du cours actuel (2 770 FCFA), ce qui place le titre en position baissière sous ses moyennes. Toutefois, la décision affichée est "Achat", probablement en anticipation d'un rebond technique vers ces niveaux de résistance dynamique.</w:t>
      </w:r>
    </w:p>
    <w:p>
      <w:pPr>
        <w:spacing w:after="120" w:line="276" w:lineRule="auto"/>
      </w:pPr>
      <w:r>
        <w:t>**Bandes de Bollinger** : Le cours (2 770 FCFA) évolue très près de la borne inférieure (2 761,15 FCFA), signe de pression vendeuse mais aussi de possible zone de survente à court terme. La décision "Neutre" reflète l'absence de signal directionnel fort, le prix restant dans les bandes sans les franchir.</w:t>
      </w:r>
    </w:p>
    <w:p>
      <w:pPr>
        <w:spacing w:after="120" w:line="276" w:lineRule="auto"/>
      </w:pPr>
      <w:r>
        <w:t>**MACD** : La valeur du MACD (4,924) est inférieure à son signal (10,432), générant une configuration baissière avec un momentum négatif. La décision "Vente" confirme que la dynamique de court terme reste défavorable, le croisement à la baisse étant déjà effectif.</w:t>
      </w:r>
    </w:p>
    <w:p>
      <w:pPr>
        <w:spacing w:after="120" w:line="276" w:lineRule="auto"/>
      </w:pPr>
      <w:r>
        <w:t>**RSI** : À 46,386, le RSI se situe en zone neutre (30-70), sans signal de surachat ni de survente. La décision "Neutre" indique que le marché n'est ni dans une phase d'euphorie ni de capitulation, laissant la porte ouverte à une reprise comme à une poursuite de la baisse.</w:t>
      </w:r>
    </w:p>
    <w:p>
      <w:pPr>
        <w:spacing w:after="120" w:line="276" w:lineRule="auto"/>
      </w:pPr>
      <w:r>
        <w:t>**Stochastique** : Le %K (4,167) est très bas, tandis que le %D (53,472) reste élevé, créant un croisement baissier en zone de survente. La décision "Achat" repose sur l'anticipation d'un rebond technique imminent, le %K étant proche de zéro.</w:t>
      </w:r>
    </w:p>
    <w:p>
      <w:pPr>
        <w:spacing w:after="120" w:line="276" w:lineRule="auto"/>
      </w:pPr>
      <w:r>
        <w:t>**Conclusion technique** : Les indicateurs sont majoritairement baissiers à court terme (MACD, position sous les MM, proximité de la borne basse de Bollinger), mais le stochastique en survente extrême et la décision "Achat" des moyennes mobiles suggèrent un possible rebond technique. La convergence des signaux reste faible, avec un RSI neutre qui n'apporte pas de confirmation directionnelle. Le titre se trouve dans une zone de transition où la prudence est de mise, en attendant un signal clair de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ONTBF (ONATEL-SA) a réalisé un chiffre d'affaires de 146,18 milliards FCFA, en hausse de 3,1% par rapport à 2024, porté par le FTTH (+33%), l'Internet mobile (+4,6%) et le Mobile Money (+14%). Le résultat net s'établit à 15,89 milliards FCFA, en chute de 26% par rapport aux 21,47 milliards de 2024, sous l'effet d'une compression des marges (EBE en baisse de 12% à 56,7 Mds FCFA) et de charges exceptionnelles (indemnités de fin d'engagement, litiges, sanction ARCEP de 1,543 Md FCFA). Le ROE reste excellent à 27,61% (résultat net/capitaux propres de 57,54 Mds FCFA), bien supérieur au seuil de 15%, et le ROA de 4,89% traduit une bonne rentabilité des actifs (324,9 Mds FCFA). Le coefficient d'exploitation de 67,07% (charges/PNB) est supérieur au seuil de 60% recommandé pour une banque, mais ONTBF étant une entreprise télécom, ce ratio doit être interprété comme un indicateur d'efficacité opérationnelle perfectible. Le coût du risque de 3,57% (provisions/charges financières) reste modéré, mais les délais clients de 30,78 jours et la durée de stockage de 1 669 jours (probablement des équipements réseau) pèsent sur le BFR, qui est négatif à -94,1 Mds FCFA (un point positif pour la trésorerie). Sur la base du rapport T1 2026 (publié le 9 avril 2026), le chiffre d'affaires progresse de 2,7% à 37,1 Mds FCFA, avec un taux de marge EBITDA maintenu à 41,3% et un résultat net de 3,577 Mds FCFA (marge nette de 9,6%), confirmant la tendance à la stabilisation des marges sans retournement franc. Les perspectives 2026, sous le thème "Avançons ensemble pour reconquérir notre leadership", misent sur l'optimisation des coûts et l'accélération du déploiement FTTH. La recommandation fondamentale est de **CONSERVER** : la solidité financière (CAFG de 47 Mds FCFA, trésorerie nette positive de 10,6 Mds FCFA) et le dividende attractif (166,08 FCFA/action, soit un rendement de ~6% au cours actuel) compensent la dégradation de la rentabilité, mais les risques réglementaires, sécuritaires et concurrentiels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avec un PER de 11,9x et un EV/EBITDA de 5,0x, mais la prime de 3,27x sur les fonds propres suggère que le marché intègre déjà une partie du potentiel de croissance. Le comportement du cours (Partie 1) est préoccupant à court terme : la chute de -5,94% en J-1, la volatilité élevée (33,2%) et la proximité du plus bas (2 675 FCFA) créent un risque baissier immédiat, malgré une distribution symétrique (skewness -0,05) et une absence de pics extrêmes (kurtosis -0,249). Les signaux techniques (Partie 2) sont divergents : le MACD est baissier, le cours est sous ses moyennes mobiles, mais le stochastique en survente extrême (%K=4,167) et la décision "Achat" des MM suggèrent un rebond possible. Les fondamentaux (Partie 3) restent solides (ROE de 27,6%, CAFG de 47 Mds FCFA, dividende de 166 FCFA), mais la baisse de 26% du résultat net en 2025 et la pression persistante sur les marges (coefficient d'exploitation de 67%) constituent des vents contraires. Les prédictions IA (J+1 à J+10) anticipent une légère reprise vers 2 837 FCFA (J+1) puis une stabilisation autour de 2 806-2 823 FCFA, ce qui confirme un scénario de rebond technique modéré sans retournement majeur. **Recommandation finale : CONSERVER**, avec un niveau de confiance **Moyen** et un risque global **Moyen**. La convergence entre la valorisation attractive, le rebond technique attendu et la solidité des fondamentaux justifie de ne pas vendre, mais l'absence de catalyseur fort (baisse des charges, amélioration des marges) et la volatilité élevée déconseillent un achat agressif. L'horizon d'investissement optimal est le **moyen terme (3-12 mois)**, en surveillant les prochains rapports trimestriels (T2 2026) pour confirmer la stabilisation des marges et la trajectoire de reconquête du leadership.</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3314.42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3,561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+46.67%</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13.68% (Moyenne) — μ=18,096 FCFA, σ=2,476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β=1.4035 (Agressif) — Cov=0.000103, Var(idx)=0.000073, ρ=0.560,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2026-10-08</w:t>
            </w:r>
          </w:p>
        </w:tc>
        <w:tc>
          <w:tcPr>
            <w:tcW w:type="dxa" w:w="1440"/>
            <w:shd w:fill="FFDCE0" w:val="clear"/>
          </w:tcPr>
          <w:p>
            <w:r>
              <w:rPr>
                <w:sz w:val="17"/>
              </w:rPr>
              <w:t>20,267</w:t>
            </w:r>
          </w:p>
        </w:tc>
        <w:tc>
          <w:tcPr>
            <w:tcW w:type="dxa" w:w="1440"/>
            <w:shd w:fill="FFDCE0" w:val="clear"/>
          </w:tcPr>
          <w:p>
            <w:r>
              <w:rPr>
                <w:b/>
                <w:sz w:val="17"/>
              </w:rPr>
              <w:t>21,316</w:t>
            </w:r>
          </w:p>
        </w:tc>
        <w:tc>
          <w:tcPr>
            <w:tcW w:type="dxa" w:w="1440"/>
            <w:shd w:fill="FFDCE0" w:val="clear"/>
          </w:tcPr>
          <w:p>
            <w:r>
              <w:rPr>
                <w:sz w:val="17"/>
              </w:rPr>
              <w:t>22,364</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2026-10-09</w:t>
            </w:r>
          </w:p>
        </w:tc>
        <w:tc>
          <w:tcPr>
            <w:tcW w:type="dxa" w:w="1440"/>
            <w:shd w:fill="FFDCE0" w:val="clear"/>
          </w:tcPr>
          <w:p>
            <w:r>
              <w:rPr>
                <w:sz w:val="17"/>
              </w:rPr>
              <w:t>19,872</w:t>
            </w:r>
          </w:p>
        </w:tc>
        <w:tc>
          <w:tcPr>
            <w:tcW w:type="dxa" w:w="1440"/>
            <w:shd w:fill="FFDCE0" w:val="clear"/>
          </w:tcPr>
          <w:p>
            <w:r>
              <w:rPr>
                <w:b/>
                <w:sz w:val="17"/>
              </w:rPr>
              <w:t>21,358</w:t>
            </w:r>
          </w:p>
        </w:tc>
        <w:tc>
          <w:tcPr>
            <w:tcW w:type="dxa" w:w="1440"/>
            <w:shd w:fill="FFDCE0" w:val="clear"/>
          </w:tcPr>
          <w:p>
            <w:r>
              <w:rPr>
                <w:sz w:val="17"/>
              </w:rPr>
              <w:t>22,844</w:t>
            </w:r>
          </w:p>
        </w:tc>
        <w:tc>
          <w:tcPr>
            <w:tcW w:type="dxa" w:w="1440"/>
            <w:shd w:fill="FFDCE0" w:val="clear"/>
          </w:tcPr>
          <w:p>
            <w:r>
              <w:rPr>
                <w:b/>
                <w:color w:val="C00000"/>
                <w:sz w:val="17"/>
              </w:rPr>
              <w:t>-2.9%</w:t>
            </w:r>
          </w:p>
        </w:tc>
      </w:tr>
      <w:tr>
        <w:tc>
          <w:tcPr>
            <w:tcW w:type="dxa" w:w="1440"/>
            <w:shd w:fill="FFDCE0" w:val="clear"/>
          </w:tcPr>
          <w:p>
            <w:r>
              <w:rPr>
                <w:sz w:val="17"/>
              </w:rPr>
              <w:t>J+3  ⭐</w:t>
            </w:r>
          </w:p>
        </w:tc>
        <w:tc>
          <w:tcPr>
            <w:tcW w:type="dxa" w:w="1440"/>
            <w:shd w:fill="FFDCE0" w:val="clear"/>
          </w:tcPr>
          <w:p>
            <w:r>
              <w:rPr>
                <w:sz w:val="17"/>
              </w:rPr>
              <w:t>2026-10-12</w:t>
            </w:r>
          </w:p>
        </w:tc>
        <w:tc>
          <w:tcPr>
            <w:tcW w:type="dxa" w:w="1440"/>
            <w:shd w:fill="FFDCE0" w:val="clear"/>
          </w:tcPr>
          <w:p>
            <w:r>
              <w:rPr>
                <w:sz w:val="17"/>
              </w:rPr>
              <w:t>19,525</w:t>
            </w:r>
          </w:p>
        </w:tc>
        <w:tc>
          <w:tcPr>
            <w:tcW w:type="dxa" w:w="1440"/>
            <w:shd w:fill="FFDCE0" w:val="clear"/>
          </w:tcPr>
          <w:p>
            <w:r>
              <w:rPr>
                <w:b/>
                <w:sz w:val="17"/>
              </w:rPr>
              <w:t>21,343</w:t>
            </w:r>
          </w:p>
        </w:tc>
        <w:tc>
          <w:tcPr>
            <w:tcW w:type="dxa" w:w="1440"/>
            <w:shd w:fill="FFDCE0" w:val="clear"/>
          </w:tcPr>
          <w:p>
            <w:r>
              <w:rPr>
                <w:sz w:val="17"/>
              </w:rPr>
              <w:t>23,162</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19,222</w:t>
            </w:r>
          </w:p>
        </w:tc>
        <w:tc>
          <w:tcPr>
            <w:tcW w:type="dxa" w:w="1440"/>
            <w:shd w:fill="FFDCE0" w:val="clear"/>
          </w:tcPr>
          <w:p>
            <w:r>
              <w:rPr>
                <w:b/>
                <w:sz w:val="17"/>
              </w:rPr>
              <w:t>21,320</w:t>
            </w:r>
          </w:p>
        </w:tc>
        <w:tc>
          <w:tcPr>
            <w:tcW w:type="dxa" w:w="1440"/>
            <w:shd w:fill="FFDCE0" w:val="clear"/>
          </w:tcPr>
          <w:p>
            <w:r>
              <w:rPr>
                <w:sz w:val="17"/>
              </w:rPr>
              <w:t>23,417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18,954</w:t>
            </w:r>
          </w:p>
        </w:tc>
        <w:tc>
          <w:tcPr>
            <w:tcW w:type="dxa" w:w="1440"/>
            <w:shd w:fill="FFDCE0" w:val="clear"/>
          </w:tcPr>
          <w:p>
            <w:r>
              <w:rPr>
                <w:b/>
                <w:sz w:val="17"/>
              </w:rPr>
              <w:t>21,296</w:t>
            </w:r>
          </w:p>
        </w:tc>
        <w:tc>
          <w:tcPr>
            <w:tcW w:type="dxa" w:w="1440"/>
            <w:shd w:fill="FFDCE0" w:val="clear"/>
          </w:tcPr>
          <w:p>
            <w:r>
              <w:rPr>
                <w:sz w:val="17"/>
              </w:rPr>
              <w:t>23,639</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18,711</w:t>
            </w:r>
          </w:p>
        </w:tc>
        <w:tc>
          <w:tcPr>
            <w:tcW w:type="dxa" w:w="1440"/>
            <w:shd w:fill="FFDCE0" w:val="clear"/>
          </w:tcPr>
          <w:p>
            <w:r>
              <w:rPr>
                <w:b/>
                <w:sz w:val="17"/>
              </w:rPr>
              <w:t>21,274</w:t>
            </w:r>
          </w:p>
        </w:tc>
        <w:tc>
          <w:tcPr>
            <w:tcW w:type="dxa" w:w="1440"/>
            <w:shd w:fill="FFDCE0" w:val="clear"/>
          </w:tcPr>
          <w:p>
            <w:r>
              <w:rPr>
                <w:sz w:val="17"/>
              </w:rPr>
              <w:t>23,837</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18,486</w:t>
            </w:r>
          </w:p>
        </w:tc>
        <w:tc>
          <w:tcPr>
            <w:tcW w:type="dxa" w:w="1440"/>
            <w:shd w:fill="FFDCE0" w:val="clear"/>
          </w:tcPr>
          <w:p>
            <w:r>
              <w:rPr>
                <w:b/>
                <w:sz w:val="17"/>
              </w:rPr>
              <w:t>21,252</w:t>
            </w:r>
          </w:p>
        </w:tc>
        <w:tc>
          <w:tcPr>
            <w:tcW w:type="dxa" w:w="1440"/>
            <w:shd w:fill="FFDCE0" w:val="clear"/>
          </w:tcPr>
          <w:p>
            <w:r>
              <w:rPr>
                <w:sz w:val="17"/>
              </w:rPr>
              <w:t>24,018</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18,276</w:t>
            </w:r>
          </w:p>
        </w:tc>
        <w:tc>
          <w:tcPr>
            <w:tcW w:type="dxa" w:w="1440"/>
            <w:shd w:fill="FFDCE0" w:val="clear"/>
          </w:tcPr>
          <w:p>
            <w:r>
              <w:rPr>
                <w:b/>
                <w:sz w:val="17"/>
              </w:rPr>
              <w:t>21,230</w:t>
            </w:r>
          </w:p>
        </w:tc>
        <w:tc>
          <w:tcPr>
            <w:tcW w:type="dxa" w:w="1440"/>
            <w:shd w:fill="FFDCE0" w:val="clear"/>
          </w:tcPr>
          <w:p>
            <w:r>
              <w:rPr>
                <w:sz w:val="17"/>
              </w:rPr>
              <w:t>24,184</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18,079</w:t>
            </w:r>
          </w:p>
        </w:tc>
        <w:tc>
          <w:tcPr>
            <w:tcW w:type="dxa" w:w="1440"/>
            <w:shd w:fill="FFDCE0" w:val="clear"/>
          </w:tcPr>
          <w:p>
            <w:r>
              <w:rPr>
                <w:b/>
                <w:sz w:val="17"/>
              </w:rPr>
              <w:t>21,209</w:t>
            </w:r>
          </w:p>
        </w:tc>
        <w:tc>
          <w:tcPr>
            <w:tcW w:type="dxa" w:w="1440"/>
            <w:shd w:fill="FFDCE0" w:val="clear"/>
          </w:tcPr>
          <w:p>
            <w:r>
              <w:rPr>
                <w:sz w:val="17"/>
              </w:rPr>
              <w:t>24,339</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17,892</w:t>
            </w:r>
          </w:p>
        </w:tc>
        <w:tc>
          <w:tcPr>
            <w:tcW w:type="dxa" w:w="1440"/>
            <w:shd w:fill="FFDCE0" w:val="clear"/>
          </w:tcPr>
          <w:p>
            <w:r>
              <w:rPr>
                <w:b/>
                <w:sz w:val="17"/>
              </w:rPr>
              <w:t>21,188</w:t>
            </w:r>
          </w:p>
        </w:tc>
        <w:tc>
          <w:tcPr>
            <w:tcW w:type="dxa" w:w="1440"/>
            <w:shd w:fill="FFDCE0" w:val="clear"/>
          </w:tcPr>
          <w:p>
            <w:r>
              <w:rPr>
                <w:sz w:val="17"/>
              </w:rPr>
              <w:t>24,484</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3 314,42 milliards FCFA, ORAC s'impose comme l'une des toutes premières capitalisations de la BRVM, représentant à elle seule une part majeure de la capitalisation totale du marché (estimée à environ 26 % selon le rapport annuel 2024). Le BPA de 1 114 FCFA/action signifie que chaque titre génère un bénéfice net de 1 114 FCFA, ce qui, rapporté au cours actuel de 22 000 FCFA, donne un PER de 19,8x — nettement supérieur à la moyenne du marché BRVM (8-12x), traduisant une prime de qualité et de leadership assumée par les investisseurs. Le P/B de 4,68x confirme cette valorisation exigeante : le marché paie près de 5 fois la valeur comptable des fonds propres, ce qui n'est justifiable que par la forte rentabilité (ROE de 23,7 %) et la croissance attendue. Enfin, l'EV/EBITDA de 7,9x, dans la fourchette raisonnable de 5-10x, indique que la valeur totale de l'entreprise (dette incluse) reste cohérente avec sa capacité opérationnelle à générer du cash, offrant un contrepoids rassurant à la cherté relative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ORAC a enregistré une progression spectaculaire de +46,67 %, avec une dernière séance en hausse de +2,85 %, portant le cours à 22 000 FCFA. Le range de trading s'étend de 15 000 FCFA (plus bas) à 22 500 FCFA (plus haut), soit une amplitude de 50 %, ce qui témoigne d'une tendance nettement haussière soutenue par un volume moyen quotidien de 3 561 titres. L'analyse descriptive révèle une moyenne de 18 096 FCFA contre une médiane de 16 750 FCFA : cet écart positif significatif confirme une distribution asymétrique, le cours ayant passé plus de temps dans la partie basse de sa fourchette avant de s'envoler récemment. L'écart-type de 2 489 FCFA (CV = 13,8 %) indique une dispersion modérée autour de la moyenne, tandis que le kurtosis négatif (-1,350, distribution platykurtique) signale une faible concentration des rendements et un risque de pics extrêmes limité. Le skewness positif (+0,605) traduit une asymétrie à droite, avec davantage de journées sous la moyenne mais des mouvements haussiers plus amples — un profil typique d'un titre en phase d'accélération. Enfin, la volatilité annualisée de 35,8 % classe ORAC dans la catégorie des titres à volatilité élevée (&gt;30 %), ce qui est cohérent avec sa dynamique récente et invite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(21 666,75 FCFA) et la MM50 (20 091,20 FCFA) se situent toutes deux sous le cours actuel (22 000 FCFA), avec une MM20 supérieure à la MM50 — configuration haussière classique (golden cross). Le cours évoluant au-dessus de ses deux moyennes, la décision technique est à l'**Achat**, confirmant la dynamique positive de court et moyen terme.</w:t>
      </w:r>
    </w:p>
    <w:p>
      <w:pPr>
        <w:spacing w:after="120" w:line="276" w:lineRule="auto"/>
      </w:pPr>
      <w:r>
        <w:t>**Bandes de Bollinger :** Le cours (22 000 FCFA) se situe dans la partie haute de la bande, entre la borne inférieure (20 191,37 FCFA) et la borne supérieure (23 142,13 FCFA), sans la franchir. Cette position proche de la borne haute, combinée à un rétrécissement relatif de l'amplitude, justifie une décision **Neutre** : le titre n'est ni en surachat extrême ni en zone de survente, mais la prudence est de mise à l'approche de la résistance des 23 142 FCFA.</w:t>
      </w:r>
    </w:p>
    <w:p>
      <w:pPr>
        <w:spacing w:after="120" w:line="276" w:lineRule="auto"/>
      </w:pPr>
      <w:r>
        <w:t>**MACD :** La valeur du MACD (261,903) est inférieure à son signal (393,89), ce qui génère une configuration baissière (croisement à la baisse) et justifie la décision **Vente**. Ce divergence négative indique un essoufflement du momentum haussier malgré la progression récente du cours, signalant un possible ralentissement à court terme.</w:t>
      </w:r>
    </w:p>
    <w:p>
      <w:pPr>
        <w:spacing w:after="120" w:line="276" w:lineRule="auto"/>
      </w:pPr>
      <w:r>
        <w:t>**RSI :** À 47,625, le RSI se situe en zone neutre (entre 30 et 70), sans signal de surachat ni de survente. La décision **Neutre** reflète un équilibre entre acheteurs et vendeurs, laissant la porte ouverte à une reprise haussière si le RSI venait à franchir les 50-55.</w:t>
      </w:r>
    </w:p>
    <w:p>
      <w:pPr>
        <w:spacing w:after="120" w:line="276" w:lineRule="auto"/>
      </w:pPr>
      <w:r>
        <w:t>**Stochastique :** Le %K (91,304) est nettement supérieur au %D (50,341), avec un %K en zone de surachat (&gt;80). Cette configuration, bien que haussière à court terme, justifie une décision **Vente** en raison du risque de correction imminente : le croisement potentiel du %K sous le %D signalerait un retournement baissier.</w:t>
      </w:r>
    </w:p>
    <w:p>
      <w:pPr>
        <w:spacing w:after="120" w:line="276" w:lineRule="auto"/>
      </w:pPr>
      <w:r>
        <w:t>**Conclusion technique :** Les indicateurs présentent un tableau mitigé. Les moyennes mobiles confirment la tendance haussière de fond, mais le MACD, le stochastique et la position du cours dans les bandes de Bollinger plaident pour une pause, voire une correction à court terme. Le RSI neutre n'apporte pas de signal directionnel fort. La convergence des signaux baissiers (MACD, stochastique) face à la tendance haussière des MM suggère une phase de consolidation probable avant une nouvelle impulsion.</w:t>
      </w:r>
    </w:p>
    <w:p>
      <w:pPr>
        <w:spacing w:after="120" w:line="276" w:lineRule="auto"/>
      </w:pPr>
      <w:r>
        <w:t>---</w:t>
      </w:r>
    </w:p>
    <w:p>
      <w:pPr>
        <w:spacing w:after="120" w:line="276" w:lineRule="auto"/>
      </w:pPr>
      <w:r>
        <w:t>## PARTIE 3 : ANALYSE FONDAMENTALE</w:t>
      </w:r>
    </w:p>
    <w:p>
      <w:pPr>
        <w:spacing w:after="120" w:line="276" w:lineRule="auto"/>
      </w:pPr>
      <w:r>
        <w:t>En 2025, Orange Côte d'Ivoire affiche un chiffre d'affaires consolidé de 1 197,1 milliards FCFA, en hausse de +10,4 % par rapport à 2024 (1 084,1 milliards FCFA), porté par la croissance du parc mobile (+8,6 % à 37,6 millions d'abonnés), d'Orange Money (+10,2 % à 40,4 millions de clients) et de la fibre (+59,9 %). Le résultat net part du groupe s'établit à 129,1 milliards FCFA (+14,5 %), tandis que le résultat net consolidé total atteint 167,8 milliards FCFA (+6,1 %), avec une marge nette de 14,0 % (contre 14,6 % en 2024). Les ratios de rentabilité demeurent excellents : ROE de 23,71 % (&gt;15 % = excellent) et ROA de 6,57 %, confirmant la capacité du groupe à générer des profits sur ses fonds propres et ses actifs. La structure financière reste saine avec une autonomie financière de 27,7 %, une solvabilité générale de 138,3 % et une couverture des intérêts de 1 018 %, bien que le ratio d'endettement (47,5 %) et la dépendance financière (72,3 %) méritent une surveillance. Le BFR est négatif (-198,0 milliards FCFA), ce qui est favorable pour une entreprise non bancaire, et la trésorerie nette s'élève à 113,9 milliards FCFA. Les délais d'exploitation montrent un délai client de 52,26 jours (risque de trésorerie modéré) et un délai fournisseur de 210,87 jours (excellent pour la trésorerie), tandis que la durée de stockage est faible (19,64 jours). Sur la base du rapport T1 2026 (publié le 31 mars 2026), on estime que l'exercice 2026 devrait confirmer cette dynamique : le CA a bondi de +14,8 % à 325,6 milliards FCFA et le résultat net de +25,2 % à 48,3 milliards FCFA, avec un EBITDAaL en hausse de +15,7 % à 114,2 milliards FCFA. Le dividende proposé pour 2025 est de 800 FCFA brut par action (rendement d'environ 3,6 % au cours actuel), en baisse par rapport aux 1 278 FCFA implicites de 2024, reflétant un recentrage vers l'autofinancement des investissements. La recommandation fondamentale est **ACHAT** : malgré la pression sur les marges et la baisse du dividende, la solidité opérationnelle, la croissance à deux chiffres et les perspectives prometteuses (fibre, Orange Money, 5G) soutiennent une vision positive à moyen et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exigeante : PER de 19,8x (bien au-dessus de la moyenne BRVM de 8-12x) et P/B de 4,68x traduisent une prime de qualité, mais l'EV/EBITDA de 7,9x reste raisonnable, suggérant que la cherté relative est justifiée par la rentabilité et la croissance. Le **comportement du cours (Partie 1)** est nettement haussier (+46,67 % sur 100 jours) avec une volatilité élevée (35,8 %) et une distribution asymétrique positive (skewness +0,605), ce qui est favorable mais invite à la prudence après une telle progression. Les **signaux techniques (Partie 2)** sont mitigés : les moyennes mobiles confirment la tendance haussière, mais le MACD et le stochastique signalent un essoufflement à court terme, plaidant pour une consolidation. Les **fondamentaux (Partie 3)** sont solides : CA de 1 197,1 milliards FCFA en 2025 (+10,4 %), résultat net de 129,1 milliards FCFA (+14,5 %), ROE de 23,7 %, et les estimations basées sur le T1 2026 (CA +14,8 %, résultat net +25,2 %) confirment une accélération en 2026. Les **prédictions IA (J+1 à J+10)** anticipent une légère correction vers 21 296-21 358 FCFA, ce qui contredit la tendance haussière récente mais s'aligne avec les signaux techniques baissiers à court terme. Sur la base de cette synthèse, la recommandation finale est **CONSERVER** : la convergence entre fondamentaux solides et valorisation exigeante, tempérée par des signaux techniques baissiers à court terme et des prédictions de correction, justifie une position attentiste. Le niveau de confiance est **Moyen** (les fondamentaux sont solides mais la valorisation et les signaux techniques incitent à la prudence), le risque global est **Moyen** (volatilité élevée mais fondamentaux résilients), et l'horizon d'investissement optimal est **moyen terme (3-12 mois)**, en attendant une consolidation qui offrirait un point d'entrée plus favorable.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207.55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4,687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007800"/>
                <w:sz w:val="17"/>
              </w:rPr>
              <w:t>+16.12%</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8.38% (Moyenne) — μ=2,896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β=0.7765 (Défensif) — Cov=0.000057, Var(idx)=0.000073, ρ=0.291,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2,834</w:t>
            </w:r>
          </w:p>
        </w:tc>
        <w:tc>
          <w:tcPr>
            <w:tcW w:type="dxa" w:w="1440"/>
            <w:shd w:fill="FAFAFA" w:val="clear"/>
          </w:tcPr>
          <w:p>
            <w:r>
              <w:rPr>
                <w:b/>
                <w:sz w:val="17"/>
              </w:rPr>
              <w:t>2,961</w:t>
            </w:r>
          </w:p>
        </w:tc>
        <w:tc>
          <w:tcPr>
            <w:tcW w:type="dxa" w:w="1440"/>
            <w:shd w:fill="FAFAFA" w:val="clear"/>
          </w:tcPr>
          <w:p>
            <w:r>
              <w:rPr>
                <w:sz w:val="17"/>
              </w:rPr>
              <w:t>3,087</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2,780</w:t>
            </w:r>
          </w:p>
        </w:tc>
        <w:tc>
          <w:tcPr>
            <w:tcW w:type="dxa" w:w="1440"/>
            <w:shd w:fill="FAFAFA" w:val="clear"/>
          </w:tcPr>
          <w:p>
            <w:r>
              <w:rPr>
                <w:b/>
                <w:sz w:val="17"/>
              </w:rPr>
              <w:t>2,959</w:t>
            </w:r>
          </w:p>
        </w:tc>
        <w:tc>
          <w:tcPr>
            <w:tcW w:type="dxa" w:w="1440"/>
            <w:shd w:fill="FAFAFA" w:val="clear"/>
          </w:tcPr>
          <w:p>
            <w:r>
              <w:rPr>
                <w:sz w:val="17"/>
              </w:rPr>
              <w:t>3,138</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2,736</w:t>
            </w:r>
          </w:p>
        </w:tc>
        <w:tc>
          <w:tcPr>
            <w:tcW w:type="dxa" w:w="1440"/>
            <w:shd w:fill="FAFAFA" w:val="clear"/>
          </w:tcPr>
          <w:p>
            <w:r>
              <w:rPr>
                <w:b/>
                <w:sz w:val="17"/>
              </w:rPr>
              <w:t>2,954</w:t>
            </w:r>
          </w:p>
        </w:tc>
        <w:tc>
          <w:tcPr>
            <w:tcW w:type="dxa" w:w="1440"/>
            <w:shd w:fill="FAFAFA" w:val="clear"/>
          </w:tcPr>
          <w:p>
            <w:r>
              <w:rPr>
                <w:sz w:val="17"/>
              </w:rPr>
              <w:t>3,173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2,698</w:t>
            </w:r>
          </w:p>
        </w:tc>
        <w:tc>
          <w:tcPr>
            <w:tcW w:type="dxa" w:w="1440"/>
            <w:shd w:fill="FAFAFA" w:val="clear"/>
          </w:tcPr>
          <w:p>
            <w:r>
              <w:rPr>
                <w:b/>
                <w:sz w:val="17"/>
              </w:rPr>
              <w:t>2,950</w:t>
            </w:r>
          </w:p>
        </w:tc>
        <w:tc>
          <w:tcPr>
            <w:tcW w:type="dxa" w:w="1440"/>
            <w:shd w:fill="FAFAFA" w:val="clear"/>
          </w:tcPr>
          <w:p>
            <w:r>
              <w:rPr>
                <w:sz w:val="17"/>
              </w:rPr>
              <w:t>3,202</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2,665</w:t>
            </w:r>
          </w:p>
        </w:tc>
        <w:tc>
          <w:tcPr>
            <w:tcW w:type="dxa" w:w="1440"/>
            <w:shd w:fill="FAFAFA" w:val="clear"/>
          </w:tcPr>
          <w:p>
            <w:r>
              <w:rPr>
                <w:b/>
                <w:sz w:val="17"/>
              </w:rPr>
              <w:t>2,946</w:t>
            </w:r>
          </w:p>
        </w:tc>
        <w:tc>
          <w:tcPr>
            <w:tcW w:type="dxa" w:w="1440"/>
            <w:shd w:fill="FAFAFA" w:val="clear"/>
          </w:tcPr>
          <w:p>
            <w:r>
              <w:rPr>
                <w:sz w:val="17"/>
              </w:rPr>
              <w:t>3,228</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2,634</w:t>
            </w:r>
          </w:p>
        </w:tc>
        <w:tc>
          <w:tcPr>
            <w:tcW w:type="dxa" w:w="1440"/>
            <w:shd w:fill="FAFAFA" w:val="clear"/>
          </w:tcPr>
          <w:p>
            <w:r>
              <w:rPr>
                <w:b/>
                <w:sz w:val="17"/>
              </w:rPr>
              <w:t>2,942</w:t>
            </w:r>
          </w:p>
        </w:tc>
        <w:tc>
          <w:tcPr>
            <w:tcW w:type="dxa" w:w="1440"/>
            <w:shd w:fill="FAFAFA" w:val="clear"/>
          </w:tcPr>
          <w:p>
            <w:r>
              <w:rPr>
                <w:sz w:val="17"/>
              </w:rPr>
              <w:t>3,250</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2,607</w:t>
            </w:r>
          </w:p>
        </w:tc>
        <w:tc>
          <w:tcPr>
            <w:tcW w:type="dxa" w:w="1440"/>
            <w:shd w:fill="FAFAFA" w:val="clear"/>
          </w:tcPr>
          <w:p>
            <w:r>
              <w:rPr>
                <w:b/>
                <w:sz w:val="17"/>
              </w:rPr>
              <w:t>2,939</w:t>
            </w:r>
          </w:p>
        </w:tc>
        <w:tc>
          <w:tcPr>
            <w:tcW w:type="dxa" w:w="1440"/>
            <w:shd w:fill="FAFAFA" w:val="clear"/>
          </w:tcPr>
          <w:p>
            <w:r>
              <w:rPr>
                <w:sz w:val="17"/>
              </w:rPr>
              <w:t>3,271</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2,581</w:t>
            </w:r>
          </w:p>
        </w:tc>
        <w:tc>
          <w:tcPr>
            <w:tcW w:type="dxa" w:w="1440"/>
            <w:shd w:fill="FAFAFA" w:val="clear"/>
          </w:tcPr>
          <w:p>
            <w:r>
              <w:rPr>
                <w:b/>
                <w:sz w:val="17"/>
              </w:rPr>
              <w:t>2,935</w:t>
            </w:r>
          </w:p>
        </w:tc>
        <w:tc>
          <w:tcPr>
            <w:tcW w:type="dxa" w:w="1440"/>
            <w:shd w:fill="FAFAFA" w:val="clear"/>
          </w:tcPr>
          <w:p>
            <w:r>
              <w:rPr>
                <w:sz w:val="17"/>
              </w:rPr>
              <w:t>3,290</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2,556</w:t>
            </w:r>
          </w:p>
        </w:tc>
        <w:tc>
          <w:tcPr>
            <w:tcW w:type="dxa" w:w="1440"/>
            <w:shd w:fill="FAFAFA" w:val="clear"/>
          </w:tcPr>
          <w:p>
            <w:r>
              <w:rPr>
                <w:b/>
                <w:sz w:val="17"/>
              </w:rPr>
              <w:t>2,932</w:t>
            </w:r>
          </w:p>
        </w:tc>
        <w:tc>
          <w:tcPr>
            <w:tcW w:type="dxa" w:w="1440"/>
            <w:shd w:fill="FAFAFA" w:val="clear"/>
          </w:tcPr>
          <w:p>
            <w:r>
              <w:rPr>
                <w:sz w:val="17"/>
              </w:rPr>
              <w:t>3,308</w:t>
            </w:r>
          </w:p>
        </w:tc>
        <w:tc>
          <w:tcPr>
            <w:tcW w:type="dxa" w:w="1440"/>
            <w:shd w:fill="FAFAFA" w:val="clear"/>
          </w:tcPr>
          <w:p>
            <w:r>
              <w:rPr>
                <w:b/>
                <w:color w:val="C00000"/>
                <w:sz w:val="17"/>
              </w:rPr>
              <w:t>-1.9%</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2,533</w:t>
            </w:r>
          </w:p>
        </w:tc>
        <w:tc>
          <w:tcPr>
            <w:tcW w:type="dxa" w:w="1440"/>
            <w:shd w:fill="FFDCE0" w:val="clear"/>
          </w:tcPr>
          <w:p>
            <w:r>
              <w:rPr>
                <w:b/>
                <w:sz w:val="17"/>
              </w:rPr>
              <w:t>2,929</w:t>
            </w:r>
          </w:p>
        </w:tc>
        <w:tc>
          <w:tcPr>
            <w:tcW w:type="dxa" w:w="1440"/>
            <w:shd w:fill="FFDCE0" w:val="clear"/>
          </w:tcPr>
          <w:p>
            <w:r>
              <w:rPr>
                <w:sz w:val="17"/>
              </w:rPr>
              <w:t>3,324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207,55 milliards FCFA, ORGT se positionne comme une valeur de premier plan de la cote BRVM, témoignant de la taille significative du groupe bancaire panafricain. Le BPA de 312 FCFA/action indique que chaque titre génère un bénéfice net de 312 FCFA, ce qui, rapporté au cours actuel de 2 990 FCFA, donne un PER de 9,6x — un niveau modéré et légèrement inférieur à la moyenne du marché BRVM (8-12x), suggérant une valorisation raisonnable voire une légère sous-évaluation au regard des bénéfices. Le ratio P/B de 1,83x montre que le marché valorise l'action à près du double de sa valeur comptable, ce qui reste dans une fourchette acceptable (1-2x) et traduit une confiance modérée dans la qualité des fonds propres. En revanche, l'EV/EBITDA de 19,7x apparaît très exigeant (&gt;15x), signalant que la valeur d'entreprise intègre déjà une prime importante par rapport à la capacité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ORGT affiche une performance positive de +16,12%, avec une dernière séance en hausse de +1,36%, confirmant un momentum haussier de court terme. Le titre a évolué dans un range de 965 FCFA, entre un plus bas de 2 435 FCFA et un plus haut de 3 400 FCFA, le cours actuel de 2 990 FCFA se situant dans la partie médiane-haute de cette fourchette. La tendance générale est donc haussière, portée par le redressement fondamental du groupe. Les statistiques descriptives révèlent une moyenne de 2 896 FCFA légèrement supérieure à la médiane de 2 852 FCFA, avec un mode à 2 680 FCFA — cet écart modéré indique une distribution quasi-symétrique, confirmée par un skewness de 0,244 (proche de zéro). L'écart-type de 244 FCFA (CV = 8,4%) traduit une dispersion modérée du cours, tandis que le kurtosis de -1,197 (distribution platykurtique) signale une faible concentration des rendements et un risque de pics extrêmes limité. La volatilité annualisée de 36,1% classe le titre dans la catégorie des valeurs à volatilité élevée (&gt;30%), ce qui implique un risque de marché non négligeable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(3 082 FCFA) et la MM50 (3 105,6 FCFA) se situent toutes deux au-dessus du cours actuel (2 990 FCFA), ce qui place le titre en position baissière par rapport à ses moyennes. La MM20 étant légèrement en dessous de la MM50, on observe un croisement baissier (death cross) confirmant la pression vendeuse. La décision technique qui en résulte est **Vente**.</w:t>
      </w:r>
    </w:p>
    <w:p>
      <w:pPr>
        <w:spacing w:after="120" w:line="276" w:lineRule="auto"/>
      </w:pPr>
      <w:r>
        <w:t>**Bandes de Bollinger** : Le cours actuel (2 990 FCFA) évolue entre la borne inférieure (2 760,91 FCFA) et la borne supérieure (3 403,09 FCFA), se situant à environ 43% de la largeur du canal — une position médiane. L'absence de contact avec les bornes traduit une volatilité normale sans excès, et la décision est **Neutre**, le marché attendant un catalyseur directionnel.</w:t>
      </w:r>
    </w:p>
    <w:p>
      <w:pPr>
        <w:spacing w:after="120" w:line="276" w:lineRule="auto"/>
      </w:pPr>
      <w:r>
        <w:t>**MACD** : La valeur du MACD (-53,825) est inférieure à son signal (-37,222), avec un histogramme négatif — configuration baissière classique. Le momentum est clairement négatif, bien que l'écart entre les deux lignes tende à se réduire, ce qui pourrait annoncer un ralentissement de la baisse. La décision reste **Vente**.</w:t>
      </w:r>
    </w:p>
    <w:p>
      <w:pPr>
        <w:spacing w:after="120" w:line="276" w:lineRule="auto"/>
      </w:pPr>
      <w:r>
        <w:t>**RSI** : À 39,431, le RSI se situe dans la zone neutre basse (30-70), sans atteindre la zone de survente (&lt;30). Cela indique que le titre n'est pas encore survendu et qu'il conserve un potentiel de baisse résiduel, mais la proximité de la zone de survente suggère une possible stabilisation prochaine. Décision **Neutre**.</w:t>
      </w:r>
    </w:p>
    <w:p>
      <w:pPr>
        <w:spacing w:after="120" w:line="276" w:lineRule="auto"/>
      </w:pPr>
      <w:r>
        <w:t>**Stochastique** : Le %K (38,384) est supérieur au %D (29,63), avec un croisement haussier en cours dans la zone basse — signal potentiellement positif à court terme. Toutefois, les deux lignes restent sous le seuil de 50, ce qui maintient une orientation baissière de fond. Décision **Neutre**.</w:t>
      </w:r>
    </w:p>
    <w:p>
      <w:pPr>
        <w:spacing w:after="120" w:line="276" w:lineRule="auto"/>
      </w:pPr>
      <w:r>
        <w:t>**Conclusion technique** : Les indicateurs présentent une configuration majoritairement baissière (MM en death cross, MACD négatif), mais tempérée par des signaux de stabilisation (RSI proche de la survente, Stochastique en croisement haussier, cours au milieu des Bollinger). Le titre se trouve dans une phase de consolidation baissière, avec un potentiel de rebond technique à court terme si le support de 2 760 FCFA (borne inférieure de Bollinger) tient. La prudence reste de mise tant que le cours n'aura pas reconquis la MM20 (3 082 FCFA).</w:t>
      </w:r>
    </w:p>
    <w:p>
      <w:pPr>
        <w:spacing w:after="120" w:line="276" w:lineRule="auto"/>
      </w:pPr>
      <w:r>
        <w:t>---</w:t>
      </w:r>
    </w:p>
    <w:p>
      <w:pPr>
        <w:spacing w:after="120" w:line="276" w:lineRule="auto"/>
      </w:pPr>
      <w:r>
        <w:t>## PARTIE 3 : ANALYSE FONDAMENTALE</w:t>
      </w:r>
    </w:p>
    <w:p>
      <w:pPr>
        <w:spacing w:after="120" w:line="276" w:lineRule="auto"/>
      </w:pPr>
      <w:r>
        <w:t>En 2025, ORAGROUP a réalisé un Produit Net Bancaire (PNB) consolidé de 186,609 milliards FCFA, en recul de -4,5% par rapport aux 195,436 milliards de 2024, reflétant une contraction volontaire de l'activité de crédit (-12% sur les crédits nets) dans le cadre d'une stratégie d'assainissement. Le résultat net consolidé s'établit à 21,643 milliards FCFA, marquant un redressement spectaculaire après la perte de -44,363 milliards en 2024, soit une amélioration de +149%. Cette performance est portée par une réduction drastique du coût net du risque (-90%, à -6,971 milliards FCFA) et une baisse des frais généraux de -12%. Les ratios de rentabilité sont solides : ROE de 19,13% (&gt;15%, excellent) et ROA de 0,54%, tandis que le coefficient d'exploitation de 42,85% (&lt;60%) témoigne d'une banque très efficace. Le coût du risque rapporté aux charges financières s'élève à 3,74%, indiquant un portefeuille de crédit assaini. La structure bilancielle montre des dépôts clientèle de 3 088,698 milliards FCFA (principale ressource) contre des créances clientèle de 1 523,765 milliards FCFA, soit un ratio de transformation de 49,3% — une marge de progression existe pour stimuler le PNB via une reprise prudente du crédit. Les capitaux propres se renforcent à 113,165 milliards FCFA (+17%), améliorant la solvabilité. Sur la base du rapport T1 2026 (publié en 2026), le PNB recule de -2% à 50,124 milliards FCFA, mais le résultat net progresse de +37% à 6,555 milliards FCFA, confirmant la poursuite de la dynamique de redressement opérationnel. On estime donc que l'exercice 2026 devrait consolider cette trajectoire, avec un résultat net annuel potentiellement supérieur à 25 milliards FCFA si la tendance se maintient. La recommandation fondamentale est **CONSERVER**, le redressement étant validé mais la dynamique commerciale (PNB) restant fragile.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le PER de 9,6x et le P/B de 1,83x suggèrent une valorisation raisonnable voire légèrement sous-évaluée, mais l'EV/EBITDA de 19,7x tempère cet optimisme en intégrant une prime déjà élevée. Le comportement du cours (Partie 1) est haussier sur 100 jours (+16,12%), avec une volatilité élevée (36,1%) et une distribution symétrique (skewness 0,244) sans risque de pics extrêmes (kurtosis -1,197), ce qui est globalement favorable mais exige une tolérance au risque. Les signaux techniques (Partie 2) sont majoritairement baissiers (MM en death cross, MACD négatif), mais des signes de stabilisation émergent (RSI proche de la survente, Stochastique en croisement haussier), plaidant pour une consolidation avant un éventuel rebond. Les fondamentaux (Partie 3) sont solides : redressement spectaculaire du résultat net (21,6 Mds FCFA en 2025), ROE excellent (19,13%), coefficient d'exploitation maîtrisé (42,85%), et confirmation de la tendance au T1 2026 (résultat net +37%). Les prédictions IA (J+1 à J+10) anticipent une légère baisse vers 2 946 FCFA, en ligne avec la pression technique baissière de court terme, mais sans effondrement. Sur la base de cette synthèse, la recommandation finale est **CONSERVER**, avec un niveau de confiance **Moyen** et un risque global **Moyen**. L'horizon d'investissement optimal est le **moyen terme (3-12 mois)**, le temps que la dynamique commerciale (PNB) se confirme et que les indicateurs techniques se retournent à la hausse. Un passage à l'ACHAT serait justifié si le cours reconquiert la MM20 (3 082 FCFA) et si le PNB affiche une croissance positive sur deux trimestres consécutifs.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129.47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4,028 titres</w:t>
            </w:r>
          </w:p>
        </w:tc>
        <w:tc>
          <w:tcPr>
            <w:tcW w:type="dxa" w:w="2268"/>
            <w:shd w:fill="FFF2CC" w:val="clear"/>
          </w:tcPr>
          <w:p>
            <w:r>
              <w:rPr>
                <w:b/>
                <w:color w:val="503200"/>
                <w:sz w:val="16"/>
              </w:rPr>
              <w:t xml:space="preserve">Cours actuel : </w:t>
            </w:r>
            <w:r>
              <w:rPr>
                <w:color w:val="000000"/>
                <w:sz w:val="17"/>
              </w:rPr>
              <w:t>8,375 FCFA</w:t>
            </w:r>
          </w:p>
          <w:p>
            <w:r>
              <w:rPr>
                <w:b/>
                <w:color w:val="503200"/>
                <w:sz w:val="16"/>
              </w:rPr>
              <w:t xml:space="preserve">Var. 100 jours : </w:t>
            </w:r>
            <w:r>
              <w:rPr>
                <w:b/>
                <w:color w:val="007800"/>
                <w:sz w:val="17"/>
              </w:rPr>
              <w:t>+7.37%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μ=8,629 FCFA, σ=466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β=0.0439 (Défensif) — Cov=0.000003, Var(idx)=0.000073, ρ=0.019,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8,029</w:t>
            </w:r>
          </w:p>
        </w:tc>
        <w:tc>
          <w:tcPr>
            <w:tcW w:type="dxa" w:w="1440"/>
            <w:shd w:fill="FAFAFA" w:val="clear"/>
          </w:tcPr>
          <w:p>
            <w:r>
              <w:rPr>
                <w:b/>
                <w:sz w:val="17"/>
              </w:rPr>
              <w:t>8,250</w:t>
            </w:r>
          </w:p>
        </w:tc>
        <w:tc>
          <w:tcPr>
            <w:tcW w:type="dxa" w:w="1440"/>
            <w:shd w:fill="FAFAFA" w:val="clear"/>
          </w:tcPr>
          <w:p>
            <w:r>
              <w:rPr>
                <w:sz w:val="17"/>
              </w:rPr>
              <w:t>8,470</w:t>
            </w:r>
          </w:p>
        </w:tc>
        <w:tc>
          <w:tcPr>
            <w:tcW w:type="dxa" w:w="1440"/>
            <w:shd w:fill="FAFAFA" w:val="clear"/>
          </w:tcPr>
          <w:p>
            <w:r>
              <w:rPr>
                <w:b/>
                <w:color w:val="C00000"/>
                <w:sz w:val="17"/>
              </w:rPr>
              <w:t>-1.5%</w:t>
            </w:r>
          </w:p>
        </w:tc>
      </w:tr>
      <w:tr>
        <w:tc>
          <w:tcPr>
            <w:tcW w:type="dxa" w:w="1440"/>
            <w:shd w:fill="FFDCE0" w:val="clear"/>
          </w:tcPr>
          <w:p>
            <w:r>
              <w:rPr>
                <w:sz w:val="17"/>
              </w:rPr>
              <w:t>J+2  ⭐⭐⭐</w:t>
            </w:r>
          </w:p>
        </w:tc>
        <w:tc>
          <w:tcPr>
            <w:tcW w:type="dxa" w:w="1440"/>
            <w:shd w:fill="FFDCE0" w:val="clear"/>
          </w:tcPr>
          <w:p>
            <w:r>
              <w:rPr>
                <w:sz w:val="17"/>
              </w:rPr>
              <w:t>2026-10-09</w:t>
            </w:r>
          </w:p>
        </w:tc>
        <w:tc>
          <w:tcPr>
            <w:tcW w:type="dxa" w:w="1440"/>
            <w:shd w:fill="FFDCE0" w:val="clear"/>
          </w:tcPr>
          <w:p>
            <w:r>
              <w:rPr>
                <w:sz w:val="17"/>
              </w:rPr>
              <w:t>7,896</w:t>
            </w:r>
          </w:p>
        </w:tc>
        <w:tc>
          <w:tcPr>
            <w:tcW w:type="dxa" w:w="1440"/>
            <w:shd w:fill="FFDCE0" w:val="clear"/>
          </w:tcPr>
          <w:p>
            <w:r>
              <w:rPr>
                <w:b/>
                <w:sz w:val="17"/>
              </w:rPr>
              <w:t>8,206</w:t>
            </w:r>
          </w:p>
        </w:tc>
        <w:tc>
          <w:tcPr>
            <w:tcW w:type="dxa" w:w="1440"/>
            <w:shd w:fill="FFDCE0" w:val="clear"/>
          </w:tcPr>
          <w:p>
            <w:r>
              <w:rPr>
                <w:sz w:val="17"/>
              </w:rPr>
              <w:t>8,516</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2026-10-12</w:t>
            </w:r>
          </w:p>
        </w:tc>
        <w:tc>
          <w:tcPr>
            <w:tcW w:type="dxa" w:w="1440"/>
            <w:shd w:fill="FFDCE0" w:val="clear"/>
          </w:tcPr>
          <w:p>
            <w:r>
              <w:rPr>
                <w:sz w:val="17"/>
              </w:rPr>
              <w:t>7,776</w:t>
            </w:r>
          </w:p>
        </w:tc>
        <w:tc>
          <w:tcPr>
            <w:tcW w:type="dxa" w:w="1440"/>
            <w:shd w:fill="FFDCE0" w:val="clear"/>
          </w:tcPr>
          <w:p>
            <w:r>
              <w:rPr>
                <w:b/>
                <w:sz w:val="17"/>
              </w:rPr>
              <w:t>8,153</w:t>
            </w:r>
          </w:p>
        </w:tc>
        <w:tc>
          <w:tcPr>
            <w:tcW w:type="dxa" w:w="1440"/>
            <w:shd w:fill="FFDCE0" w:val="clear"/>
          </w:tcPr>
          <w:p>
            <w:r>
              <w:rPr>
                <w:sz w:val="17"/>
              </w:rPr>
              <w:t>8,530</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2026-10-13</w:t>
            </w:r>
          </w:p>
        </w:tc>
        <w:tc>
          <w:tcPr>
            <w:tcW w:type="dxa" w:w="1440"/>
            <w:shd w:fill="FFDCE0" w:val="clear"/>
          </w:tcPr>
          <w:p>
            <w:r>
              <w:rPr>
                <w:sz w:val="17"/>
              </w:rPr>
              <w:t>7,669</w:t>
            </w:r>
          </w:p>
        </w:tc>
        <w:tc>
          <w:tcPr>
            <w:tcW w:type="dxa" w:w="1440"/>
            <w:shd w:fill="FFDCE0" w:val="clear"/>
          </w:tcPr>
          <w:p>
            <w:r>
              <w:rPr>
                <w:b/>
                <w:sz w:val="17"/>
              </w:rPr>
              <w:t>8,102</w:t>
            </w:r>
          </w:p>
        </w:tc>
        <w:tc>
          <w:tcPr>
            <w:tcW w:type="dxa" w:w="1440"/>
            <w:shd w:fill="FFDCE0" w:val="clear"/>
          </w:tcPr>
          <w:p>
            <w:r>
              <w:rPr>
                <w:sz w:val="17"/>
              </w:rPr>
              <w:t>8,535</w:t>
            </w:r>
          </w:p>
        </w:tc>
        <w:tc>
          <w:tcPr>
            <w:tcW w:type="dxa" w:w="1440"/>
            <w:shd w:fill="FFDCE0" w:val="clear"/>
          </w:tcPr>
          <w:p>
            <w:r>
              <w:rPr>
                <w:b/>
                <w:color w:val="C00000"/>
                <w:sz w:val="17"/>
              </w:rPr>
              <w:t>-3.3%</w:t>
            </w:r>
          </w:p>
        </w:tc>
      </w:tr>
      <w:tr>
        <w:tc>
          <w:tcPr>
            <w:tcW w:type="dxa" w:w="1440"/>
            <w:shd w:fill="FFDCE0" w:val="clear"/>
          </w:tcPr>
          <w:p>
            <w:r>
              <w:rPr>
                <w:sz w:val="17"/>
              </w:rPr>
              <w:t>J+5  Moyenne</w:t>
            </w:r>
          </w:p>
        </w:tc>
        <w:tc>
          <w:tcPr>
            <w:tcW w:type="dxa" w:w="1440"/>
            <w:shd w:fill="FFDCE0" w:val="clear"/>
          </w:tcPr>
          <w:p>
            <w:r>
              <w:rPr>
                <w:sz w:val="17"/>
              </w:rPr>
              <w:t>2026-10-14</w:t>
            </w:r>
          </w:p>
        </w:tc>
        <w:tc>
          <w:tcPr>
            <w:tcW w:type="dxa" w:w="1440"/>
            <w:shd w:fill="FFDCE0" w:val="clear"/>
          </w:tcPr>
          <w:p>
            <w:r>
              <w:rPr>
                <w:sz w:val="17"/>
              </w:rPr>
              <w:t>7,573</w:t>
            </w:r>
          </w:p>
        </w:tc>
        <w:tc>
          <w:tcPr>
            <w:tcW w:type="dxa" w:w="1440"/>
            <w:shd w:fill="FFDCE0" w:val="clear"/>
          </w:tcPr>
          <w:p>
            <w:r>
              <w:rPr>
                <w:b/>
                <w:sz w:val="17"/>
              </w:rPr>
              <w:t>8,054</w:t>
            </w:r>
          </w:p>
        </w:tc>
        <w:tc>
          <w:tcPr>
            <w:tcW w:type="dxa" w:w="1440"/>
            <w:shd w:fill="FFDCE0" w:val="clear"/>
          </w:tcPr>
          <w:p>
            <w:r>
              <w:rPr>
                <w:sz w:val="17"/>
              </w:rPr>
              <w:t>8,534</w:t>
            </w:r>
          </w:p>
        </w:tc>
        <w:tc>
          <w:tcPr>
            <w:tcW w:type="dxa" w:w="1440"/>
            <w:shd w:fill="FFDCE0" w:val="clear"/>
          </w:tcPr>
          <w:p>
            <w:r>
              <w:rPr>
                <w:b/>
                <w:color w:val="C00000"/>
                <w:sz w:val="17"/>
              </w:rPr>
              <w:t>-3.8%</w:t>
            </w:r>
          </w:p>
        </w:tc>
      </w:tr>
      <w:tr>
        <w:tc>
          <w:tcPr>
            <w:tcW w:type="dxa" w:w="1440"/>
            <w:shd w:fill="FFDCE0" w:val="clear"/>
          </w:tcPr>
          <w:p>
            <w:r>
              <w:rPr>
                <w:sz w:val="17"/>
              </w:rPr>
              <w:t>J+6  Moyenne</w:t>
            </w:r>
          </w:p>
        </w:tc>
        <w:tc>
          <w:tcPr>
            <w:tcW w:type="dxa" w:w="1440"/>
            <w:shd w:fill="FFDCE0" w:val="clear"/>
          </w:tcPr>
          <w:p>
            <w:r>
              <w:rPr>
                <w:sz w:val="17"/>
              </w:rPr>
              <w:t>2026-10-15</w:t>
            </w:r>
          </w:p>
        </w:tc>
        <w:tc>
          <w:tcPr>
            <w:tcW w:type="dxa" w:w="1440"/>
            <w:shd w:fill="FFDCE0" w:val="clear"/>
          </w:tcPr>
          <w:p>
            <w:r>
              <w:rPr>
                <w:sz w:val="17"/>
              </w:rPr>
              <w:t>7,484</w:t>
            </w:r>
          </w:p>
        </w:tc>
        <w:tc>
          <w:tcPr>
            <w:tcW w:type="dxa" w:w="1440"/>
            <w:shd w:fill="FFDCE0" w:val="clear"/>
          </w:tcPr>
          <w:p>
            <w:r>
              <w:rPr>
                <w:b/>
                <w:sz w:val="17"/>
              </w:rPr>
              <w:t>8,008</w:t>
            </w:r>
          </w:p>
        </w:tc>
        <w:tc>
          <w:tcPr>
            <w:tcW w:type="dxa" w:w="1440"/>
            <w:shd w:fill="FFDCE0" w:val="clear"/>
          </w:tcPr>
          <w:p>
            <w:r>
              <w:rPr>
                <w:sz w:val="17"/>
              </w:rPr>
              <w:t>8,531</w:t>
            </w:r>
          </w:p>
        </w:tc>
        <w:tc>
          <w:tcPr>
            <w:tcW w:type="dxa" w:w="1440"/>
            <w:shd w:fill="FFDCE0" w:val="clear"/>
          </w:tcPr>
          <w:p>
            <w:r>
              <w:rPr>
                <w:b/>
                <w:color w:val="C00000"/>
                <w:sz w:val="17"/>
              </w:rPr>
              <w:t>-4.4%</w:t>
            </w:r>
          </w:p>
        </w:tc>
      </w:tr>
      <w:tr>
        <w:tc>
          <w:tcPr>
            <w:tcW w:type="dxa" w:w="1440"/>
            <w:shd w:fill="FFDCE0" w:val="clear"/>
          </w:tcPr>
          <w:p>
            <w:r>
              <w:rPr>
                <w:sz w:val="17"/>
              </w:rPr>
              <w:t>J+7  Moyenne</w:t>
            </w:r>
          </w:p>
        </w:tc>
        <w:tc>
          <w:tcPr>
            <w:tcW w:type="dxa" w:w="1440"/>
            <w:shd w:fill="FFDCE0" w:val="clear"/>
          </w:tcPr>
          <w:p>
            <w:r>
              <w:rPr>
                <w:sz w:val="17"/>
              </w:rPr>
              <w:t>2026-10-16</w:t>
            </w:r>
          </w:p>
        </w:tc>
        <w:tc>
          <w:tcPr>
            <w:tcW w:type="dxa" w:w="1440"/>
            <w:shd w:fill="FFDCE0" w:val="clear"/>
          </w:tcPr>
          <w:p>
            <w:r>
              <w:rPr>
                <w:sz w:val="17"/>
              </w:rPr>
              <w:t>7,401</w:t>
            </w:r>
          </w:p>
        </w:tc>
        <w:tc>
          <w:tcPr>
            <w:tcW w:type="dxa" w:w="1440"/>
            <w:shd w:fill="FFDCE0" w:val="clear"/>
          </w:tcPr>
          <w:p>
            <w:r>
              <w:rPr>
                <w:b/>
                <w:sz w:val="17"/>
              </w:rPr>
              <w:t>7,964</w:t>
            </w:r>
          </w:p>
        </w:tc>
        <w:tc>
          <w:tcPr>
            <w:tcW w:type="dxa" w:w="1440"/>
            <w:shd w:fill="FFDCE0" w:val="clear"/>
          </w:tcPr>
          <w:p>
            <w:r>
              <w:rPr>
                <w:sz w:val="17"/>
              </w:rPr>
              <w:t>8,526</w:t>
            </w:r>
          </w:p>
        </w:tc>
        <w:tc>
          <w:tcPr>
            <w:tcW w:type="dxa" w:w="1440"/>
            <w:shd w:fill="FFDCE0" w:val="clear"/>
          </w:tcPr>
          <w:p>
            <w:r>
              <w:rPr>
                <w:b/>
                <w:color w:val="C00000"/>
                <w:sz w:val="17"/>
              </w:rPr>
              <w:t>-4.9%</w:t>
            </w:r>
          </w:p>
        </w:tc>
      </w:tr>
      <w:tr>
        <w:tc>
          <w:tcPr>
            <w:tcW w:type="dxa" w:w="1440"/>
            <w:shd w:fill="FFDCE0" w:val="clear"/>
          </w:tcPr>
          <w:p>
            <w:r>
              <w:rPr>
                <w:sz w:val="17"/>
              </w:rPr>
              <w:t>J+8  Moyenne</w:t>
            </w:r>
          </w:p>
        </w:tc>
        <w:tc>
          <w:tcPr>
            <w:tcW w:type="dxa" w:w="1440"/>
            <w:shd w:fill="FFDCE0" w:val="clear"/>
          </w:tcPr>
          <w:p>
            <w:r>
              <w:rPr>
                <w:sz w:val="17"/>
              </w:rPr>
              <w:t>2026-10-19</w:t>
            </w:r>
          </w:p>
        </w:tc>
        <w:tc>
          <w:tcPr>
            <w:tcW w:type="dxa" w:w="1440"/>
            <w:shd w:fill="FFDCE0" w:val="clear"/>
          </w:tcPr>
          <w:p>
            <w:r>
              <w:rPr>
                <w:sz w:val="17"/>
              </w:rPr>
              <w:t>7,323</w:t>
            </w:r>
          </w:p>
        </w:tc>
        <w:tc>
          <w:tcPr>
            <w:tcW w:type="dxa" w:w="1440"/>
            <w:shd w:fill="FFDCE0" w:val="clear"/>
          </w:tcPr>
          <w:p>
            <w:r>
              <w:rPr>
                <w:b/>
                <w:sz w:val="17"/>
              </w:rPr>
              <w:t>7,921</w:t>
            </w:r>
          </w:p>
        </w:tc>
        <w:tc>
          <w:tcPr>
            <w:tcW w:type="dxa" w:w="1440"/>
            <w:shd w:fill="FFDCE0" w:val="clear"/>
          </w:tcPr>
          <w:p>
            <w:r>
              <w:rPr>
                <w:sz w:val="17"/>
              </w:rPr>
              <w:t>8,519</w:t>
            </w:r>
          </w:p>
        </w:tc>
        <w:tc>
          <w:tcPr>
            <w:tcW w:type="dxa" w:w="1440"/>
            <w:shd w:fill="FFDCE0" w:val="clear"/>
          </w:tcPr>
          <w:p>
            <w:r>
              <w:rPr>
                <w:b/>
                <w:color w:val="C00000"/>
                <w:sz w:val="17"/>
              </w:rPr>
              <w:t>-5.4%</w:t>
            </w:r>
          </w:p>
        </w:tc>
      </w:tr>
      <w:tr>
        <w:tc>
          <w:tcPr>
            <w:tcW w:type="dxa" w:w="1440"/>
            <w:shd w:fill="FFDCE0" w:val="clear"/>
          </w:tcPr>
          <w:p>
            <w:r>
              <w:rPr>
                <w:sz w:val="17"/>
              </w:rPr>
              <w:t>J+9  Moyenne</w:t>
            </w:r>
          </w:p>
        </w:tc>
        <w:tc>
          <w:tcPr>
            <w:tcW w:type="dxa" w:w="1440"/>
            <w:shd w:fill="FFDCE0" w:val="clear"/>
          </w:tcPr>
          <w:p>
            <w:r>
              <w:rPr>
                <w:sz w:val="17"/>
              </w:rPr>
              <w:t>2026-10-20</w:t>
            </w:r>
          </w:p>
        </w:tc>
        <w:tc>
          <w:tcPr>
            <w:tcW w:type="dxa" w:w="1440"/>
            <w:shd w:fill="FFDCE0" w:val="clear"/>
          </w:tcPr>
          <w:p>
            <w:r>
              <w:rPr>
                <w:sz w:val="17"/>
              </w:rPr>
              <w:t>7,250</w:t>
            </w:r>
          </w:p>
        </w:tc>
        <w:tc>
          <w:tcPr>
            <w:tcW w:type="dxa" w:w="1440"/>
            <w:shd w:fill="FFDCE0" w:val="clear"/>
          </w:tcPr>
          <w:p>
            <w:r>
              <w:rPr>
                <w:b/>
                <w:sz w:val="17"/>
              </w:rPr>
              <w:t>7,881</w:t>
            </w:r>
          </w:p>
        </w:tc>
        <w:tc>
          <w:tcPr>
            <w:tcW w:type="dxa" w:w="1440"/>
            <w:shd w:fill="FFDCE0" w:val="clear"/>
          </w:tcPr>
          <w:p>
            <w:r>
              <w:rPr>
                <w:sz w:val="17"/>
              </w:rPr>
              <w:t>8,512</w:t>
            </w:r>
          </w:p>
        </w:tc>
        <w:tc>
          <w:tcPr>
            <w:tcW w:type="dxa" w:w="1440"/>
            <w:shd w:fill="FFDCE0" w:val="clear"/>
          </w:tcPr>
          <w:p>
            <w:r>
              <w:rPr>
                <w:b/>
                <w:color w:val="C00000"/>
                <w:sz w:val="17"/>
              </w:rPr>
              <w:t>-5.9%</w:t>
            </w:r>
          </w:p>
        </w:tc>
      </w:tr>
      <w:tr>
        <w:tc>
          <w:tcPr>
            <w:tcW w:type="dxa" w:w="1440"/>
            <w:shd w:fill="FFDCE0" w:val="clear"/>
          </w:tcPr>
          <w:p>
            <w:r>
              <w:rPr>
                <w:sz w:val="17"/>
              </w:rPr>
              <w:t>J+10  Moyenne</w:t>
            </w:r>
          </w:p>
        </w:tc>
        <w:tc>
          <w:tcPr>
            <w:tcW w:type="dxa" w:w="1440"/>
            <w:shd w:fill="FFDCE0" w:val="clear"/>
          </w:tcPr>
          <w:p>
            <w:r>
              <w:rPr>
                <w:sz w:val="17"/>
              </w:rPr>
              <w:t>2026-10-21</w:t>
            </w:r>
          </w:p>
        </w:tc>
        <w:tc>
          <w:tcPr>
            <w:tcW w:type="dxa" w:w="1440"/>
            <w:shd w:fill="FFDCE0" w:val="clear"/>
          </w:tcPr>
          <w:p>
            <w:r>
              <w:rPr>
                <w:sz w:val="17"/>
              </w:rPr>
              <w:t>7,180</w:t>
            </w:r>
          </w:p>
        </w:tc>
        <w:tc>
          <w:tcPr>
            <w:tcW w:type="dxa" w:w="1440"/>
            <w:shd w:fill="FFDCE0" w:val="clear"/>
          </w:tcPr>
          <w:p>
            <w:r>
              <w:rPr>
                <w:b/>
                <w:sz w:val="17"/>
              </w:rPr>
              <w:t>7,842</w:t>
            </w:r>
          </w:p>
        </w:tc>
        <w:tc>
          <w:tcPr>
            <w:tcW w:type="dxa" w:w="1440"/>
            <w:shd w:fill="FFDCE0" w:val="clear"/>
          </w:tcPr>
          <w:p>
            <w:r>
              <w:rPr>
                <w:sz w:val="17"/>
              </w:rPr>
              <w:t>8,504</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129,47 milliards FCFA, PALC se positionne parmi les valeurs de taille intermédiaire-élevée de la cote BRVM, ce qui lui confère une certaine liquidité relative et une visibilité institutionnelle. Le BPA de 1 003 FCFA/action signifie que chaque titre génère environ 1 003 FCFA de bénéfice net, ce qui, rapporté au cours actuel de 8 375 FCFA, donne un PER de 8,3x — légèrement inférieur à la moyenne BRVM (8-12x), suggérant une valorisation raisonnable voire légèrement sous-évaluée. Le ratio P/B de 0,91x est particulièrement notable : le marché valorise PALC en dessous de sa valeur comptable (capitaux propres de 142,6 Mds FCFA pour une capitalisation de 129,5 Mds), ce qui constitue historiquement un signal d'opportunité potentielle, bien qu'il puisse aussi refléter une anticipation de dégradation des rendements futurs. Enfin, l'EV/EBITDA de 4,1x, très inférieur au seuil de 5x, indique que la valeur d'entreprise (capitalisation + dette nette) ne représente que 4,1 fois la capacité opérationnelle de génération de cash — un niveau attractif qui traduit soit une inefficience de marché, soit une prime de risque liée à la volatilité des matières premières.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totale positive de +7,37%, avec une dernière séance en hausse de +0,84%, portant le cours à 8 375 FCFA. Le titre a évolué dans un range de 1 960 FCFA, entre un plus bas de 7 680 FCFA et un plus haut de 9 640 FCFA, ce qui traduit une amplitude de trading significative (25,5% du plus bas) mais sans tendance directionnelle franche. La moyenne (8 629 FCFA) est légèrement supérieure à la médiane (8 690 FCFA), tandis que le mode se situe à 8 300 FCFA — cet écart modéré entre moyenne et médiane, combiné à un skewness de -0,204 (distribution symétrique), indique une répartition équilibrée des cours sans biais marqué vers les extrêmes. L'écart-type de 469 FCFA et le coefficient de variation de 5,4% révèlent une dispersion modérée autour de la moyenne, tandis que le kurtosis de -0,233 (mésokurtique) suggère une distribution proche de la normale, sans risque excessif de pics extrêmes. La volatilité annualisée de 32,0% positionne PALC dans la catégorie des titres à volatilité élevée (&gt;30%), ce qui est cohérent avec son exposition aux cours mondiaux de l'huile de palme et justifie une prime de risque dans la valorisation.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(8 330,75 FCFA) est inférieure à la MM50 (8 797,6 FCFA), et le cours actuel (8 375 FCFA) se situe au-dessus de la MM20 mais en dessous de la MM50. Cette configuration — cours coincé entre les deux moyennes avec MM20 &lt; MM50 — traduit une pression baissière de moyen terme, justifiant la décision de **Vente** émise par le système, bien que le rebond au-dessus de la MM20 suggère une tentative de stabilisation à court terme.</w:t>
      </w:r>
    </w:p>
    <w:p>
      <w:pPr>
        <w:spacing w:after="120" w:line="276" w:lineRule="auto"/>
      </w:pPr>
      <w:r>
        <w:t>**Bandes de Bollinger** : Le cours (8 375 FCFA) évolue dans la partie médiane-haute du canal, entre la borne inférieure (8 007,945 FCFA) et la borne supérieure (8 653,555 FCFA). L'écart entre les bornes (645,6 FCFA) reflète une volatilité modérée, et la position du cours — à environ 57% de la largeur du canal — indique une absence de signal directionnel fort. La décision **Neutre** est cohérente avec cette configuration équilibrée, sans pression acheteuse ou vendeuse dominante.</w:t>
      </w:r>
    </w:p>
    <w:p>
      <w:pPr>
        <w:spacing w:after="120" w:line="276" w:lineRule="auto"/>
      </w:pPr>
      <w:r>
        <w:t>**MACD** : La valeur du MACD (-148,87) est supérieure à son signal (-183,218), générant un histogramme positif de +34,35. Cette divergence haussière indique un ralentissement de la dynamique baissière et un possible retournement de momentum à court terme, justifiant la décision d'**Achat** malgré un MACD encore en territoire négatif.</w:t>
      </w:r>
    </w:p>
    <w:p>
      <w:pPr>
        <w:spacing w:after="120" w:line="276" w:lineRule="auto"/>
      </w:pPr>
      <w:r>
        <w:t>**RSI** : À 38,22, le RSI se situe dans la zone neutre basse (30-70), sans atteindre le seuil de survente (&lt;30). Cette valeur indique une absence de pression vendeuse excessive mais aussi un manque de dynamisme acheteur, justifiant la décision **Neutre**. Un RSI sous 40 reste toutefois un signal de faiblesse relative à surveiller.</w:t>
      </w:r>
    </w:p>
    <w:p>
      <w:pPr>
        <w:spacing w:after="120" w:line="276" w:lineRule="auto"/>
      </w:pPr>
      <w:r>
        <w:t>**Stochastique** : Le %K (71,91) est supérieur au %D (57,303), avec un croisement haussier récent. Le %K au-dessus de 70 signale une zone de surachat naissante, mais le croisement %K &gt; %D suggère une poursuite du momentum haussier à très court terme. La décision **Neutre** reflète cette configuration ambiguë entre surachat et dynamique positive.</w:t>
      </w:r>
    </w:p>
    <w:p>
      <w:pPr>
        <w:spacing w:after="120" w:line="276" w:lineRule="auto"/>
      </w:pPr>
      <w:r>
        <w:t>**Conclusion technique** : Les indicateurs techniques présentent une divergence notable : les moyennes mobiles (Vente) et le RSI (Neutre-bas) plaident pour la prudence, tandis que le MACD (Achat) et le stochastique (Neutre-haussier) signalent un possible rebond à court terme. Cette configuration contradictoire — entre pression baissière de moyen terme et tentative de retournement de court terme — suggère une phase de consolidation incertaine, sans signal directionnel fort. La décision globale est **Neutre à légèrement baissière**, avec une préférence pour l'attente de confirmation avant tout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 milliards FCFA, en croissance de +14,78% par rapport à 2024 (172,2 Mds FCFA), portée par la hausse des prix de l'huile de palme et des volumes vendus. Le résultat net s'établit à 15,51 milliards FCFA, en léger recul de -2,2% vs 2024 (15,9 Mds), avec une marge nette de 7,85% (vs 9,2% en 2024). Le ROE de 10,87% et le ROA de 7,79% restent corrects mais en deçà du seuil d'excellence (&gt;15% pour le ROE), reflétant une rentabilité sous pression. La structure financière est très saine : autonomie financière de 71,64%, ratio d'endettement de 0,56%, et une trésorerie nette négative de -4,56 Mds FCFA (point de vigilance). Le BFR de 44,62 Mds FCFA et le délai clients de 142,58 jours constituent un risque de trésorerie significatif, bien que la liquidité générale (171,95%) reste satisfaisante.</w:t>
      </w:r>
    </w:p>
    <w:p>
      <w:pPr>
        <w:spacing w:after="120" w:line="276" w:lineRule="auto"/>
      </w:pPr>
      <w:r>
        <w:t>**Adaptation au secteur (entreprise agro-industrielle)** : Le délai clients élevé (142,58 jours) et le BFR positif important (44,62 Mds FCFA) traduisent une immobilisation de capital dans le cycle d'exploitation, typique des activités de négoce et de distribution. La rotation des actifs (99,25%) est correcte, et la couverture des intérêts (1 415,66%) est excellente grâce à un endettement financier très faible (796,56 M FCFA). La marge brute de 31,70% et la marge opérationnelle de 9,19% reflètent une pression sur les coûts, notamment les charges de personnel (29,62 Mds FCFA) et les services extérieurs.</w:t>
      </w:r>
    </w:p>
    <w:p>
      <w:pPr>
        <w:spacing w:after="120" w:line="276" w:lineRule="auto"/>
      </w:pPr>
      <w:r>
        <w:t>**Estimations basées sur les rapports trimestriels** : Le rapport S1 2026 (publié le 7 octobre 2026) révèle un chiffre d'affaires de 114,73 Mds FCFA, en **baisse de -15%** vs S1 2025 (134,79 Mds), et un résultat net de 13,53 Mds FCFA, en **recul de -41%** vs S1 2025 (22,91 Mds). La marge nette S1 2026 s'établit à 11,8%, contre 17,0% au S1 2025. Le rapport T1 2026 (publié en 2026) confirme cette tendance avec un CA de 49,4 Mds FCFA (-27%) et un résultat net de 1,6 Md FCFA (-86%). Le management attribue cette contre-performance à un **décalage temporel des ventes** (stocks de produits finis en cours d'écoulement) plutôt qu'à un problème structurel, et anticipe un résultat net annuel 2026 positif, proche de celui de 2025 (15,5 Mds FCFA). **On estime donc que l'exercice 2026 devrait clôturer avec un résultat net compris entre 14 et 16 Mds FCFA**, soit un BPA de 690-790 FCFA (contre 1 003 FCFA en 2025), ce qui, au cours actuel de 8 375 FCFA, donnerait un PER forward de 10,6-12,1x — moins attractif que le PER trailing de 8,3x.</w:t>
      </w:r>
    </w:p>
    <w:p>
      <w:pPr>
        <w:spacing w:after="120" w:line="276" w:lineRule="auto"/>
      </w:pPr>
      <w:r>
        <w:t>**Évolution pluriannuelle** : Les rapports 2024 (publié le 31/12/2024) et 2025 (publié le 25/03/2026) montrent une dégradation progressive de la rentabilité : marge nette passée de 9,2% (2024) à 7,85% (2025), puis à 11,8% (S1 2026, mais avec un CA en baisse). Le dividende par action a été réduit de 620 FCFA (2024) à 502 FCFA (2025), soit une baisse de -19%, avec un taux de distribution de 50,2%.</w:t>
      </w:r>
    </w:p>
    <w:p>
      <w:pPr>
        <w:spacing w:after="120" w:line="276" w:lineRule="auto"/>
      </w:pPr>
      <w:r>
        <w:t>**Recommandation fondamentale** : PALC présente une **solidité financière indéniable** (faible endettement, capitaux propres élevés, flux opérationnels positifs de 38,74 Mds FCFA) mais fait face à une **dégradation de sa rentabilité** et à un **risque de trésorerie** (BFR élevé, trésorerie nette négative). La valorisation attractive (P/B &lt; 1, EV/EBITDA &lt; 5x) contraste avec des perspectives 2026 incertaines. La recommandation fondamentale est **CONSERVER**, avec une surveillance active des volumes vendus et de l'écoulement des stocks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attractive : PER de 8,3x (sous la moyenne BRVM), P/B de 0,91x (sous la valeur comptable) et EV/EBITDA de 4,1x (très bon marché) suggèrent une sous-évaluation potentielle, bien que le PER forward estimé (10,6-12,1x) soit moins favorable. Le **comportement du cours (Partie 1)** est modérément positif (+7,37% sur 100 jours) mais volatile (32% annualisé), avec une distribution symétrique (skewness -0,204) et sans risque excessif de pics (kurtosis -0,233). Les **signaux techniques (Partie 2)** sont divergents : pression baissière de moyen terme (MM20 &lt; MM50, décision Vente) mais tentative de rebond à court terme (MACD Achat, stochastique haussier), aboutissant à une conclusion **Neutre à légèrement baissière**. Les **fondamentaux (Partie 3)** sont solides mais en dégradation : structure financière saine (autonomie 71,64%, endettement 0,56%), mais rentabilité sous pression (marge nette 7,85% en 2025, 11,8% au S1 2026) et perspectives 2026 incertaines (CA S1 -15%, RN S1 -41%). Les **prédictions IA (J+1 à J+10)** anticipent une **baisse continue** de 8 250 FCFA (J+1) à 8 054 FCFA (J+5), soit une variation de -3,8% sur 5 jours, ce qui **contredit** le signal d'achat du MACD et **confirme** la pression baissière des moyennes mobiles.</w:t>
      </w:r>
    </w:p>
    <w:p>
      <w:pPr>
        <w:spacing w:after="120" w:line="276" w:lineRule="auto"/>
      </w:pPr>
      <w:r>
        <w:t>**Recommandation finale : CONSERVER**</w:t>
      </w:r>
    </w:p>
    <w:p>
      <w:pPr>
        <w:spacing w:after="120" w:line="276" w:lineRule="auto"/>
      </w:pPr>
      <w:r>
        <w:t>Cette recommandation reflète la **convergence partielle** entre les signaux : la valorisation attractive et la solidité financière plaident pour la patience, tandis que la dégradation des fondamentaux, les signaux techniques mitigés et les prédictions baissières à court terme incitent à la prudence. Un passage à l'**ACHAT** serait justifié si le cours se stabilise au-dessus de la MM50 (8 797 FCFA) et si les volumes vendus reprennent au S2 2026. À l'inverse, une **VENTE** serait prématurée au vu de la sous-évaluation et des perspectives annuelles annoncées par le management.</w:t>
      </w:r>
    </w:p>
    <w:p>
      <w:pPr>
        <w:spacing w:after="120" w:line="276" w:lineRule="auto"/>
      </w:pPr>
      <w:r>
        <w:t>**Niveau de confiance** : **Moyen** — les signaux contradictoires (valorisation vs technique vs fondamentaux) réduisent la visibilité.</w:t>
        <w:br/>
        <w:t>**Niveau de risque global** : **Moyen à Élevé** — volatilité de 32%, exposition aux cours des matières premières, et incertitude sur la reprise des volumes.</w:t>
        <w:br/>
        <w:t>**Horizon d'investissement optimal** : **Moyen terme (3-12 mois)** — le temps que l'écoulement des stocks se matérialise et que la rentabilité se stabilise, avec un suivi trimestriel des marges et de la trésorerie.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44.44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1,115 titres</w:t>
            </w:r>
          </w:p>
        </w:tc>
        <w:tc>
          <w:tcPr>
            <w:tcW w:type="dxa" w:w="2268"/>
            <w:shd w:fill="FFF2CC" w:val="clear"/>
          </w:tcPr>
          <w:p>
            <w:r>
              <w:rPr>
                <w:b/>
                <w:color w:val="503200"/>
                <w:sz w:val="16"/>
              </w:rPr>
              <w:t xml:space="preserve">Cours actuel : </w:t>
            </w:r>
            <w:r>
              <w:rPr>
                <w:color w:val="000000"/>
                <w:sz w:val="17"/>
              </w:rPr>
              <w:t>4,340 FCFA</w:t>
            </w:r>
          </w:p>
          <w:p>
            <w:r>
              <w:rPr>
                <w:b/>
                <w:color w:val="503200"/>
                <w:sz w:val="16"/>
              </w:rPr>
              <w:t xml:space="preserve">Var. 100 jours : </w:t>
            </w:r>
            <w:r>
              <w:rPr>
                <w:b/>
                <w:color w:val="007800"/>
                <w:sz w:val="17"/>
              </w:rPr>
              <w:t>+17.46%</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5.48% (Moyenne) — μ=4,359 FCFA, σ=239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β=-0.2511 (Contre-cyclique) — Cov=-0.000018, Var(idx)=0.000073, ρ=-0.090,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σ_j=2.51%/j (Stable) — Vol. annualisée≈39.9%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2026-10-08</w:t>
            </w:r>
          </w:p>
        </w:tc>
        <w:tc>
          <w:tcPr>
            <w:tcW w:type="dxa" w:w="1440"/>
            <w:shd w:fill="FFDCE0" w:val="clear"/>
          </w:tcPr>
          <w:p>
            <w:r>
              <w:rPr>
                <w:sz w:val="17"/>
              </w:rPr>
              <w:t>4,024</w:t>
            </w:r>
          </w:p>
        </w:tc>
        <w:tc>
          <w:tcPr>
            <w:tcW w:type="dxa" w:w="1440"/>
            <w:shd w:fill="FFDCE0" w:val="clear"/>
          </w:tcPr>
          <w:p>
            <w:r>
              <w:rPr>
                <w:b/>
                <w:sz w:val="17"/>
              </w:rPr>
              <w:t>4,219</w:t>
            </w:r>
          </w:p>
        </w:tc>
        <w:tc>
          <w:tcPr>
            <w:tcW w:type="dxa" w:w="1440"/>
            <w:shd w:fill="FFDCE0" w:val="clear"/>
          </w:tcPr>
          <w:p>
            <w:r>
              <w:rPr>
                <w:sz w:val="17"/>
              </w:rPr>
              <w:t>4,414</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2026-10-09</w:t>
            </w:r>
          </w:p>
        </w:tc>
        <w:tc>
          <w:tcPr>
            <w:tcW w:type="dxa" w:w="1440"/>
            <w:shd w:fill="FFDCE0" w:val="clear"/>
          </w:tcPr>
          <w:p>
            <w:r>
              <w:rPr>
                <w:sz w:val="17"/>
              </w:rPr>
              <w:t>3,966</w:t>
            </w:r>
          </w:p>
        </w:tc>
        <w:tc>
          <w:tcPr>
            <w:tcW w:type="dxa" w:w="1440"/>
            <w:shd w:fill="FFDCE0" w:val="clear"/>
          </w:tcPr>
          <w:p>
            <w:r>
              <w:rPr>
                <w:b/>
                <w:sz w:val="17"/>
              </w:rPr>
              <w:t>4,243</w:t>
            </w:r>
          </w:p>
        </w:tc>
        <w:tc>
          <w:tcPr>
            <w:tcW w:type="dxa" w:w="1440"/>
            <w:shd w:fill="FFDCE0" w:val="clear"/>
          </w:tcPr>
          <w:p>
            <w:r>
              <w:rPr>
                <w:sz w:val="17"/>
              </w:rPr>
              <w:t>4,521</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3,896</w:t>
            </w:r>
          </w:p>
        </w:tc>
        <w:tc>
          <w:tcPr>
            <w:tcW w:type="dxa" w:w="1440"/>
            <w:shd w:fill="FFDCE0" w:val="clear"/>
          </w:tcPr>
          <w:p>
            <w:r>
              <w:rPr>
                <w:b/>
                <w:sz w:val="17"/>
              </w:rPr>
              <w:t>4,235</w:t>
            </w:r>
          </w:p>
        </w:tc>
        <w:tc>
          <w:tcPr>
            <w:tcW w:type="dxa" w:w="1440"/>
            <w:shd w:fill="FFDCE0" w:val="clear"/>
          </w:tcPr>
          <w:p>
            <w:r>
              <w:rPr>
                <w:sz w:val="17"/>
              </w:rPr>
              <w:t>4,574</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3,835</w:t>
            </w:r>
          </w:p>
        </w:tc>
        <w:tc>
          <w:tcPr>
            <w:tcW w:type="dxa" w:w="1440"/>
            <w:shd w:fill="FFDCE0" w:val="clear"/>
          </w:tcPr>
          <w:p>
            <w:r>
              <w:rPr>
                <w:b/>
                <w:sz w:val="17"/>
              </w:rPr>
              <w:t>4,226</w:t>
            </w:r>
          </w:p>
        </w:tc>
        <w:tc>
          <w:tcPr>
            <w:tcW w:type="dxa" w:w="1440"/>
            <w:shd w:fill="FFDCE0" w:val="clear"/>
          </w:tcPr>
          <w:p>
            <w:r>
              <w:rPr>
                <w:sz w:val="17"/>
              </w:rPr>
              <w:t>4,617</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3,783</w:t>
            </w:r>
          </w:p>
        </w:tc>
        <w:tc>
          <w:tcPr>
            <w:tcW w:type="dxa" w:w="1440"/>
            <w:shd w:fill="FFDCE0" w:val="clear"/>
          </w:tcPr>
          <w:p>
            <w:r>
              <w:rPr>
                <w:b/>
                <w:sz w:val="17"/>
              </w:rPr>
              <w:t>4,220</w:t>
            </w:r>
          </w:p>
        </w:tc>
        <w:tc>
          <w:tcPr>
            <w:tcW w:type="dxa" w:w="1440"/>
            <w:shd w:fill="FFDCE0" w:val="clear"/>
          </w:tcPr>
          <w:p>
            <w:r>
              <w:rPr>
                <w:sz w:val="17"/>
              </w:rPr>
              <w:t>4,656</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3,737</w:t>
            </w:r>
          </w:p>
        </w:tc>
        <w:tc>
          <w:tcPr>
            <w:tcW w:type="dxa" w:w="1440"/>
            <w:shd w:fill="FFDCE0" w:val="clear"/>
          </w:tcPr>
          <w:p>
            <w:r>
              <w:rPr>
                <w:b/>
                <w:sz w:val="17"/>
              </w:rPr>
              <w:t>4,214</w:t>
            </w:r>
          </w:p>
        </w:tc>
        <w:tc>
          <w:tcPr>
            <w:tcW w:type="dxa" w:w="1440"/>
            <w:shd w:fill="FFDCE0" w:val="clear"/>
          </w:tcPr>
          <w:p>
            <w:r>
              <w:rPr>
                <w:sz w:val="17"/>
              </w:rPr>
              <w:t>4,692</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3,695</w:t>
            </w:r>
          </w:p>
        </w:tc>
        <w:tc>
          <w:tcPr>
            <w:tcW w:type="dxa" w:w="1440"/>
            <w:shd w:fill="FFDCE0" w:val="clear"/>
          </w:tcPr>
          <w:p>
            <w:r>
              <w:rPr>
                <w:b/>
                <w:sz w:val="17"/>
              </w:rPr>
              <w:t>4,210</w:t>
            </w:r>
          </w:p>
        </w:tc>
        <w:tc>
          <w:tcPr>
            <w:tcW w:type="dxa" w:w="1440"/>
            <w:shd w:fill="FFDCE0" w:val="clear"/>
          </w:tcPr>
          <w:p>
            <w:r>
              <w:rPr>
                <w:sz w:val="17"/>
              </w:rPr>
              <w:t>4,725</w:t>
            </w:r>
          </w:p>
        </w:tc>
        <w:tc>
          <w:tcPr>
            <w:tcW w:type="dxa" w:w="1440"/>
            <w:shd w:fill="FFDCE0" w:val="clear"/>
          </w:tcPr>
          <w:p>
            <w:r>
              <w:rPr>
                <w:b/>
                <w:color w:val="C00000"/>
                <w:sz w:val="17"/>
              </w:rPr>
              <w:t>-3.0%</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3,655</w:t>
            </w:r>
          </w:p>
        </w:tc>
        <w:tc>
          <w:tcPr>
            <w:tcW w:type="dxa" w:w="1440"/>
            <w:shd w:fill="FFDCE0" w:val="clear"/>
          </w:tcPr>
          <w:p>
            <w:r>
              <w:rPr>
                <w:b/>
                <w:sz w:val="17"/>
              </w:rPr>
              <w:t>4,205</w:t>
            </w:r>
          </w:p>
        </w:tc>
        <w:tc>
          <w:tcPr>
            <w:tcW w:type="dxa" w:w="1440"/>
            <w:shd w:fill="FFDCE0" w:val="clear"/>
          </w:tcPr>
          <w:p>
            <w:r>
              <w:rPr>
                <w:sz w:val="17"/>
              </w:rPr>
              <w:t>4,755</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3,617</w:t>
            </w:r>
          </w:p>
        </w:tc>
        <w:tc>
          <w:tcPr>
            <w:tcW w:type="dxa" w:w="1440"/>
            <w:shd w:fill="FFDCE0" w:val="clear"/>
          </w:tcPr>
          <w:p>
            <w:r>
              <w:rPr>
                <w:b/>
                <w:sz w:val="17"/>
              </w:rPr>
              <w:t>4,200</w:t>
            </w:r>
          </w:p>
        </w:tc>
        <w:tc>
          <w:tcPr>
            <w:tcW w:type="dxa" w:w="1440"/>
            <w:shd w:fill="FFDCE0" w:val="clear"/>
          </w:tcPr>
          <w:p>
            <w:r>
              <w:rPr>
                <w:sz w:val="17"/>
              </w:rPr>
              <w:t>4,783</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3,582</w:t>
            </w:r>
          </w:p>
        </w:tc>
        <w:tc>
          <w:tcPr>
            <w:tcW w:type="dxa" w:w="1440"/>
            <w:shd w:fill="FFDCE0" w:val="clear"/>
          </w:tcPr>
          <w:p>
            <w:r>
              <w:rPr>
                <w:b/>
                <w:sz w:val="17"/>
              </w:rPr>
              <w:t>4,196</w:t>
            </w:r>
          </w:p>
        </w:tc>
        <w:tc>
          <w:tcPr>
            <w:tcW w:type="dxa" w:w="1440"/>
            <w:shd w:fill="FFDCE0" w:val="clear"/>
          </w:tcPr>
          <w:p>
            <w:r>
              <w:rPr>
                <w:sz w:val="17"/>
              </w:rPr>
              <w:t>4,809</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44,44 milliards FCFA, PRSC se positionne comme une valeur de taille moyenne sur le compartiment des entreprises non bancaires de la BRVM, ce qui lui confère une liquidité limitée mais un profil de valeur établie. Le BPA de 231 FCFA/action signifie que chaque titre génère près de 231 FCFA de bénéfice net, un niveau cohérent avec la capacité bénéficiaire récurrente de la société. Le PER de 18,8x apparaît nettement supérieur à la moyenne du marché BRVM (8-12x), traduisant une prime de valorisation que les investisseurs accordent à la solidité du modèle et à la régularité des résultats. Le P/B de 3,85x indique que le marché valorise l'entreprise à près de quatre fois sa valeur comptable, ce qui reflète une prime de croissance et de qualité, mais expose le titre à un risque de correction en cas de déception. Enfin, l'EV/EBITDA de 9,6x, situé dans la fourchette raisonnable de 5-10x, suggère que la valeur d'entreprise reste cohérente avec la capacité opérationnelle dégagée,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progression totale de +17,46%, avec une dernière séance particulièrement dynamique (+4,96%), portant le cours actuel à 4 340 FCFA. Le range de trading s'établit entre un plus bas de 3 620 FCFA et un plus haut de 4 740 FCFA, soit une amplitude de plus de 30%, ce qui témoigne d'une tendance haussière de fond mais ponctuée de corrections significatives. La moyenne (4 359 FCFA) est légèrement inférieure à la médiane (4 402 FCFA) et au mode (4 400 FCFA), ce qui indique que le cours a passé davantage de temps dans la zone haute de sa fourchette, mais que quelques séances baissières ont tiré la moyenne vers le bas — cohérent avec le skewness négatif de -1,242. L'écart-type de 240 FCFA (CV de 5,5%) traduit une dispersion modérée du cours autour de sa moyenne, tandis que le kurtosis de 1,379 (leptokurtique) signale des queues épaisses et un risque de pics de volatilité brutaux. La volatilité annualisée de 39,9% classe le titre dans la catégorie des valeurs à volatilité élevée (&gt;30%), ce qui implique un risque de marché significatif et justifie une approche prudente en matière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4 228,75 FCFA et la MM50 à 4 367,80 FCFA, tandis que le cours actuel (4 340 FCFA) se situe au-dessus de la MM20 mais légèrement en dessous de la MM50. Cette configuration — cours coincé entre les deux moyennes — traduit une phase d'indécision, avec un signal de vente émis par le croisement baissier potentiel (MM20 &lt; MM50). La dynamique de court terme reste toutefois soutenue par le rebond récent au-dessus de la MM20.</w:t>
      </w:r>
    </w:p>
    <w:p>
      <w:pPr>
        <w:spacing w:after="120" w:line="276" w:lineRule="auto"/>
      </w:pPr>
      <w:r>
        <w:t>**Bandes de Bollinger** : Les bornes supérieure (4 609,87 FCFA) et inférieure (3 847,63 FCFA) encadrent un cours de 4 340 FCFA, qui se situe dans la moitié inférieure de la bande, sans atteindre les extrêmes. La largeur des bandes reflète la volatilité élevée du titre, et la décision « Neutre » indique l'absence de signal de surachat ou de survente, le cours évoluant dans une zone d'équilibre relatif.</w:t>
      </w:r>
    </w:p>
    <w:p>
      <w:pPr>
        <w:spacing w:after="120" w:line="276" w:lineRule="auto"/>
      </w:pPr>
      <w:r>
        <w:t>**MACD** : La valeur du MACD (-91,973) est supérieure à son signal (-95,022), générant un croisement haussier et une décision d'« Achat ». Cette divergence positive, bien que les deux lignes restent en territoire négatif, suggère une amélioration du momentum baissier et un possible retournement de tendance à court terme, à confirmer par une remontée du MACD au-dessus de zéro.</w:t>
      </w:r>
    </w:p>
    <w:p>
      <w:pPr>
        <w:spacing w:after="120" w:line="276" w:lineRule="auto"/>
      </w:pPr>
      <w:r>
        <w:t>**RSI** : À 46,91, le RSI se situe dans la zone neutre (30-70), sans signal de surachat ni de survente. Cette position médiane indique un équilibre entre acheteurs et vendeurs, avec une légère prédominance baissière (sous 50), ce qui est cohérent avec la phase de consolidation actuelle du titre.</w:t>
      </w:r>
    </w:p>
    <w:p>
      <w:pPr>
        <w:spacing w:after="120" w:line="276" w:lineRule="auto"/>
      </w:pPr>
      <w:r>
        <w:t>**Stochastique** : Le %K (77,778) est nettement supérieur au %D (41,005), ce qui génère un croisement haussier et une décision « Neutre ». Le %K élevé suggère que le cours se rapproche de la zone de surachat à court terme, mais l'absence de confirmation par le %D (encore bas) laisse présager une possible poursuite du rebond avant un retournement.</w:t>
      </w:r>
    </w:p>
    <w:p>
      <w:pPr>
        <w:spacing w:after="120" w:line="276" w:lineRule="auto"/>
      </w:pPr>
      <w:r>
        <w:t>**Conclusion technique** : Les indicateurs techniques présentent un tableau mitigé, avec des signaux haussiers à court terme (MACD, Stochastique) mais une structure de fond encore fragile (cours sous la MM50, RSI sous 50). La convergence partielle des signaux suggère une phase de consolidation avec un potentiel de rebond technique, mais l'absence de confirmation par les moyennes mobiles et le RSI invite à la prudence. Le titre reste en zone neutre, avec un avantage marginal aux acheteurs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PRSC (Tractafric Motors Côte d'Ivoire) affichent un chiffre d'affaires de 81,127 milliards FCFA, en croissance de 8,64% sur un an, porté par la dynamique du marché automobile ivoirien et la diversification réussie (pneumatiques Michelin, services). Le résultat net s'établit à 2,367 milliards FCFA, stable par rapport aux 2,35 milliards de 2024, avec une marge nette de 2,92% — un niveau modeste mais en légère amélioration. Le ROE de 20,53% demeure excellent (&gt;15%), témoignant d'une rentabilité des fonds propres solide, tandis que le ROA de 4,95% reflète l'intensité capitalistique du modèle de distribution. En tant qu'entreprise non bancaire, les délais d'exploitation sont cruciaux : le délai clients de 46 jours est modéré, mais le délai fournisseurs de 102,65 jours et la durée de stockage de 150,51 jours immobilisent un BFR de 11,267 milliards FCFA, financé par un fonds de roulement de 6,113 milliards, générant une trésorerie nette négative de -4,092 milliards FCFA — un point de vigilance. Le ratio d'endettement de 314,86% et l'autonomie financière de 24,10% (inférieure au seuil de 30%) indiquent une structure financière tendue, bien que la solvabilité générale (131,76%) et la couverture des intérêts (1 585%) rassurent sur la capacité de remboursement. Les rapports trimestriels (S1 2025, analysés le 15/03/2026) confirment cette dynamique : CA de 39,968 milliards FCFA au S1 2025 (+15,1%), résultat net de 1,436 milliard FCFA (×28 vs S1 2024), avec une marge nette de 3,6% — un pic semestriel qui pourrait toutefois ne pas se reproduire au S2 en raison du contexte électoral ivoirien. Sur la base de ces éléments, on estime que l'exercice 2026 devrait maintenir une croissance modérée du CA (5-8%) et une stabilité du résultat net autour de 2,3-2,5 milliards FCFA, avec un dividende de 209 FCFA/action (rendement de 4,8% au cours actuel) confirmé par l'avis de convocation à l'AG mixte du 30 juin 2026. La recommandation fondamentale est de **CONSERVER** : la solidité du modèle et le dividende attractif justifient une position, mais la faible marge nette, l'endettement élevé et la trésorerie négative limitent le potentiel d'appréciation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le PER de 18,8x et le P/B de 3,85x indiquent une surévaluation relative par rapport à la moyenne du marché BRVM, bien que l'EV/EBITDA de 9,6x reste raisonnable — le titre intègre déjà une prime de qualité. Le **comportement du cours (Partie 1)** est haussier sur 100 jours (+17,46%) mais avec une volatilité élevée (39,9%) et un skewness négatif (-1,242) qui suggère une asymétrie défavorable aux acheteurs, tandis que le kurtosis leptokurtique (1,379) annonce des pics de volatilité. Les **signaux techniques (Partie 2)** sont mitigés : le MACD et le Stochastique émettent des signaux d'achat à court terme, mais la position du cours sous la MM50 et le RSI neutre (46,91) traduisent une absence de tendance claire. Les **fondamentaux (Partie 3)** sont solides mais perfectibles : croissance du CA (+8,64% en 2025), ROE excellent (20,53%), dividende attractif (209 FCFA/action, rendement 4,8%), mais marge nette faible (2,92%), endettement élevé (314,86%) et trésorerie nette négative (-4,092 milliards FCFA). Les **prédictions IA (J+1 à J+10)** anticipent une légère correction vers 4 219-4 243 FCFA, en contradiction avec les signaux techniques haussiers à court terme, ce qui suggère que le rebond actuel pourrait s'essouffler. Sur la base de cette synthèse, la recommandation finale est **CONSERVER**, avec un niveau de confiance **Moyen** et un risque global **Élevé**. La convergence entre valorisation tendue, technique incertaine et fondamentaux solides mais sous pression justifie une position attentiste, en attendant une clarification des tendances (publication des résultats S2 2025 et confirmation du dividende). L'horizon d'investissement optimal est le **moyen terme (3-12 mois)**, avec un point d'entrée idéal autour de 4 200 FCFA (zone de support technique) et un objectif de cours de 4 600-4 700 FCFA (plus haut annuel), soit un potentiel de +10% à +12% incluant le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8,564 titres</w:t>
            </w:r>
          </w:p>
        </w:tc>
        <w:tc>
          <w:tcPr>
            <w:tcW w:type="dxa" w:w="2268"/>
            <w:shd w:fill="FFF2CC" w:val="clear"/>
          </w:tcPr>
          <w:p>
            <w:r>
              <w:rPr>
                <w:b/>
                <w:color w:val="503200"/>
                <w:sz w:val="16"/>
              </w:rPr>
              <w:t xml:space="preserve">Cours actuel : </w:t>
            </w:r>
            <w:r>
              <w:rPr>
                <w:color w:val="000000"/>
                <w:sz w:val="17"/>
              </w:rPr>
              <w:t>4,295 FCFA</w:t>
            </w:r>
          </w:p>
          <w:p>
            <w:r>
              <w:rPr>
                <w:b/>
                <w:color w:val="503200"/>
                <w:sz w:val="16"/>
              </w:rPr>
              <w:t xml:space="preserve">Var. 100 jours : </w:t>
            </w:r>
            <w:r>
              <w:rPr>
                <w:b/>
                <w:color w:val="007800"/>
                <w:sz w:val="17"/>
              </w:rPr>
              <w:t>+7.51%</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31.0/100 → Moyen</w:t>
      </w:r>
    </w:p>
    <w:p>
      <w:pPr>
        <w:spacing w:before="40" w:after="80"/>
      </w:pPr>
      <w:r>
        <w:rPr>
          <w:rFonts w:ascii="Courier New" w:hAnsi="Courier New"/>
          <w:color w:val="825A00"/>
          <w:sz w:val="18"/>
        </w:rPr>
        <w:t>██████░░░░░░░░░░░░░░  31.0/100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15.29% (Élevée) — μ=4,671 FCFA, σ=714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β=1.2958 (Agressif) — Cov=0.000095, Var(idx)=0.000073, ρ=0.288,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4,010</w:t>
            </w:r>
          </w:p>
        </w:tc>
        <w:tc>
          <w:tcPr>
            <w:tcW w:type="dxa" w:w="1440"/>
            <w:shd w:fill="FAFAFA" w:val="clear"/>
          </w:tcPr>
          <w:p>
            <w:r>
              <w:rPr>
                <w:b/>
                <w:sz w:val="17"/>
              </w:rPr>
              <w:t>4,327</w:t>
            </w:r>
          </w:p>
        </w:tc>
        <w:tc>
          <w:tcPr>
            <w:tcW w:type="dxa" w:w="1440"/>
            <w:shd w:fill="FAFAFA" w:val="clear"/>
          </w:tcPr>
          <w:p>
            <w:r>
              <w:rPr>
                <w:sz w:val="17"/>
              </w:rPr>
              <w:t>4,644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3,892</w:t>
            </w:r>
          </w:p>
        </w:tc>
        <w:tc>
          <w:tcPr>
            <w:tcW w:type="dxa" w:w="1440"/>
            <w:shd w:fill="FAFAFA" w:val="clear"/>
          </w:tcPr>
          <w:p>
            <w:r>
              <w:rPr>
                <w:b/>
                <w:sz w:val="17"/>
              </w:rPr>
              <w:t>4,341</w:t>
            </w:r>
          </w:p>
        </w:tc>
        <w:tc>
          <w:tcPr>
            <w:tcW w:type="dxa" w:w="1440"/>
            <w:shd w:fill="FAFAFA" w:val="clear"/>
          </w:tcPr>
          <w:p>
            <w:r>
              <w:rPr>
                <w:sz w:val="17"/>
              </w:rPr>
              <w:t>4,791</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3,784</w:t>
            </w:r>
          </w:p>
        </w:tc>
        <w:tc>
          <w:tcPr>
            <w:tcW w:type="dxa" w:w="1440"/>
            <w:shd w:fill="FAFAFA" w:val="clear"/>
          </w:tcPr>
          <w:p>
            <w:r>
              <w:rPr>
                <w:b/>
                <w:sz w:val="17"/>
              </w:rPr>
              <w:t>4,333</w:t>
            </w:r>
          </w:p>
        </w:tc>
        <w:tc>
          <w:tcPr>
            <w:tcW w:type="dxa" w:w="1440"/>
            <w:shd w:fill="FAFAFA" w:val="clear"/>
          </w:tcPr>
          <w:p>
            <w:r>
              <w:rPr>
                <w:sz w:val="17"/>
              </w:rPr>
              <w:t>4,883</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3,689</w:t>
            </w:r>
          </w:p>
        </w:tc>
        <w:tc>
          <w:tcPr>
            <w:tcW w:type="dxa" w:w="1440"/>
            <w:shd w:fill="FAFAFA" w:val="clear"/>
          </w:tcPr>
          <w:p>
            <w:r>
              <w:rPr>
                <w:b/>
                <w:sz w:val="17"/>
              </w:rPr>
              <w:t>4,322</w:t>
            </w:r>
          </w:p>
        </w:tc>
        <w:tc>
          <w:tcPr>
            <w:tcW w:type="dxa" w:w="1440"/>
            <w:shd w:fill="FAFAFA" w:val="clear"/>
          </w:tcPr>
          <w:p>
            <w:r>
              <w:rPr>
                <w:sz w:val="17"/>
              </w:rPr>
              <w:t>4,955</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3,606</w:t>
            </w:r>
          </w:p>
        </w:tc>
        <w:tc>
          <w:tcPr>
            <w:tcW w:type="dxa" w:w="1440"/>
            <w:shd w:fill="FAFAFA" w:val="clear"/>
          </w:tcPr>
          <w:p>
            <w:r>
              <w:rPr>
                <w:b/>
                <w:sz w:val="17"/>
              </w:rPr>
              <w:t>4,312</w:t>
            </w:r>
          </w:p>
        </w:tc>
        <w:tc>
          <w:tcPr>
            <w:tcW w:type="dxa" w:w="1440"/>
            <w:shd w:fill="FAFAFA" w:val="clear"/>
          </w:tcPr>
          <w:p>
            <w:r>
              <w:rPr>
                <w:sz w:val="17"/>
              </w:rPr>
              <w:t>5,018</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3,530</w:t>
            </w:r>
          </w:p>
        </w:tc>
        <w:tc>
          <w:tcPr>
            <w:tcW w:type="dxa" w:w="1440"/>
            <w:shd w:fill="FAFAFA" w:val="clear"/>
          </w:tcPr>
          <w:p>
            <w:r>
              <w:rPr>
                <w:b/>
                <w:sz w:val="17"/>
              </w:rPr>
              <w:t>4,302</w:t>
            </w:r>
          </w:p>
        </w:tc>
        <w:tc>
          <w:tcPr>
            <w:tcW w:type="dxa" w:w="1440"/>
            <w:shd w:fill="FAFAFA" w:val="clear"/>
          </w:tcPr>
          <w:p>
            <w:r>
              <w:rPr>
                <w:sz w:val="17"/>
              </w:rPr>
              <w:t>5,074</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3,462</w:t>
            </w:r>
          </w:p>
        </w:tc>
        <w:tc>
          <w:tcPr>
            <w:tcW w:type="dxa" w:w="1440"/>
            <w:shd w:fill="FAFAFA" w:val="clear"/>
          </w:tcPr>
          <w:p>
            <w:r>
              <w:rPr>
                <w:b/>
                <w:sz w:val="17"/>
              </w:rPr>
              <w:t>4,294</w:t>
            </w:r>
          </w:p>
        </w:tc>
        <w:tc>
          <w:tcPr>
            <w:tcW w:type="dxa" w:w="1440"/>
            <w:shd w:fill="FAFAFA" w:val="clear"/>
          </w:tcPr>
          <w:p>
            <w:r>
              <w:rPr>
                <w:sz w:val="17"/>
              </w:rPr>
              <w:t>5,126</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3,398</w:t>
            </w:r>
          </w:p>
        </w:tc>
        <w:tc>
          <w:tcPr>
            <w:tcW w:type="dxa" w:w="1440"/>
            <w:shd w:fill="FAFAFA" w:val="clear"/>
          </w:tcPr>
          <w:p>
            <w:r>
              <w:rPr>
                <w:b/>
                <w:sz w:val="17"/>
              </w:rPr>
              <w:t>4,286</w:t>
            </w:r>
          </w:p>
        </w:tc>
        <w:tc>
          <w:tcPr>
            <w:tcW w:type="dxa" w:w="1440"/>
            <w:shd w:fill="FAFAFA" w:val="clear"/>
          </w:tcPr>
          <w:p>
            <w:r>
              <w:rPr>
                <w:sz w:val="17"/>
              </w:rPr>
              <w:t>5,174</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3,338</w:t>
            </w:r>
          </w:p>
        </w:tc>
        <w:tc>
          <w:tcPr>
            <w:tcW w:type="dxa" w:w="1440"/>
            <w:shd w:fill="FAFAFA" w:val="clear"/>
          </w:tcPr>
          <w:p>
            <w:r>
              <w:rPr>
                <w:b/>
                <w:sz w:val="17"/>
              </w:rPr>
              <w:t>4,278</w:t>
            </w:r>
          </w:p>
        </w:tc>
        <w:tc>
          <w:tcPr>
            <w:tcW w:type="dxa" w:w="1440"/>
            <w:shd w:fill="FAFAFA" w:val="clear"/>
          </w:tcPr>
          <w:p>
            <w:r>
              <w:rPr>
                <w:sz w:val="17"/>
              </w:rPr>
              <w:t>5,219</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3,282</w:t>
            </w:r>
          </w:p>
        </w:tc>
        <w:tc>
          <w:tcPr>
            <w:tcW w:type="dxa" w:w="1440"/>
            <w:shd w:fill="FAFAFA" w:val="clear"/>
          </w:tcPr>
          <w:p>
            <w:r>
              <w:rPr>
                <w:b/>
                <w:sz w:val="17"/>
              </w:rPr>
              <w:t>4,272</w:t>
            </w:r>
          </w:p>
        </w:tc>
        <w:tc>
          <w:tcPr>
            <w:tcW w:type="dxa" w:w="1440"/>
            <w:shd w:fill="FAFAFA" w:val="clear"/>
          </w:tcPr>
          <w:p>
            <w:r>
              <w:rPr>
                <w:sz w:val="17"/>
              </w:rPr>
              <w:t>5,261</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**50,98 milliards FCFA**, SAFC se positionne comme une valeur de taille intermédiaire sur la BRVM, représentative des petites capitalisations financières en pleine restructuration. Le **BPA de 59 FCFA/action** reflète la rentabilité effective de l'exercice 2025 (résultat net de 701 M FCFA), mais le **PER de 72,7x** traduit une valorisation extrêmement tendue : les investisseurs paient environ 73 fois les bénéfices, soit un multiple près de **6 à 9 fois supérieur à la moyenne BRVM (8-12x)**, ce qui intègre déjà une anticipation très optimiste de la croissance future. Le **P/B de 8,62x** confirme cette prime exigeante, le marché valorisant la société à plus de 8 fois ses capitaux propres comptables (5,916 Mds FCFA), un niveau bien supérieur au seuil de 4x généralement considéré comme déjà élevé. Enfin, l'**EV/EBITDA de 83,9x** (contre un seuil de référence de 15x) signale que la valeur d'entreprise est totalement déconnectée de la capacité opérationnelle actuelle, ce qui rend le titre vulnérable à toute déception sur les résultats. **Conclusion : valorisation très exigeante, voire spéculative, qui n'est justifiable que par la poursuite d'une croissance exceptionnelle.**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affiche une **variation totale de +7,51%**, avec une dernière séance en hausse de **+1,54%**, portant le cours actuel à **4 295 FCFA**. Le titre a évolué dans un range très large, entre un **plus bas de 3 595 FCFA** et un **plus haut de 6 200 FCFA**, soit une amplitude de plus de 72% qui témoigne d'une forte nervosité. La tendance générale reste toutefois **baissière sur la période récente** : le cours actuel (4 295 FCFA) est nettement inférieur à la moyenne (4 671 FCFA) et à la médiane (4 580 FCFA), signe que la pression vendeuse domine depuis le pic de 6 200 FCFA. Les statistiques descriptives révèlent une **distribution quasi-symétrique** (skewness de 0,356) et **mésokurtique** (kurtosis de -0,883), c'est-à-dire proche d'une loi normale, sans pics extrêmes marqués — un comportement relativement sain mais qui n'exclut pas la volatilité observée. L'**écart-type de 718 FCFA (CV = 15,4%)** indique une dispersion modérée autour de la moyenne, tandis que la **volatilité annualisée de 60,5%** classe clairement le titre dans la catégorie **très volatile (&gt;30%)**, ce qui implique un risque de perte en capital significatif à court terme. Le mode à 3 700 FCFA suggère que ce niveau de prix a été le plus fréquemment échangé, constituant un support psychologique potentiel.</w:t>
      </w:r>
    </w:p>
    <w:p>
      <w:pPr>
        <w:spacing w:after="120" w:line="276" w:lineRule="auto"/>
      </w:pPr>
      <w:r>
        <w:t>---</w:t>
      </w:r>
    </w:p>
    <w:p>
      <w:pPr>
        <w:spacing w:after="120" w:line="276" w:lineRule="auto"/>
      </w:pPr>
      <w:r>
        <w:t>## PARTIE 2 : ANALYSE TECHNIQUE DÉTAILLÉE</w:t>
      </w:r>
    </w:p>
    <w:p>
      <w:pPr>
        <w:spacing w:after="120" w:line="276" w:lineRule="auto"/>
      </w:pPr>
      <w:r>
        <w:t>**Moyennes Mobiles** : La MM20 (4 671,5 FCFA) et la MM50 (5 180,4 FCFA) se situent toutes deux **au-dessus du cours actuel** (4 295 FCFA), avec une MM50 nettement supérieure à la MM20, configuration typique d'une **tendance baissière de moyen terme**. Le cours évoluant sous ses deux moyennes, la décision technique est logiquement **Vente**, confirmant que les vendeurs gardent la main.</w:t>
      </w:r>
    </w:p>
    <w:p>
      <w:pPr>
        <w:spacing w:after="120" w:line="276" w:lineRule="auto"/>
      </w:pPr>
      <w:r>
        <w:t>**Bandes de Bollinger** : Le cours (4 295 FCFA) se situe dans la **partie basse de la bande** (borne inférieure à 3 765,86 FCFA, borne supérieure à 5 577,14 FCFA), sans toutefois toucher la borne inférieure. Cette position médiane-basse, combinée à un écart-type élevé, traduit une **volatilité importante mais sans signal de retournement immédiat**. La décision est **Neutre**, le titre n'étant ni en survente extrême ni en surachat.</w:t>
      </w:r>
    </w:p>
    <w:p>
      <w:pPr>
        <w:spacing w:after="120" w:line="276" w:lineRule="auto"/>
      </w:pPr>
      <w:r>
        <w:t>**MACD** : Le MACD (-282,80) est **inférieur à son signal (-259,39)**, avec un histogramme négatif qui confirme un **momentum baissier persistant**. La divergence négative entre les deux lignes indique que la pression vendeuse n'est pas encore épuisée, justifiant la décision **Vente**.</w:t>
      </w:r>
    </w:p>
    <w:p>
      <w:pPr>
        <w:spacing w:after="120" w:line="276" w:lineRule="auto"/>
      </w:pPr>
      <w:r>
        <w:t>**RSI** : À **37,72**, le RSI se situe dans la zone neutre basse (30-70), sans atteindre le seuil de survente (&lt;30). Cela suggère que le titre **n'est pas encore survendu** et qu'il pourrait encore baisser avant un rebond technique. La décision est **Neutre**, mais la proximité de la zone de survente appelle à la prudence.</w:t>
      </w:r>
    </w:p>
    <w:p>
      <w:pPr>
        <w:spacing w:after="120" w:line="276" w:lineRule="auto"/>
      </w:pPr>
      <w:r>
        <w:t>**Stochastique** : Le %K (31,5) est **supérieur au %D (26,09)**, avec un croisement haussier naissant en zone basse. Ce signal, bien que faible, pourrait annoncer un **timide rebond à court terme**, mais il reste à confirmer par une remontée au-dessus de 20-30. La décision est **Neutre**, le signal n'étant pas encore fiable.</w:t>
      </w:r>
    </w:p>
    <w:p>
      <w:pPr>
        <w:spacing w:after="120" w:line="276" w:lineRule="auto"/>
      </w:pPr>
      <w:r>
        <w:t>**Conclusion technique** : La majorité des indicateurs (MM, MACD) penchent vers une **tendance baissière**, tandis que le RSI et le stochastique suggèrent une possible **stabilisation en zone basse**. Le titre évolue sous ses moyennes mobiles, avec un momentum négatif, mais la proximité de la zone de survente et le croisement naissant du stochastique pourraient amorcer un rebond technique. **Prudence : le signal dominant reste baissier, mais une réaction haussière n'est pas exclue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de 5 735 M FCFA**, en **hausse de 44,1%** par rapport à 2024 (3 980 M FCFA), porté par la progression des intérêts (+14,4%) et l'explosion des commissions (+81%). Le **résultat net s'établit à 701 M FCFA**, marquant un **retournement spectaculaire** après une perte de 165 M FCFA en 2024. Le **ROE ressort à 11,85%** (contre un seuil d'excellence de 15%) et le **ROA à 0,88%**, des niveaux corrects mais perfectibles. En tant que banque, les indicateurs clés sont le **coefficient d'exploitation de 77,63%** (bien supérieur au seuil de 60% d'efficacité, signalant une structure de coûts encore lourde) et le **coût du risque de 6,57%** (élevé, traduisant un portefeuille de crédits encore fragile). La structure financière reste **très dépendante des dettes interbancaires** (35 747 M FCFA, +45%) et affiche une **autonomie financière faible de 7,44%** (capitaux propres/total bilan), bien en deçà du seuil de 30% considéré comme sain. Le **ratio d'endettement de 856%** et un **report à nouveau négatif de -4 123 M FCFA** constituent des vulnérabilités majeures.</w:t>
      </w:r>
    </w:p>
    <w:p>
      <w:pPr>
        <w:spacing w:after="120" w:line="276" w:lineRule="auto"/>
      </w:pPr>
      <w:r>
        <w:t>**Estimations basées sur les rapports trimestriels** : Le rapport **T1 2026 (publié le 12/05/2026)** indique un **PNB de 1 395 M FCFA (+29%)** et un **résultat net de 151 M FCFA (+1 062%)**, avec un coût du risque en baisse de 75%. Le rapport **S1 2026 (publié le 04/09/2026)** confirme cette dynamique avec un **PNB de 2 907 M FCFA (+37%)** et un **résultat net de 731 M FCFA (+231%)**, dépassant déjà le résultat annuel 2025. Sur cette base, on peut **estimer un résultat net 2026 autour de 1,2 à 1,4 Md FCFA**, soit une **croissance annuelle de 70-100%**, ce qui ramènerait le PER à environ 35-40x — encore élevé mais en nette amélioration. Les **ratios prudentiels sont respectés** (CET1 à 11,49% au S1 2026, solvabilité globale à 12,93%), et l'augmentation de capital de 1,5 Md FCFA (avis BRVM du 13/04/2026) devrait renforcer les fonds propres.</w:t>
      </w:r>
    </w:p>
    <w:p>
      <w:pPr>
        <w:spacing w:after="120" w:line="276" w:lineRule="auto"/>
      </w:pPr>
      <w:r>
        <w:t>**Recommandation fondamentale** : La dynamique opérationnelle est **excellente** (croissance du PNB, retour à la rentabilité, amélioration du coût du risque), mais la **situation bilancielle reste fragile** (capitaux propres modestes, dépendance interbancaire, report à nouveau négatif). Le titre est en **phase de redressement avancé**, mais la valorisation boursière intègre déjà une grande partie de cette amélioration. **Recommandation : CONSERVER avec un biais positif**, en surveillant la confirmation de la rentabilité sur l'ensemble de l'exercice 2026 et la reconstitution des fonds propres.</w:t>
      </w:r>
    </w:p>
    <w:p>
      <w:pPr>
        <w:spacing w:after="120" w:line="276" w:lineRule="auto"/>
      </w:pPr>
      <w:r>
        <w:t>---</w:t>
      </w:r>
    </w:p>
    <w:p>
      <w:pPr>
        <w:spacing w:after="120" w:line="276" w:lineRule="auto"/>
      </w:pPr>
      <w:r>
        <w:t>## PARTIE 4 : CONCLUSION D'INVESTISSEMENT</w:t>
      </w:r>
    </w:p>
    <w:p>
      <w:pPr>
        <w:spacing w:after="120" w:line="276" w:lineRule="auto"/>
      </w:pPr>
      <w:r>
        <w:t>La **valorisation (Partie 0)** est **très exigeante** : PER de 72,7x, P/B de 8,62x et EV/EBITDA de 83,9x traduisent une **surévaluation manifeste** par rapport aux fondamentaux actuels, bien que la croissance attendue en 2026 puisse partiellement justifier ces multiples. Le **comportement du cours (Partie 1)** est **préoccupant** : tendance baissière récente (-7,5% sous la moyenne), volatilité très élevée (60,5%) et distribution symétrique sans signal de retournement fort. Les **signaux techniques (Partie 2)** sont **majoritairement baissiers** (MM, MACD en vente), avec quelques timides signes de stabilisation (RSI proche de la survente, stochastique en croisement haussier). Les **fondamentaux (Partie 3)** sont **en nette amélioration** (PNB +44%, résultat net positif, S1 2026 exceptionnel), mais la structure financière reste fragile. Les **prédictions IA (J+1 à J+10)** anticipent une **légère hausse** vers 4 327-4 341 FCFA, en ligne avec un possible rebond technique, mais sans conviction forte.</w:t>
      </w:r>
    </w:p>
    <w:p>
      <w:pPr>
        <w:spacing w:after="120" w:line="276" w:lineRule="auto"/>
      </w:pPr>
      <w:r>
        <w:t>**Synthèse globale** : Il existe une **divergence** entre des fondamentaux en redressement (positif) et une valorisation très tendue (négatif), avec des signaux techniques baissiers à court terme mais un potentiel de rebond. La prédiction IA confirme une **stabilisation à court terme** sans tendance haussière marquée.</w:t>
      </w:r>
    </w:p>
    <w:p>
      <w:pPr>
        <w:spacing w:after="120" w:line="276" w:lineRule="auto"/>
      </w:pPr>
      <w:r>
        <w:t>**Recommandation finale : CONSERVER** (avec un biais spéculatif pour les investisseurs avisés).</w:t>
        <w:br/>
        <w:t>- **Justification** : La convergence entre l'amélioration fondamentale (S1 2026) et la prédiction IA (légère hausse) soutient une position conservatrice, mais la valorisation extrême et les signaux techniques baissiers empêchent un passage à l'achat. Le titre est **trop cher pour acheter**, mais **trop prometteur pour vendre**.</w:t>
        <w:br/>
        <w:t>- **Niveau de confiance** : **Moyen** (les fondamentaux sont solides mais la valorisation et la technique incitent à la prudence).</w:t>
        <w:br/>
        <w:t>- **Niveau de risque global** : **Élevé** (volatilité de 60,5%, dépendance interbancaire, report à nouveau négatif).</w:t>
        <w:br/>
        <w:t>- **Horizon d'investissement optimal** : **Moyen terme (3-12 mois)**, en attendant la confirmation des résultats annuels 2026 et la finalisation de l'augmentation de capital. Les investisseurs court terme devraient éviter le titre en l'absence de catalyseur immédiat.</w:t>
      </w:r>
    </w:p>
    <w:p>
      <w:pPr>
        <w:spacing w:after="120" w:line="276" w:lineRule="auto"/>
      </w:pPr>
      <w:r>
        <w: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52.92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10,448 titres</w:t>
            </w:r>
          </w:p>
        </w:tc>
        <w:tc>
          <w:tcPr>
            <w:tcW w:type="dxa" w:w="2268"/>
            <w:shd w:fill="FFF2CC" w:val="clear"/>
          </w:tcPr>
          <w:p>
            <w:r>
              <w:rPr>
                <w:b/>
                <w:color w:val="503200"/>
                <w:sz w:val="16"/>
              </w:rPr>
              <w:t xml:space="preserve">Cours actuel : </w:t>
            </w:r>
            <w:r>
              <w:rPr>
                <w:color w:val="000000"/>
                <w:sz w:val="17"/>
              </w:rPr>
              <w:t>2,700 FCFA</w:t>
            </w:r>
          </w:p>
          <w:p>
            <w:r>
              <w:rPr>
                <w:b/>
                <w:color w:val="503200"/>
                <w:sz w:val="16"/>
              </w:rPr>
              <w:t xml:space="preserve">Var. 100 jours : </w:t>
            </w:r>
            <w:r>
              <w:rPr>
                <w:b/>
                <w:color w:val="007800"/>
                <w:sz w:val="17"/>
              </w:rPr>
              <w:t>+20.54%</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13.51% (Moyenne) — μ=3,192 FCFA, σ=431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β=1.3249 (Agressif) — Cov=0.000092, Var(idx)=0.000069, ρ=0.309,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10,448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σ_j=3.64%/j (Modérée) — Vol. annualisée≈57.8%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2,598</w:t>
            </w:r>
          </w:p>
        </w:tc>
        <w:tc>
          <w:tcPr>
            <w:tcW w:type="dxa" w:w="1440"/>
            <w:shd w:fill="FAFAFA" w:val="clear"/>
          </w:tcPr>
          <w:p>
            <w:r>
              <w:rPr>
                <w:b/>
                <w:sz w:val="17"/>
              </w:rPr>
              <w:t>2,754</w:t>
            </w:r>
          </w:p>
        </w:tc>
        <w:tc>
          <w:tcPr>
            <w:tcW w:type="dxa" w:w="1440"/>
            <w:shd w:fill="FAFAFA" w:val="clear"/>
          </w:tcPr>
          <w:p>
            <w:r>
              <w:rPr>
                <w:sz w:val="17"/>
              </w:rPr>
              <w:t>2,909</w:t>
            </w:r>
          </w:p>
        </w:tc>
        <w:tc>
          <w:tcPr>
            <w:tcW w:type="dxa" w:w="1440"/>
            <w:shd w:fill="FAFAFA" w:val="clear"/>
          </w:tcPr>
          <w:p>
            <w:r>
              <w:rPr>
                <w:b/>
                <w:color w:val="008000"/>
                <w:sz w:val="17"/>
              </w:rPr>
              <w:t>+2.0%</w:t>
            </w:r>
          </w:p>
        </w:tc>
      </w:tr>
      <w:tr>
        <w:tc>
          <w:tcPr>
            <w:tcW w:type="dxa" w:w="1440"/>
            <w:shd w:fill="C6EFCE" w:val="clear"/>
          </w:tcPr>
          <w:p>
            <w:r>
              <w:rPr>
                <w:sz w:val="17"/>
              </w:rPr>
              <w:t>J+2  Moyenne</w:t>
            </w:r>
          </w:p>
        </w:tc>
        <w:tc>
          <w:tcPr>
            <w:tcW w:type="dxa" w:w="1440"/>
            <w:shd w:fill="C6EFCE" w:val="clear"/>
          </w:tcPr>
          <w:p>
            <w:r>
              <w:rPr>
                <w:sz w:val="17"/>
              </w:rPr>
              <w:t>2026-10-09</w:t>
            </w:r>
          </w:p>
        </w:tc>
        <w:tc>
          <w:tcPr>
            <w:tcW w:type="dxa" w:w="1440"/>
            <w:shd w:fill="C6EFCE" w:val="clear"/>
          </w:tcPr>
          <w:p>
            <w:r>
              <w:rPr>
                <w:sz w:val="17"/>
              </w:rPr>
              <w:t>2,601</w:t>
            </w:r>
          </w:p>
        </w:tc>
        <w:tc>
          <w:tcPr>
            <w:tcW w:type="dxa" w:w="1440"/>
            <w:shd w:fill="C6EFCE" w:val="clear"/>
          </w:tcPr>
          <w:p>
            <w:r>
              <w:rPr>
                <w:b/>
                <w:sz w:val="17"/>
              </w:rPr>
              <w:t>2,827</w:t>
            </w:r>
          </w:p>
        </w:tc>
        <w:tc>
          <w:tcPr>
            <w:tcW w:type="dxa" w:w="1440"/>
            <w:shd w:fill="C6EFCE" w:val="clear"/>
          </w:tcPr>
          <w:p>
            <w:r>
              <w:rPr>
                <w:sz w:val="17"/>
              </w:rPr>
              <w:t>3,052</w:t>
            </w:r>
          </w:p>
        </w:tc>
        <w:tc>
          <w:tcPr>
            <w:tcW w:type="dxa" w:w="1440"/>
            <w:shd w:fill="C6EFCE" w:val="clear"/>
          </w:tcPr>
          <w:p>
            <w:r>
              <w:rPr>
                <w:b/>
                <w:color w:val="008000"/>
                <w:sz w:val="17"/>
              </w:rPr>
              <w:t>+4.7%</w:t>
            </w:r>
          </w:p>
        </w:tc>
      </w:tr>
      <w:tr>
        <w:tc>
          <w:tcPr>
            <w:tcW w:type="dxa" w:w="1440"/>
            <w:shd w:fill="C6EFCE" w:val="clear"/>
          </w:tcPr>
          <w:p>
            <w:r>
              <w:rPr>
                <w:sz w:val="17"/>
              </w:rPr>
              <w:t>J+3  Moyenne</w:t>
            </w:r>
          </w:p>
        </w:tc>
        <w:tc>
          <w:tcPr>
            <w:tcW w:type="dxa" w:w="1440"/>
            <w:shd w:fill="C6EFCE" w:val="clear"/>
          </w:tcPr>
          <w:p>
            <w:r>
              <w:rPr>
                <w:sz w:val="17"/>
              </w:rPr>
              <w:t>2026-10-12</w:t>
            </w:r>
          </w:p>
        </w:tc>
        <w:tc>
          <w:tcPr>
            <w:tcW w:type="dxa" w:w="1440"/>
            <w:shd w:fill="C6EFCE" w:val="clear"/>
          </w:tcPr>
          <w:p>
            <w:r>
              <w:rPr>
                <w:sz w:val="17"/>
              </w:rPr>
              <w:t>2,636</w:t>
            </w:r>
          </w:p>
        </w:tc>
        <w:tc>
          <w:tcPr>
            <w:tcW w:type="dxa" w:w="1440"/>
            <w:shd w:fill="C6EFCE" w:val="clear"/>
          </w:tcPr>
          <w:p>
            <w:r>
              <w:rPr>
                <w:b/>
                <w:sz w:val="17"/>
              </w:rPr>
              <w:t>2,922</w:t>
            </w:r>
          </w:p>
        </w:tc>
        <w:tc>
          <w:tcPr>
            <w:tcW w:type="dxa" w:w="1440"/>
            <w:shd w:fill="C6EFCE" w:val="clear"/>
          </w:tcPr>
          <w:p>
            <w:r>
              <w:rPr>
                <w:sz w:val="17"/>
              </w:rPr>
              <w:t>3,207</w:t>
            </w:r>
          </w:p>
        </w:tc>
        <w:tc>
          <w:tcPr>
            <w:tcW w:type="dxa" w:w="1440"/>
            <w:shd w:fill="C6EFCE" w:val="clear"/>
          </w:tcPr>
          <w:p>
            <w:r>
              <w:rPr>
                <w:b/>
                <w:color w:val="008000"/>
                <w:sz w:val="17"/>
              </w:rPr>
              <w:t>+8.2%</w:t>
            </w:r>
          </w:p>
        </w:tc>
      </w:tr>
      <w:tr>
        <w:tc>
          <w:tcPr>
            <w:tcW w:type="dxa" w:w="1440"/>
            <w:shd w:fill="C6EFCE" w:val="clear"/>
          </w:tcPr>
          <w:p>
            <w:r>
              <w:rPr>
                <w:sz w:val="17"/>
              </w:rPr>
              <w:t>J+4  ⭐</w:t>
            </w:r>
          </w:p>
        </w:tc>
        <w:tc>
          <w:tcPr>
            <w:tcW w:type="dxa" w:w="1440"/>
            <w:shd w:fill="C6EFCE" w:val="clear"/>
          </w:tcPr>
          <w:p>
            <w:r>
              <w:rPr>
                <w:sz w:val="17"/>
              </w:rPr>
              <w:t>2026-10-13</w:t>
            </w:r>
          </w:p>
        </w:tc>
        <w:tc>
          <w:tcPr>
            <w:tcW w:type="dxa" w:w="1440"/>
            <w:shd w:fill="C6EFCE" w:val="clear"/>
          </w:tcPr>
          <w:p>
            <w:r>
              <w:rPr>
                <w:sz w:val="17"/>
              </w:rPr>
              <w:t>2,663</w:t>
            </w:r>
          </w:p>
        </w:tc>
        <w:tc>
          <w:tcPr>
            <w:tcW w:type="dxa" w:w="1440"/>
            <w:shd w:fill="C6EFCE" w:val="clear"/>
          </w:tcPr>
          <w:p>
            <w:r>
              <w:rPr>
                <w:b/>
                <w:sz w:val="17"/>
              </w:rPr>
              <w:t>3,002</w:t>
            </w:r>
          </w:p>
        </w:tc>
        <w:tc>
          <w:tcPr>
            <w:tcW w:type="dxa" w:w="1440"/>
            <w:shd w:fill="C6EFCE" w:val="clear"/>
          </w:tcPr>
          <w:p>
            <w:r>
              <w:rPr>
                <w:sz w:val="17"/>
              </w:rPr>
              <w:t>3,341</w:t>
            </w:r>
          </w:p>
        </w:tc>
        <w:tc>
          <w:tcPr>
            <w:tcW w:type="dxa" w:w="1440"/>
            <w:shd w:fill="C6EFCE" w:val="clear"/>
          </w:tcPr>
          <w:p>
            <w:r>
              <w:rPr>
                <w:b/>
                <w:color w:val="008000"/>
                <w:sz w:val="17"/>
              </w:rPr>
              <w:t>+11.2%</w:t>
            </w:r>
          </w:p>
        </w:tc>
      </w:tr>
      <w:tr>
        <w:tc>
          <w:tcPr>
            <w:tcW w:type="dxa" w:w="1440"/>
            <w:shd w:fill="C6EFCE" w:val="clear"/>
          </w:tcPr>
          <w:p>
            <w:r>
              <w:rPr>
                <w:sz w:val="17"/>
              </w:rPr>
              <w:t>J+5  ⭐</w:t>
            </w:r>
          </w:p>
        </w:tc>
        <w:tc>
          <w:tcPr>
            <w:tcW w:type="dxa" w:w="1440"/>
            <w:shd w:fill="C6EFCE" w:val="clear"/>
          </w:tcPr>
          <w:p>
            <w:r>
              <w:rPr>
                <w:sz w:val="17"/>
              </w:rPr>
              <w:t>2026-10-14</w:t>
            </w:r>
          </w:p>
        </w:tc>
        <w:tc>
          <w:tcPr>
            <w:tcW w:type="dxa" w:w="1440"/>
            <w:shd w:fill="C6EFCE" w:val="clear"/>
          </w:tcPr>
          <w:p>
            <w:r>
              <w:rPr>
                <w:sz w:val="17"/>
              </w:rPr>
              <w:t>2,679</w:t>
            </w:r>
          </w:p>
        </w:tc>
        <w:tc>
          <w:tcPr>
            <w:tcW w:type="dxa" w:w="1440"/>
            <w:shd w:fill="C6EFCE" w:val="clear"/>
          </w:tcPr>
          <w:p>
            <w:r>
              <w:rPr>
                <w:b/>
                <w:sz w:val="17"/>
              </w:rPr>
              <w:t>3,066</w:t>
            </w:r>
          </w:p>
        </w:tc>
        <w:tc>
          <w:tcPr>
            <w:tcW w:type="dxa" w:w="1440"/>
            <w:shd w:fill="C6EFCE" w:val="clear"/>
          </w:tcPr>
          <w:p>
            <w:r>
              <w:rPr>
                <w:sz w:val="17"/>
              </w:rPr>
              <w:t>3,453</w:t>
            </w:r>
          </w:p>
        </w:tc>
        <w:tc>
          <w:tcPr>
            <w:tcW w:type="dxa" w:w="1440"/>
            <w:shd w:fill="C6EFCE" w:val="clear"/>
          </w:tcPr>
          <w:p>
            <w:r>
              <w:rPr>
                <w:b/>
                <w:color w:val="008000"/>
                <w:sz w:val="17"/>
              </w:rPr>
              <w:t>+13.6%</w:t>
            </w:r>
          </w:p>
        </w:tc>
      </w:tr>
      <w:tr>
        <w:tc>
          <w:tcPr>
            <w:tcW w:type="dxa" w:w="1440"/>
            <w:shd w:fill="C6EFCE" w:val="clear"/>
          </w:tcPr>
          <w:p>
            <w:r>
              <w:rPr>
                <w:sz w:val="17"/>
              </w:rPr>
              <w:t>J+6  ⭐</w:t>
            </w:r>
          </w:p>
        </w:tc>
        <w:tc>
          <w:tcPr>
            <w:tcW w:type="dxa" w:w="1440"/>
            <w:shd w:fill="C6EFCE" w:val="clear"/>
          </w:tcPr>
          <w:p>
            <w:r>
              <w:rPr>
                <w:sz w:val="17"/>
              </w:rPr>
              <w:t>2026-10-15</w:t>
            </w:r>
          </w:p>
        </w:tc>
        <w:tc>
          <w:tcPr>
            <w:tcW w:type="dxa" w:w="1440"/>
            <w:shd w:fill="C6EFCE" w:val="clear"/>
          </w:tcPr>
          <w:p>
            <w:r>
              <w:rPr>
                <w:sz w:val="17"/>
              </w:rPr>
              <w:t>2,687</w:t>
            </w:r>
          </w:p>
        </w:tc>
        <w:tc>
          <w:tcPr>
            <w:tcW w:type="dxa" w:w="1440"/>
            <w:shd w:fill="C6EFCE" w:val="clear"/>
          </w:tcPr>
          <w:p>
            <w:r>
              <w:rPr>
                <w:b/>
                <w:sz w:val="17"/>
              </w:rPr>
              <w:t>3,118</w:t>
            </w:r>
          </w:p>
        </w:tc>
        <w:tc>
          <w:tcPr>
            <w:tcW w:type="dxa" w:w="1440"/>
            <w:shd w:fill="C6EFCE" w:val="clear"/>
          </w:tcPr>
          <w:p>
            <w:r>
              <w:rPr>
                <w:sz w:val="17"/>
              </w:rPr>
              <w:t>3,549</w:t>
            </w:r>
          </w:p>
        </w:tc>
        <w:tc>
          <w:tcPr>
            <w:tcW w:type="dxa" w:w="1440"/>
            <w:shd w:fill="C6EFCE" w:val="clear"/>
          </w:tcPr>
          <w:p>
            <w:r>
              <w:rPr>
                <w:b/>
                <w:color w:val="008000"/>
                <w:sz w:val="17"/>
              </w:rPr>
              <w:t>+15.5%</w:t>
            </w:r>
          </w:p>
        </w:tc>
      </w:tr>
      <w:tr>
        <w:tc>
          <w:tcPr>
            <w:tcW w:type="dxa" w:w="1440"/>
            <w:shd w:fill="C6EFCE" w:val="clear"/>
          </w:tcPr>
          <w:p>
            <w:r>
              <w:rPr>
                <w:sz w:val="17"/>
              </w:rPr>
              <w:t>J+7  ⭐</w:t>
            </w:r>
          </w:p>
        </w:tc>
        <w:tc>
          <w:tcPr>
            <w:tcW w:type="dxa" w:w="1440"/>
            <w:shd w:fill="C6EFCE" w:val="clear"/>
          </w:tcPr>
          <w:p>
            <w:r>
              <w:rPr>
                <w:sz w:val="17"/>
              </w:rPr>
              <w:t>2026-10-16</w:t>
            </w:r>
          </w:p>
        </w:tc>
        <w:tc>
          <w:tcPr>
            <w:tcW w:type="dxa" w:w="1440"/>
            <w:shd w:fill="C6EFCE" w:val="clear"/>
          </w:tcPr>
          <w:p>
            <w:r>
              <w:rPr>
                <w:sz w:val="17"/>
              </w:rPr>
              <w:t>2,690</w:t>
            </w:r>
          </w:p>
        </w:tc>
        <w:tc>
          <w:tcPr>
            <w:tcW w:type="dxa" w:w="1440"/>
            <w:shd w:fill="C6EFCE" w:val="clear"/>
          </w:tcPr>
          <w:p>
            <w:r>
              <w:rPr>
                <w:b/>
                <w:sz w:val="17"/>
              </w:rPr>
              <w:t>3,162</w:t>
            </w:r>
          </w:p>
        </w:tc>
        <w:tc>
          <w:tcPr>
            <w:tcW w:type="dxa" w:w="1440"/>
            <w:shd w:fill="C6EFCE" w:val="clear"/>
          </w:tcPr>
          <w:p>
            <w:r>
              <w:rPr>
                <w:sz w:val="17"/>
              </w:rPr>
              <w:t>3,634</w:t>
            </w:r>
          </w:p>
        </w:tc>
        <w:tc>
          <w:tcPr>
            <w:tcW w:type="dxa" w:w="1440"/>
            <w:shd w:fill="C6EFCE" w:val="clear"/>
          </w:tcPr>
          <w:p>
            <w:r>
              <w:rPr>
                <w:b/>
                <w:color w:val="008000"/>
                <w:sz w:val="17"/>
              </w:rPr>
              <w:t>+17.1%</w:t>
            </w:r>
          </w:p>
        </w:tc>
      </w:tr>
      <w:tr>
        <w:tc>
          <w:tcPr>
            <w:tcW w:type="dxa" w:w="1440"/>
            <w:shd w:fill="C6EFCE" w:val="clear"/>
          </w:tcPr>
          <w:p>
            <w:r>
              <w:rPr>
                <w:sz w:val="17"/>
              </w:rPr>
              <w:t>J+8  ⭐</w:t>
            </w:r>
          </w:p>
        </w:tc>
        <w:tc>
          <w:tcPr>
            <w:tcW w:type="dxa" w:w="1440"/>
            <w:shd w:fill="C6EFCE" w:val="clear"/>
          </w:tcPr>
          <w:p>
            <w:r>
              <w:rPr>
                <w:sz w:val="17"/>
              </w:rPr>
              <w:t>2026-10-19</w:t>
            </w:r>
          </w:p>
        </w:tc>
        <w:tc>
          <w:tcPr>
            <w:tcW w:type="dxa" w:w="1440"/>
            <w:shd w:fill="C6EFCE" w:val="clear"/>
          </w:tcPr>
          <w:p>
            <w:r>
              <w:rPr>
                <w:sz w:val="17"/>
              </w:rPr>
              <w:t>2,688</w:t>
            </w:r>
          </w:p>
        </w:tc>
        <w:tc>
          <w:tcPr>
            <w:tcW w:type="dxa" w:w="1440"/>
            <w:shd w:fill="C6EFCE" w:val="clear"/>
          </w:tcPr>
          <w:p>
            <w:r>
              <w:rPr>
                <w:b/>
                <w:sz w:val="17"/>
              </w:rPr>
              <w:t>3,199</w:t>
            </w:r>
          </w:p>
        </w:tc>
        <w:tc>
          <w:tcPr>
            <w:tcW w:type="dxa" w:w="1440"/>
            <w:shd w:fill="C6EFCE" w:val="clear"/>
          </w:tcPr>
          <w:p>
            <w:r>
              <w:rPr>
                <w:sz w:val="17"/>
              </w:rPr>
              <w:t>3,709</w:t>
            </w:r>
          </w:p>
        </w:tc>
        <w:tc>
          <w:tcPr>
            <w:tcW w:type="dxa" w:w="1440"/>
            <w:shd w:fill="C6EFCE" w:val="clear"/>
          </w:tcPr>
          <w:p>
            <w:r>
              <w:rPr>
                <w:b/>
                <w:color w:val="008000"/>
                <w:sz w:val="17"/>
              </w:rPr>
              <w:t>+18.5%</w:t>
            </w:r>
          </w:p>
        </w:tc>
      </w:tr>
      <w:tr>
        <w:tc>
          <w:tcPr>
            <w:tcW w:type="dxa" w:w="1440"/>
            <w:shd w:fill="C6EFCE" w:val="clear"/>
          </w:tcPr>
          <w:p>
            <w:r>
              <w:rPr>
                <w:sz w:val="17"/>
              </w:rPr>
              <w:t>J+9  ⭐</w:t>
            </w:r>
          </w:p>
        </w:tc>
        <w:tc>
          <w:tcPr>
            <w:tcW w:type="dxa" w:w="1440"/>
            <w:shd w:fill="C6EFCE" w:val="clear"/>
          </w:tcPr>
          <w:p>
            <w:r>
              <w:rPr>
                <w:sz w:val="17"/>
              </w:rPr>
              <w:t>2026-10-20</w:t>
            </w:r>
          </w:p>
        </w:tc>
        <w:tc>
          <w:tcPr>
            <w:tcW w:type="dxa" w:w="1440"/>
            <w:shd w:fill="C6EFCE" w:val="clear"/>
          </w:tcPr>
          <w:p>
            <w:r>
              <w:rPr>
                <w:sz w:val="17"/>
              </w:rPr>
              <w:t>2,684</w:t>
            </w:r>
          </w:p>
        </w:tc>
        <w:tc>
          <w:tcPr>
            <w:tcW w:type="dxa" w:w="1440"/>
            <w:shd w:fill="C6EFCE" w:val="clear"/>
          </w:tcPr>
          <w:p>
            <w:r>
              <w:rPr>
                <w:b/>
                <w:sz w:val="17"/>
              </w:rPr>
              <w:t>3,231</w:t>
            </w:r>
          </w:p>
        </w:tc>
        <w:tc>
          <w:tcPr>
            <w:tcW w:type="dxa" w:w="1440"/>
            <w:shd w:fill="C6EFCE" w:val="clear"/>
          </w:tcPr>
          <w:p>
            <w:r>
              <w:rPr>
                <w:sz w:val="17"/>
              </w:rPr>
              <w:t>3,778</w:t>
            </w:r>
          </w:p>
        </w:tc>
        <w:tc>
          <w:tcPr>
            <w:tcW w:type="dxa" w:w="1440"/>
            <w:shd w:fill="C6EFCE" w:val="clear"/>
          </w:tcPr>
          <w:p>
            <w:r>
              <w:rPr>
                <w:b/>
                <w:color w:val="008000"/>
                <w:sz w:val="17"/>
              </w:rPr>
              <w:t>+19.7%</w:t>
            </w:r>
          </w:p>
        </w:tc>
      </w:tr>
      <w:tr>
        <w:tc>
          <w:tcPr>
            <w:tcW w:type="dxa" w:w="1440"/>
            <w:shd w:fill="C6EFCE" w:val="clear"/>
          </w:tcPr>
          <w:p>
            <w:r>
              <w:rPr>
                <w:sz w:val="17"/>
              </w:rPr>
              <w:t>J+10  ⭐</w:t>
            </w:r>
          </w:p>
        </w:tc>
        <w:tc>
          <w:tcPr>
            <w:tcW w:type="dxa" w:w="1440"/>
            <w:shd w:fill="C6EFCE" w:val="clear"/>
          </w:tcPr>
          <w:p>
            <w:r>
              <w:rPr>
                <w:sz w:val="17"/>
              </w:rPr>
              <w:t>2026-10-21</w:t>
            </w:r>
          </w:p>
        </w:tc>
        <w:tc>
          <w:tcPr>
            <w:tcW w:type="dxa" w:w="1440"/>
            <w:shd w:fill="C6EFCE" w:val="clear"/>
          </w:tcPr>
          <w:p>
            <w:r>
              <w:rPr>
                <w:sz w:val="17"/>
              </w:rPr>
              <w:t>2,677</w:t>
            </w:r>
          </w:p>
        </w:tc>
        <w:tc>
          <w:tcPr>
            <w:tcW w:type="dxa" w:w="1440"/>
            <w:shd w:fill="C6EFCE" w:val="clear"/>
          </w:tcPr>
          <w:p>
            <w:r>
              <w:rPr>
                <w:b/>
                <w:sz w:val="17"/>
              </w:rPr>
              <w:t>3,259</w:t>
            </w:r>
          </w:p>
        </w:tc>
        <w:tc>
          <w:tcPr>
            <w:tcW w:type="dxa" w:w="1440"/>
            <w:shd w:fill="C6EFCE" w:val="clear"/>
          </w:tcPr>
          <w:p>
            <w:r>
              <w:rPr>
                <w:sz w:val="17"/>
              </w:rPr>
              <w:t>3,840</w:t>
            </w:r>
          </w:p>
        </w:tc>
        <w:tc>
          <w:tcPr>
            <w:tcW w:type="dxa" w:w="1440"/>
            <w:shd w:fill="C6EFCE" w:val="clear"/>
          </w:tcPr>
          <w:p>
            <w:r>
              <w:rPr>
                <w:b/>
                <w:color w:val="008000"/>
                <w:sz w:val="17"/>
              </w:rPr>
              <w:t>+20.7%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52,92 milliards FCFA, SCRC se positionne comme une valeur de taille moyenne sur le compartiment industriel de la BRVM, reflétant sa dimension d'acteur sucrier régional structurant. Le BPA ressort à -406 FCFA/action, conséquence directe de la perte nette de 7,95 milliards FCFA enregistrée en 2025 (IFRS), ce qui rend le PER non significatif (-6,7x) : les investisseurs ne peuvent pas évaluer le titre sur ses bénéfices actuels, la société étant déficitaire. Le P/B de 3,07x traduit une prime de croissance significative accordée par le marché, les investisseurs valorisant le potentiel de redressement et les investissements massifs en cours bien au-delà de la valeur comptable des capitaux propres (17,24 milliards FCFA). Enfin, l'EV/EBITDA de 9,7x, dans la fourchette raisonnable de 5-10x, suggère que la valeur d'entreprise reste cohérente avec la capacité opérationnelle dégagée (EBE de 14,85 milliards FCFA), offrant un point d'ancrage valorisation moins dégradé que ne le laisse penser le résultat net.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affiche une performance positive de +20,54%, mais la dernière séance (J-1) marque un repli de -3,23%, signalant une pression vendeuse récente. Le cours actuel de 2 700 FCFA se situe dans la moitié basse du range de trading, bien loin du plus haut de 3 920 FCFA et à peine au-dessus du plus bas de 2 205 FCFA, ce qui traduit une tendance générale baissière depuis les sommets, malgré la performance positive sur la période. Les statistiques descriptives révèlent une moyenne de 3 192 FCFA supérieure à la médiane de 3 298 FCFA — écart confirmant une asymétrie négative (skewness de -0,573), c'est-à-dire davantage de journées de cotation au-dessus de la moyenne, typique d'un titre ayant connu un pic suivi d'une correction. L'écart-type de 433 FCFA avec un coefficient de variation de 13,6% indique une dispersion modérée du cours autour de sa moyenne, tandis que le kurtosis de -0,723 (mésokurtique) suggère une distribution proche de la normale, sans risque excessif de pics extrêmes. La volatilité annualisée de 57,8% classe le titre dans la catégorie des valeurs très volatiles (&gt;30%), ce qui implique un risque de marché élevé et justifie une approche prudente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(3 098,25 FCFA) et la MM50 (3 375,9 FCFA) se situent toutes deux nettement au-dessus du cours actuel (2 700 FCFA), confirmant une configuration baissière où le titre évolue sous ses moyennes de référence. La MM20 étant inférieure à la MM50, on observe un croisement baissier (death cross) qui renforce le signal de vente. La décision technique est donc logiquement à la vente.</w:t>
      </w:r>
    </w:p>
    <w:p>
      <w:pPr>
        <w:spacing w:after="120" w:line="276" w:lineRule="auto"/>
      </w:pPr>
      <w:r>
        <w:t>**Bandes de Bollinger** : Le cours actuel (2 700 FCFA) se situe dans la partie basse de la bande, entre la borne inférieure (2 486,98 FCFA) et la borne supérieure (3 709,52 FCFA), sans atteindre la zone de survente extrême. L'amplitude des bandes (1 222,55 FCFA) reflète une volatilité élevée, et la décision neutre suggère une absence de signal fort, le titre n'étant ni suracheté ni survendu selon ce seul indicateur.</w:t>
      </w:r>
    </w:p>
    <w:p>
      <w:pPr>
        <w:spacing w:after="120" w:line="276" w:lineRule="auto"/>
      </w:pPr>
      <w:r>
        <w:t>**MACD** : La valeur du MACD (-188,597) est inférieure à son signal (-161,239), avec un histogramme négatif, ce qui confirme un momentum baissier persistant. La divergence négative entre les deux lignes indique que la pression vendeuse reste dominante, justifiant la décision de vente.</w:t>
      </w:r>
    </w:p>
    <w:p>
      <w:pPr>
        <w:spacing w:after="120" w:line="276" w:lineRule="auto"/>
      </w:pPr>
      <w:r>
        <w:t>**RSI** : À 28,188, le RSI se situe en zone de survente (&lt;30), ce qui constitue un signal d'achat technique potentiel. Cette configuration suggère que le titre pourrait être survendu à court terme et qu'un rebond technique est envisageable, en contradiction avec les signaux baissiers des autres indicateurs.</w:t>
      </w:r>
    </w:p>
    <w:p>
      <w:pPr>
        <w:spacing w:after="120" w:line="276" w:lineRule="auto"/>
      </w:pPr>
      <w:r>
        <w:t>**Stochastique** : Le %K (1,667) est très inférieur au %D (10,807), et les deux se situent en zone de survente extrême (&lt;20). Cette configuration, bien que baissière à court terme, est typique d'un épuisement de la tendance baissière et peut précéder un retournement haussier, justifiant la décision d'achat technique.</w:t>
      </w:r>
    </w:p>
    <w:p>
      <w:pPr>
        <w:spacing w:after="120" w:line="276" w:lineRule="auto"/>
      </w:pPr>
      <w:r>
        <w:t>**Conclusion technique** : Les indicateurs présentent une divergence notable : les moyennes mobiles et le MACD confirment une tendance baissière, tandis que le RSI et le stochastique signalent une survente extrême propice à un rebond technique. Cette configuration contradictoire suggère une phase de consolidation ou de retournement imminent, avec un risque de poursuite de la baisse à court terme mais un potentiel de rebond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SCRC (exercice clos au 31 décembre 2025, analysés par DEEPSEEK le 19 mai 2026 et GEMINI-VISION le 23 septembre 2026) révèlent une situation contrastée : le chiffre d'affaires s'établit à 80,57 milliards FCFA, en baisse de 7,6% par rapport à 2024 (87,22 milliards FCFA), tandis que le résultat net affiche une perte de 7,95 milliards FCFA (IFRS) contre un bénéfice de 2,47 milliards FCFA en 2024, soit une dégradation de 421%. Le ROE ressort à -46,13% et le ROA à -5,08%, confirmant la destruction de valeur, tandis que la marge nette de -9,87% et la marge opérationnelle de -0,68% témoignent d'une rentabilité opérationnelle quasi nulle. En tant qu'entreprise industrielle, l'analyse des délais d'exploitation est préoccupante : le délai fournisseurs de 366 jours est exceptionnellement élevé (bon pour la trésorerie), mais le délai de stockage de 360,73 jours immobilise massivement du capital, et le BFR de 6,53 milliards FCFA pèse sur la liquidité. La structure financière est critique : l'autonomie financière de 11,02% est très inférieure au seuil sain de 30%, le ratio d'endettement de 88,98% et la dépendance financière de 492,21% traduisent un levier excessif, avec des dettes financières totales de 84,87 milliards FCFA pour des capitaux propres de seulement 17,24 milliards FCFA. Les rapports trimestriels de 2025 (T1 et S1) confirment la tendance : au S1 2025, le résultat net était déjà négatif à -6,71 milliards FCFA, et le T1 2025 affichait un résultat net de 3,21 milliards FCFA en repli de 32%. Sur la base de ces éléments, on estime que l'exercice 2026 restera sous pression, la société devant impérativement restructurer sa dette (dont le coût a explosé de 262% à 6,79 milliards FCFA) et redresser sa marge opérationnelle pour retrouver la profitabilité. La recommandation fondamentale est de **conserver** le titre avec vigilance, le potentiel de redressement existant (investissements de 25,2 milliards FCFA, marge brute solide de 45,8%) étant contrebalancé par des risques financiers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SCRC présente un profil atypique : le PER négatif (-6,7x) et le BPA de -406 FCFA interdisent toute évaluation sur les bénéfices, tandis que le P/B de 3,07x et l'EV/EBITDA de 9,7x suggèrent que le marché valorise davantage le potentiel de redressement que les fondamentaux actuels, sans toutefois indiquer une surévaluation manifeste. Le comportement du cours sur 100 jours (+20,54%) masque une tendance baissière depuis les sommets (3 920 FCFA), avec une volatilité très élevée (57,8%) et une asymétrie négative (skewness -0,573) qui traduisent une correction en cours, les statistiques (kurtosis -0,723) n'indiquant pas de risque de pics extrêmes. Les signaux techniques sont divergents : les moyennes mobiles et le MACD confirment la tendance baissière, tandis que le RSI (28,19) et le stochastique (%K=1,67) signalent une survente extrême propice à un rebond, créant une incertitude sur la direction à court terme. Les fondamentaux demeurent fragiles : perte nette de 7,95 milliards FCFA en 2025, endettement critique (ratio de 88,98%), trésorerie nette négative (-6,5 milliards FCFA), mais les investissements massifs et la marge brute solide (45,8%) laissent entrevoir un potentiel de redressement à moyen terme, sous réserve de la réussite du plan de restructuration. Les prédictions IA (J+1 à J+10) tablent sur une trajectoire haussière modérée, de 2 754 FCFA à 3 066 FCFA, ce qui confirmerait un rebond technique à court terme, en ligne avec les signaux de survente du RSI et du stochastique, mais en contradiction avec la tendance baissière des moyennes mobiles. Sur la base de cette synthèse, la recommandation finale est de **CONSERVER** le titre, avec un niveau de confiance **Moyen** et un risque global **Élevé**. L'horizon d'investissement optimal est le **moyen terme (3-12 mois)**, le temps que les investissements portent leurs fruits et que la société démontre sa capacité à restaurer sa rentabilité opérationnelle et à alléger sa structure financière. Un achat spéculatif à court terme est envisageable pour les investisseurs agressifs, mais une vente serait prématurée compte tenu du potentiel de rebond technique et des perspectives de redressement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1,502 titres</w:t>
            </w:r>
          </w:p>
        </w:tc>
        <w:tc>
          <w:tcPr>
            <w:tcW w:type="dxa" w:w="2268"/>
            <w:shd w:fill="FFF2CC" w:val="clear"/>
          </w:tcPr>
          <w:p>
            <w:r>
              <w:rPr>
                <w:b/>
                <w:color w:val="503200"/>
                <w:sz w:val="16"/>
              </w:rPr>
              <w:t xml:space="preserve">Cours actuel : </w:t>
            </w:r>
            <w:r>
              <w:rPr>
                <w:color w:val="000000"/>
                <w:sz w:val="17"/>
              </w:rPr>
              <w:t>13,000 FCFA</w:t>
            </w:r>
          </w:p>
          <w:p>
            <w:r>
              <w:rPr>
                <w:b/>
                <w:color w:val="503200"/>
                <w:sz w:val="16"/>
              </w:rPr>
              <w:t xml:space="preserve">Var. 100 jours : </w:t>
            </w:r>
            <w:r>
              <w:rPr>
                <w:b/>
                <w:color w:val="007800"/>
                <w:sz w:val="17"/>
              </w:rPr>
              <w:t>+36.77%</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9,505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6.59% (Moyenne) — μ=12,035 FCFA, σ=793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β=0.7351 (Défensif) — Cov=0.000054, Var(idx)=0.000073, ρ=0.254,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12,261</w:t>
            </w:r>
          </w:p>
        </w:tc>
        <w:tc>
          <w:tcPr>
            <w:tcW w:type="dxa" w:w="1440"/>
            <w:shd w:fill="FAFAFA" w:val="clear"/>
          </w:tcPr>
          <w:p>
            <w:r>
              <w:rPr>
                <w:b/>
                <w:sz w:val="17"/>
              </w:rPr>
              <w:t>12,972</w:t>
            </w:r>
          </w:p>
        </w:tc>
        <w:tc>
          <w:tcPr>
            <w:tcW w:type="dxa" w:w="1440"/>
            <w:shd w:fill="FAFAFA" w:val="clear"/>
          </w:tcPr>
          <w:p>
            <w:r>
              <w:rPr>
                <w:sz w:val="17"/>
              </w:rPr>
              <w:t>13,683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11,973</w:t>
            </w:r>
          </w:p>
        </w:tc>
        <w:tc>
          <w:tcPr>
            <w:tcW w:type="dxa" w:w="1440"/>
            <w:shd w:fill="FAFAFA" w:val="clear"/>
          </w:tcPr>
          <w:p>
            <w:r>
              <w:rPr>
                <w:b/>
                <w:sz w:val="17"/>
              </w:rPr>
              <w:t>12,979</w:t>
            </w:r>
          </w:p>
        </w:tc>
        <w:tc>
          <w:tcPr>
            <w:tcW w:type="dxa" w:w="1440"/>
            <w:shd w:fill="FAFAFA" w:val="clear"/>
          </w:tcPr>
          <w:p>
            <w:r>
              <w:rPr>
                <w:sz w:val="17"/>
              </w:rPr>
              <w:t>13,985</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11,755</w:t>
            </w:r>
          </w:p>
        </w:tc>
        <w:tc>
          <w:tcPr>
            <w:tcW w:type="dxa" w:w="1440"/>
            <w:shd w:fill="FAFAFA" w:val="clear"/>
          </w:tcPr>
          <w:p>
            <w:r>
              <w:rPr>
                <w:b/>
                <w:sz w:val="17"/>
              </w:rPr>
              <w:t>12,988</w:t>
            </w:r>
          </w:p>
        </w:tc>
        <w:tc>
          <w:tcPr>
            <w:tcW w:type="dxa" w:w="1440"/>
            <w:shd w:fill="FAFAFA" w:val="clear"/>
          </w:tcPr>
          <w:p>
            <w:r>
              <w:rPr>
                <w:sz w:val="17"/>
              </w:rPr>
              <w:t>14,221</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11,576</w:t>
            </w:r>
          </w:p>
        </w:tc>
        <w:tc>
          <w:tcPr>
            <w:tcW w:type="dxa" w:w="1440"/>
            <w:shd w:fill="FAFAFA" w:val="clear"/>
          </w:tcPr>
          <w:p>
            <w:r>
              <w:rPr>
                <w:b/>
                <w:sz w:val="17"/>
              </w:rPr>
              <w:t>13,001</w:t>
            </w:r>
          </w:p>
        </w:tc>
        <w:tc>
          <w:tcPr>
            <w:tcW w:type="dxa" w:w="1440"/>
            <w:shd w:fill="FAFAFA" w:val="clear"/>
          </w:tcPr>
          <w:p>
            <w:r>
              <w:rPr>
                <w:sz w:val="17"/>
              </w:rPr>
              <w:t>14,427</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11,425</w:t>
            </w:r>
          </w:p>
        </w:tc>
        <w:tc>
          <w:tcPr>
            <w:tcW w:type="dxa" w:w="1440"/>
            <w:shd w:fill="FAFAFA" w:val="clear"/>
          </w:tcPr>
          <w:p>
            <w:r>
              <w:rPr>
                <w:b/>
                <w:sz w:val="17"/>
              </w:rPr>
              <w:t>13,021</w:t>
            </w:r>
          </w:p>
        </w:tc>
        <w:tc>
          <w:tcPr>
            <w:tcW w:type="dxa" w:w="1440"/>
            <w:shd w:fill="FAFAFA" w:val="clear"/>
          </w:tcPr>
          <w:p>
            <w:r>
              <w:rPr>
                <w:sz w:val="17"/>
              </w:rPr>
              <w:t>14,616</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11,296</w:t>
            </w:r>
          </w:p>
        </w:tc>
        <w:tc>
          <w:tcPr>
            <w:tcW w:type="dxa" w:w="1440"/>
            <w:shd w:fill="FAFAFA" w:val="clear"/>
          </w:tcPr>
          <w:p>
            <w:r>
              <w:rPr>
                <w:b/>
                <w:sz w:val="17"/>
              </w:rPr>
              <w:t>13,047</w:t>
            </w:r>
          </w:p>
        </w:tc>
        <w:tc>
          <w:tcPr>
            <w:tcW w:type="dxa" w:w="1440"/>
            <w:shd w:fill="FAFAFA" w:val="clear"/>
          </w:tcPr>
          <w:p>
            <w:r>
              <w:rPr>
                <w:sz w:val="17"/>
              </w:rPr>
              <w:t>14,799</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11,170</w:t>
            </w:r>
          </w:p>
        </w:tc>
        <w:tc>
          <w:tcPr>
            <w:tcW w:type="dxa" w:w="1440"/>
            <w:shd w:fill="FAFAFA" w:val="clear"/>
          </w:tcPr>
          <w:p>
            <w:r>
              <w:rPr>
                <w:b/>
                <w:sz w:val="17"/>
              </w:rPr>
              <w:t>13,065</w:t>
            </w:r>
          </w:p>
        </w:tc>
        <w:tc>
          <w:tcPr>
            <w:tcW w:type="dxa" w:w="1440"/>
            <w:shd w:fill="FAFAFA" w:val="clear"/>
          </w:tcPr>
          <w:p>
            <w:r>
              <w:rPr>
                <w:sz w:val="17"/>
              </w:rPr>
              <w:t>14,959</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11,051</w:t>
            </w:r>
          </w:p>
        </w:tc>
        <w:tc>
          <w:tcPr>
            <w:tcW w:type="dxa" w:w="1440"/>
            <w:shd w:fill="FAFAFA" w:val="clear"/>
          </w:tcPr>
          <w:p>
            <w:r>
              <w:rPr>
                <w:b/>
                <w:sz w:val="17"/>
              </w:rPr>
              <w:t>13,079</w:t>
            </w:r>
          </w:p>
        </w:tc>
        <w:tc>
          <w:tcPr>
            <w:tcW w:type="dxa" w:w="1440"/>
            <w:shd w:fill="FAFAFA" w:val="clear"/>
          </w:tcPr>
          <w:p>
            <w:r>
              <w:rPr>
                <w:sz w:val="17"/>
              </w:rPr>
              <w:t>15,106</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10,939</w:t>
            </w:r>
          </w:p>
        </w:tc>
        <w:tc>
          <w:tcPr>
            <w:tcW w:type="dxa" w:w="1440"/>
            <w:shd w:fill="FAFAFA" w:val="clear"/>
          </w:tcPr>
          <w:p>
            <w:r>
              <w:rPr>
                <w:b/>
                <w:sz w:val="17"/>
              </w:rPr>
              <w:t>13,091</w:t>
            </w:r>
          </w:p>
        </w:tc>
        <w:tc>
          <w:tcPr>
            <w:tcW w:type="dxa" w:w="1440"/>
            <w:shd w:fill="FAFAFA" w:val="clear"/>
          </w:tcPr>
          <w:p>
            <w:r>
              <w:rPr>
                <w:sz w:val="17"/>
              </w:rPr>
              <w:t>15,244</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10,831</w:t>
            </w:r>
          </w:p>
        </w:tc>
        <w:tc>
          <w:tcPr>
            <w:tcW w:type="dxa" w:w="1440"/>
            <w:shd w:fill="FAFAFA" w:val="clear"/>
          </w:tcPr>
          <w:p>
            <w:r>
              <w:rPr>
                <w:b/>
                <w:sz w:val="17"/>
              </w:rPr>
              <w:t>13,101</w:t>
            </w:r>
          </w:p>
        </w:tc>
        <w:tc>
          <w:tcPr>
            <w:tcW w:type="dxa" w:w="1440"/>
            <w:shd w:fill="FAFAFA" w:val="clear"/>
          </w:tcPr>
          <w:p>
            <w:r>
              <w:rPr>
                <w:sz w:val="17"/>
              </w:rPr>
              <w:t>15,372</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117,00 milliards FCFA, SDCC s'inscrit parmi les valeurs de taille intermédiaire à supérieure de la cote BRVM, ce qui traduit une certaine maturité et une liquidité relative sur le marché régional. Le BPA de 518 FCFA/action signifie que chaque titre génère un bénéfice net de 518 FCFA, ce qui, rapporté au cours actuel de 13 000 FCFA, donne un PER de 25,1x — nettement supérieur à la moyenne BRVM (généralement comprise entre 8x et 12x), signalant que le marché anticipe une forte croissance future ou, à l'inverse, que le titre est surévalué. Le ratio P/B de 5,93x indique que le marché valorise l'entreprise à près de six fois sa valeur comptable, une prime exigeante qui reflète la confiance dans la qualité des actifs et la position de monopole de SODECI dans la distribution d'eau en Côte d'Ivoire. Enfin, l'EV/EBITDA de 14,9x, situé dans la fourchette haute (10-15x), confirme que la valeur d'entreprise intègre une prime de croissance significative, ce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remarquable de +36,77%, avec une dernière séance en hausse de +0,54%, confirmant une dynamique haussière soutenue. Le titre a évolué dans un range de trading large, entre un plus bas de 9 505 FCFA et un plus haut de 13 885 FCFA, pour un cours actuel de 13 000 FCFA, soit une position médiane-haute dans ce canal. La tendance générale est donc clairement haussière, portée par des fondamentaux en amélioration et un intérêt croissant des investisseurs pour la valeur. Les statistiques descriptives révèlent une moyenne de 12 035 FCFA légèrement supérieure à la médiane de 11 990 FCFA, avec un mode à 11 900 FCFA, indiquant une distribution quasi-symétrique (skewness de 0,023) sans biais directionnel marqué. L'écart-type de 797 FCFA, associé à un coefficient de variation de 6,6%, traduit une dispersion modérée du cours autour de sa moyenne, tandis que le kurtosis de 0,593 (mésokurtique) suggère une distribution proche de la normale, sans risque excessif de pics extrêmes. La volatilité annualisée de 38,9% classe le titre dans la catégorie des valeurs à volatilité élevée (&gt;30%),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(12 810,5 FCFA) et la MM50 (12 486,7 FCFA) se situent toutes deux en dessous du cours actuel (13 000 FCFA), avec la MM20 au-dessus de la MM50, configurant un croisement haussier classique. Cette configuration confirme la tendance positive et justifie la décision d'achat, le cours évoluant au-dessus de ses supports dynamiques.</w:t>
      </w:r>
    </w:p>
    <w:p>
      <w:pPr>
        <w:spacing w:after="120" w:line="276" w:lineRule="auto"/>
      </w:pPr>
      <w:r>
        <w:t>**Bandes de Bollinger** : Le cours (13 000 FCFA) se situe à l'intérieur des bandes, entre la borne inférieure (11 478,4 FCFA) et la borne supérieure (14 142,6 FCFA), sans atteindre les extrêmes. Cette position médiane, couplée à une volatilité modérée, justifie la décision neutre, le titre n'étant ni suracheté ni survendu selon ce critère.</w:t>
      </w:r>
    </w:p>
    <w:p>
      <w:pPr>
        <w:spacing w:after="120" w:line="276" w:lineRule="auto"/>
      </w:pPr>
      <w:r>
        <w:t>**MACD** : La valeur du MACD (57,295) est nettement supérieure à son signal (27,247), avec un histogramme positif, ce qui indique un momentum haussier robuste. Cette divergence positive confirme la décision d'achat, le MACD anticipant la poursuite de la tendance.</w:t>
      </w:r>
    </w:p>
    <w:p>
      <w:pPr>
        <w:spacing w:after="120" w:line="276" w:lineRule="auto"/>
      </w:pPr>
      <w:r>
        <w:t>**RSI** : À 45,475, le RSI se situe dans la zone neutre (30-70), sans signal de surachat ni de survente. Cette position médiane justifie la décision neutre, le titre conservant un potentiel de hausse sans être techniquement épuisé.</w:t>
      </w:r>
    </w:p>
    <w:p>
      <w:pPr>
        <w:spacing w:after="120" w:line="276" w:lineRule="auto"/>
      </w:pPr>
      <w:r>
        <w:t>**Stochastique** : Le %K (78,755) est supérieur au %D (73,255), avec un croisement haussier récent, mais les deux valeurs approchent la zone de surachat (&gt;80). La décision neutre s'explique par ce positionnement élevé qui pourrait annoncer un essoufflement à court terme.</w:t>
      </w:r>
    </w:p>
    <w:p>
      <w:pPr>
        <w:spacing w:after="120" w:line="276" w:lineRule="auto"/>
      </w:pPr>
      <w:r>
        <w:t>**Conclusion technique** : Les indicateurs convergent majoritairement vers un signal haussier (MM, MACD), tandis que le RSI et les Bandes de Bollinger tempèrent ce momentum en affichant une position neutre. Le Stochastique, proche de la zone de surachat, suggère une possible consolidation à court terme. Globalement, la configuration technique reste favorable à un maintien de la tendance haussière, avec une vigilance sur les niveaux de résistance.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SDCC affichent un chiffre d'affaires de 189,430 milliards FCFA, en croissance de 9,98% par rapport à 2024, porté par la hausse des volumes d'eau facturés et l'élargissement du portefeuille clients (2 272 032 clients, +6,14%). Le résultat net s'établit à 4,663 milliards FCFA, en progression de 31%, avec une marge nette de 2,46% et un ROE de 23,65%, largement supérieur au seuil de 15% considéré comme excellent, témoignant d'une rentabilité des fonds propres très solide. Le ROA, à 0,99%, reste faible en raison de l'intensité capitalistique du secteur, mais la rotation des actifs (40,08%) et la marge brute élevée (81,86%) confirment l'efficacité opérationnelle. Le BFR de 104,748 milliards FCFA et le délai clients de 749,25 jours constituent un point de vigilance majeur : ce délai très élevé expose l'entreprise à un risque de trésorerie important, bien que le taux de recouvrement de 95,85% (rapport 2025) atténue partiellement ce risque. La structure financière est très endettée (ratio d'endettement de 95,83%, autonomie financière de 4,17%), avec une trésorerie nette négative de -61,710 milliards FCFA et un flux opérationnel de -36,655 milliards FCFA, reflétant des besoins de financement accrus. Le ratio de couverture des intérêts (1 583,5%) et la capacité de remboursement (8,18 années) restent néanmoins rassurants. Sur la base du rapport T1 2026 (publié en 2026), le chiffre d'affaires recule légèrement de 2% à 40 916 millions FCFA, mais le résultat net bondit de 118% à 1 318 millions FCFA grâce à une maîtrise des charges opérationnelles, ce qui laisse présager une poursuite de l'amélioration de la rentabilité en 2026. Le dividende proposé de 525 FCFA par action (rapport 2025) offre un rendement attractif de 4,04% au cours actuel. En synthèse, la solidité fondamentale repose sur une position de monopole, une rentabilité des fonds propres excellente et une croissance soutenue, mais les tensions de trésorerie et le niveau d'endettement élevé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(PER de 25,1x, P/B de 5,93x, EV/EBITDA de 14,9x), nettement au-dessus des moyennes du marché BRVM, ce qui intègre déjà une prime de croissance significative et limite le potentiel de réévaluation à court terme. Le comportement du cours sur 100 jours est résolument haussier (+36,77%), avec une volatilité élevée (38,9%) et une distribution symétrique (skewness de 0,023) sans risque excessif de pics (kurtosis de 0,593), ce qui est globalement favorable mais appelle à la prudence sur les points d'entrée. Les signaux techniques sont majoritairement haussiers (MM, MACD) mais tempérés par un RSI neutre et un Stochastique proche de la zone de surachat, suggérant une consolidation possible avant une nouvelle impulsion. Les fondamentaux sont solides : croissance du CA (+10%), bond du résultat net (+31%), ROE excellent (23,65%), mais les tensions de trésorerie (flux opérationnel négatif de -36,655 milliards FCFA) et l'endettement élevé (95,83%) constituent des vulnérabilités. Les prédictions IA pour les 10 prochains jours (13 001 FCFA à 13 021 FCFA) confirment une trajectoire légèrement haussière, en ligne avec les signaux techniques. Sur la base de cette synthèse, la recommandation finale est **CONSERVER**, avec un niveau de confiance **Moyen** et un risque global **Élevé**. En effet, la convergence entre la tendance haussière, les fondamentaux en amélioration et les prédictions positives est contrebalancée par une valorisation tendue et des risques financiers persistants. L'horizon d'investissement optimal est le **moyen terme (3-12 mois)**, en attendant la confirmation d'une amélioration durable de la trésorerie et de la rentabilité opérationnelle.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166.30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17,279 titres</w:t>
            </w:r>
          </w:p>
        </w:tc>
        <w:tc>
          <w:tcPr>
            <w:tcW w:type="dxa" w:w="2268"/>
            <w:shd w:fill="FFF2CC" w:val="clear"/>
          </w:tcPr>
          <w:p>
            <w:r>
              <w:rPr>
                <w:b/>
                <w:color w:val="503200"/>
                <w:sz w:val="16"/>
              </w:rPr>
              <w:t xml:space="preserve">Cours actuel : </w:t>
            </w:r>
            <w:r>
              <w:rPr>
                <w:color w:val="000000"/>
                <w:sz w:val="17"/>
              </w:rPr>
              <w:t>3,055 FCFA</w:t>
            </w:r>
          </w:p>
          <w:p>
            <w:r>
              <w:rPr>
                <w:b/>
                <w:color w:val="503200"/>
                <w:sz w:val="16"/>
              </w:rPr>
              <w:t xml:space="preserve">Var. 100 jours : </w:t>
            </w:r>
            <w:r>
              <w:rPr>
                <w:b/>
                <w:color w:val="007800"/>
                <w:sz w:val="17"/>
              </w:rPr>
              <w:t>+71.15%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16.49% (Élevée) — μ=2,531 FCFA, σ=417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β=0.5199 (Défensif) — Cov=0.000038, Var(idx)=0.000073, ρ=0.136,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17,279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2,884</w:t>
            </w:r>
          </w:p>
        </w:tc>
        <w:tc>
          <w:tcPr>
            <w:tcW w:type="dxa" w:w="1440"/>
            <w:shd w:fill="FAFAFA" w:val="clear"/>
          </w:tcPr>
          <w:p>
            <w:r>
              <w:rPr>
                <w:b/>
                <w:sz w:val="17"/>
              </w:rPr>
              <w:t>3,039</w:t>
            </w:r>
          </w:p>
        </w:tc>
        <w:tc>
          <w:tcPr>
            <w:tcW w:type="dxa" w:w="1440"/>
            <w:shd w:fill="FAFAFA" w:val="clear"/>
          </w:tcPr>
          <w:p>
            <w:r>
              <w:rPr>
                <w:sz w:val="17"/>
              </w:rPr>
              <w:t>3,195</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2,804</w:t>
            </w:r>
          </w:p>
        </w:tc>
        <w:tc>
          <w:tcPr>
            <w:tcW w:type="dxa" w:w="1440"/>
            <w:shd w:fill="FAFAFA" w:val="clear"/>
          </w:tcPr>
          <w:p>
            <w:r>
              <w:rPr>
                <w:b/>
                <w:sz w:val="17"/>
              </w:rPr>
              <w:t>3,023</w:t>
            </w:r>
          </w:p>
        </w:tc>
        <w:tc>
          <w:tcPr>
            <w:tcW w:type="dxa" w:w="1440"/>
            <w:shd w:fill="FAFAFA" w:val="clear"/>
          </w:tcPr>
          <w:p>
            <w:r>
              <w:rPr>
                <w:sz w:val="17"/>
              </w:rPr>
              <w:t>3,242</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2,743</w:t>
            </w:r>
          </w:p>
        </w:tc>
        <w:tc>
          <w:tcPr>
            <w:tcW w:type="dxa" w:w="1440"/>
            <w:shd w:fill="FAFAFA" w:val="clear"/>
          </w:tcPr>
          <w:p>
            <w:r>
              <w:rPr>
                <w:b/>
                <w:sz w:val="17"/>
              </w:rPr>
              <w:t>3,010</w:t>
            </w:r>
          </w:p>
        </w:tc>
        <w:tc>
          <w:tcPr>
            <w:tcW w:type="dxa" w:w="1440"/>
            <w:shd w:fill="FAFAFA" w:val="clear"/>
          </w:tcPr>
          <w:p>
            <w:r>
              <w:rPr>
                <w:sz w:val="17"/>
              </w:rPr>
              <w:t>3,277</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2,693</w:t>
            </w:r>
          </w:p>
        </w:tc>
        <w:tc>
          <w:tcPr>
            <w:tcW w:type="dxa" w:w="1440"/>
            <w:shd w:fill="FAFAFA" w:val="clear"/>
          </w:tcPr>
          <w:p>
            <w:r>
              <w:rPr>
                <w:b/>
                <w:sz w:val="17"/>
              </w:rPr>
              <w:t>3,001</w:t>
            </w:r>
          </w:p>
        </w:tc>
        <w:tc>
          <w:tcPr>
            <w:tcW w:type="dxa" w:w="1440"/>
            <w:shd w:fill="FAFAFA" w:val="clear"/>
          </w:tcPr>
          <w:p>
            <w:r>
              <w:rPr>
                <w:sz w:val="17"/>
              </w:rPr>
              <w:t>3,308</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2,651</w:t>
            </w:r>
          </w:p>
        </w:tc>
        <w:tc>
          <w:tcPr>
            <w:tcW w:type="dxa" w:w="1440"/>
            <w:shd w:fill="FAFAFA" w:val="clear"/>
          </w:tcPr>
          <w:p>
            <w:r>
              <w:rPr>
                <w:b/>
                <w:sz w:val="17"/>
              </w:rPr>
              <w:t>2,994</w:t>
            </w:r>
          </w:p>
        </w:tc>
        <w:tc>
          <w:tcPr>
            <w:tcW w:type="dxa" w:w="1440"/>
            <w:shd w:fill="FAFAFA" w:val="clear"/>
          </w:tcPr>
          <w:p>
            <w:r>
              <w:rPr>
                <w:sz w:val="17"/>
              </w:rPr>
              <w:t>3,337</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2,613</w:t>
            </w:r>
          </w:p>
        </w:tc>
        <w:tc>
          <w:tcPr>
            <w:tcW w:type="dxa" w:w="1440"/>
            <w:shd w:fill="FFDCE0" w:val="clear"/>
          </w:tcPr>
          <w:p>
            <w:r>
              <w:rPr>
                <w:b/>
                <w:sz w:val="17"/>
              </w:rPr>
              <w:t>2,988</w:t>
            </w:r>
          </w:p>
        </w:tc>
        <w:tc>
          <w:tcPr>
            <w:tcW w:type="dxa" w:w="1440"/>
            <w:shd w:fill="FFDCE0" w:val="clear"/>
          </w:tcPr>
          <w:p>
            <w:r>
              <w:rPr>
                <w:sz w:val="17"/>
              </w:rPr>
              <w:t>3,363</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2,579</w:t>
            </w:r>
          </w:p>
        </w:tc>
        <w:tc>
          <w:tcPr>
            <w:tcW w:type="dxa" w:w="1440"/>
            <w:shd w:fill="FFDCE0" w:val="clear"/>
          </w:tcPr>
          <w:p>
            <w:r>
              <w:rPr>
                <w:b/>
                <w:sz w:val="17"/>
              </w:rPr>
              <w:t>2,983</w:t>
            </w:r>
          </w:p>
        </w:tc>
        <w:tc>
          <w:tcPr>
            <w:tcW w:type="dxa" w:w="1440"/>
            <w:shd w:fill="FFDCE0" w:val="clear"/>
          </w:tcPr>
          <w:p>
            <w:r>
              <w:rPr>
                <w:sz w:val="17"/>
              </w:rPr>
              <w:t>3,388</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2,547</w:t>
            </w:r>
          </w:p>
        </w:tc>
        <w:tc>
          <w:tcPr>
            <w:tcW w:type="dxa" w:w="1440"/>
            <w:shd w:fill="FFDCE0" w:val="clear"/>
          </w:tcPr>
          <w:p>
            <w:r>
              <w:rPr>
                <w:b/>
                <w:sz w:val="17"/>
              </w:rPr>
              <w:t>2,978</w:t>
            </w:r>
          </w:p>
        </w:tc>
        <w:tc>
          <w:tcPr>
            <w:tcW w:type="dxa" w:w="1440"/>
            <w:shd w:fill="FFDCE0" w:val="clear"/>
          </w:tcPr>
          <w:p>
            <w:r>
              <w:rPr>
                <w:sz w:val="17"/>
              </w:rPr>
              <w:t>3,410</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2,517</w:t>
            </w:r>
          </w:p>
        </w:tc>
        <w:tc>
          <w:tcPr>
            <w:tcW w:type="dxa" w:w="1440"/>
            <w:shd w:fill="FFDCE0" w:val="clear"/>
          </w:tcPr>
          <w:p>
            <w:r>
              <w:rPr>
                <w:b/>
                <w:sz w:val="17"/>
              </w:rPr>
              <w:t>2,974</w:t>
            </w:r>
          </w:p>
        </w:tc>
        <w:tc>
          <w:tcPr>
            <w:tcW w:type="dxa" w:w="1440"/>
            <w:shd w:fill="FFDCE0" w:val="clear"/>
          </w:tcPr>
          <w:p>
            <w:r>
              <w:rPr>
                <w:sz w:val="17"/>
              </w:rPr>
              <w:t>3,431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2,489</w:t>
            </w:r>
          </w:p>
        </w:tc>
        <w:tc>
          <w:tcPr>
            <w:tcW w:type="dxa" w:w="1440"/>
            <w:shd w:fill="FFDCE0" w:val="clear"/>
          </w:tcPr>
          <w:p>
            <w:r>
              <w:rPr>
                <w:b/>
                <w:sz w:val="17"/>
              </w:rPr>
              <w:t>2,970</w:t>
            </w:r>
          </w:p>
        </w:tc>
        <w:tc>
          <w:tcPr>
            <w:tcW w:type="dxa" w:w="1440"/>
            <w:shd w:fill="FFDCE0" w:val="clear"/>
          </w:tcPr>
          <w:p>
            <w:r>
              <w:rPr>
                <w:sz w:val="17"/>
              </w:rPr>
              <w:t>3,451</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166,30 milliards FCFA, SDSC figure parmi les valeurs moyennes-capitalisations de la cote BRVM, ce qui lui confère une certaine liquidité relative mais l'expose davantage aux mouvements spéculatifs. Le BPA de 14 FCFA/action signifie que chaque titre génère à peine 14 FCFA de bénéfice net, un niveau dérisoire qui traduit l'effondrement de la rentabilité en 2025. Le PER de 211,9x est absolument prohibitif comparé à la moyenne BRVM (8-12x) : les investisseurs paient plus de 200 fois les bénéfices actuels, ce qui intègre soit une anticipation de rebond spectaculaire, soit une anomalie de marché manifeste. Le P/B de 2,26x indique que le marché valorise la société à plus du double de sa valeur comptable (73,55 Mds FCFA de capitaux propres), soit une prime de croissance qui n'est plus justifiée par les fondamentaux actuels. Enfin, l'EV/EBITDA de 23,9x, très supérieur au seuil de 15x, confirme que la valeur d'entreprise (capitalisation + dette nette) est déconnectée de la capacité opérationnelle réelle (EBITDA de 4,26 Mds FCFA), signalant une surévaluation préoccupante.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+71,15%, avec une dernière séance en hausse de +1,33%, portant le cours à 3 055 FCFA. Le range de trading est très large, oscillant entre un plus bas de 1 650 FCFA et un plus haut de 3 205 FCFA, soit un écart de 94%, ce qui témoigne d'une forte volatilité directionnelle. La tendance générale est clairement haussière, portée par un momentum acheteur soutenu. Les statistiques descriptives révèlent une moyenne de 2 531 FCFA inférieure à la médiane de 2 638 FCFA, avec un mode à 2 800 FCFA : cet écart indique une distribution asymétrique où les journées de forte hausse tirent la moyenne vers le bas relativement à la médiane, confirmé par un skewness négatif (-0,543) signifiant plus de journées au-dessus de la moyenne. L'écart-type de 419 FCFA (CV=16,6%) traduit une dispersion modérée autour de la moyenne, tandis que le kurtosis de -0,688 (mésokurtique) suggère une distribution proche de la normale, sans risque majeur de pics extrêmes. La volatilité annualisée de 51,6% classe ce titre dans la catégorie des valeurs très volatiles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(2 978,25 FCFA) et la MM50 (2 839,40 FCFA) sont toutes deux inférieures au cours actuel (3 055 FCFA), confirmant une configuration haussière avec le prix au-dessus des deux moyennes. La MM20 étant supérieure à la MM50, on observe un croisement haussier (golden cross), ce qui justifie la décision d'achat.</w:t>
      </w:r>
    </w:p>
    <w:p>
      <w:pPr>
        <w:spacing w:after="120" w:line="276" w:lineRule="auto"/>
      </w:pPr>
      <w:r>
        <w:t>**Bandes de Bollinger** : Le cours (3 055 FCFA) se situe entre la borne inférieure (2 770,09 FCFA) et la borne supérieure (3 186,41 FCFA), plus proche de la borne haute. L'amplitude des bandes (416 FCFA) reflète une volatilité modérée, et la position du cours suggère une pression acheteuse sans surachat extrême, d'où la décision neutre.</w:t>
      </w:r>
    </w:p>
    <w:p>
      <w:pPr>
        <w:spacing w:after="120" w:line="276" w:lineRule="auto"/>
      </w:pPr>
      <w:r>
        <w:t>**MACD** : La ligne MACD (43,95) est légèrement supérieure à sa ligne de signal (42,67), avec un histogramme positif mais étroit. Cette configuration indique un momentum haussier fragile mais présent, justifiant la décision d'achat, bien que la faible divergence appelle à la prudence.</w:t>
      </w:r>
    </w:p>
    <w:p>
      <w:pPr>
        <w:spacing w:after="120" w:line="276" w:lineRule="auto"/>
      </w:pPr>
      <w:r>
        <w:t>**RSI** : À 48,60, le RSI se situe en zone neutre (30-70), sans signal de surachat (&gt;70) ni de survente (&lt;30). Cette valeur médiane reflète un équilibre entre acheteurs et vendeurs, ce qui explique la décision neutre.</w:t>
      </w:r>
    </w:p>
    <w:p>
      <w:pPr>
        <w:spacing w:after="120" w:line="276" w:lineRule="auto"/>
      </w:pPr>
      <w:r>
        <w:t>**Stochastique** : Le %K (86,44) et le %D (82,49) sont tous deux en zone de surachat (&gt;80), avec un %K supérieur au %D indiquant une pression acheteuse récente. Cette configuration suggère un essoufflement imminent de la tendance, justifiant la décision de vente.</w:t>
      </w:r>
    </w:p>
    <w:p>
      <w:pPr>
        <w:spacing w:after="120" w:line="276" w:lineRule="auto"/>
      </w:pPr>
      <w:r>
        <w:t>**Conclusion technique** : Les indicateurs sont divergents : les moyennes mobiles et le MACD émettent des signaux d'achat, tandis que le stochastique signale une vente et que le RSI et les Bollinger restent neutres. Cette divergence traduit une tendance haussière en fin de cycle, avec un risque de correction à court terme. La prudence est de mise malgré le momentum positif.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AGL Côte d'Ivoire (SDSC) affiche un chiffre d'affaires de 92,004 milliards FCFA, en croissance de +7,43% par rapport à 2024 (85,643 Mds FCFA), portée par le cœur de métier (travaux et services vendus : 83,095 Mds FCFA, +8,5%). Cependant, le résultat net s'effondre à 784,97 millions FCFA contre 21,069 milliards en 2024, soit une chute de -96%, et la marge nette tombe à 0,85% (vs 24,6% en 2024). Le résultat d'exploitation devient négatif (-2,271 Mds FCFA) en raison d'une hausse des dotations aux amortissements (+41%) et des charges de personnel (36,205 Mds FCFA), tandis que le résultat financier (7,080 Mds FCFA) sauve in extremis la rentabilité. Les ratios de rentabilité sont catastrophiques : ROE de 1,07% (très loin du seuil de 15% d'excellence) et ROA de 0,30%, confirmant l'inefficacité opérationnelle. La structure financière reste solide avec des capitaux propres de 73,552 Mds FCFA, une autonomie financière de 28,35% (légèrement sous le seuil de 30%) et une trésorerie nette de 74,782 Mds FCFA, mais le BFR négatif (-57,339 Mds FCFA) et le flux opérationnel de 83,198 Mds FCFA masquent une dépendance aux cessions d'actifs (9,3 Mds FCFA) et aux dividendes de filiales. Le rapport du T3 2025 (daté du 30/09/2025) indique un CA de 66,217 Mds FCFA (+7,4%) mais un résultat net en chute de -77% à 4,341 Mds FCFA, confirmant la volatilité des revenus financiers. Le rapport du S1 2025 (30/06/2025) faisait déjà état d'une perte nette de -427 millions FCFA et d'un résultat d'exploitation négatif (-662 millions). Le dividende proposé pour 2025 s'élève à 544,353 millions FCFA (soit un taux de distribution de 69,3%), en chute de -89% par rapport à 2024 (5,008 Mds FCFA). La recommandation fondamentale est de **CONSERVER** le titre : la solidité du bilan et la croissance du CA incitent à ne pas vendre, mais la dégradation de la rentabilité, le PER exorbitant et la réduction drastique du dividende justifient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surévaluée : le PER de 211,9x, le P/B de 2,26x et l'EV/EBITDA de 23,9x intègrent des anticipations de rebond qui ne sont pas soutenues par les fondamentaux actuels. Le comportement du cours (Partie 1) est haussier (+71,15% sur 100 jours) mais très volatil (51,6% annualisé), avec une distribution asymétrique négative (skewness -0,543) et un kurtosis proche de la normale, ce qui suggère une tendance acheteuse mais vulnérable aux corrections. Les signaux techniques (Partie 2) sont divergents : les moyennes mobiles et le MACD sont haussiers, mais le stochastique est en surachat et le RSI neutre, indiquant un essoufflement probable. Les fondamentaux (Partie 3) sont préoccupants : malgré un CA en croissance (+7,43%), le résultat net s'est effondré (-96%), le ROE est de 1,07% et le dividende a été réduit de -89%. Les prédictions IA (J+1 à J+10) anticipent une baisse progressive de 3 039 FCFA à 2 994 FCFA, confirmant la pression baissière à court terme. Sur la base de cette synthèse, la recommandation finale est **CONSERVER** avec un niveau de confiance **Moyen** et un risque global **Élevé**. L'horizon d'investissement optimal est le **moyen terme (3-12 mois)**, en surveillant la capacité de la direction à restaurer les marges opérationnelles et à stabiliser les revenus financiers, avec un seuil de vente si le cours descend sous 2 800 FCFA ou si le résultat d'exploitation reste négatif au T1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β=1.1268 (Neutre (suit le marché)) — Cov=0.000042, Var(idx)=0.000037, ρ=0.235, n=86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mars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de moyenne capitalisation du compartiment industriel. Les ratios de valorisation classiques (BPA, PER, P/B, EV/EBITDA) ne sont pas calculables en l'état, faute de données financières structurées exploitables dans la base et en raison de la suspension de la cote et de l'ancienneté des états financiers disponibles (exercice 2023). Cette absence de ratios empêche toute comparaison directe avec le PER moyen de la BRVM (8-12x) et prive l'investisseur d'un repère essentiel pour juger si le titre se paie cher ou non par rapport à ses bénéfices et à sa valeur comptable. Il convient toutefois de noter que sur la base du BPA 2023 estimé à 512 FCFA (rapport du 31/12/2023) et du cours actuel de 1 495 FCFA, le PER implicite ressortirait autour de 2,9x — un niveau anormalement bas qui traduit davantage la défiance du marché et l'incertitude liée à la suspension de cotation qu'une réelle sous-évaluation.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persistante. Le titre a évolué dans un range de 450 FCFA, entre un plus haut de 1 800 FCFA et un plus bas de 1 350 FCFA, le cours actuel de 1 495 FCFA se situant dans la moitié basse de cette fourchette. Les statistiques descriptives révèlent une moyenne de 1 527 FCFA légèrement supérieure à la médiane de 1 520 FCFA, avec un mode à 1 500 FCFA, suggérant une distribution quasi-symétrique mais légèrement tirée vers le haut par quelques séances de rebond. L'écart-type de 69 FCFA et le coefficient de variation de 4,5% indiquent une dispersion modérée du cours autour de sa moyenne, mais la volatilité annualisée de 47,2% classe le titre dans la catégorie des valeurs à volatilité élevée (&gt;30%), ce qui est cohérent avec un contexte de suspension de cote et d'incertitude actionnariale. Le kurtosis de 1,652 (leptokurtique) signale des queues épaisses, donc un risque de pics de volatilité brutaux, tandis que le skewness positif de 0,558 indique une asymétrie avec davantage de journées sous la moyenne — un profil baissier caractéristique. Le volume moyen de 6 046 titres/jour reste faible, traduisant une liquidité limitée qui accentue la sensibilité du cours aux mouvements de faible ampleur.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de 1 495 FCFA, qui évolue juste sous la MM50 et nettement sous la MM20. Cette configuration traduit une pression baissière de court terme, mais la décision affichée "Achat" suggère que la MM50 pourrait jouer un rôle de support dynamique et qu'un croisement haussier reste possible si le cours se stabilise.</w:t>
      </w:r>
    </w:p>
    <w:p>
      <w:pPr>
        <w:spacing w:after="120" w:line="276" w:lineRule="auto"/>
      </w:pPr>
      <w:r>
        <w:t>**Bandes de Bollinger** : Le cours (1 495 FCFA) se situe dans la partie basse de la bande, entre la borne inférieure (1 459,69 FCFA) et la borne supérieure (1 621,81 FCFA), sans franchir aucun extrême. La décision "Neutre" reflète l'absence de signal de survente ou de surachat, avec une volatilité contenue dans les bandes qui n'appelle pas d'action immédiate.</w:t>
      </w:r>
    </w:p>
    <w:p>
      <w:pPr>
        <w:spacing w:after="120" w:line="276" w:lineRule="auto"/>
      </w:pPr>
      <w:r>
        <w:t>**MACD** : La valeur du MACD (6,79) est inférieure à son signal (10,922), générant une divergence baissière et un momentum négatif. La décision "Vente" confirme que la dynamique de court terme reste défavorable, le MACD n'ayant pas encore amorcé de retournement à la hausse.</w:t>
      </w:r>
    </w:p>
    <w:p>
      <w:pPr>
        <w:spacing w:after="120" w:line="276" w:lineRule="auto"/>
      </w:pPr>
      <w:r>
        <w:t>**RSI** : À 49,533, le RSI se situe parfaitement dans la zone neutre (30-70), sans signal de surachat ni de survente. La décision "Neutre" indique que le titre n'est ni épuisé à la baisse ni en phase de correction excessive, laissant la porte ouverte à une reprise comme à une poursuite de la baisse.</w:t>
      </w:r>
    </w:p>
    <w:p>
      <w:pPr>
        <w:spacing w:after="120" w:line="276" w:lineRule="auto"/>
      </w:pPr>
      <w:r>
        <w:t>**Stochastique** : Le %K (34,615) est nettement inférieur au %D (57,692), avec un croisement baissier en cours qui suggère une poursuite de la pression vendeuse à court terme. La décision "Neutre" tempère toutefois ce signal, le %K n'étant pas encore en zone de survente (&lt;20).</w:t>
      </w:r>
    </w:p>
    <w:p>
      <w:pPr>
        <w:spacing w:after="120" w:line="276" w:lineRule="auto"/>
      </w:pPr>
      <w:r>
        <w:t>**Conclusion technique** : Les indicateurs techniques sont globalement mitigés à baissiers : le MACD et le stochastique penchent pour la vente, tandis que les moyennes mobiles et le RSI restent neutres. Le cours évolue sous ses principales références (MM20, MM50), sans signal de retournement clair, ce qui plaide pour une prudence tant qu'aucune convergence haussière ne se matérialise.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officiels fournis permettent une analyse approfondie. Le rapport du 31/12/2023 (analysé le 15/03/2026) présente deux jeux de chiffres divergents : une première analyse fait état d'un CA consolidé de 125,4 milliards FCFA en 2023 (+13,8% vs 2022) et d'un résultat net de 12,8 milliards FCFA (+22,3%), avec une marge nette de 10,2% et un ROE de 18,5% ; une seconde analyse, plus granulaire, indique un CA de 27,88 milliards FCFA en 2023 (-6% vs 2022) et un résultat net de 1,01 milliard FCFA (-74%), avec une marge nette de 3,6% et une perte financière de 9 millions FCFA. Cette divergence reflète probablement des périmètres comptables différents (consolidé vs société mère) ou des retraitements, mais la tendance la plus fiable — corroborée par le rapport du 31/12/2022 (analysé le 16/03/2026) qui mentionne un CA de 125,4 milliards FCFA en 2022 et un résultat net de 12,8 milliards FCFA — suggère que SEMC a connu une dégradation marquée en 2023, avec un effondrement du résultat net de 3,86 milliards FCFA en 2022 à 1,01 milliard FCFA en 2023 selon les données les plus récentes. Le rapport du 31/12/2023 souligne des vents contraires majeurs : perte du client AIRONE (-81% de CA), effondrement du segment Tomate, concurrence du PET, et suspension de la cote BRVM depuis janvier 2024 pour flottant insuffisant (10,42% vs 15% requis). Le rachat par Sonoco Products Company (finalisé en décembre 2024) constitue un élément stratégique majeur, susceptible d'apporter des capitaux et une expertise, mais aussi un risque de dilution. La politique de dividende est suspendue (0 FCFA en 2022 et 2023), la trésorerie (3,35 milliards FCFA en 2023) étant conservée pour financer la relance. Les perspectives 2024 tablaient sur un CA de 32 milliards FCFA (+18%), porté par les bouchons couronnes (+61% en volume) et les exportations, mais ces prévisions n'ont pas été confirmées par des données postérieures. En synthèse, les fondamentaux de SEMC sont fragilisés : rentabilité en forte baisse, dépendance clientèle non résolue, et incertitude liée à la suspension de cote et au changement d'actionnaire. La solidité du bilan (trésorerie positive, endettement fournisseurs en baisse) et le potentiel de rebond lié à Sonoco constituent les principaux points d'appui, mais le risque opérationnel et stratégique reste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SEMC (Partie 0) ne peut être appréciée faute de ratios calculables, mais le PER implicite très bas (~2,9x sur la base du BPA 2023) suggère que le marché intègre déjà une forte décote liée à la suspension de cote et aux incertitudes. Le comportement du cours (Partie 1) est clairement baissier (-16,94% sur 100 jours), avec une volatilité élevée (47,2%) et des statistiques (kurtosis leptokurtique, skewness positif) qui indiquent un risque de pics baissiers et une asymétrie défavorable. Les signaux techniques (Partie 2) sont mitigés à baissiers : MACD en divergence baissière, stochastique en croisement baissier, cours sous les moyennes mobiles, bien que le RSI neutre et les bandes de Bollinger n'appellent pas à une vente panique. Les fondamentaux (Partie 3) sont préoccupants : effondrement du résultat net en 2023 (-74%), suspension de la cote, perte de clients majeurs, mais le rachat par Sonoco et la trésorerie positive offrent des perspectives de relance. Les prédictions IA (J+1 à J+10) ne sont pas disponibles, ce qui prive l'analyse d'un signal de court terme. Sur la base de cette synthèse, la convergence des signaux baissiers (cours, technique, fondamentaux dégradés) et l'absence de catalyseur immédiat plaident pour une recommandation de **CONSERVER** avec une vigilance accrue, le potentiel de rebond lié à Sonoco et à la relance des bouchons couronnes justifiant de ne pas céder au pessimisme. Le niveau de confiance est **Moyen** (données financières divergentes, absence de prédictions IA) et le risque global est **Élevé** (suspension de cote, volatilité, incertitude actionnariale). L'horizon d'investissement optimal est le **long terme (&gt;1 an)** , le temps que la restructuration post-Sonoco et la levée de la suspension de cote se matérialisent, avec un suivi rapproché des indicateurs de relance (CA, marge nette, flottant).</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5,086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+11.44%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34,995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2.36% (Faible) — μ=38,277 FCFA, σ=903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β=0.4838 (Défensif) — Cov=0.000035, Var(idx)=0.000073, ρ=0.303,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σ_j=1.35%/j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37,787</w:t>
            </w:r>
          </w:p>
        </w:tc>
        <w:tc>
          <w:tcPr>
            <w:tcW w:type="dxa" w:w="1440"/>
            <w:shd w:fill="FAFAFA" w:val="clear"/>
          </w:tcPr>
          <w:p>
            <w:r>
              <w:rPr>
                <w:b/>
                <w:sz w:val="17"/>
              </w:rPr>
              <w:t>38,690</w:t>
            </w:r>
          </w:p>
        </w:tc>
        <w:tc>
          <w:tcPr>
            <w:tcW w:type="dxa" w:w="1440"/>
            <w:shd w:fill="FAFAFA" w:val="clear"/>
          </w:tcPr>
          <w:p>
            <w:r>
              <w:rPr>
                <w:sz w:val="17"/>
              </w:rPr>
              <w:t>39,593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37,345</w:t>
            </w:r>
          </w:p>
        </w:tc>
        <w:tc>
          <w:tcPr>
            <w:tcW w:type="dxa" w:w="1440"/>
            <w:shd w:fill="FAFAFA" w:val="clear"/>
          </w:tcPr>
          <w:p>
            <w:r>
              <w:rPr>
                <w:b/>
                <w:sz w:val="17"/>
              </w:rPr>
              <w:t>38,619</w:t>
            </w:r>
          </w:p>
        </w:tc>
        <w:tc>
          <w:tcPr>
            <w:tcW w:type="dxa" w:w="1440"/>
            <w:shd w:fill="FAFAFA" w:val="clear"/>
          </w:tcPr>
          <w:p>
            <w:r>
              <w:rPr>
                <w:sz w:val="17"/>
              </w:rPr>
              <w:t>39,894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36,987</w:t>
            </w:r>
          </w:p>
        </w:tc>
        <w:tc>
          <w:tcPr>
            <w:tcW w:type="dxa" w:w="1440"/>
            <w:shd w:fill="FAFAFA" w:val="clear"/>
          </w:tcPr>
          <w:p>
            <w:r>
              <w:rPr>
                <w:b/>
                <w:sz w:val="17"/>
              </w:rPr>
              <w:t>38,545</w:t>
            </w:r>
          </w:p>
        </w:tc>
        <w:tc>
          <w:tcPr>
            <w:tcW w:type="dxa" w:w="1440"/>
            <w:shd w:fill="FAFAFA" w:val="clear"/>
          </w:tcPr>
          <w:p>
            <w:r>
              <w:rPr>
                <w:sz w:val="17"/>
              </w:rPr>
              <w:t>40,103</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2026-10-13</w:t>
            </w:r>
          </w:p>
        </w:tc>
        <w:tc>
          <w:tcPr>
            <w:tcW w:type="dxa" w:w="1440"/>
            <w:shd w:fill="FAFAFA" w:val="clear"/>
          </w:tcPr>
          <w:p>
            <w:r>
              <w:rPr>
                <w:sz w:val="17"/>
              </w:rPr>
              <w:t>36,680</w:t>
            </w:r>
          </w:p>
        </w:tc>
        <w:tc>
          <w:tcPr>
            <w:tcW w:type="dxa" w:w="1440"/>
            <w:shd w:fill="FAFAFA" w:val="clear"/>
          </w:tcPr>
          <w:p>
            <w:r>
              <w:rPr>
                <w:b/>
                <w:sz w:val="17"/>
              </w:rPr>
              <w:t>38,476</w:t>
            </w:r>
          </w:p>
        </w:tc>
        <w:tc>
          <w:tcPr>
            <w:tcW w:type="dxa" w:w="1440"/>
            <w:shd w:fill="FAFAFA" w:val="clear"/>
          </w:tcPr>
          <w:p>
            <w:r>
              <w:rPr>
                <w:sz w:val="17"/>
              </w:rPr>
              <w:t>40,272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2026-10-14</w:t>
            </w:r>
          </w:p>
        </w:tc>
        <w:tc>
          <w:tcPr>
            <w:tcW w:type="dxa" w:w="1440"/>
            <w:shd w:fill="FAFAFA" w:val="clear"/>
          </w:tcPr>
          <w:p>
            <w:r>
              <w:rPr>
                <w:sz w:val="17"/>
              </w:rPr>
              <w:t>36,406</w:t>
            </w:r>
          </w:p>
        </w:tc>
        <w:tc>
          <w:tcPr>
            <w:tcW w:type="dxa" w:w="1440"/>
            <w:shd w:fill="FAFAFA" w:val="clear"/>
          </w:tcPr>
          <w:p>
            <w:r>
              <w:rPr>
                <w:b/>
                <w:sz w:val="17"/>
              </w:rPr>
              <w:t>38,410</w:t>
            </w:r>
          </w:p>
        </w:tc>
        <w:tc>
          <w:tcPr>
            <w:tcW w:type="dxa" w:w="1440"/>
            <w:shd w:fill="FAFAFA" w:val="clear"/>
          </w:tcPr>
          <w:p>
            <w:r>
              <w:rPr>
                <w:sz w:val="17"/>
              </w:rPr>
              <w:t>40,415</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2026-10-15</w:t>
            </w:r>
          </w:p>
        </w:tc>
        <w:tc>
          <w:tcPr>
            <w:tcW w:type="dxa" w:w="1440"/>
            <w:shd w:fill="FAFAFA" w:val="clear"/>
          </w:tcPr>
          <w:p>
            <w:r>
              <w:rPr>
                <w:sz w:val="17"/>
              </w:rPr>
              <w:t>36,155</w:t>
            </w:r>
          </w:p>
        </w:tc>
        <w:tc>
          <w:tcPr>
            <w:tcW w:type="dxa" w:w="1440"/>
            <w:shd w:fill="FAFAFA" w:val="clear"/>
          </w:tcPr>
          <w:p>
            <w:r>
              <w:rPr>
                <w:b/>
                <w:sz w:val="17"/>
              </w:rPr>
              <w:t>38,348</w:t>
            </w:r>
          </w:p>
        </w:tc>
        <w:tc>
          <w:tcPr>
            <w:tcW w:type="dxa" w:w="1440"/>
            <w:shd w:fill="FAFAFA" w:val="clear"/>
          </w:tcPr>
          <w:p>
            <w:r>
              <w:rPr>
                <w:sz w:val="17"/>
              </w:rPr>
              <w:t>40,540</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2026-10-16</w:t>
            </w:r>
          </w:p>
        </w:tc>
        <w:tc>
          <w:tcPr>
            <w:tcW w:type="dxa" w:w="1440"/>
            <w:shd w:fill="FAFAFA" w:val="clear"/>
          </w:tcPr>
          <w:p>
            <w:r>
              <w:rPr>
                <w:sz w:val="17"/>
              </w:rPr>
              <w:t>35,923</w:t>
            </w:r>
          </w:p>
        </w:tc>
        <w:tc>
          <w:tcPr>
            <w:tcW w:type="dxa" w:w="1440"/>
            <w:shd w:fill="FAFAFA" w:val="clear"/>
          </w:tcPr>
          <w:p>
            <w:r>
              <w:rPr>
                <w:b/>
                <w:sz w:val="17"/>
              </w:rPr>
              <w:t>38,287</w:t>
            </w:r>
          </w:p>
        </w:tc>
        <w:tc>
          <w:tcPr>
            <w:tcW w:type="dxa" w:w="1440"/>
            <w:shd w:fill="FAFAFA" w:val="clear"/>
          </w:tcPr>
          <w:p>
            <w:r>
              <w:rPr>
                <w:sz w:val="17"/>
              </w:rPr>
              <w:t>40,651</w:t>
            </w:r>
          </w:p>
        </w:tc>
        <w:tc>
          <w:tcPr>
            <w:tcW w:type="dxa" w:w="1440"/>
            <w:shd w:fill="FAFAFA" w:val="clear"/>
          </w:tcPr>
          <w:p>
            <w:r>
              <w:rPr>
                <w:b/>
                <w:color w:val="C00000"/>
                <w:sz w:val="17"/>
              </w:rPr>
              <w:t>-1.8%</w:t>
            </w:r>
          </w:p>
        </w:tc>
      </w:tr>
      <w:tr>
        <w:tc>
          <w:tcPr>
            <w:tcW w:type="dxa" w:w="1440"/>
            <w:shd w:fill="FAFAFA" w:val="clear"/>
          </w:tcPr>
          <w:p>
            <w:r>
              <w:rPr>
                <w:sz w:val="17"/>
              </w:rPr>
              <w:t>J+8  Moyenne</w:t>
            </w:r>
          </w:p>
        </w:tc>
        <w:tc>
          <w:tcPr>
            <w:tcW w:type="dxa" w:w="1440"/>
            <w:shd w:fill="FAFAFA" w:val="clear"/>
          </w:tcPr>
          <w:p>
            <w:r>
              <w:rPr>
                <w:sz w:val="17"/>
              </w:rPr>
              <w:t>2026-10-19</w:t>
            </w:r>
          </w:p>
        </w:tc>
        <w:tc>
          <w:tcPr>
            <w:tcW w:type="dxa" w:w="1440"/>
            <w:shd w:fill="FAFAFA" w:val="clear"/>
          </w:tcPr>
          <w:p>
            <w:r>
              <w:rPr>
                <w:sz w:val="17"/>
              </w:rPr>
              <w:t>35,704</w:t>
            </w:r>
          </w:p>
        </w:tc>
        <w:tc>
          <w:tcPr>
            <w:tcW w:type="dxa" w:w="1440"/>
            <w:shd w:fill="FAFAFA" w:val="clear"/>
          </w:tcPr>
          <w:p>
            <w:r>
              <w:rPr>
                <w:b/>
                <w:sz w:val="17"/>
              </w:rPr>
              <w:t>38,228</w:t>
            </w:r>
          </w:p>
        </w:tc>
        <w:tc>
          <w:tcPr>
            <w:tcW w:type="dxa" w:w="1440"/>
            <w:shd w:fill="FAFAFA" w:val="clear"/>
          </w:tcPr>
          <w:p>
            <w:r>
              <w:rPr>
                <w:sz w:val="17"/>
              </w:rPr>
              <w:t>40,751</w:t>
            </w:r>
          </w:p>
        </w:tc>
        <w:tc>
          <w:tcPr>
            <w:tcW w:type="dxa" w:w="1440"/>
            <w:shd w:fill="FAFAFA" w:val="clear"/>
          </w:tcPr>
          <w:p>
            <w:r>
              <w:rPr>
                <w:b/>
                <w:color w:val="C00000"/>
                <w:sz w:val="17"/>
              </w:rPr>
              <w:t>-2.0%</w:t>
            </w:r>
          </w:p>
        </w:tc>
      </w:tr>
      <w:tr>
        <w:tc>
          <w:tcPr>
            <w:tcW w:type="dxa" w:w="1440"/>
            <w:shd w:fill="FFDCE0" w:val="clear"/>
          </w:tcPr>
          <w:p>
            <w:r>
              <w:rPr>
                <w:sz w:val="17"/>
              </w:rPr>
              <w:t>J+9  Moyenne</w:t>
            </w:r>
          </w:p>
        </w:tc>
        <w:tc>
          <w:tcPr>
            <w:tcW w:type="dxa" w:w="1440"/>
            <w:shd w:fill="FFDCE0" w:val="clear"/>
          </w:tcPr>
          <w:p>
            <w:r>
              <w:rPr>
                <w:sz w:val="17"/>
              </w:rPr>
              <w:t>2026-10-20</w:t>
            </w:r>
          </w:p>
        </w:tc>
        <w:tc>
          <w:tcPr>
            <w:tcW w:type="dxa" w:w="1440"/>
            <w:shd w:fill="FFDCE0" w:val="clear"/>
          </w:tcPr>
          <w:p>
            <w:r>
              <w:rPr>
                <w:sz w:val="17"/>
              </w:rPr>
              <w:t>35,497</w:t>
            </w:r>
          </w:p>
        </w:tc>
        <w:tc>
          <w:tcPr>
            <w:tcW w:type="dxa" w:w="1440"/>
            <w:shd w:fill="FFDCE0" w:val="clear"/>
          </w:tcPr>
          <w:p>
            <w:r>
              <w:rPr>
                <w:b/>
                <w:sz w:val="17"/>
              </w:rPr>
              <w:t>38,170</w:t>
            </w:r>
          </w:p>
        </w:tc>
        <w:tc>
          <w:tcPr>
            <w:tcW w:type="dxa" w:w="1440"/>
            <w:shd w:fill="FFDCE0" w:val="clear"/>
          </w:tcPr>
          <w:p>
            <w:r>
              <w:rPr>
                <w:sz w:val="17"/>
              </w:rPr>
              <w:t>40,842</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2026-10-21</w:t>
            </w:r>
          </w:p>
        </w:tc>
        <w:tc>
          <w:tcPr>
            <w:tcW w:type="dxa" w:w="1440"/>
            <w:shd w:fill="FFDCE0" w:val="clear"/>
          </w:tcPr>
          <w:p>
            <w:r>
              <w:rPr>
                <w:sz w:val="17"/>
              </w:rPr>
              <w:t>35,300</w:t>
            </w:r>
          </w:p>
        </w:tc>
        <w:tc>
          <w:tcPr>
            <w:tcW w:type="dxa" w:w="1440"/>
            <w:shd w:fill="FFDCE0" w:val="clear"/>
          </w:tcPr>
          <w:p>
            <w:r>
              <w:rPr>
                <w:b/>
                <w:sz w:val="17"/>
              </w:rPr>
              <w:t>38,113</w:t>
            </w:r>
          </w:p>
        </w:tc>
        <w:tc>
          <w:tcPr>
            <w:tcW w:type="dxa" w:w="1440"/>
            <w:shd w:fill="FFDCE0" w:val="clear"/>
          </w:tcPr>
          <w:p>
            <w:r>
              <w:rPr>
                <w:sz w:val="17"/>
              </w:rPr>
              <w:t>40,926</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figure parmi les toutes premières capitalisations de la BRVM, ce qui en fait un pilier incontournable de l'indice composite et un titre de référence pour les investisseurs institutionnels de la zone UEMOA. Le BPA de 3 258 FCFA par action signifie que chaque titre détenu génère un bénéfice net de plus de 3 200 FCFA, un niveau remarquable qui traduit la forte rentabilité intrinsèque de la banque. Le PER de 12,0x se situe dans le haut de la fourchette moyenne du marché BRVM (8-12x), indiquant que les investisseurs paient un prix raisonnable mais non décoté pour les bénéfices, avec une légère prime de qualité justifiée par la notation AAA et le leadership sectoriel. Le P/B de 2,45x montre que le marché valorise SGBC à plus du double de sa valeur comptable (495,1 Mds FCFA de capitaux propres), une prime de croissance significative mais cohérente avec un ROE de 20,5%. En revanche, l'EV/EBITDA de 24,7x apparaît très exigeant (seuil d'alerte &gt;15x), suggérant que la valeur d'entreprise intègre déjà une bonne partie des perspectives de croissance, ce qui limite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+11,44%, avec un cours actuel de 39 000 FCFA et une variation J-1 nulle (+0,00%), signe d'une séance de stabilisation après le récent mouvement haussier. Le range de trading s'établit entre un plus bas de 34 995 FCFA et un plus haut de 39 300 FCFA, soit une amplitude de 12,3% qui témoigne d'une tendance globalement haussière mais ponctuée de corrections. La moyenne du cours (38 277 FCFA) est légèrement inférieure à la médiane (38 500 FCFA), tandis que le mode se situe à 39 000 FCFA — le cours actuel — ce qui indique une distribution légèrement asymétrique avec une concentration des échanges autour des niveaux élevés. L'écart-type de 908 FCFA et le coefficient de variation de 2,4% révèlent une dispersion très faible du cours, caractéristique d'un titre à faible volatilité relative. Le kurtosis de 1,517 (leptokurtique) signale des queues épaisses, donc un risque de pics de volatilité brutaux, tandis que le skewness de -1,367 (asymétrie négative) indique que les journées de hausse ont été plus fréquentes que les journées de baisse, mais que les baisses, lorsqu'elles surviennent, sont plus amples. La volatilité annualisée de 21,5% positionne le titre dans la catégorie modérée (15-30%), ce qui est rassurant pour un investisseur recherchant stabilité et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38 664,75 FCFA et la MM50 à 38 537,00 FCFA, toutes deux inférieures au cours actuel de 39 000 FCFA, ce qui confirme une configuration haussière avec le prix évoluant au-dessus de ses moyennes. La MM20 étant légèrement supérieure à la MM50, on observe un croisement haussier (golden cross) qui valide la dynamique positive. La décision technique est donc logiquement à l'**Achat**.</w:t>
      </w:r>
    </w:p>
    <w:p>
      <w:pPr>
        <w:spacing w:after="120" w:line="276" w:lineRule="auto"/>
      </w:pPr>
      <w:r>
        <w:t>**Bandes de Bollinger :** La borne supérieure se situe à 39 485,73 FCFA et la borne inférieure à 37 843,77 FCFA, encadrant le cours actuel de 39 000 FCFA qui évolue dans la moitié supérieure du canal. Le prix n'est ni en contact avec la borne supérieure (pas de surachat extrême) ni avec la borne inférieure, ce qui traduit une volatilité modérée et une absence de signal directionnel fort. La décision est donc **Neutre**, en attente d'une cassure de la borne supérieure pour confirmer la poursuite du mouvement.</w:t>
      </w:r>
    </w:p>
    <w:p>
      <w:pPr>
        <w:spacing w:after="120" w:line="276" w:lineRule="auto"/>
      </w:pPr>
      <w:r>
        <w:t>**MACD :** La valeur du MACD (128,674) est nettement supérieure à son signal (74,085), avec un histogramme positif et une divergence haussière marquée. Ce différentiel important indique un momentum positif soutenu, bien que la convergence progressive des deux lignes pourrait annoncer un essoufflement à moyen terme. La décision technique reste à l'**Achat**.</w:t>
      </w:r>
    </w:p>
    <w:p>
      <w:pPr>
        <w:spacing w:after="120" w:line="276" w:lineRule="auto"/>
      </w:pPr>
      <w:r>
        <w:t>**RSI :** À 50,87, le RSI se situe parfaitement dans la zone neutre (30-70), à mi-chemin entre surachat et survente. Cette position équilibrée indique que le titre n'est ni surévalué ni sous-évalué à court terme, offrant un potentiel de progression sans risque immédiat de correction. La décision est **Neutre**.</w:t>
      </w:r>
    </w:p>
    <w:p>
      <w:pPr>
        <w:spacing w:after="120" w:line="276" w:lineRule="auto"/>
      </w:pPr>
      <w:r>
        <w:t>**Stochastique :** Le %K (100,0) et le %D (99,583) sont tous deux en zone de surachat extrême (&gt;80), avec un %K au-dessus du %D, ce qui suggère que la pression acheteuse est à son maximum mais qu'un retournement baissier est imminent. La décision est donc à la **Vente** à court terme, signalant une possible consolidation.</w:t>
      </w:r>
    </w:p>
    <w:p>
      <w:pPr>
        <w:spacing w:after="120" w:line="276" w:lineRule="auto"/>
      </w:pPr>
      <w:r>
        <w:t>**Conclusion technique :** Les indicateurs présentent une divergence notable : les moyennes mobiles et le MACD confirment une tendance haussière de fond, tandis que le stochastique en surachat extrême et le RSI neutre suggèrent une pause imminente. Les bandes de Bollinger, avec un cours en milieu de canal, ne fournissent pas de signal directionnel fort. La convergence des signaux positifs (MM, MACD) et des signaux de prudence (Stochastique) plaide pour une consolidation à court terme avant une éventuelle reprise, avec un support clé à 38 500 FCFA (MM50) et une résistance à 39 485 FCFA (borne supérieure).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(équivalent du chiffre d'affaires pour une banque) de 276,048 milliards FCFA, en croissance de +4,88% sur un an, porté par la marge d'intérêt (230,313 Mds FCFA) et les commissions (72,603 Mds FCFA). Le résultat net s'établit à 101,352 milliards FCFA, en quasi-stagnation (+0,1% vs 2024), avec une marge nette de 36,72% et un ROE exceptionnel de 20,47% (&gt;15% = excellent), confirmant la forte rentabilité des fonds propres (495,113 Mds FCFA). Le ROA de 2,69% reste modeste mais typique du secteur bancaire, où l'effet de levier est élevé. Le coefficient d'exploitation de 38,75% est excellent (&lt;50% = banque très efficace), témoignant d'une maîtrise rigoureuse des charges (94,052 Mds FCFA de charges générales). Le coût du risque, matérialisé par des provisions de 17,995 Mds FCFA et des charges financières de 47,775 Mds FCFA, représente un ratio de couverture des intérêts de 255,88%, ce qui est confortable mais en hausse par rapport à 2024. Le ratio dépôts/crédits s'établit à 87,6% (2 907,675 Mds FCFA de dépôts vs 2 546,290 Mds FCFA de crédits), en amélioration de +250 bps, traduisant une meilleure transformation bancaire. La structure financière reste solide avec une autonomie financière de 13,14% et une solvabilité générale de 115,12%, bien que le ratio d'endettement de 86,86% soit élevé, ce qui est normal pour une banque.</w:t>
      </w:r>
    </w:p>
    <w:p>
      <w:pPr>
        <w:spacing w:after="120" w:line="276" w:lineRule="auto"/>
      </w:pPr>
      <w:r>
        <w:t>**Estimations basées sur les rapports trimestriels :** Le rapport T1 2026 (publié le 30 avril 2026) indique un PNB de 65,644 Mds FCFA (-1% vs T1 2025) et un résultat net de 23,976 Mds FCFA (-11%), pénalisé par la migration vers une nouvelle plateforme digitale et des investissements (rénovation du siège). Le rapport S1 2026 (publié le 27 août 2026) montre une reprise avec un PNB de 134,059 Mds FCFA (+1,6%) et un résultat net de 53,350 Mds FCFA (+0,5%), le coefficient d'exploitation s'améliorant à 36,7%. Sur la base de ces tendances, on estime que l'exercice 2026 devrait afficher un PNB autour de 280-285 Mds FCFA (+2-3%) et un résultat net proche de 102-105 Mds FCFA (+1-3%), avec un maintien d'un dividende généreux (taux de distribution de 80% en 2025, soit 2 606 FCFA/action). Le rapport annuel 2024 (publié le 31 décembre 2024) confirme la solidité historique avec un PNB de 263,2 Mds FCFA (+3,9%) et un résultat net de 101,2 Mds FCFA (+4,1%), ainsi qu'une notation AAA (Bloomfield) unique sur le marché. Les rapports antérieurs (2021-2023) montrent une croissance régulière du PNB (189 Mds en 2021 → 215 Mds en 2022 → 263 Mds en 2024) et une rentabilité stable (ROE &gt;20%), malgré des coûts du risque ponctuellement élevés (provisions PME en 2022).</w:t>
      </w:r>
    </w:p>
    <w:p>
      <w:pPr>
        <w:spacing w:after="120" w:line="276" w:lineRule="auto"/>
      </w:pPr>
      <w:r>
        <w:t>**Recommandation fondamentale :** SGBC présente des fondamentaux très solides (ROE 20,5%, coefficient d'exploitation 38,8%, notation AAA), mais la stagnation du résultat net en 2025 (+0,1%) et la hausse du coût du risque (+29,2% en 2025) limitent le potentiel de revalorisation à court terme. La politique de dividende généreuse (80% de distribution) et la solidité bilancielle (solvabilité 17,6% au S1 2026) constituent des atouts majeurs pour les investisseurs recherchant rendement et stabilité. La recommandation fondamentale est **CONSERVER**, avec un passage à l'ACHAT conditionné à une amélioration confirmée de la qualité du portefeuille (baisse des NPL) et à une reprise durable du PNB au-delà de 3%.</w:t>
      </w:r>
    </w:p>
    <w:p>
      <w:pPr>
        <w:spacing w:after="120" w:line="276" w:lineRule="auto"/>
      </w:pPr>
      <w:r>
        <w:t>---</w:t>
      </w:r>
    </w:p>
    <w:p>
      <w:pPr>
        <w:spacing w:after="120" w:line="276" w:lineRule="auto"/>
      </w:pPr>
      <w:r>
        <w:t>## PARTIE 4 : CONCLUSION D'INVESTISSEMENT</w:t>
      </w:r>
    </w:p>
    <w:p>
      <w:pPr>
        <w:spacing w:after="120" w:line="276" w:lineRule="auto"/>
      </w:pPr>
      <w:r>
        <w:t>La valorisation de SGBC (PER 12,0x, P/B 2,45x, EV/EBITDA 24,7x) indique une juste valorisation, voire une légère surévaluation sur la base de l'EV/EBITDA, ce qui suggère que le marché a déjà intégré les perspectives de croissance et la prime de qualité (notation AAA). Le comportement du cours sur 100 jours (+11,44%, volatilité modérée de 21,5%, skewness négatif) est globalement favorable, mais le kurtosis élevé (1,517) et le stochastique en surachat extrême (100%) appellent à la prudence à court terme. Les signaux techniques sont divergents : les moyennes mobiles et le MACD confirment la tendance haussière, tandis que le RSI neutre (50,87) et le stochastique en surachat signalent une consolidation imminente. Les fondamentaux restent solides (ROE 20,5%, coefficient d'exploitation 38,8%, dividende 80%), mais la stagnation du résultat net en 2025 (+0,1%) et la hausse du coût du risque (+29,2%) limitent le potentiel de surperformance. Les prédictions IA (J+1 à J+10) anticipent une légère baisse du cours (38 690 → 38 410 FCFA, soit -1,5% sur 5 jours), ce qui contredit la tendance haussière récente et confirme la probabilité d'une consolidation à court terme. **Recommandation finale : CONSERVER**, avec un niveau de confiance **Moyen** et un risque global **Faible** (titre défensif, faible volatilité, dividende attractif). L'horizon d'investissement optimal est le **moyen terme (3-12 mois)**, en attendant la confirmation d'une reprise durable du PNB et d'une amélioration de la qualité du portefeuille, avec un objectif de cours à 40 000-41 000 FCFA en cas de franchissement de la résistance de 39 485 FCFA. Un passage à l'ACHAT serait justifié si le T2 2026 confirme le redressement du PNB et la maîtrise des frais généraux, avec un rendement du dividende &gt;6%.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141.75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5,000 titres</w:t>
            </w:r>
          </w:p>
        </w:tc>
        <w:tc>
          <w:tcPr>
            <w:tcW w:type="dxa" w:w="2268"/>
            <w:shd w:fill="FFF2CC" w:val="clear"/>
          </w:tcPr>
          <w:p>
            <w:r>
              <w:rPr>
                <w:b/>
                <w:color w:val="503200"/>
                <w:sz w:val="16"/>
              </w:rPr>
              <w:t xml:space="preserve">Cours actuel : </w:t>
            </w:r>
            <w:r>
              <w:rPr>
                <w:color w:val="000000"/>
                <w:sz w:val="17"/>
              </w:rPr>
              <w:t>2,250 FCFA</w:t>
            </w:r>
          </w:p>
          <w:p>
            <w:r>
              <w:rPr>
                <w:b/>
                <w:color w:val="503200"/>
                <w:sz w:val="16"/>
              </w:rPr>
              <w:t xml:space="preserve">Var. 100 jours : </w:t>
            </w:r>
            <w:r>
              <w:rPr>
                <w:b/>
                <w:color w:val="007800"/>
                <w:sz w:val="17"/>
              </w:rPr>
              <w:t>+12.50%</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10.01% (Moyenne) — μ=2,261 FCFA, σ=226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β=0.9827 (Neutre (suit le marché)) — Cov=0.000072, Var(idx)=0.000073, ρ=0.315,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2,124</w:t>
            </w:r>
          </w:p>
        </w:tc>
        <w:tc>
          <w:tcPr>
            <w:tcW w:type="dxa" w:w="1440"/>
            <w:shd w:fill="FAFAFA" w:val="clear"/>
          </w:tcPr>
          <w:p>
            <w:r>
              <w:rPr>
                <w:b/>
                <w:sz w:val="17"/>
              </w:rPr>
              <w:t>2,261</w:t>
            </w:r>
          </w:p>
        </w:tc>
        <w:tc>
          <w:tcPr>
            <w:tcW w:type="dxa" w:w="1440"/>
            <w:shd w:fill="FAFAFA" w:val="clear"/>
          </w:tcPr>
          <w:p>
            <w:r>
              <w:rPr>
                <w:sz w:val="17"/>
              </w:rPr>
              <w:t>2,398</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2,072</w:t>
            </w:r>
          </w:p>
        </w:tc>
        <w:tc>
          <w:tcPr>
            <w:tcW w:type="dxa" w:w="1440"/>
            <w:shd w:fill="FAFAFA" w:val="clear"/>
          </w:tcPr>
          <w:p>
            <w:r>
              <w:rPr>
                <w:b/>
                <w:sz w:val="17"/>
              </w:rPr>
              <w:t>2,267</w:t>
            </w:r>
          </w:p>
        </w:tc>
        <w:tc>
          <w:tcPr>
            <w:tcW w:type="dxa" w:w="1440"/>
            <w:shd w:fill="FAFAFA" w:val="clear"/>
          </w:tcPr>
          <w:p>
            <w:r>
              <w:rPr>
                <w:sz w:val="17"/>
              </w:rPr>
              <w:t>2,461</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2,033</w:t>
            </w:r>
          </w:p>
        </w:tc>
        <w:tc>
          <w:tcPr>
            <w:tcW w:type="dxa" w:w="1440"/>
            <w:shd w:fill="FAFAFA" w:val="clear"/>
          </w:tcPr>
          <w:p>
            <w:r>
              <w:rPr>
                <w:b/>
                <w:sz w:val="17"/>
              </w:rPr>
              <w:t>2,271</w:t>
            </w:r>
          </w:p>
        </w:tc>
        <w:tc>
          <w:tcPr>
            <w:tcW w:type="dxa" w:w="1440"/>
            <w:shd w:fill="FAFAFA" w:val="clear"/>
          </w:tcPr>
          <w:p>
            <w:r>
              <w:rPr>
                <w:sz w:val="17"/>
              </w:rPr>
              <w:t>2,510</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1,998</w:t>
            </w:r>
          </w:p>
        </w:tc>
        <w:tc>
          <w:tcPr>
            <w:tcW w:type="dxa" w:w="1440"/>
            <w:shd w:fill="FAFAFA" w:val="clear"/>
          </w:tcPr>
          <w:p>
            <w:r>
              <w:rPr>
                <w:b/>
                <w:sz w:val="17"/>
              </w:rPr>
              <w:t>2,274</w:t>
            </w:r>
          </w:p>
        </w:tc>
        <w:tc>
          <w:tcPr>
            <w:tcW w:type="dxa" w:w="1440"/>
            <w:shd w:fill="FAFAFA" w:val="clear"/>
          </w:tcPr>
          <w:p>
            <w:r>
              <w:rPr>
                <w:sz w:val="17"/>
              </w:rPr>
              <w:t>2,550</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1,967</w:t>
            </w:r>
          </w:p>
        </w:tc>
        <w:tc>
          <w:tcPr>
            <w:tcW w:type="dxa" w:w="1440"/>
            <w:shd w:fill="FAFAFA" w:val="clear"/>
          </w:tcPr>
          <w:p>
            <w:r>
              <w:rPr>
                <w:b/>
                <w:sz w:val="17"/>
              </w:rPr>
              <w:t>2,276</w:t>
            </w:r>
          </w:p>
        </w:tc>
        <w:tc>
          <w:tcPr>
            <w:tcW w:type="dxa" w:w="1440"/>
            <w:shd w:fill="FAFAFA" w:val="clear"/>
          </w:tcPr>
          <w:p>
            <w:r>
              <w:rPr>
                <w:sz w:val="17"/>
              </w:rPr>
              <w:t>2,585</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1,939</w:t>
            </w:r>
          </w:p>
        </w:tc>
        <w:tc>
          <w:tcPr>
            <w:tcW w:type="dxa" w:w="1440"/>
            <w:shd w:fill="FAFAFA" w:val="clear"/>
          </w:tcPr>
          <w:p>
            <w:r>
              <w:rPr>
                <w:b/>
                <w:sz w:val="17"/>
              </w:rPr>
              <w:t>2,277</w:t>
            </w:r>
          </w:p>
        </w:tc>
        <w:tc>
          <w:tcPr>
            <w:tcW w:type="dxa" w:w="1440"/>
            <w:shd w:fill="FAFAFA" w:val="clear"/>
          </w:tcPr>
          <w:p>
            <w:r>
              <w:rPr>
                <w:sz w:val="17"/>
              </w:rPr>
              <w:t>2,615</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1,912</w:t>
            </w:r>
          </w:p>
        </w:tc>
        <w:tc>
          <w:tcPr>
            <w:tcW w:type="dxa" w:w="1440"/>
            <w:shd w:fill="FAFAFA" w:val="clear"/>
          </w:tcPr>
          <w:p>
            <w:r>
              <w:rPr>
                <w:b/>
                <w:sz w:val="17"/>
              </w:rPr>
              <w:t>2,278</w:t>
            </w:r>
          </w:p>
        </w:tc>
        <w:tc>
          <w:tcPr>
            <w:tcW w:type="dxa" w:w="1440"/>
            <w:shd w:fill="FAFAFA" w:val="clear"/>
          </w:tcPr>
          <w:p>
            <w:r>
              <w:rPr>
                <w:sz w:val="17"/>
              </w:rPr>
              <w:t>2,643</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1,887</w:t>
            </w:r>
          </w:p>
        </w:tc>
        <w:tc>
          <w:tcPr>
            <w:tcW w:type="dxa" w:w="1440"/>
            <w:shd w:fill="FAFAFA" w:val="clear"/>
          </w:tcPr>
          <w:p>
            <w:r>
              <w:rPr>
                <w:b/>
                <w:sz w:val="17"/>
              </w:rPr>
              <w:t>2,278</w:t>
            </w:r>
          </w:p>
        </w:tc>
        <w:tc>
          <w:tcPr>
            <w:tcW w:type="dxa" w:w="1440"/>
            <w:shd w:fill="FAFAFA" w:val="clear"/>
          </w:tcPr>
          <w:p>
            <w:r>
              <w:rPr>
                <w:sz w:val="17"/>
              </w:rPr>
              <w:t>2,669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1,863</w:t>
            </w:r>
          </w:p>
        </w:tc>
        <w:tc>
          <w:tcPr>
            <w:tcW w:type="dxa" w:w="1440"/>
            <w:shd w:fill="FAFAFA" w:val="clear"/>
          </w:tcPr>
          <w:p>
            <w:r>
              <w:rPr>
                <w:b/>
                <w:sz w:val="17"/>
              </w:rPr>
              <w:t>2,278</w:t>
            </w:r>
          </w:p>
        </w:tc>
        <w:tc>
          <w:tcPr>
            <w:tcW w:type="dxa" w:w="1440"/>
            <w:shd w:fill="FAFAFA" w:val="clear"/>
          </w:tcPr>
          <w:p>
            <w:r>
              <w:rPr>
                <w:sz w:val="17"/>
              </w:rPr>
              <w:t>2,692</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1,841</w:t>
            </w:r>
          </w:p>
        </w:tc>
        <w:tc>
          <w:tcPr>
            <w:tcW w:type="dxa" w:w="1440"/>
            <w:shd w:fill="FAFAFA" w:val="clear"/>
          </w:tcPr>
          <w:p>
            <w:r>
              <w:rPr>
                <w:b/>
                <w:sz w:val="17"/>
              </w:rPr>
              <w:t>2,278</w:t>
            </w:r>
          </w:p>
        </w:tc>
        <w:tc>
          <w:tcPr>
            <w:tcW w:type="dxa" w:w="1440"/>
            <w:shd w:fill="FAFAFA" w:val="clear"/>
          </w:tcPr>
          <w:p>
            <w:r>
              <w:rPr>
                <w:sz w:val="17"/>
              </w:rPr>
              <w:t>2,715</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141,75 milliards FCFA, SHEC se positionne comme une valeur de taille intermédiaire sur la BRVM, représentative du secteur de la distribution pétrolière aval. Le BPA de 96 FCFA/action signifie que chaque titre génère près d'un centaine de francs de bénéfice net, mais le PER de 23,5x traduit une valorisation nettement supérieure à la moyenne du marché (8-12x), signalant soit une anticipation de croissance soutenue, soit une surévaluation manifeste au regard de la faible marge nette (1%). Le P/B de 5,22x confirme cette prime exigeante : le marché paie plus de cinq fois la valeur comptable des fonds propres (27,16 Mds FCFA), ce qui est difficilement justifiable pour une activité à faible marge. Enfin, l'EV/EBITDA de 12,8x, dans la fourchette haute (10-15x), indique que la valeur d'entreprise intègre une prime opérationnelle significative, cohérente avec la position de leader sectoriel mais tendue par rapport à la génération de cash-flow (Free Cash Flow négatif de -1,538 Md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variation positive de +12,50%, bien que la dernière séance (J-1) enregistre un repli marginal de -0,44%, portant le cours actuel à 2 250 FCFA. Le range de trading est large, avec un plus haut à 2 980 FCFA et un plus bas à 1 900 FCFA, soit une amplitude de 56,8% qui témoigne d'une forte volatilité intra-période. La tendance générale reste haussière sur la période, mais le cours actuel se situe en dessous de la moyenne (2 261 FCFA) et de la médiane (2 200 FCFA), suggérant une consolidation après le pic. Les statistiques descriptives révèlent une distribution asymétrique : la moyenne (2 261 FCFA) dépasse légèrement la médiane et le mode (2 200 FCFA), tandis que le skewness positif de 1,004 indique davantage de journées sous la moyenne, avec des pics haussiers occasionnels. L'écart-type de 227 FCFA (CV = 10,1%) traduit une dispersion modérée, mais le kurtosis de 1,280 (leptokurtique) signale des queues épaisses, donc un risque de mouvements brusques. La volatilité annualisée de 42,1% classe SHEC parmi les titres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(2 544 FCFA) et la MM50 (2 422 FCFA) se situent toutes deux au-dessus du cours actuel (2 250 FCFA), ce qui place le titre en position baissière à court terme. Cependant, la MM20 étant supérieure à la MM50, la configuration reste haussière sur le moyen terme, justifiant la décision "Achat" par anticipation d'un retournement.</w:t>
      </w:r>
    </w:p>
    <w:p>
      <w:pPr>
        <w:spacing w:after="120" w:line="276" w:lineRule="auto"/>
      </w:pPr>
      <w:r>
        <w:t>**Bandes de Bollinger** : Le cours (2 250 FCFA) évolue dans la partie basse de la bande, entre la borne inférieure (2 049,955 FCFA) et la borne supérieure (3 038,045 FCFA). Cette position proche du bas de bande suggère une pression vendeuse, mais la décision "Neutre" indique l'absence de signal directionnel fort, le cours n'ayant pas cassé la borne inférieure.</w:t>
      </w:r>
    </w:p>
    <w:p>
      <w:pPr>
        <w:spacing w:after="120" w:line="276" w:lineRule="auto"/>
      </w:pPr>
      <w:r>
        <w:t>**MACD** : La valeur du MACD (-59,514) est nettement inférieure à son signal (-5,159), confirmant un momentum baissier à court terme. La divergence négative entre les deux lignes justifie la décision "Vente", bien que l'écart important puisse annoncer un épuisement de la tendance baissière.</w:t>
      </w:r>
    </w:p>
    <w:p>
      <w:pPr>
        <w:spacing w:after="120" w:line="276" w:lineRule="auto"/>
      </w:pPr>
      <w:r>
        <w:t>**RSI** : À 23,846, le RSI se situe en zone de survente (&lt;30), ce qui indique un titre potentiellement survendu et un rebond technique possible. La décision "Achat" est cohérente avec cette lecture contrarienne, mais le RSI peut rester bas si la pression vendeuse persiste.</w:t>
      </w:r>
    </w:p>
    <w:p>
      <w:pPr>
        <w:spacing w:after="120" w:line="276" w:lineRule="auto"/>
      </w:pPr>
      <w:r>
        <w:t>**Stochastique** : Le %K (4,575) et le %D (3,486) sont tous deux en zone extrême de survente, avec un %K légèrement supérieur au %D, ce qui pourrait préfigurer un croisement haussier imminent. La décision "Achat" est justifiée par cette configuration de retournement potentiel.</w:t>
      </w:r>
    </w:p>
    <w:p>
      <w:pPr>
        <w:spacing w:after="120" w:line="276" w:lineRule="auto"/>
      </w:pPr>
      <w:r>
        <w:t>**Conclusion technique** : Les indicateurs présentent une divergence notable : les moyennes mobiles et le MACD sont baissiers, tandis que le RSI et le stochastique signalent une survente propice à un rebond. Cette configuration contradictoire suggère une phase de consolidation avec un potentiel de rebond technique à court terme, mais la prudence reste de mise tant que le cours n'aura pas reconquis la MM20 (2 544 FCFA).</w:t>
      </w:r>
    </w:p>
    <w:p>
      <w:pPr>
        <w:spacing w:after="120" w:line="276" w:lineRule="auto"/>
      </w:pPr>
      <w:r>
        <w:t>---</w:t>
      </w:r>
    </w:p>
    <w:p>
      <w:pPr>
        <w:spacing w:after="120" w:line="276" w:lineRule="auto"/>
      </w:pPr>
      <w:r>
        <w:t>## PARTIE 3 : ANALYSE FONDAMENTALE</w:t>
      </w:r>
    </w:p>
    <w:p>
      <w:pPr>
        <w:spacing w:after="120" w:line="276" w:lineRule="auto"/>
      </w:pPr>
      <w:r>
        <w:t>En 2025, SHEC (VIVO ENERGY CÔTE D'IVOIRE) affiche un chiffre d'affaires de 604,978 milliards FCFA, en très légère progression de +0,71% par rapport à 2024 (600,708 Mds FCFA), selon les états financiers officiels. Le résultat net s'établit à 6,028 milliards FCFA, en hausse de +12,6%, porté par une amélioration de la valeur ajoutée (+15%) et une baisse des charges financières (-17,7%). La rentabilité des fonds propres (ROE) atteint 22,20%, un niveau excellent (&gt;15%), tandis que le ROA de 3,11% reflète la faible intensité capitalistique du secteur. En tant qu'entreprise de distribution pétrolière, SHEC présente des délais clients de 23,27 jours (risque de trésorerie modéré) et des délais fournisseurs de 35,47 jours (favorable à la trésorerie), avec une durée de stockage très courte de 7,47 jours. Cependant, le BFR de 15,315 Mds FCFA et une trésorerie nette de -65,264 Mds FCFA révèlent des tensions de liquidité préoccupantes, tout comme un taux d'autonomie financière faible (14,03%) et une dépendance financière élevée (85,97%). Sur la base du rapport du 30 juin 2026, le chiffre d'affaires semestriel recule de -1% à 305 038 millions FCFA, mais le résultat d'exploitation progresse de +17% à 6 133 millions FCFA grâce au dynamisme du butane, avec un résultat net de 3 016 millions FCFA (marge nette de 0,99%). On estime donc que l'exercice 2026 devrait enregistrer une légère contraction du CA (autour de 600 Mds FCFA) mais une amélioration de la rentabilité opérationnelle, sous réserve de la maîtrise des charges financières et de la dépendance aux concours bancaires. La recommandation fondamentale est de **CONSERVER** : la société reste bénéficiaire et distribue un dividende attractif (1 933 FCFA/action proposé pour 2025, soit un rendement de 85,9% au cours actuel), mais la fragilité de la structure financière et la faible marge nette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SHEC apparaît exigeante (PER de 23,5x, P/B de 5,22x, EV/EBITDA de 12,8x), bien au-dessus des moyennes du marché, ce qui contraste avec une marge nette de seulement 1% et un Free Cash Flow négatif. Le comportement du cours sur 100 jours est haussier (+12,50%) mais avec une volatilité élevée (42,1%) et une distribution leptokurtique (kurtosis de 1,280) qui expose à des pics de risque, tandis que le skewness positif (1,004) indique une asymétrie défavorable. Les signaux techniques sont divergents : les moyennes mobiles et le MACD sont baissiers, mais le RSI (23,8) et le stochastique (4,6) en zone de survente suggèrent un rebond technique imminent, ce qui crée une opportunité de court terme mais sans confirmation de tendance durable. Les fondamentaux sont mitigés : ROE excellent (22,2%), résultat net en hausse (+12,6% en 2025), mais trésorerie nette très négative (-65,26 Mds FCFA), endettement élevé et dépendance aux découverts bancaires, avec une estimation 2026 de stagnation du CA et une rentabilité fragile. Les prédictions IA (J+1 à J+10) anticipent une trajectoire haussière modérée, de 2 261 FCFA à 2 276 FCFA, ce qui confirme un rebond technique mais sans envolée significative. Sur la base de cette synthèse, la recommandation finale est de **CONSERVER** : la convergence entre la survente technique, la prédiction haussière modérée et la solidité du ROE soutient un maintien de la position, mais la surévaluation boursière, la faiblesse de la marge nette et les risques de liquidité empêchent un passage à l'achat. Le niveau de confiance est **Moyen** (divergence entre technique et fondamental), le risque global est **Élevé** (volatilité, endettement, dépendance bancaire), et l'horizon optimal est le **moyen terme (3-12 mois)** pour un investisseur de rendement, en attendant la publication des comptes définitifs 2026 et une clarification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11,190 titres</w:t>
            </w:r>
          </w:p>
        </w:tc>
        <w:tc>
          <w:tcPr>
            <w:tcW w:type="dxa" w:w="2268"/>
            <w:shd w:fill="FFF2CC" w:val="clear"/>
          </w:tcPr>
          <w:p>
            <w:r>
              <w:rPr>
                <w:b/>
                <w:color w:val="503200"/>
                <w:sz w:val="16"/>
              </w:rPr>
              <w:t xml:space="preserve">Cours actuel : </w:t>
            </w:r>
            <w:r>
              <w:rPr>
                <w:color w:val="000000"/>
                <w:sz w:val="17"/>
              </w:rPr>
              <w:t>8,750 FCFA</w:t>
            </w:r>
          </w:p>
          <w:p>
            <w:r>
              <w:rPr>
                <w:b/>
                <w:color w:val="503200"/>
                <w:sz w:val="16"/>
              </w:rPr>
              <w:t xml:space="preserve">Var. 100 jours : </w:t>
            </w:r>
            <w:r>
              <w:rPr>
                <w:b/>
                <w:color w:val="007800"/>
                <w:sz w:val="17"/>
              </w:rPr>
              <w:t>+19.86%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4.96% (Faible) — μ=8,869 FCFA, σ=440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β=0.7950 (Défensif) — Cov=0.000058, Var(idx)=0.000073, ρ=0.348,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8,425</w:t>
            </w:r>
          </w:p>
        </w:tc>
        <w:tc>
          <w:tcPr>
            <w:tcW w:type="dxa" w:w="1440"/>
            <w:shd w:fill="FAFAFA" w:val="clear"/>
          </w:tcPr>
          <w:p>
            <w:r>
              <w:rPr>
                <w:b/>
                <w:sz w:val="17"/>
              </w:rPr>
              <w:t>8,695</w:t>
            </w:r>
          </w:p>
        </w:tc>
        <w:tc>
          <w:tcPr>
            <w:tcW w:type="dxa" w:w="1440"/>
            <w:shd w:fill="FAFAFA" w:val="clear"/>
          </w:tcPr>
          <w:p>
            <w:r>
              <w:rPr>
                <w:sz w:val="17"/>
              </w:rPr>
              <w:t>8,965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8,261</w:t>
            </w:r>
          </w:p>
        </w:tc>
        <w:tc>
          <w:tcPr>
            <w:tcW w:type="dxa" w:w="1440"/>
            <w:shd w:fill="FAFAFA" w:val="clear"/>
          </w:tcPr>
          <w:p>
            <w:r>
              <w:rPr>
                <w:b/>
                <w:sz w:val="17"/>
              </w:rPr>
              <w:t>8,641</w:t>
            </w:r>
          </w:p>
        </w:tc>
        <w:tc>
          <w:tcPr>
            <w:tcW w:type="dxa" w:w="1440"/>
            <w:shd w:fill="FAFAFA" w:val="clear"/>
          </w:tcPr>
          <w:p>
            <w:r>
              <w:rPr>
                <w:sz w:val="17"/>
              </w:rPr>
              <w:t>9,021</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8,135</w:t>
            </w:r>
          </w:p>
        </w:tc>
        <w:tc>
          <w:tcPr>
            <w:tcW w:type="dxa" w:w="1440"/>
            <w:shd w:fill="FAFAFA" w:val="clear"/>
          </w:tcPr>
          <w:p>
            <w:r>
              <w:rPr>
                <w:b/>
                <w:sz w:val="17"/>
              </w:rPr>
              <w:t>8,598</w:t>
            </w:r>
          </w:p>
        </w:tc>
        <w:tc>
          <w:tcPr>
            <w:tcW w:type="dxa" w:w="1440"/>
            <w:shd w:fill="FAFAFA" w:val="clear"/>
          </w:tcPr>
          <w:p>
            <w:r>
              <w:rPr>
                <w:sz w:val="17"/>
              </w:rPr>
              <w:t>9,061</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2026-10-13</w:t>
            </w:r>
          </w:p>
        </w:tc>
        <w:tc>
          <w:tcPr>
            <w:tcW w:type="dxa" w:w="1440"/>
            <w:shd w:fill="FFDCE0" w:val="clear"/>
          </w:tcPr>
          <w:p>
            <w:r>
              <w:rPr>
                <w:sz w:val="17"/>
              </w:rPr>
              <w:t>8,027</w:t>
            </w:r>
          </w:p>
        </w:tc>
        <w:tc>
          <w:tcPr>
            <w:tcW w:type="dxa" w:w="1440"/>
            <w:shd w:fill="FFDCE0" w:val="clear"/>
          </w:tcPr>
          <w:p>
            <w:r>
              <w:rPr>
                <w:b/>
                <w:sz w:val="17"/>
              </w:rPr>
              <w:t>8,559</w:t>
            </w:r>
          </w:p>
        </w:tc>
        <w:tc>
          <w:tcPr>
            <w:tcW w:type="dxa" w:w="1440"/>
            <w:shd w:fill="FFDCE0" w:val="clear"/>
          </w:tcPr>
          <w:p>
            <w:r>
              <w:rPr>
                <w:sz w:val="17"/>
              </w:rPr>
              <w:t>9,092</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2026-10-14</w:t>
            </w:r>
          </w:p>
        </w:tc>
        <w:tc>
          <w:tcPr>
            <w:tcW w:type="dxa" w:w="1440"/>
            <w:shd w:fill="FFDCE0" w:val="clear"/>
          </w:tcPr>
          <w:p>
            <w:r>
              <w:rPr>
                <w:sz w:val="17"/>
              </w:rPr>
              <w:t>7,930</w:t>
            </w:r>
          </w:p>
        </w:tc>
        <w:tc>
          <w:tcPr>
            <w:tcW w:type="dxa" w:w="1440"/>
            <w:shd w:fill="FFDCE0" w:val="clear"/>
          </w:tcPr>
          <w:p>
            <w:r>
              <w:rPr>
                <w:b/>
                <w:sz w:val="17"/>
              </w:rPr>
              <w:t>8,522</w:t>
            </w:r>
          </w:p>
        </w:tc>
        <w:tc>
          <w:tcPr>
            <w:tcW w:type="dxa" w:w="1440"/>
            <w:shd w:fill="FFDCE0" w:val="clear"/>
          </w:tcPr>
          <w:p>
            <w:r>
              <w:rPr>
                <w:sz w:val="17"/>
              </w:rPr>
              <w:t>9,115</w:t>
            </w:r>
          </w:p>
        </w:tc>
        <w:tc>
          <w:tcPr>
            <w:tcW w:type="dxa" w:w="1440"/>
            <w:shd w:fill="FFDCE0" w:val="clear"/>
          </w:tcPr>
          <w:p>
            <w:r>
              <w:rPr>
                <w:b/>
                <w:color w:val="C00000"/>
                <w:sz w:val="17"/>
              </w:rPr>
              <w:t>-2.6%</w:t>
            </w:r>
          </w:p>
        </w:tc>
      </w:tr>
      <w:tr>
        <w:tc>
          <w:tcPr>
            <w:tcW w:type="dxa" w:w="1440"/>
            <w:shd w:fill="FFDCE0" w:val="clear"/>
          </w:tcPr>
          <w:p>
            <w:r>
              <w:rPr>
                <w:sz w:val="17"/>
              </w:rPr>
              <w:t>J+6  Moyenne</w:t>
            </w:r>
          </w:p>
        </w:tc>
        <w:tc>
          <w:tcPr>
            <w:tcW w:type="dxa" w:w="1440"/>
            <w:shd w:fill="FFDCE0" w:val="clear"/>
          </w:tcPr>
          <w:p>
            <w:r>
              <w:rPr>
                <w:sz w:val="17"/>
              </w:rPr>
              <w:t>2026-10-15</w:t>
            </w:r>
          </w:p>
        </w:tc>
        <w:tc>
          <w:tcPr>
            <w:tcW w:type="dxa" w:w="1440"/>
            <w:shd w:fill="FFDCE0" w:val="clear"/>
          </w:tcPr>
          <w:p>
            <w:r>
              <w:rPr>
                <w:sz w:val="17"/>
              </w:rPr>
              <w:t>7,840</w:t>
            </w:r>
          </w:p>
        </w:tc>
        <w:tc>
          <w:tcPr>
            <w:tcW w:type="dxa" w:w="1440"/>
            <w:shd w:fill="FFDCE0" w:val="clear"/>
          </w:tcPr>
          <w:p>
            <w:r>
              <w:rPr>
                <w:b/>
                <w:sz w:val="17"/>
              </w:rPr>
              <w:t>8,487</w:t>
            </w:r>
          </w:p>
        </w:tc>
        <w:tc>
          <w:tcPr>
            <w:tcW w:type="dxa" w:w="1440"/>
            <w:shd w:fill="FFDCE0" w:val="clear"/>
          </w:tcPr>
          <w:p>
            <w:r>
              <w:rPr>
                <w:sz w:val="17"/>
              </w:rPr>
              <w:t>9,133</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2026-10-16</w:t>
            </w:r>
          </w:p>
        </w:tc>
        <w:tc>
          <w:tcPr>
            <w:tcW w:type="dxa" w:w="1440"/>
            <w:shd w:fill="FFDCE0" w:val="clear"/>
          </w:tcPr>
          <w:p>
            <w:r>
              <w:rPr>
                <w:sz w:val="17"/>
              </w:rPr>
              <w:t>7,758</w:t>
            </w:r>
          </w:p>
        </w:tc>
        <w:tc>
          <w:tcPr>
            <w:tcW w:type="dxa" w:w="1440"/>
            <w:shd w:fill="FFDCE0" w:val="clear"/>
          </w:tcPr>
          <w:p>
            <w:r>
              <w:rPr>
                <w:b/>
                <w:sz w:val="17"/>
              </w:rPr>
              <w:t>8,453</w:t>
            </w:r>
          </w:p>
        </w:tc>
        <w:tc>
          <w:tcPr>
            <w:tcW w:type="dxa" w:w="1440"/>
            <w:shd w:fill="FFDCE0" w:val="clear"/>
          </w:tcPr>
          <w:p>
            <w:r>
              <w:rPr>
                <w:sz w:val="17"/>
              </w:rPr>
              <w:t>9,148</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2026-10-19</w:t>
            </w:r>
          </w:p>
        </w:tc>
        <w:tc>
          <w:tcPr>
            <w:tcW w:type="dxa" w:w="1440"/>
            <w:shd w:fill="FFDCE0" w:val="clear"/>
          </w:tcPr>
          <w:p>
            <w:r>
              <w:rPr>
                <w:sz w:val="17"/>
              </w:rPr>
              <w:t>7,680</w:t>
            </w:r>
          </w:p>
        </w:tc>
        <w:tc>
          <w:tcPr>
            <w:tcW w:type="dxa" w:w="1440"/>
            <w:shd w:fill="FFDCE0" w:val="clear"/>
          </w:tcPr>
          <w:p>
            <w:r>
              <w:rPr>
                <w:b/>
                <w:sz w:val="17"/>
              </w:rPr>
              <w:t>8,420</w:t>
            </w:r>
          </w:p>
        </w:tc>
        <w:tc>
          <w:tcPr>
            <w:tcW w:type="dxa" w:w="1440"/>
            <w:shd w:fill="FFDCE0" w:val="clear"/>
          </w:tcPr>
          <w:p>
            <w:r>
              <w:rPr>
                <w:sz w:val="17"/>
              </w:rPr>
              <w:t>9,161</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2026-10-20</w:t>
            </w:r>
          </w:p>
        </w:tc>
        <w:tc>
          <w:tcPr>
            <w:tcW w:type="dxa" w:w="1440"/>
            <w:shd w:fill="FFDCE0" w:val="clear"/>
          </w:tcPr>
          <w:p>
            <w:r>
              <w:rPr>
                <w:sz w:val="17"/>
              </w:rPr>
              <w:t>7,607</w:t>
            </w:r>
          </w:p>
        </w:tc>
        <w:tc>
          <w:tcPr>
            <w:tcW w:type="dxa" w:w="1440"/>
            <w:shd w:fill="FFDCE0" w:val="clear"/>
          </w:tcPr>
          <w:p>
            <w:r>
              <w:rPr>
                <w:b/>
                <w:sz w:val="17"/>
              </w:rPr>
              <w:t>8,389</w:t>
            </w:r>
          </w:p>
        </w:tc>
        <w:tc>
          <w:tcPr>
            <w:tcW w:type="dxa" w:w="1440"/>
            <w:shd w:fill="FFDCE0" w:val="clear"/>
          </w:tcPr>
          <w:p>
            <w:r>
              <w:rPr>
                <w:sz w:val="17"/>
              </w:rPr>
              <w:t>9,172</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2026-10-21</w:t>
            </w:r>
          </w:p>
        </w:tc>
        <w:tc>
          <w:tcPr>
            <w:tcW w:type="dxa" w:w="1440"/>
            <w:shd w:fill="FFDCE0" w:val="clear"/>
          </w:tcPr>
          <w:p>
            <w:r>
              <w:rPr>
                <w:sz w:val="17"/>
              </w:rPr>
              <w:t>7,538</w:t>
            </w:r>
          </w:p>
        </w:tc>
        <w:tc>
          <w:tcPr>
            <w:tcW w:type="dxa" w:w="1440"/>
            <w:shd w:fill="FFDCE0" w:val="clear"/>
          </w:tcPr>
          <w:p>
            <w:r>
              <w:rPr>
                <w:b/>
                <w:sz w:val="17"/>
              </w:rPr>
              <w:t>8,360</w:t>
            </w:r>
          </w:p>
        </w:tc>
        <w:tc>
          <w:tcPr>
            <w:tcW w:type="dxa" w:w="1440"/>
            <w:shd w:fill="FFDCE0" w:val="clear"/>
          </w:tcPr>
          <w:p>
            <w:r>
              <w:rPr>
                <w:sz w:val="17"/>
              </w:rPr>
              <w:t>9,182</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875,00 milliards FCFA, SIBC s'impose comme l'une des toutes premières capitalisations de la BRVM, ce qui en fait une valeur de premier plan pour les investisseurs institutionnels de la zone UEMOA. Le BPA de 556 FCFA/action signifie que chaque titre génère un bénéfice net de 556 FCFA, ce qui, rapporté au cours actuel de 8 750 FCFA, aboutit à un PER de 15,7x — un niveau modéré mais supérieur à la moyenne du marché BRVM (8-12x), traduisant une prime de qualité consentie par le marché. Le P/B de 4,27x indique que le marché valorise SIBC à plus de quatre fois sa valeur comptable, une prime exigeante qui reflète la forte rentabilité des fonds propres (ROE de 27,16% en 2025) mais qui limite la marge de sécurité en cas de déception. Enfin, l'EV/EBITDA de 14,7x, situé dans la fourchette haute (10-15x), confirme que la valeur d'entreprise intègre déjà une bonne part de la capacité bénéficiaire opérationnelle, ce qui suggère une valorisation globalement pleine plutôt qu'une opportunité décotée.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SIBC affiche une performance remarquable de +19,86%, portée par un intérêt soutenu des investisseurs, bien que la dernière séance (J-1) marque un repli de -2,78% signalant une prise de bénéfices après le rallye. Le titre a évolué dans un range de 2 200 FCFA, entre un plus bas de 7 300 FCFA et un plus haut de 9 500 FCFA, le cours actuel de 8 750 FCFA se situant dans la moitié supérieure de cette fourchette, ce qui témoigne d'une tendance haussière de fond mais d'une consolidation en cours. Les statistiques descriptives révèlent une moyenne de 8 869 FCFA légèrement inférieure à la médiane de 8 995 FCFA et au mode de 9 000 FCFA, confirmant une distribution asymétrique où le cours a passé plus de temps au-dessus de sa moyenne — cohérent avec le skewness négatif de -1,847 qui indique davantage de journées de hausse que de baisse. L'écart-type de 442 FCFA et le coefficient de variation de 5,0% traduisent une dispersion modérée du cours autour de sa moyenne, tandis que le kurtosis de 3,245 (leptokurtique) avertit sur un risque de pics de volatilité et de mouvements brusques. La volatilité annualisée de 31,2% classe le titre dans la catégorie des valeurs à volatilité élevée (&gt;30%), ce qui implique un potentiel de gain attractif mais aussi un risque de correction significatif,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(9 092,25 FCFA) et la MM50 (9 126,50 FCFA) se situent toutes deux nettement au-dessus du cours actuel (8 750 FCFA), ce qui place le titre en position de faiblesse relative et justifie la décision technique de **Vente**. Le croisement baissier potentiel (MM20 sous MM50) renforcerait ce signal négatif si la tendance se confirme.</w:t>
      </w:r>
    </w:p>
    <w:p>
      <w:pPr>
        <w:spacing w:after="120" w:line="276" w:lineRule="auto"/>
      </w:pPr>
      <w:r>
        <w:t>**Bandes de Bollinger** : Le cours (8 750 FCFA) évolue dans la partie basse de la bande, proche de la borne inférieure (8 701,75 FCFA) et loin de la borne supérieure (9 482,75 FCFA), ce qui traduit une pression vendeuse mais aussi un potentiel de rebond technique si le support tient. La décision est **Neutre**, le cours n'étant ni en surachat ni en survente extrême.</w:t>
      </w:r>
    </w:p>
    <w:p>
      <w:pPr>
        <w:spacing w:after="120" w:line="276" w:lineRule="auto"/>
      </w:pPr>
      <w:r>
        <w:t>**MACD** : La valeur du MACD (-49,538) est inférieure à son signal (-27,732), confirmant un momentum baissier en cours et justifiant la décision de **Vente**. L'écart négatif entre les deux lignes indique que la pression baissière n'est pas encore résorbée, même si l'amplitude reste modérée.</w:t>
      </w:r>
    </w:p>
    <w:p>
      <w:pPr>
        <w:spacing w:after="120" w:line="276" w:lineRule="auto"/>
      </w:pPr>
      <w:r>
        <w:t>**RSI** : À 38,684, le RSI se situe dans la zone neutre basse (30-70), sans atteindre le seuil de survente (&lt;30), ce qui justifie la décision **Neutre**. Ce niveau suggère que le titre n'est pas encore survendu et qu'un rebond technique n'est pas imminent, mais la marge de baisse reste limitée.</w:t>
      </w:r>
    </w:p>
    <w:p>
      <w:pPr>
        <w:spacing w:after="120" w:line="276" w:lineRule="auto"/>
      </w:pPr>
      <w:r>
        <w:t>**Stochastique** : Le %K (35,556) est inférieur au %D (62,136), configuration baissière classique signalant que la pression vendeuse domine à court terme, bien que la décision affichée soit **Neutre**. Un croisement du %K au-dessus du %D serait nécessaire pour envisager un retournement haussier.</w:t>
      </w:r>
    </w:p>
    <w:p>
      <w:pPr>
        <w:spacing w:after="120" w:line="276" w:lineRule="auto"/>
      </w:pPr>
      <w:r>
        <w:t>**Conclusion technique** : La majorité des indicateurs (MM, MACD) penchent vers une **Vente**, tandis que les Bandes de Bollinger, le RSI et le Stochastique restent **Neutres**, créant une divergence qui traduit une phase de consolidation baissière plutôt qu'un effondrement. Le titre se trouve dans une zone de support critique (8 700-8 750 FCFA) ; une cassure à la baisse ouvrirait la voie à un repli vers 8 500 FCFA, tandis qu'un rebond au-dessus de 9 000 FCFA rétablirait une dynamique positive. La prudence est de mise à court terme, avec une surveillance accrue du niveau de support.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SIBC affiche un Produit Net Bancaire (PNB) de 108,663 milliards FCFA et un résultat net de 55,623 milliards FCFA, soit une marge nette exceptionnelle de 51,19%. Le ROE s'établit à 27,16% (largement supérieur au seuil de 15% considéré comme excellent) et le ROA à 2,96%, confirmant une rentabilité des actifs solide pour une banque. Le coefficient d'exploitation de 38,59% est excellent (&lt;60% = banque efficace, &lt;50% = excellence), témoignant d'une maîtrise remarquable des charges. Le ratio dépôts/crédits (1 503,441 Mds de dépôts clientèle pour 1 226,720 Mds de créances clientèle) s'élève à 122,6%, indiquant une surliquidité confortable et une capacité de transformation maîtrisée. Le coût du risque, bien que le ratio fourni (363 900 000 000%) soit manifestement erroné ou mal calculé, doit être interprété avec prudence : les provisions de 14,124 Mds FCFA représentent 13% du PNB, un niveau modéré qui suggère un portefeuille globalement sain mais nécessitant une surveillance.</w:t>
      </w:r>
    </w:p>
    <w:p>
      <w:pPr>
        <w:spacing w:after="120" w:line="276" w:lineRule="auto"/>
      </w:pPr>
      <w:r>
        <w:t>**Estimations basées sur les rapports trimestriels** : Sur la base du rapport T1 2026 (publié le 7 mai 2026), le PNB progresse de +4% à 27,7 Mds FCFA et le résultat net de +11% à 15,2 Mds FCFA, avec une marge nette de 54,9%. Le rapport S1 2026 (analysé le 29 septembre 2026) confirme cette dynamique avec un PNB de 56,592 Mds FCFA (+4,2%) et un résultat net de 32,140 Mds FCFA (+9,3%), une marge nette de 56,8% et un coût du risque en forte baisse (-75,3% à 287 M FCFA). On estime donc que l'exercice 2026 devrait clôturer avec un PNB autour de 113-115 Mds FCFA et un résultat net de 58-60 Mds FCFA, soit une croissance annuelle de 5-8% du bénéfice. Le rapport annuel 2024 (publié le 31 décembre 2024) indiquait un PNB de 102,8 Mds FCFA (+8%) et un résultat net de 50,2 Mds FCFA (+15%), avec un ROE de 30,56% et un dividende brut de 375 FCFA/action (rendement ~10,55% sur la base du cours de fin 2024). La dynamique est donc celle d'une banque en croissance régulière, avec une rentabilité qui se maintient à des niveaux élevés et une qualité de portefeuille en amélioration. La recommandation fondamentale est **CONSERVER avec biais positif** : la solidité financière, la croissance à deux chiffres des crédits (+12% au S1 2026) et des dépôts (+12%), ainsi que la solvabilité confortable (&gt;11,5%) constituent des atouts majeurs, mais la valorisation exigeante (P/B &gt;4x) et l'absence de visibilité sur le dividende 2026 limitent le potentiel de hausse immédiat.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entre des fondamentaux solides et une technique dégradée, dans un contexte de valorisation exigeante. La **valorisation (Partie 0)** indique une action pleinement valorisée (PER 15,7x, P/B 4,27x, EV/EBITDA 14,7x), sans décote significative malgré la qualité de l'émetteur. Le **comportement du cours (Partie 1)** montre une tendance haussière de fond (+19,86% sur 100 jours) mais une consolidation récente (-2,78% en J-1), avec une volatilité élevée (31,2%) et un risque de pics (kurtosis 3,245) qui appellent à la prudence. Les **signaux techniques (Partie 2)** sont majoritairement baissiers à court terme (MM et MACD en Vente, RSI et Stochastique neutres), suggérant une poursuite de la consolidation avant un éventuel rebond. Les **fondamentaux (Partie 3)** demeurent excellents : ROE de 27,16% en 2025, coefficient d'exploitation de 38,59%, croissance du résultat net de +9,3% au S1 2026, et une surliquidité confortable. Les **prédictions IA (J+1 à J+10)** anticipent une poursuite de la baisse jusqu'à 8 522 FCFA le 14 octobre 2026, confirmant la pression baissière de court terme et la nécessité d'attendre un point d'entrée plus favorable. Sur la base de cette synthèse, la recommandation finale est **CONSERVER** : les investisseurs déjà positionnés peuvent conserver le titre pour bénéficier de la croissance régulière et d'un éventuel dividende attractif, tandis que les nouveaux investisseurs sont invités à attendre une correction vers 8 500 FCFA ou la publication des résultats annuels 2026 pour se positionner. Le niveau de confiance est **Moyen** (les fondamentaux sont solides mais la technique et la valorisation limitent le potentiel à court terme), le niveau de risque global est **Moyen** (volatilité élevée mais fondamentaux robustes), et l'horizon d'investissement optimal est le **moyen terme (3-12 mois)**, le temps que la consolidation technique s'achève et que la croissance bénéficiaire se matérialise dans les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β=-1.1063 (Contre-cyclique) — Cov=-0.000041, Var(idx)=0.000037, ρ=-0.179, n=86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 RAPPORT D'ANALYSE FINANCIÈRE — SICOR (SICC) — BRVM</w:t>
      </w:r>
    </w:p>
    <w:p>
      <w:pPr>
        <w:spacing w:after="120" w:line="276" w:lineRule="auto"/>
      </w:pPr>
      <w:r>
        <w:t>**Date d'analyse : 15 mai 2026** | **Cours actuel : 8 400 FCFA** | **Capitalisation : 5,04 Mds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boursière (BPA, PER, P/B, EV/EBITDA) ne sont pas calculables en l'absence de données financières structurées exploitables dans la base de données, ce qui limite l'appréciation directe du prix payé par rapport aux bénéfices ou à la valeur comptable. Toutefois, en croisant le cours actuel (8 400 FCFA) avec le résultat net 2023 de 19,25 millions FCFA et un capital social de 1,5 milliard FCFA (soit 600 000 actions de 2 500 FCFA nominal), on obtient un BPA estimé d'environ 32 FCFA, soit un PER implicite très élevé (~262x), largement supérieur à la moyenne BRVM (8-12x). Cette cherté apparente reflète davantage la spéculation sur un redressement futur que la rentabilité actuelle. Le P/B implicite, calculé sur des capitaux propres encore grevés par des pertes cumulées de 689,86 millions FCFA (rapport 2023), demeure également défavorable, ce qui invite à la plus grande prudence sur la valorisation intrinsèque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 enregistré une progression spectaculaire de **+95,35%**, passant d'environ 4 300 FCFA à 8 400 FCFA, malgré un repli de **-1,12%** lors de la dernière séance (J-1). Le range de trading est particulièrement large, avec un plus haut à **10 200 FCFA** et un plus bas à **3 985 FCFA**, soit un écart de plus de 155% entre les deux extrêmes — signe d'une tendance nettement haussière mais ponctuée de corrections violentes. La moyenne du cours sur la période s'établit à **5 815 FCFA**, très supérieure à la médiane de **5 022 FCFA**, ce qui confirme une distribution asymétrique positivement (skewness de **0,913**), c'est-à-dire que la majorité des séances se sont négociées sous la moyenne, mais quelques journées de forte hausse ont tiré la moyenne vers le haut. L'écart-type de **1 813 FCFA** et le coefficient de variation de **31,2%** traduisent une dispersion élevée du cours, tandis que le kurtosis de **-0,630** (mésokurtique) indique une distribution proche de la normale, sans pics extrêmes excessifs. La volatilité annualisée de **58,2%** classe clairement le titre dans la catégorie des valeurs à **volatilité élevée** (&gt;30%), ce qui implique un risque de marché important pour les investisseurs. Le volume moyen de seulement **120 titres/jour** souligne en outre une liquidité très faible, exposant le titre à des mouvements erratiques sur de faibles volumes.</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(7 205,00 FCFA) sont toutes deux inférieures au cours actuel (8 400 FCFA), avec une MM20 légèrement au-dessus du prix, ce qui traduit une dynamique haussière de fond mais un essoufflement récent. La configuration MM20 &gt; MM50 confirme la tendance haussière, et la décision technique affichée est **Achat**, bien que le cours évolue désormais sous sa moyenne court terme, signalant une possible consolidation.</w:t>
      </w:r>
    </w:p>
    <w:p>
      <w:pPr>
        <w:spacing w:after="120" w:line="276" w:lineRule="auto"/>
      </w:pPr>
      <w:r>
        <w:t>**Bandes de Bollinger** : Le cours (8 400 FCFA) se situe entre la borne supérieure (9 589,72 FCFA) et la borne inférieure (7 354,78 FCFA), plus proche de la borne haute, ce qui indique une volatilité encore soutenue mais sans excès. La décision est **Neutre**, car le cours n'est ni en situation de surachat extrême (au-dessus de la borne sup) ni de survente (sous la borne inf), laissant présager une phase de range.</w:t>
      </w:r>
    </w:p>
    <w:p>
      <w:pPr>
        <w:spacing w:after="120" w:line="276" w:lineRule="auto"/>
      </w:pPr>
      <w:r>
        <w:t>**MACD** : La valeur du MACD (271,895) est inférieure à son signal (363,172), générant une divergence baissière et une décision de **Vente**. Ce croisement négatif indique un affaiblissement du momentum haussier, bien que le MACD reste en territoire positif, ce qui suggère une correction plutôt qu'un retournement majeur.</w:t>
      </w:r>
    </w:p>
    <w:p>
      <w:pPr>
        <w:spacing w:after="120" w:line="276" w:lineRule="auto"/>
      </w:pPr>
      <w:r>
        <w:t>**RSI** : À **61,157**, le RSI se situe en zone neutre-haute (30-70), sans atteindre la zone de surachat (&gt;70). La décision est **Neutre**, ce qui signifie que le titre conserve un potentiel de hausse mais approche de niveaux où la prudence devient nécessaire.</w:t>
      </w:r>
    </w:p>
    <w:p>
      <w:pPr>
        <w:spacing w:after="120" w:line="276" w:lineRule="auto"/>
      </w:pPr>
      <w:r>
        <w:t>**Stochastique** : Le %K (85,714) et le %D (94,762) sont tous deux en zone de surachat (&gt;80), avec un %K sous le %D, signalant un croisement baissier imminent. La décision est **Vente**, ce qui renforce l'idée d'une correction à court terme après la forte hausse.</w:t>
      </w:r>
    </w:p>
    <w:p>
      <w:pPr>
        <w:spacing w:after="120" w:line="276" w:lineRule="auto"/>
      </w:pPr>
      <w:r>
        <w:t>**Conclusion technique** : Les indicateurs sont **divergents** — les moyennes mobiles restent haussières (Achat), mais le MACD et le stochastique émettent des signaux de vente, tandis que le RSI et les Bollinger sont neutres. Cette configuration suggère une **phase de consolidation ou de correction à court terme** après le rallye de +95%, avec un support clé à surveiller autour de la MM20 (8 472 FCFA) et de la borne inférieure de Bollinger (7 355 FCFA). La faible liquidité amplifie le risque de faux signaux.</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SICOR s'appuie sur les rapports financiers officiels disponibles, dont les plus récents portent sur l'exercice **2023** (analyse Mistral du 15/03/2026) et l'exercice **2022** (analyse Mistral du 15/03/2026), complétés par des rapports plus anciens (2015-2017) et une analyse Gemini-Vision du rapport 2024 (datée du 06/09/2026, partielle). **En 2023**, le chiffre d'affaires s'est établi à **701,09 millions FCFA**, en chute de **38,4%** par rapport aux 1 138,17 millions FCFA de 2022, sous l'effet d'un effondrement des ventes d'huile de coprah (-98,82%) et de tourteaux (-86,03%), partiellement compensé par la résistance des ventes de noix de coco (326 millions FCFA, -30,14%). Malgré cette contraction sévère de l'activité, le **résultat net 2023 est redevenu positif à +19,25 millions FCFA** (contre une perte de -39,95 millions FCFA en 2022), grâce à une réduction drastique des charges totales (-43,68%) et au transfert de 50% du personnel vers la filiale SIPAL. La **marge nette 2023 ressort à 2,75%**, encore inférieure à la moyenne sectorielle (5-10%), et les **pertes cumulées s'élèvent à 689,86 millions FCFA**, ce qui exclut toute distribution de dividende avant 2025-2026 au plus tôt, conformément à l'Acte Uniforme OHADA. Le ROE et le ROA ne sont pas calculables précisément faute de capitaux propres positifs et de total bilan récents, mais la structure financière demeure fragile avec des découverts bancaires multipliés par 14 (+1 319%) et une trésorerie tendue. **En 2022**, la société avait enregistré une perte nette de -39,95 millions FCFA pour un CA de 1 138,17 millions FCFA (marge nette -3,51%), marquant une dégradation après les bénéfices de 2018-2021 (119,23 millions FCFA en 2021, 109,83 millions en 2020). L'évolution historique montre une **grande volatilité des résultats** : +989,4 millions FCFA en 2018, +2,35 millions en 2019, +109,8 millions en 2020, +119,2 millions en 2021, -39,9 millions en 2022, +19,25 millions en 2023. Les rapports plus anciens (2015-2017) confirment cette instabilité chronique, avec des capitaux propres négatifs en 2016 (-2,32 milliards FCFA) et une perte nette de -348,99 millions FCFA, suivis d'un redressement en 2017 (bénéfice de 100,57 millions FCFA). **En synthèse**, la recommandation fondamentale est **CONSERVER avec vigilance** : le retour à la profitabilité en 2023 est encourageant, mais la faiblesse du CA, l'absence de dividende, les pertes cumulées et les risques opérationnels (vols de noix de coco, dépendance aux cours du coprah) maintiennent un profil de risque élevé. Les perspectives 2024-2025 dépendront de la capacité à stabiliser la production et à diversifier les revenus (noix de coco, tourteaux).</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**déséquilibre marqué entre la dynamique boursière et les fondamentaux**. La **valorisation (Partie 0)** apparaît très tendue : avec un PER implicite estimé à ~262x (très supérieur à la moyenne BRVM de 8-12x) et un P/B défavorable, le marché valorise SICOR bien au-delà de ses bénéfices actuels, ce qui traduit une anticipation spéculative plutôt qu'une sous-évaluation. Le **comportement du cours (Partie 1)** est haussier (+95,35% sur 100 jours) mais accompagné d'une volatilité élevée (58,2%) et d'une asymétrie positive (skewness 0,913) indiquant que la hausse repose sur quelques séances exceptionnelles, avec un risque de correction. Les **signaux techniques (Partie 2)** sont divergents : les moyennes mobiles restent haussières, mais le MACD et le stochastique émettent des signaux de vente, tandis que le RSI et les Bollinger sont neutres — configuration typique d'une consolidation après un rallye. Les **fondamentaux (Partie 3)** montrent un retour fragile à la profitabilité en 2023 (+19,25 millions FCFA), mais une activité en forte contraction (-38,4% de CA), des pertes cumulées de 689,86 millions FCFA et une absence de dividende, ce qui ne justifie pas les niveaux de cours actuels. Les **prédictions IA (J+1 à J+10)** ne sont pas disponibles, ce qui prive l'analyse d'un signal directionnel complémentaire. **En conséquence, la recommandation finale est CONSERVER (avec vigilance)**, avec un **niveau de confiance moyen** et un **risque global élevé**. La convergence entre technique (signaux de vente à court terme) et fondamental (valorisation excessive, fragilité financière) invite à la prudence, tandis que la dynamique haussière des moyennes mobiles et le retour à la profitabilité empêchent une recommandation de vente franche. **L'horizon d'investissement optimal est moyen terme (3-12 mois)**, en surveillant les prochains rapports semestriels 2025-2026 pour confirmer la reprise de l'activité et la résorption des pertes cumulées. Un investisseur averse au risque évitera le titre en raison de sa faible liquidité (120 titres/jour) et de sa volatilité extrême.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5,380 titres</w:t>
            </w:r>
          </w:p>
        </w:tc>
        <w:tc>
          <w:tcPr>
            <w:tcW w:type="dxa" w:w="2268"/>
            <w:shd w:fill="FFF2CC" w:val="clear"/>
          </w:tcPr>
          <w:p>
            <w:r>
              <w:rPr>
                <w:b/>
                <w:color w:val="503200"/>
                <w:sz w:val="16"/>
              </w:rPr>
              <w:t xml:space="preserve">Cours actuel : </w:t>
            </w:r>
            <w:r>
              <w:rPr>
                <w:color w:val="000000"/>
                <w:sz w:val="17"/>
              </w:rPr>
              <w:t>1,985 FCFA</w:t>
            </w:r>
          </w:p>
          <w:p>
            <w:r>
              <w:rPr>
                <w:b/>
                <w:color w:val="503200"/>
                <w:sz w:val="16"/>
              </w:rPr>
              <w:t xml:space="preserve">Var. 100 jours : </w:t>
            </w:r>
            <w:r>
              <w:rPr>
                <w:b/>
                <w:color w:val="B40000"/>
                <w:sz w:val="17"/>
              </w:rPr>
              <w:t>-30.59%</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11.80% (Moyenne) — μ=2,415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β=0.4873 (Défensif) — Cov=0.000036, Var(idx)=0.000073, ρ=0.122,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1,906</w:t>
            </w:r>
          </w:p>
        </w:tc>
        <w:tc>
          <w:tcPr>
            <w:tcW w:type="dxa" w:w="1440"/>
            <w:shd w:fill="FAFAFA" w:val="clear"/>
          </w:tcPr>
          <w:p>
            <w:r>
              <w:rPr>
                <w:b/>
                <w:sz w:val="17"/>
              </w:rPr>
              <w:t>2,006</w:t>
            </w:r>
          </w:p>
        </w:tc>
        <w:tc>
          <w:tcPr>
            <w:tcW w:type="dxa" w:w="1440"/>
            <w:shd w:fill="FAFAFA" w:val="clear"/>
          </w:tcPr>
          <w:p>
            <w:r>
              <w:rPr>
                <w:sz w:val="17"/>
              </w:rPr>
              <w:t>2,105</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1,866</w:t>
            </w:r>
          </w:p>
        </w:tc>
        <w:tc>
          <w:tcPr>
            <w:tcW w:type="dxa" w:w="1440"/>
            <w:shd w:fill="FAFAFA" w:val="clear"/>
          </w:tcPr>
          <w:p>
            <w:r>
              <w:rPr>
                <w:b/>
                <w:sz w:val="17"/>
              </w:rPr>
              <w:t>2,007</w:t>
            </w:r>
          </w:p>
        </w:tc>
        <w:tc>
          <w:tcPr>
            <w:tcW w:type="dxa" w:w="1440"/>
            <w:shd w:fill="FAFAFA" w:val="clear"/>
          </w:tcPr>
          <w:p>
            <w:r>
              <w:rPr>
                <w:sz w:val="17"/>
              </w:rPr>
              <w:t>2,148</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1,837</w:t>
            </w:r>
          </w:p>
        </w:tc>
        <w:tc>
          <w:tcPr>
            <w:tcW w:type="dxa" w:w="1440"/>
            <w:shd w:fill="FAFAFA" w:val="clear"/>
          </w:tcPr>
          <w:p>
            <w:r>
              <w:rPr>
                <w:b/>
                <w:sz w:val="17"/>
              </w:rPr>
              <w:t>2,010</w:t>
            </w:r>
          </w:p>
        </w:tc>
        <w:tc>
          <w:tcPr>
            <w:tcW w:type="dxa" w:w="1440"/>
            <w:shd w:fill="FAFAFA" w:val="clear"/>
          </w:tcPr>
          <w:p>
            <w:r>
              <w:rPr>
                <w:sz w:val="17"/>
              </w:rPr>
              <w:t>2,183</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1,814</w:t>
            </w:r>
          </w:p>
        </w:tc>
        <w:tc>
          <w:tcPr>
            <w:tcW w:type="dxa" w:w="1440"/>
            <w:shd w:fill="FAFAFA" w:val="clear"/>
          </w:tcPr>
          <w:p>
            <w:r>
              <w:rPr>
                <w:b/>
                <w:sz w:val="17"/>
              </w:rPr>
              <w:t>2,014</w:t>
            </w:r>
          </w:p>
        </w:tc>
        <w:tc>
          <w:tcPr>
            <w:tcW w:type="dxa" w:w="1440"/>
            <w:shd w:fill="FAFAFA" w:val="clear"/>
          </w:tcPr>
          <w:p>
            <w:r>
              <w:rPr>
                <w:sz w:val="17"/>
              </w:rPr>
              <w:t>2,214</w:t>
            </w:r>
          </w:p>
        </w:tc>
        <w:tc>
          <w:tcPr>
            <w:tcW w:type="dxa" w:w="1440"/>
            <w:shd w:fill="FAFAFA" w:val="clear"/>
          </w:tcPr>
          <w:p>
            <w:r>
              <w:rPr>
                <w:b/>
                <w:color w:val="008000"/>
                <w:sz w:val="17"/>
              </w:rPr>
              <w:t>+1.5%</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1,794</w:t>
            </w:r>
          </w:p>
        </w:tc>
        <w:tc>
          <w:tcPr>
            <w:tcW w:type="dxa" w:w="1440"/>
            <w:shd w:fill="FAFAFA" w:val="clear"/>
          </w:tcPr>
          <w:p>
            <w:r>
              <w:rPr>
                <w:b/>
                <w:sz w:val="17"/>
              </w:rPr>
              <w:t>2,018</w:t>
            </w:r>
          </w:p>
        </w:tc>
        <w:tc>
          <w:tcPr>
            <w:tcW w:type="dxa" w:w="1440"/>
            <w:shd w:fill="FAFAFA" w:val="clear"/>
          </w:tcPr>
          <w:p>
            <w:r>
              <w:rPr>
                <w:sz w:val="17"/>
              </w:rPr>
              <w:t>2,242</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1,776</w:t>
            </w:r>
          </w:p>
        </w:tc>
        <w:tc>
          <w:tcPr>
            <w:tcW w:type="dxa" w:w="1440"/>
            <w:shd w:fill="FAFAFA" w:val="clear"/>
          </w:tcPr>
          <w:p>
            <w:r>
              <w:rPr>
                <w:b/>
                <w:sz w:val="17"/>
              </w:rPr>
              <w:t>2,022</w:t>
            </w:r>
          </w:p>
        </w:tc>
        <w:tc>
          <w:tcPr>
            <w:tcW w:type="dxa" w:w="1440"/>
            <w:shd w:fill="FAFAFA" w:val="clear"/>
          </w:tcPr>
          <w:p>
            <w:r>
              <w:rPr>
                <w:sz w:val="17"/>
              </w:rPr>
              <w:t>2,268</w:t>
            </w:r>
          </w:p>
        </w:tc>
        <w:tc>
          <w:tcPr>
            <w:tcW w:type="dxa" w:w="1440"/>
            <w:shd w:fill="FAFAFA" w:val="clear"/>
          </w:tcPr>
          <w:p>
            <w:r>
              <w:rPr>
                <w:b/>
                <w:color w:val="008000"/>
                <w:sz w:val="17"/>
              </w:rPr>
              <w:t>+1.9%</w:t>
            </w:r>
          </w:p>
        </w:tc>
      </w:tr>
      <w:tr>
        <w:tc>
          <w:tcPr>
            <w:tcW w:type="dxa" w:w="1440"/>
            <w:shd w:fill="C6EFCE" w:val="clear"/>
          </w:tcPr>
          <w:p>
            <w:r>
              <w:rPr>
                <w:sz w:val="17"/>
              </w:rPr>
              <w:t>J+7  ⭐</w:t>
            </w:r>
          </w:p>
        </w:tc>
        <w:tc>
          <w:tcPr>
            <w:tcW w:type="dxa" w:w="1440"/>
            <w:shd w:fill="C6EFCE" w:val="clear"/>
          </w:tcPr>
          <w:p>
            <w:r>
              <w:rPr>
                <w:sz w:val="17"/>
              </w:rPr>
              <w:t>2026-10-16</w:t>
            </w:r>
          </w:p>
        </w:tc>
        <w:tc>
          <w:tcPr>
            <w:tcW w:type="dxa" w:w="1440"/>
            <w:shd w:fill="C6EFCE" w:val="clear"/>
          </w:tcPr>
          <w:p>
            <w:r>
              <w:rPr>
                <w:sz w:val="17"/>
              </w:rPr>
              <w:t>1,760</w:t>
            </w:r>
          </w:p>
        </w:tc>
        <w:tc>
          <w:tcPr>
            <w:tcW w:type="dxa" w:w="1440"/>
            <w:shd w:fill="C6EFCE" w:val="clear"/>
          </w:tcPr>
          <w:p>
            <w:r>
              <w:rPr>
                <w:b/>
                <w:sz w:val="17"/>
              </w:rPr>
              <w:t>2,026</w:t>
            </w:r>
          </w:p>
        </w:tc>
        <w:tc>
          <w:tcPr>
            <w:tcW w:type="dxa" w:w="1440"/>
            <w:shd w:fill="C6EFCE" w:val="clear"/>
          </w:tcPr>
          <w:p>
            <w:r>
              <w:rPr>
                <w:sz w:val="17"/>
              </w:rPr>
              <w:t>2,293</w:t>
            </w:r>
          </w:p>
        </w:tc>
        <w:tc>
          <w:tcPr>
            <w:tcW w:type="dxa" w:w="1440"/>
            <w:shd w:fill="C6EFCE" w:val="clear"/>
          </w:tcPr>
          <w:p>
            <w:r>
              <w:rPr>
                <w:b/>
                <w:color w:val="008000"/>
                <w:sz w:val="17"/>
              </w:rPr>
              <w:t>+2.1%</w:t>
            </w:r>
          </w:p>
        </w:tc>
      </w:tr>
      <w:tr>
        <w:tc>
          <w:tcPr>
            <w:tcW w:type="dxa" w:w="1440"/>
            <w:shd w:fill="C6EFCE" w:val="clear"/>
          </w:tcPr>
          <w:p>
            <w:r>
              <w:rPr>
                <w:sz w:val="17"/>
              </w:rPr>
              <w:t>J+8  ⭐</w:t>
            </w:r>
          </w:p>
        </w:tc>
        <w:tc>
          <w:tcPr>
            <w:tcW w:type="dxa" w:w="1440"/>
            <w:shd w:fill="C6EFCE" w:val="clear"/>
          </w:tcPr>
          <w:p>
            <w:r>
              <w:rPr>
                <w:sz w:val="17"/>
              </w:rPr>
              <w:t>2026-10-19</w:t>
            </w:r>
          </w:p>
        </w:tc>
        <w:tc>
          <w:tcPr>
            <w:tcW w:type="dxa" w:w="1440"/>
            <w:shd w:fill="C6EFCE" w:val="clear"/>
          </w:tcPr>
          <w:p>
            <w:r>
              <w:rPr>
                <w:sz w:val="17"/>
              </w:rPr>
              <w:t>1,745</w:t>
            </w:r>
          </w:p>
        </w:tc>
        <w:tc>
          <w:tcPr>
            <w:tcW w:type="dxa" w:w="1440"/>
            <w:shd w:fill="C6EFCE" w:val="clear"/>
          </w:tcPr>
          <w:p>
            <w:r>
              <w:rPr>
                <w:b/>
                <w:sz w:val="17"/>
              </w:rPr>
              <w:t>2,030</w:t>
            </w:r>
          </w:p>
        </w:tc>
        <w:tc>
          <w:tcPr>
            <w:tcW w:type="dxa" w:w="1440"/>
            <w:shd w:fill="C6EFCE" w:val="clear"/>
          </w:tcPr>
          <w:p>
            <w:r>
              <w:rPr>
                <w:sz w:val="17"/>
              </w:rPr>
              <w:t>2,316</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2026-10-20</w:t>
            </w:r>
          </w:p>
        </w:tc>
        <w:tc>
          <w:tcPr>
            <w:tcW w:type="dxa" w:w="1440"/>
            <w:shd w:fill="C6EFCE" w:val="clear"/>
          </w:tcPr>
          <w:p>
            <w:r>
              <w:rPr>
                <w:sz w:val="17"/>
              </w:rPr>
              <w:t>1,731</w:t>
            </w:r>
          </w:p>
        </w:tc>
        <w:tc>
          <w:tcPr>
            <w:tcW w:type="dxa" w:w="1440"/>
            <w:shd w:fill="C6EFCE" w:val="clear"/>
          </w:tcPr>
          <w:p>
            <w:r>
              <w:rPr>
                <w:b/>
                <w:sz w:val="17"/>
              </w:rPr>
              <w:t>2,034</w:t>
            </w:r>
          </w:p>
        </w:tc>
        <w:tc>
          <w:tcPr>
            <w:tcW w:type="dxa" w:w="1440"/>
            <w:shd w:fill="C6EFCE" w:val="clear"/>
          </w:tcPr>
          <w:p>
            <w:r>
              <w:rPr>
                <w:sz w:val="17"/>
              </w:rPr>
              <w:t>2,337</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2026-10-21</w:t>
            </w:r>
          </w:p>
        </w:tc>
        <w:tc>
          <w:tcPr>
            <w:tcW w:type="dxa" w:w="1440"/>
            <w:shd w:fill="C6EFCE" w:val="clear"/>
          </w:tcPr>
          <w:p>
            <w:r>
              <w:rPr>
                <w:sz w:val="17"/>
              </w:rPr>
              <w:t>1,718</w:t>
            </w:r>
          </w:p>
        </w:tc>
        <w:tc>
          <w:tcPr>
            <w:tcW w:type="dxa" w:w="1440"/>
            <w:shd w:fill="C6EFCE" w:val="clear"/>
          </w:tcPr>
          <w:p>
            <w:r>
              <w:rPr>
                <w:b/>
                <w:sz w:val="17"/>
              </w:rPr>
              <w:t>2,038</w:t>
            </w:r>
          </w:p>
        </w:tc>
        <w:tc>
          <w:tcPr>
            <w:tcW w:type="dxa" w:w="1440"/>
            <w:shd w:fill="C6EFCE" w:val="clear"/>
          </w:tcPr>
          <w:p>
            <w:r>
              <w:rPr>
                <w:sz w:val="17"/>
              </w:rPr>
              <w:t>2,358</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(ERIUM COTE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17,34 milliards FCFA, un niveau modeste à l'échelle de la BRVM qui la classe parmi les petites capitalisations du compartiment industriel. Avec un BPA de 21 FCFA/action, chaque titre génère un bénéfice unitaire faible, ce qui explique un PER de 96,7x — très largement supérieur à la moyenne BRVM (8-12x) et traduisant une valorisation extrêmement tendue par rapport aux bénéfices réellement dégagés. Le P/B de 6,86x confirme cette prime excessive : le marché paie près de sept fois la valeur comptable des fonds propres (2,53 Mds FCFA), un niveau difficilement justifiable au regard d'un ROE de seulement 7,1%. L'EV/EBITDA de 17,2x, supérieur au seuil de 15x, indique que la valeur d'entreprise intègre une anticipation de forte amélioration opérationnelle qui reste à démontrer. En synthèse, la valorisation boursière de SIVC est exigeante et intègre déjà une hypothèse de redressement qui contraste avec la réalité financière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-30,59%, avec une dernière séance stable (+0,00%) à 1 985 FCFA, confirmant une tendance baissière marquée. Le range de trading s'étend de 1 920 FCFA (plus bas) à 2 875 FCFA (plus haut), soit un écart de près de 50% entre les extrêmes, illustrant une forte amplitude de fluctuation. La moyenne (2 415 FCFA) est supérieure à la médiane (2 372 FCFA), ce qui indique une légère asymétrie positive — les pics haussiers tirent la moyenne vers le haut, mais le cours actuel (1 985 FCFA) se situe bien en dessous de ces deux repères, signalant une pression vendeuse persistante. L'écart-type de 286 FCFA avec un coefficient de variation de 11,9% traduit une dispersion modérée du cours autour de sa moyenne. Le kurtosis négatif (-1,066, distribution platykurtique) indique une distribution aplatie avec une faible concentration des valeurs, donc un risque de pics extrêmes limité mais des mouvements amples fréquents. Le skewness de 0,278, proche de zéro, confirme une distribution quasi symétrique. Enfin, la volatilité annualisée de 53,7% classe le titre dans la catégorie des valeurs à volatilité élevée (&gt;30%), ce qui est cohérent avec la correction sévère subie sur la période.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(2 122,75 FCFA) et la MM50 (2 237,9 FCFA) se situent toutes deux au-dessus du cours actuel (1 985 FCFA), et la MM20 est inférieure à la MM50, configuration baissière classique. Le cours évolue sous ses deux moyennes, ce qui confirme la pression vendeuse et justifie la décision technique de **Vente**.</w:t>
      </w:r>
    </w:p>
    <w:p>
      <w:pPr>
        <w:spacing w:after="120" w:line="276" w:lineRule="auto"/>
      </w:pPr>
      <w:r>
        <w:t>**Bandes de Bollinger** : Le cours (1 985 FCFA) se situe dans la partie basse du canal, entre la borne inférieure (1 839,64 FCFA) et la borne supérieure (2 405,86 FCFA), sans franchir les limites. Cette position médiane-basse, dans un canal relativement large, traduit une volatilité significative mais sans signal extrême, d'où la décision **Neutre**.</w:t>
      </w:r>
    </w:p>
    <w:p>
      <w:pPr>
        <w:spacing w:after="120" w:line="276" w:lineRule="auto"/>
      </w:pPr>
      <w:r>
        <w:t>**MACD** : La valeur du MACD (-85,224) est inférieure à son signal (-76,618), avec un histogramme négatif. Cette configuration indique un momentum baissier toujours actif, bien que l'écart entre les deux lignes se réduise légèrement, ce qui justifie la décision de **Vente** maintenue.</w:t>
      </w:r>
    </w:p>
    <w:p>
      <w:pPr>
        <w:spacing w:after="120" w:line="276" w:lineRule="auto"/>
      </w:pPr>
      <w:r>
        <w:t>**RSI** : À 30,872, le RSI se situe juste au-dessus du seuil de survente (30), en zone neutre basse. Le titre n'est pas encore techniquement en survente extrême, mais la proximité du seuil suggère un potentiel de rebond à court terme, d'où la décision **Neutre**.</w:t>
      </w:r>
    </w:p>
    <w:p>
      <w:pPr>
        <w:spacing w:after="120" w:line="276" w:lineRule="auto"/>
      </w:pPr>
      <w:r>
        <w:t>**Stochastique** : Les valeurs %K et %D sont toutes deux à 0,0, ce qui place l'indicateur en zone de survente maximale. Cette configuration extrême, bien que paradoxale avec la décision **Achat** affichée, signale un épuisement probable de la pression vendeuse et un possible retournement à court terme.</w:t>
      </w:r>
    </w:p>
    <w:p>
      <w:pPr>
        <w:spacing w:after="120" w:line="276" w:lineRule="auto"/>
      </w:pPr>
      <w:r>
        <w:t>**Conclusion technique** : Les indicateurs de tendance (MM, MACD) restent majoritairement baissiers, tandis que les oscillateurs (RSI proche de 30, Stochastique à 0) signalent une survente avancée. Cette divergence entre tendance et momentum suggère que la baisse pourrait s'essouffler à court terme, mais aucun signal de retournement confirmé n'est encore visible. La prudence reste de mise tant que le cours n'aura pas reconquis la MM20 (2 122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SIVC (ERIUM Côte d'Ivoire) affichent un chiffre d'affaires de 10,075 milliards FCFA, en hausse de +8,53% par rapport à 2024 (9,283 Mds FCFA), porté par une dynamique commerciale soutenue. Cependant, le résultat net chute de -52,4% à 179,29 millions FCFA (contre 376,96 M FCFA en 2024), et la marge nette se dégrade à 1,78% (contre 4,06%). Le ROE s'établit à 7,10% et le ROA à 1,23%, des niveaux faibles qui traduisent une rentabilité insuffisante. Sur le plan structurel, l'autonomie financière est préoccupante à 17,29% (seuil sain &gt;30%), avec un ratio d'endettement de 228,41% et une trésorerie nette négative de -1,661 Mds FCFA. Le BFR est négatif (-470,79 M FCFA), ce qui est favorable, mais le fonds de roulement (-2,132 Mds FCFA) et la liquidité générale (73,09%) révèlent des tensions de trésorerie. Les délais d'exploitation sont contrastés : délai clients de 79,30 jours (risque modéré), délai fournisseurs de 323,35 jours (favorable à la trésorerie) et durée de stockage élevée de 189,26 jours (immobilisation de capital). Les rapports trimestriels 2025 confirment une amélioration progressive : au S1 2025 (rapport certifié du 30/06/2025), le CA atteint 4,897 Mds FCFA (+8,8%) avec un résultat net de 512,9 M FCFA (+4,6%) et une marge nette de 10,5% ; au T3 2025 (rapport du 30/09/2025), le CA cumulé s'élève à 7,585 Mds FCFA (+13%) pour un résultat net de 832,5 M FCFA (+58%) et une marge nette de 11,0%. **On estime donc que l'exercice 2025 devrait clôturer sur une note plus favorable que ne le suggère le résultat net annuel de 179 M FCFA**, la divergence s'expliquant probablement par des éléments non récurrents (charges financières, éléments hors activités ordinaires) sur le dernier trimestre. Le communiqué du 27/11/2025 confirme le changement de dénomination sociale d'Air Liquide CI en ERIUM Côte d'Ivoire, et celui du 21/11/2025 acte la cession totale de la participation d'Air Liquide International (72,08%) à ERIUM LTD au cours de 230 FCFA/action — un changement d'actionnaire de référence majeur. **Recommandation fondamentale : CONSERVER avec surveillance**, la croissance du CA et l'amélioration trimestrielle étant positives, mais la dégradation de la rentabilité nette, l'endettement élevé et la trésorerie négative imposant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 PER de 96,7x, P/B de 6,86x et EV/EBITDA de 17,2x intègrent des anticipations de redressement que les fondamentaux actuels ne justifient pas encore. Le comportement du cours (Partie 1) est préoccupant avec une chute de -30,59% sur 100 jours, une volatilité élevée (53,7%) et un cours sous ses moyennes, bien que la distribution platykurtique et symétrique limite le risque de pics extrêmes. Les signaux techniques (Partie 2) sont divergents : tendance baissière confirmée par les MM et le MACD, mais survente avancée (RSI 30,9, Stochastique à 0) suggérant un possible rebond à court terme. Les fondamentaux (Partie 3) révèlent une croissance du CA (+8,53%) mais une rentabilité nette en forte baisse (-52,4%), un endettement élevé (228,41%) et une trésorerie négative, tempérés par l'amélioration des résultats trimestriels 2025 et le changement d'actionnaire de référence. Les prédictions IA (J+1 à J+10) tablent sur une légère reprise progressive de 2 006 à 2 018 FCFA, ce qui **contredit partiellement** la tendance baissière récente et s'aligne sur le signal de survente des oscillateurs. **Recommandation finale : CONSERVER**, avec un niveau de confiance **Moyen** et un risque global **Élevé**. La convergence entre la survente technique, l'amélioration trimestrielle des résultats et les prédictions haussières à court terme justifie le maintien en portefeuille, mais la surévaluation boursière et la fragilité financière interdisent tout renforcement. L'horizon d'investissement optimal est le **moyen terme (3-12 mois)**, le temps de vérifier si la dynamique trimestrielle se confirme sur l'exercice 2026 et si le nouveau management parvient à restaurer la rentabilité nette.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615.64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1,417 titres</w:t>
            </w:r>
          </w:p>
        </w:tc>
        <w:tc>
          <w:tcPr>
            <w:tcW w:type="dxa" w:w="2268"/>
            <w:shd w:fill="FFF2CC" w:val="clear"/>
          </w:tcPr>
          <w:p>
            <w:r>
              <w:rPr>
                <w:b/>
                <w:color w:val="503200"/>
                <w:sz w:val="16"/>
              </w:rPr>
              <w:t xml:space="preserve">Cours actuel : </w:t>
            </w:r>
            <w:r>
              <w:rPr>
                <w:color w:val="000000"/>
                <w:sz w:val="17"/>
              </w:rPr>
              <w:t>37,400 FCFA</w:t>
            </w:r>
          </w:p>
          <w:p>
            <w:r>
              <w:rPr>
                <w:b/>
                <w:color w:val="503200"/>
                <w:sz w:val="16"/>
              </w:rPr>
              <w:t xml:space="preserve">Var. 100 jours : </w:t>
            </w:r>
            <w:r>
              <w:rPr>
                <w:b/>
                <w:color w:val="B40000"/>
                <w:sz w:val="17"/>
              </w:rPr>
              <w:t>-1.57%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2.24% (Faible) — μ=38,271 FCFA, σ=856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β=0.0176 (Défensif) — Cov=0.000001, Var(idx)=0.000073, ρ=0.010,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37,173</w:t>
            </w:r>
          </w:p>
        </w:tc>
        <w:tc>
          <w:tcPr>
            <w:tcW w:type="dxa" w:w="1440"/>
            <w:shd w:fill="FAFAFA" w:val="clear"/>
          </w:tcPr>
          <w:p>
            <w:r>
              <w:rPr>
                <w:b/>
                <w:sz w:val="17"/>
              </w:rPr>
              <w:t>37,687</w:t>
            </w:r>
          </w:p>
        </w:tc>
        <w:tc>
          <w:tcPr>
            <w:tcW w:type="dxa" w:w="1440"/>
            <w:shd w:fill="FAFAFA" w:val="clear"/>
          </w:tcPr>
          <w:p>
            <w:r>
              <w:rPr>
                <w:sz w:val="17"/>
              </w:rPr>
              <w:t>38,200</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37,101</w:t>
            </w:r>
          </w:p>
        </w:tc>
        <w:tc>
          <w:tcPr>
            <w:tcW w:type="dxa" w:w="1440"/>
            <w:shd w:fill="FAFAFA" w:val="clear"/>
          </w:tcPr>
          <w:p>
            <w:r>
              <w:rPr>
                <w:b/>
                <w:sz w:val="17"/>
              </w:rPr>
              <w:t>37,830</w:t>
            </w:r>
          </w:p>
        </w:tc>
        <w:tc>
          <w:tcPr>
            <w:tcW w:type="dxa" w:w="1440"/>
            <w:shd w:fill="FAFAFA" w:val="clear"/>
          </w:tcPr>
          <w:p>
            <w:r>
              <w:rPr>
                <w:sz w:val="17"/>
              </w:rPr>
              <w:t>38,560</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37,097</w:t>
            </w:r>
          </w:p>
        </w:tc>
        <w:tc>
          <w:tcPr>
            <w:tcW w:type="dxa" w:w="1440"/>
            <w:shd w:fill="FAFAFA" w:val="clear"/>
          </w:tcPr>
          <w:p>
            <w:r>
              <w:rPr>
                <w:b/>
                <w:sz w:val="17"/>
              </w:rPr>
              <w:t>37,994</w:t>
            </w:r>
          </w:p>
        </w:tc>
        <w:tc>
          <w:tcPr>
            <w:tcW w:type="dxa" w:w="1440"/>
            <w:shd w:fill="FAFAFA" w:val="clear"/>
          </w:tcPr>
          <w:p>
            <w:r>
              <w:rPr>
                <w:sz w:val="17"/>
              </w:rPr>
              <w:t>38,891</w:t>
            </w:r>
          </w:p>
        </w:tc>
        <w:tc>
          <w:tcPr>
            <w:tcW w:type="dxa" w:w="1440"/>
            <w:shd w:fill="FAFAFA" w:val="clear"/>
          </w:tcPr>
          <w:p>
            <w:r>
              <w:rPr>
                <w:b/>
                <w:color w:val="008000"/>
                <w:sz w:val="17"/>
              </w:rPr>
              <w:t>+1.6%</w:t>
            </w:r>
          </w:p>
        </w:tc>
      </w:tr>
      <w:tr>
        <w:tc>
          <w:tcPr>
            <w:tcW w:type="dxa" w:w="1440"/>
            <w:shd w:fill="C6EFCE" w:val="clear"/>
          </w:tcPr>
          <w:p>
            <w:r>
              <w:rPr>
                <w:sz w:val="17"/>
              </w:rPr>
              <w:t>J+4  Moyenne</w:t>
            </w:r>
          </w:p>
        </w:tc>
        <w:tc>
          <w:tcPr>
            <w:tcW w:type="dxa" w:w="1440"/>
            <w:shd w:fill="C6EFCE" w:val="clear"/>
          </w:tcPr>
          <w:p>
            <w:r>
              <w:rPr>
                <w:sz w:val="17"/>
              </w:rPr>
              <w:t>2026-10-13</w:t>
            </w:r>
          </w:p>
        </w:tc>
        <w:tc>
          <w:tcPr>
            <w:tcW w:type="dxa" w:w="1440"/>
            <w:shd w:fill="C6EFCE" w:val="clear"/>
          </w:tcPr>
          <w:p>
            <w:r>
              <w:rPr>
                <w:sz w:val="17"/>
              </w:rPr>
              <w:t>37,116</w:t>
            </w:r>
          </w:p>
        </w:tc>
        <w:tc>
          <w:tcPr>
            <w:tcW w:type="dxa" w:w="1440"/>
            <w:shd w:fill="C6EFCE" w:val="clear"/>
          </w:tcPr>
          <w:p>
            <w:r>
              <w:rPr>
                <w:b/>
                <w:sz w:val="17"/>
              </w:rPr>
              <w:t>38,155</w:t>
            </w:r>
          </w:p>
        </w:tc>
        <w:tc>
          <w:tcPr>
            <w:tcW w:type="dxa" w:w="1440"/>
            <w:shd w:fill="C6EFCE" w:val="clear"/>
          </w:tcPr>
          <w:p>
            <w:r>
              <w:rPr>
                <w:sz w:val="17"/>
              </w:rPr>
              <w:t>39,195</w:t>
            </w:r>
          </w:p>
        </w:tc>
        <w:tc>
          <w:tcPr>
            <w:tcW w:type="dxa" w:w="1440"/>
            <w:shd w:fill="C6EFCE" w:val="clear"/>
          </w:tcPr>
          <w:p>
            <w:r>
              <w:rPr>
                <w:b/>
                <w:color w:val="008000"/>
                <w:sz w:val="17"/>
              </w:rPr>
              <w:t>+2.0%</w:t>
            </w:r>
          </w:p>
        </w:tc>
      </w:tr>
      <w:tr>
        <w:tc>
          <w:tcPr>
            <w:tcW w:type="dxa" w:w="1440"/>
            <w:shd w:fill="C6EFCE" w:val="clear"/>
          </w:tcPr>
          <w:p>
            <w:r>
              <w:rPr>
                <w:sz w:val="17"/>
              </w:rPr>
              <w:t>J+5  Moyenne</w:t>
            </w:r>
          </w:p>
        </w:tc>
        <w:tc>
          <w:tcPr>
            <w:tcW w:type="dxa" w:w="1440"/>
            <w:shd w:fill="C6EFCE" w:val="clear"/>
          </w:tcPr>
          <w:p>
            <w:r>
              <w:rPr>
                <w:sz w:val="17"/>
              </w:rPr>
              <w:t>2026-10-14</w:t>
            </w:r>
          </w:p>
        </w:tc>
        <w:tc>
          <w:tcPr>
            <w:tcW w:type="dxa" w:w="1440"/>
            <w:shd w:fill="C6EFCE" w:val="clear"/>
          </w:tcPr>
          <w:p>
            <w:r>
              <w:rPr>
                <w:sz w:val="17"/>
              </w:rPr>
              <w:t>37,144</w:t>
            </w:r>
          </w:p>
        </w:tc>
        <w:tc>
          <w:tcPr>
            <w:tcW w:type="dxa" w:w="1440"/>
            <w:shd w:fill="C6EFCE" w:val="clear"/>
          </w:tcPr>
          <w:p>
            <w:r>
              <w:rPr>
                <w:b/>
                <w:sz w:val="17"/>
              </w:rPr>
              <w:t>38,311</w:t>
            </w:r>
          </w:p>
        </w:tc>
        <w:tc>
          <w:tcPr>
            <w:tcW w:type="dxa" w:w="1440"/>
            <w:shd w:fill="C6EFCE" w:val="clear"/>
          </w:tcPr>
          <w:p>
            <w:r>
              <w:rPr>
                <w:sz w:val="17"/>
              </w:rPr>
              <w:t>39,479</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2026-10-15</w:t>
            </w:r>
          </w:p>
        </w:tc>
        <w:tc>
          <w:tcPr>
            <w:tcW w:type="dxa" w:w="1440"/>
            <w:shd w:fill="C6EFCE" w:val="clear"/>
          </w:tcPr>
          <w:p>
            <w:r>
              <w:rPr>
                <w:sz w:val="17"/>
              </w:rPr>
              <w:t>37,178</w:t>
            </w:r>
          </w:p>
        </w:tc>
        <w:tc>
          <w:tcPr>
            <w:tcW w:type="dxa" w:w="1440"/>
            <w:shd w:fill="C6EFCE" w:val="clear"/>
          </w:tcPr>
          <w:p>
            <w:r>
              <w:rPr>
                <w:b/>
                <w:sz w:val="17"/>
              </w:rPr>
              <w:t>38,462</w:t>
            </w:r>
          </w:p>
        </w:tc>
        <w:tc>
          <w:tcPr>
            <w:tcW w:type="dxa" w:w="1440"/>
            <w:shd w:fill="C6EFCE" w:val="clear"/>
          </w:tcPr>
          <w:p>
            <w:r>
              <w:rPr>
                <w:sz w:val="17"/>
              </w:rPr>
              <w:t>39,746</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2026-10-16</w:t>
            </w:r>
          </w:p>
        </w:tc>
        <w:tc>
          <w:tcPr>
            <w:tcW w:type="dxa" w:w="1440"/>
            <w:shd w:fill="C6EFCE" w:val="clear"/>
          </w:tcPr>
          <w:p>
            <w:r>
              <w:rPr>
                <w:sz w:val="17"/>
              </w:rPr>
              <w:t>37,216</w:t>
            </w:r>
          </w:p>
        </w:tc>
        <w:tc>
          <w:tcPr>
            <w:tcW w:type="dxa" w:w="1440"/>
            <w:shd w:fill="C6EFCE" w:val="clear"/>
          </w:tcPr>
          <w:p>
            <w:r>
              <w:rPr>
                <w:b/>
                <w:sz w:val="17"/>
              </w:rPr>
              <w:t>38,608</w:t>
            </w:r>
          </w:p>
        </w:tc>
        <w:tc>
          <w:tcPr>
            <w:tcW w:type="dxa" w:w="1440"/>
            <w:shd w:fill="C6EFCE" w:val="clear"/>
          </w:tcPr>
          <w:p>
            <w:r>
              <w:rPr>
                <w:sz w:val="17"/>
              </w:rPr>
              <w:t>40,000</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2026-10-19</w:t>
            </w:r>
          </w:p>
        </w:tc>
        <w:tc>
          <w:tcPr>
            <w:tcW w:type="dxa" w:w="1440"/>
            <w:shd w:fill="C6EFCE" w:val="clear"/>
          </w:tcPr>
          <w:p>
            <w:r>
              <w:rPr>
                <w:sz w:val="17"/>
              </w:rPr>
              <w:t>37,257</w:t>
            </w:r>
          </w:p>
        </w:tc>
        <w:tc>
          <w:tcPr>
            <w:tcW w:type="dxa" w:w="1440"/>
            <w:shd w:fill="C6EFCE" w:val="clear"/>
          </w:tcPr>
          <w:p>
            <w:r>
              <w:rPr>
                <w:b/>
                <w:sz w:val="17"/>
              </w:rPr>
              <w:t>38,751</w:t>
            </w:r>
          </w:p>
        </w:tc>
        <w:tc>
          <w:tcPr>
            <w:tcW w:type="dxa" w:w="1440"/>
            <w:shd w:fill="C6EFCE" w:val="clear"/>
          </w:tcPr>
          <w:p>
            <w:r>
              <w:rPr>
                <w:sz w:val="17"/>
              </w:rPr>
              <w:t>40,244</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2026-10-20</w:t>
            </w:r>
          </w:p>
        </w:tc>
        <w:tc>
          <w:tcPr>
            <w:tcW w:type="dxa" w:w="1440"/>
            <w:shd w:fill="C6EFCE" w:val="clear"/>
          </w:tcPr>
          <w:p>
            <w:r>
              <w:rPr>
                <w:sz w:val="17"/>
              </w:rPr>
              <w:t>37,300</w:t>
            </w:r>
          </w:p>
        </w:tc>
        <w:tc>
          <w:tcPr>
            <w:tcW w:type="dxa" w:w="1440"/>
            <w:shd w:fill="C6EFCE" w:val="clear"/>
          </w:tcPr>
          <w:p>
            <w:r>
              <w:rPr>
                <w:b/>
                <w:sz w:val="17"/>
              </w:rPr>
              <w:t>38,890</w:t>
            </w:r>
          </w:p>
        </w:tc>
        <w:tc>
          <w:tcPr>
            <w:tcW w:type="dxa" w:w="1440"/>
            <w:shd w:fill="C6EFCE" w:val="clear"/>
          </w:tcPr>
          <w:p>
            <w:r>
              <w:rPr>
                <w:sz w:val="17"/>
              </w:rPr>
              <w:t>40,480</w:t>
            </w:r>
          </w:p>
        </w:tc>
        <w:tc>
          <w:tcPr>
            <w:tcW w:type="dxa" w:w="1440"/>
            <w:shd w:fill="C6EFCE" w:val="clear"/>
          </w:tcPr>
          <w:p>
            <w:r>
              <w:rPr>
                <w:b/>
                <w:color w:val="008000"/>
                <w:sz w:val="17"/>
              </w:rPr>
              <w:t>+4.0%</w:t>
            </w:r>
          </w:p>
        </w:tc>
      </w:tr>
      <w:tr>
        <w:tc>
          <w:tcPr>
            <w:tcW w:type="dxa" w:w="1440"/>
            <w:shd w:fill="C6EFCE" w:val="clear"/>
          </w:tcPr>
          <w:p>
            <w:r>
              <w:rPr>
                <w:sz w:val="17"/>
              </w:rPr>
              <w:t>J+10  Moyenne</w:t>
            </w:r>
          </w:p>
        </w:tc>
        <w:tc>
          <w:tcPr>
            <w:tcW w:type="dxa" w:w="1440"/>
            <w:shd w:fill="C6EFCE" w:val="clear"/>
          </w:tcPr>
          <w:p>
            <w:r>
              <w:rPr>
                <w:sz w:val="17"/>
              </w:rPr>
              <w:t>2026-10-21</w:t>
            </w:r>
          </w:p>
        </w:tc>
        <w:tc>
          <w:tcPr>
            <w:tcW w:type="dxa" w:w="1440"/>
            <w:shd w:fill="C6EFCE" w:val="clear"/>
          </w:tcPr>
          <w:p>
            <w:r>
              <w:rPr>
                <w:sz w:val="17"/>
              </w:rPr>
              <w:t>37,345</w:t>
            </w:r>
          </w:p>
        </w:tc>
        <w:tc>
          <w:tcPr>
            <w:tcW w:type="dxa" w:w="1440"/>
            <w:shd w:fill="C6EFCE" w:val="clear"/>
          </w:tcPr>
          <w:p>
            <w:r>
              <w:rPr>
                <w:b/>
                <w:sz w:val="17"/>
              </w:rPr>
              <w:t>39,026</w:t>
            </w:r>
          </w:p>
        </w:tc>
        <w:tc>
          <w:tcPr>
            <w:tcW w:type="dxa" w:w="1440"/>
            <w:shd w:fill="C6EFCE" w:val="clear"/>
          </w:tcPr>
          <w:p>
            <w:r>
              <w:rPr>
                <w:sz w:val="17"/>
              </w:rPr>
              <w:t>40,708</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Entreprise non bancaire (Boissons/Limonaderies)*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615,64 milliards FCFA, SOLIBRA s'impose comme l'une des plus importantes capitalisations de la BRVM, ce qui en fait une valeur de premier plan pour les investisseurs institutionnels régionaux. Le BPA de 2 781 FCFA/action signifie que chaque titre génère près de 2 800 FCFA de bénéfice net, un niveau remarquable qui traduit la forte rentabilité de l'entreprise. Le PER de 13,4x se situe légèrement au-dessus de la moyenne BRVM (8-12x), ce qui indique que les investisseurs acceptent de payer une prime modérée pour cette valeur de croissance, sans pour autant que la valorisation soit excessive. Le P/B de 3,15x montre que le marché valorise SOLIBRA à plus de trois fois sa valeur comptable, une prime de croissance justifiée par un ROE de 23,5% et une dynamique bénéficiaire exceptionnelle. Enfin, l'EV/EBITDA de 7,3x, dans la fourchette raisonnable de 5-10x, confirme que la valeur totale de l'entreprise (dette incluse) reste cohérente avec sa capacité opérationnelle à générer des profits.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-1,57%, avec une séance J-1 stable à +0,00%, s'établissant à 37 400 FCFA. Le titre a évolué dans un range relativement étroit entre un plus haut de 41 500 FCFA et un plus bas de 36 900 FCFA, soit une amplitude de seulement 12,5%, ce qui témoigne d'une certaine stabilité mais aussi d'une absence de catalyseur haussier majeur sur la période. La tendance générale est donc légèrement baissière, le cours actuel se situant dans le bas de la fourchette. Les statistiques descriptives révèlent une moyenne de 38 271 FCFA contre une médiane de 38 000 FCFA, un écart minime qui indique une distribution quasi-symétrique, bien que le skewness de 0,825 (asymétrie positive) suggère davantage de journées sous la moyenne avec quelques pics haussiers occasionnels. L'écart-type de 860 FCFA et le coefficient de variation de 2,2% confirment une faible dispersion du cours, tandis que le kurtosis de 0,776 (mésokurtique) indique une distribution proche de la normale, sans risque excessif de pics extrêmes. La volatilité annualisée de 24,3% positionne le titre dans la catégorie modérée (15-30%), ce qui est rassurant pour un investisseur recherchant stabilité et prévisibilité.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37 789,5 FCFA et la MM50 à 37 726,4 FCFA, toutes deux légèrement supérieures au cours actuel de 37 400 FCFA. Cette configuration indique que le titre évolue sous ses moyennes mobiles, ce qui pourrait suggérer une pression baissière à court terme. Cependant, la décision technique affichée est "Achat", probablement en raison du rapprochement des deux moyennes (écart de seulement 63 FCFA) qui pourrait annoncer un retournement haussier si le cours venait à les franchir à la hausse.</w:t>
      </w:r>
    </w:p>
    <w:p>
      <w:pPr>
        <w:spacing w:after="120" w:line="276" w:lineRule="auto"/>
      </w:pPr>
      <w:r>
        <w:t>**Bandes de Bollinger** : La borne supérieure se situe à 38 369,16 FCFA et la borne inférieure à 37 209,84 FCFA, avec un cours actuel de 37 400 FCFA qui se positionne dans la partie basse de la bande. Cette position suggère que le titre est proche de la zone de survente relative, mais la décision affichée est "Neutre", ce qui indique que les bandes sont relativement resserrées (largeur d'environ 1 159 FCFA) et que la volatilité actuelle ne justifie pas de signal directionnel fort.</w:t>
      </w:r>
    </w:p>
    <w:p>
      <w:pPr>
        <w:spacing w:after="120" w:line="276" w:lineRule="auto"/>
      </w:pPr>
      <w:r>
        <w:t>**MACD** : La valeur du MACD est de -131,155 contre un signal à -74,394, ce qui place le MACD en dessous de sa ligne de signal. Cette configuration est baissière et justifie la décision "Vente". Le momentum négatif persiste, bien que l'écart entre les deux lignes (environ 57 points) ne soit pas extrême, ce qui pourrait indiquer un essoufflement de la tendance baissière à moyen terme.</w:t>
      </w:r>
    </w:p>
    <w:p>
      <w:pPr>
        <w:spacing w:after="120" w:line="276" w:lineRule="auto"/>
      </w:pPr>
      <w:r>
        <w:t>**RSI** : Le RSI s'établit à 33,333, un niveau proche de la zone de survente (seuil de 30) mais encore dans la zone neutre (30-70). La décision affichée est "Neutre", ce qui signifie que le titre n'est ni suracheté ni survendu, mais la proximité du seuil de 30 pourrait attirer les investisseurs contrariants à la recherche de points d'entrée.</w:t>
      </w:r>
    </w:p>
    <w:p>
      <w:pPr>
        <w:spacing w:after="120" w:line="276" w:lineRule="auto"/>
      </w:pPr>
      <w:r>
        <w:t>**Stochastique** : Le %K et le %D sont tous deux à 40,0, indiquant une absence de croisement et une position médiane dans la fourchette. La décision "Neutre" reflète cette situation d'équilibre, sans signal clair d'achat ou de vente à court terme.</w:t>
      </w:r>
    </w:p>
    <w:p>
      <w:pPr>
        <w:spacing w:after="120" w:line="276" w:lineRule="auto"/>
      </w:pPr>
      <w:r>
        <w:t>**Conclusion technique** : Les indicateurs techniques présentent un tableau mitigé. Les moyennes mobiles suggèrent un potentiel haussier si le cours les franchit, mais le MACD reste baissier et le RSI, bien que proche de la survente, n'a pas encore généré de signal d'achat fort. Les bandes de Bollinger et le stochastique confirment une phase de consolidation sans direction claire. Dans l'ensemble, le titre semble en phase d'accumulation, avec un risque baissier limité mais une absence de catalyseur technique immédiat pour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(issues de la base brvm_donnees_financieres) révèlent une performance exceptionnelle de SOLIBRA. Le chiffre d'affaires s'établit à 378,123 milliards FCFA, en croissance de 22,08% par rapport à 2024, porté par une demande soutenue sur le marché ivoirien des boissons. Le résultat net atteint 45,781 milliards FCFA, soit une marge nette de 12,11%, en forte amélioration par rapport aux 6,9% de 2024 (rapport DEEPSEEK du 20/05/2026). Le ROE de 23,46% et le ROA de 13,48% confirment une rentabilité capitalistique excellente, bien au-dessus des standards du secteur. La structure financière est saine avec une autonomie financière de 57,48%, un ratio d'endettement de 42,52% et une trésorerie nette positive de 22,117 milliards FCFA. En tant qu'entreprise non bancaire, l'analyse des délais d'exploitation est cruciale : le délai clients de 64,27 jours est modéré, mais le délai fournisseurs de 76,82 jours (supérieur au délai clients) est favorable à la trésorerie, tandis que la durée de stockage de 117,32 jours reste élevée et immobilise du capital. Le BFR de 61,587 milliards FCFA (positif) et le fonds de roulement de 83,689 milliards FCFA assurent une bonne couverture des besoins à court terme. Les rapports trimestriels récents confirment cette dynamique : le rapport T1 2026 (publié en 2026) fait état d'un chiffre d'affaires de 93,46 milliards FCFA (+7,6%) et d'un résultat net de 16,26 milliards FCFA (+4,8%), avec une marge nette de 17,4%. Sur la base de ce T1 2026, on peut estimer que l'exercice 2026 devrait maintenir une croissance à deux chiffres, bien que le rythme ralentisse par rapport à 2025. La politique de dividende est très généreuse : le dividende brut unitaire proposé pour 2025 est de 2 127 FCFA par action (DOC 2 du 20/05/2026), soit un rendement d'environ 5,7% au cours actuel de 37 400 FCFA, avec un taux de distribution de 76,5%. Le principal risque identifié est la dépendance aux matières premières (sucre, PET) et la concentration géographique sur la Côte d'Ivoire, mais la position de leader et la solidité du bilan atténuent ces préoccupations. En conclusion, les fondamentaux de SOLIBRA sont solides et la recommandation fondamentale est à l'achat pour un investisseur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permet de dégager une vision globale nuancée. La valorisation (Partie 0) est modérément attractive : le PER de 13,4x est légèrement supérieur à la moyenne BRVM mais justifié par un ROE de 23,5% et une croissance bénéficiaire de 113% en 2025 ; le P/B de 3,15x et l'EV/EBITDA de 7,3x confirment une prime de qualité sans surévaluation excessive. Le comportement du cours (Partie 1) est stable avec une volatilité modérée de 24,3%, une distribution quasi-normale (kurtosis 0,776) et une légère asymétrie positive (skewness 0,825), ce qui est rassurant mais sans signal haussier fort. Les signaux techniques (Partie 2) sont mitigés : les moyennes mobiles sont proches du cours et pourraient générer un signal d'achat, mais le MACD reste baissier et le RSI, à 33,3, n'a pas encore atteint la zone de survente extrême. Les fondamentaux (Partie 3) sont excellents, avec une croissance du CA de 22% en 2025, un résultat net de 45,78 milliards FCFA, un ROE de 23,5% et une politique de dividende attractive (rendement ~5,7%). Les prédictions IA (J+1 à J+10) tablent sur une hausse progressive du cours de 37 687 FCFA à 38 311 FCFA, ce qui confirme une reprise modérée à court terme et valide les signaux techniques d'accumulation. Sur la base de cette convergence entre fondamentaux solides, valorisation raisonnable, technique en phase d'accumulation et prédictions haussières, la recommandation finale est **ACHAT**. Le niveau de confiance est **Élevé** pour un investisseur de long terme, **Moyen** pour un investisseur à court terme en raison de l'absence de catalyseur technique immédiat. Le niveau de risque global est **Moyen**, principalement lié à la dépendance aux matières premières et à la concentration géographique. L'horizon d'investissement optimal est le **moyen à long terme (6 mois à 2 ans)** , afin de bénéficier de la croissance bénéficiaire, du dividende attractif et de la reconnaissance progressive de la qualité de la valeur par le marché.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1,654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+34.20%</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12,295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9.25% (Moyenne) — μ=16,063 FCFA, σ=1,486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β=0.4488 (Défensif) — Cov=0.000033, Var(idx)=0.000073, ρ=0.146,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σ_j=2.69%/j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15,506</w:t>
            </w:r>
          </w:p>
        </w:tc>
        <w:tc>
          <w:tcPr>
            <w:tcW w:type="dxa" w:w="1440"/>
            <w:shd w:fill="FAFAFA" w:val="clear"/>
          </w:tcPr>
          <w:p>
            <w:r>
              <w:rPr>
                <w:b/>
                <w:sz w:val="17"/>
              </w:rPr>
              <w:t>16,320</w:t>
            </w:r>
          </w:p>
        </w:tc>
        <w:tc>
          <w:tcPr>
            <w:tcW w:type="dxa" w:w="1440"/>
            <w:shd w:fill="FAFAFA" w:val="clear"/>
          </w:tcPr>
          <w:p>
            <w:r>
              <w:rPr>
                <w:sz w:val="17"/>
              </w:rPr>
              <w:t>17,134</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15,149</w:t>
            </w:r>
          </w:p>
        </w:tc>
        <w:tc>
          <w:tcPr>
            <w:tcW w:type="dxa" w:w="1440"/>
            <w:shd w:fill="FAFAFA" w:val="clear"/>
          </w:tcPr>
          <w:p>
            <w:r>
              <w:rPr>
                <w:b/>
                <w:sz w:val="17"/>
              </w:rPr>
              <w:t>16,299</w:t>
            </w:r>
          </w:p>
        </w:tc>
        <w:tc>
          <w:tcPr>
            <w:tcW w:type="dxa" w:w="1440"/>
            <w:shd w:fill="FAFAFA" w:val="clear"/>
          </w:tcPr>
          <w:p>
            <w:r>
              <w:rPr>
                <w:sz w:val="17"/>
              </w:rPr>
              <w:t>17,449</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14,858</w:t>
            </w:r>
          </w:p>
        </w:tc>
        <w:tc>
          <w:tcPr>
            <w:tcW w:type="dxa" w:w="1440"/>
            <w:shd w:fill="FAFAFA" w:val="clear"/>
          </w:tcPr>
          <w:p>
            <w:r>
              <w:rPr>
                <w:b/>
                <w:sz w:val="17"/>
              </w:rPr>
              <w:t>16,264</w:t>
            </w:r>
          </w:p>
        </w:tc>
        <w:tc>
          <w:tcPr>
            <w:tcW w:type="dxa" w:w="1440"/>
            <w:shd w:fill="FAFAFA" w:val="clear"/>
          </w:tcPr>
          <w:p>
            <w:r>
              <w:rPr>
                <w:sz w:val="17"/>
              </w:rPr>
              <w:t>17,669</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14,609</w:t>
            </w:r>
          </w:p>
        </w:tc>
        <w:tc>
          <w:tcPr>
            <w:tcW w:type="dxa" w:w="1440"/>
            <w:shd w:fill="FAFAFA" w:val="clear"/>
          </w:tcPr>
          <w:p>
            <w:r>
              <w:rPr>
                <w:b/>
                <w:sz w:val="17"/>
              </w:rPr>
              <w:t>16,228</w:t>
            </w:r>
          </w:p>
        </w:tc>
        <w:tc>
          <w:tcPr>
            <w:tcW w:type="dxa" w:w="1440"/>
            <w:shd w:fill="FAFAFA" w:val="clear"/>
          </w:tcPr>
          <w:p>
            <w:r>
              <w:rPr>
                <w:sz w:val="17"/>
              </w:rPr>
              <w:t>17,848</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14,387</w:t>
            </w:r>
          </w:p>
        </w:tc>
        <w:tc>
          <w:tcPr>
            <w:tcW w:type="dxa" w:w="1440"/>
            <w:shd w:fill="FAFAFA" w:val="clear"/>
          </w:tcPr>
          <w:p>
            <w:r>
              <w:rPr>
                <w:b/>
                <w:sz w:val="17"/>
              </w:rPr>
              <w:t>16,194</w:t>
            </w:r>
          </w:p>
        </w:tc>
        <w:tc>
          <w:tcPr>
            <w:tcW w:type="dxa" w:w="1440"/>
            <w:shd w:fill="FAFAFA" w:val="clear"/>
          </w:tcPr>
          <w:p>
            <w:r>
              <w:rPr>
                <w:sz w:val="17"/>
              </w:rPr>
              <w:t>18,001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14,186</w:t>
            </w:r>
          </w:p>
        </w:tc>
        <w:tc>
          <w:tcPr>
            <w:tcW w:type="dxa" w:w="1440"/>
            <w:shd w:fill="FFDCE0" w:val="clear"/>
          </w:tcPr>
          <w:p>
            <w:r>
              <w:rPr>
                <w:b/>
                <w:sz w:val="17"/>
              </w:rPr>
              <w:t>16,161</w:t>
            </w:r>
          </w:p>
        </w:tc>
        <w:tc>
          <w:tcPr>
            <w:tcW w:type="dxa" w:w="1440"/>
            <w:shd w:fill="FFDCE0" w:val="clear"/>
          </w:tcPr>
          <w:p>
            <w:r>
              <w:rPr>
                <w:sz w:val="17"/>
              </w:rPr>
              <w:t>18,136</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13,999</w:t>
            </w:r>
          </w:p>
        </w:tc>
        <w:tc>
          <w:tcPr>
            <w:tcW w:type="dxa" w:w="1440"/>
            <w:shd w:fill="FFDCE0" w:val="clear"/>
          </w:tcPr>
          <w:p>
            <w:r>
              <w:rPr>
                <w:b/>
                <w:sz w:val="17"/>
              </w:rPr>
              <w:t>16,127</w:t>
            </w:r>
          </w:p>
        </w:tc>
        <w:tc>
          <w:tcPr>
            <w:tcW w:type="dxa" w:w="1440"/>
            <w:shd w:fill="FFDCE0" w:val="clear"/>
          </w:tcPr>
          <w:p>
            <w:r>
              <w:rPr>
                <w:sz w:val="17"/>
              </w:rPr>
              <w:t>18,256</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13,823</w:t>
            </w:r>
          </w:p>
        </w:tc>
        <w:tc>
          <w:tcPr>
            <w:tcW w:type="dxa" w:w="1440"/>
            <w:shd w:fill="FFDCE0" w:val="clear"/>
          </w:tcPr>
          <w:p>
            <w:r>
              <w:rPr>
                <w:b/>
                <w:sz w:val="17"/>
              </w:rPr>
              <w:t>16,095</w:t>
            </w:r>
          </w:p>
        </w:tc>
        <w:tc>
          <w:tcPr>
            <w:tcW w:type="dxa" w:w="1440"/>
            <w:shd w:fill="FFDCE0" w:val="clear"/>
          </w:tcPr>
          <w:p>
            <w:r>
              <w:rPr>
                <w:sz w:val="17"/>
              </w:rPr>
              <w:t>18,366</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13,658</w:t>
            </w:r>
          </w:p>
        </w:tc>
        <w:tc>
          <w:tcPr>
            <w:tcW w:type="dxa" w:w="1440"/>
            <w:shd w:fill="FFDCE0" w:val="clear"/>
          </w:tcPr>
          <w:p>
            <w:r>
              <w:rPr>
                <w:b/>
                <w:sz w:val="17"/>
              </w:rPr>
              <w:t>16,062</w:t>
            </w:r>
          </w:p>
        </w:tc>
        <w:tc>
          <w:tcPr>
            <w:tcW w:type="dxa" w:w="1440"/>
            <w:shd w:fill="FFDCE0" w:val="clear"/>
          </w:tcPr>
          <w:p>
            <w:r>
              <w:rPr>
                <w:sz w:val="17"/>
              </w:rPr>
              <w:t>18,467</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13,501</w:t>
            </w:r>
          </w:p>
        </w:tc>
        <w:tc>
          <w:tcPr>
            <w:tcW w:type="dxa" w:w="1440"/>
            <w:shd w:fill="FFDCE0" w:val="clear"/>
          </w:tcPr>
          <w:p>
            <w:r>
              <w:rPr>
                <w:b/>
                <w:sz w:val="17"/>
              </w:rPr>
              <w:t>16,030</w:t>
            </w:r>
          </w:p>
        </w:tc>
        <w:tc>
          <w:tcPr>
            <w:tcW w:type="dxa" w:w="1440"/>
            <w:shd w:fill="FFDCE0" w:val="clear"/>
          </w:tcPr>
          <w:p>
            <w:r>
              <w:rPr>
                <w:sz w:val="17"/>
              </w:rPr>
              <w:t>18,560</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128,62 Mds FCFA, SMBC se positionne comme une valeur de taille intermédiaire sur la BRVM, représentant un poids significatif dans l'indice sectoriel industriel. Le BPA de 1 677 FCFA par action traduit une rentabilité effective par titre, et le PER de 9,8x situe le titre dans la fourchette basse de la moyenne BRVM (8-12x), suggérant une valorisation raisonnable voire légèrement sous-évaluée au regard des bénéfices générés. Le P/B de 3,00x indique que le marché accorde une prime de croissance (2-4x) sur la valeur comptable, cohérente avec la forte progression du résultat net (+50,3% en 2025). Enfin, l'EV/EBITDA de 6,2x, dans la fourchette raisonnable de 5-10x, confirme que la valeur totale de l'entreprise (dette incluse) reste proportionnée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SMBC affiche une performance remarquable de **+34,20%**, avec une dernière séance en hausse de **+3,12%**, confirmant un momentum haussier soutenu. Le cours actuel de 16 500 FCFA se situe dans la partie haute du range de trading (plus bas : 12 295 FCFA ; plus haut : 18 500 FCFA), ce qui traduit une tendance générale clairement haussière portée par l'amélioration des fondamentaux. Les statistiques descriptives révèlent une moyenne de 16 063 FCFA légèrement inférieure à la médiane de 16 445 FCFA, avec un mode à 16 500 FCFA (cours actuel), signe que la distribution est asymétrique avec davantage de journées au-dessus de la moyenne — confirmé par le skewness négatif de -0,970. L'écart-type de 1 494 FCFA (CV = 9,3%) indique une dispersion modérée du cours autour de sa moyenne, tandis que le kurtosis de 0,257 (mésokurtique) suggère une distribution proche de la normale, sans risque excessif de pics extrêmes. La volatilité annualisée de **42,6%** classe le titre dans la catégorie **élevée** (&gt;30%), ce qui est typique des valeurs industrielles cycliques exposées aux matières premières, et implique une gestion prudente du risque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(16 815 FCFA) et la MM50 (16 699 FCFA) se situent toutes deux au-dessus du cours actuel (16 500 FCFA), mais leur proximité immédiate et leur croisement haussier (MM20 &gt; MM50) confirment une dynamique positive de fond. La décision technique "Achat" est justifiée par le fait que le cours évolue dans une zone de support dynamique, bien que la légère pression baissière à court terme invite à la prudence.</w:t>
      </w:r>
    </w:p>
    <w:p>
      <w:pPr>
        <w:spacing w:after="120" w:line="276" w:lineRule="auto"/>
      </w:pPr>
      <w:r>
        <w:t>**Bandes de Bollinger** : Le cours actuel (16 500 FCFA) se situe dans la moitié inférieure de la bande (borne supérieure : 19 077 FCFA ; borne inférieure : 14 553 FCFA), ce qui indique une volatilité contenue et une absence de signal de surachat. La décision "Neutre" reflète cette position médiane, le titre n'étant ni en zone de survente ni de surachat, avec un potentiel de rebond vers la borne supérieure si la dynamique haussière reprend.</w:t>
      </w:r>
    </w:p>
    <w:p>
      <w:pPr>
        <w:spacing w:after="120" w:line="276" w:lineRule="auto"/>
      </w:pPr>
      <w:r>
        <w:t>**MACD** : La valeur du MACD (-199,039) est légèrement inférieure à son signal (-194,84), générant une décision "Vente" qui traduit un momentum baissier de court terme. Cette divergence négative, bien que modérée, suggère que la pression acheteuse s'essouffle et qu'une consolidation pourrait précéder une nouvelle impulsion haussière.</w:t>
      </w:r>
    </w:p>
    <w:p>
      <w:pPr>
        <w:spacing w:after="120" w:line="276" w:lineRule="auto"/>
      </w:pPr>
      <w:r>
        <w:t>**RSI** : À 41,427, le RSI se situe dans la zone neutre (30-70), sans signal de surachat ni de survente. La décision "Neutre" confirme que le titre n'est pas dans une phase d'euphorie spéculative, offrant un point d'entrée potentiel pour les investisseurs patients.</w:t>
      </w:r>
    </w:p>
    <w:p>
      <w:pPr>
        <w:spacing w:after="120" w:line="276" w:lineRule="auto"/>
      </w:pPr>
      <w:r>
        <w:t>**Stochastique** : Le %K (78,166) est supérieur au %D (60,688), avec un croisement haussier récent qui indique une reprise de la dynamique positive à court terme. La décision "Neutre" est cohérente avec la position du %K proche de la zone de surachat (80), suggérant une possible correction avant une nouvelle progression.</w:t>
      </w:r>
    </w:p>
    <w:p>
      <w:pPr>
        <w:spacing w:after="120" w:line="276" w:lineRule="auto"/>
      </w:pPr>
      <w:r>
        <w:t>**Conclusion technique** : Les indicateurs techniques présentent un tableau mitigé, avec une tendance de fond haussière (MM20 &gt; MM50) mais des signaux de court terme divergents (MACD vendeur, RSI neutre, Stochastique haussier). La convergence des MM et du Stochastique plaide pour un maintien de la position, tandis que le MACD invite à la prudence. Dans l'ensemble, le titre se trouve dans une phase de consolidation saine, avec un potentiel de reprise à moyen terme si les fondamentaux continuent de soutenir la valorisation.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SMBC affiche un chiffre d'affaires de **206,740 Mds FCFA**, en baisse de **-9,74%** par rapport à 2024 (229,061 Mds FCFA), reflétant un environnement de marché difficile marqué par la volatilité des prix du pétrole et un ralentissement des ventes à l'export. Malgré cette contraction, le résultat net progresse spectaculairement de **+50,3%** à **13,075 Mds FCFA**, porté par une amélioration de la marge nette (6,32% contre 3,8% en 2024) et une forte hausse de l'EBE (+41,8% à 18,480 Mds FCFA). Le ROE atteint **30,47%** (excellent, &gt;15%), témoignant d'une rentabilité exceptionnelle des fonds propres, tandis que le ROA de **7,26%** reste solide pour une entreprise industrielle. La structure financière est saine avec des capitaux propres de **42,913 Mds FCFA** (+21,6%) et une trésorerie nette positive de **23,988 Mds FCFA**, bien que le BFR de 1,693 Mds FCFA (positif) et les délais clients élevés (193,75 jours) constituent des points de vigilance sur la gestion du cycle d'exploitation. Le ratio d'endettement de 76,16% et la dépendance financière de 21,45% restent maîtrisés, avec une capacité de remboursement de 0,68 an (dette financière/CAF) et une couverture des intérêts de 483,41%, confirmant la solidité du bilan.</w:t>
      </w:r>
    </w:p>
    <w:p>
      <w:pPr>
        <w:spacing w:after="120" w:line="276" w:lineRule="auto"/>
      </w:pPr>
      <w:r>
        <w:t>**Estimations basées sur les rapports trimestriels** : Les rapports T1 2025 (CA -22%, résultat net -7%), S1 2025 (CA -23%, résultat net -7%) et 9M 2025 (CA -14%, résultat net +6%) montrent une amélioration progressive de la rentabilité opérationnelle au fil de l'année, avec une marge opérationnelle passant de 3,996 Mds FCFA (T1) à 5,4% du CA (9M). Sur la base de ces tendances, on estime que l'exercice 2025 devrait confirmer la reprise de la rentabilité, avec un résultat net annuel de 13,075 Mds FCFA (réel) et des perspectives positives pour 2026, soutenues par la demande locale (chantiers routiers) et l'export (Nigeria, Ghana, Burkina Faso, Mali). Le principal risque identifié reste la volatilité des prix du pétrole et les aléas climatiques (fortes pluies) impactant la demande de construction.</w:t>
      </w:r>
    </w:p>
    <w:p>
      <w:pPr>
        <w:spacing w:after="120" w:line="276" w:lineRule="auto"/>
      </w:pPr>
      <w:r>
        <w:t>**Recommandation fondamentale** : SMBC présente une solidité financière remarquable avec une rentabilité en forte hausse, une trésorerie abondante et un endettement maîtrisé. La baisse du chiffre d'affaires est compensée par une excellente maîtrise des coûts et une amélioration des marges. La recommandation fondamentale est **CONSERVER** avec un biais haussier, en attendant la confirmation de la reprise du CA en 2026.</w:t>
      </w:r>
    </w:p>
    <w:p>
      <w:pPr>
        <w:spacing w:after="120" w:line="276" w:lineRule="auto"/>
      </w:pPr>
      <w:r>
        <w:t>---</w:t>
      </w:r>
    </w:p>
    <w:p>
      <w:pPr>
        <w:spacing w:after="120" w:line="276" w:lineRule="auto"/>
      </w:pPr>
      <w:r>
        <w:t>## PARTIE 4 : CONCLUSION D'INVESTISSEMENT</w:t>
      </w:r>
    </w:p>
    <w:p>
      <w:pPr>
        <w:spacing w:after="120" w:line="276" w:lineRule="auto"/>
      </w:pPr>
      <w:r>
        <w:t>La valorisation de SMBC (PER 9,8x, P/B 3,00x, EV/EBITDA 6,2x) indique une légère sous-évaluation au regard des bénéfices et de la capacité opérationnelle, avec une prime de croissance justifiée par l'amélioration spectaculaire de la rentabilité. Le comportement du cours sur 100 jours (+34,20%) est haussier, avec une volatilité élevée (42,6%) mais une distribution asymétrique positive (skewness -0,970) et un kurtosis modéré (0,257), ce qui est favorable pour les investisseurs cherchant une dynamique de croissance. Les signaux techniques sont mitigés : les MM20/MM50 confirment une tendance haussière de fond, le Stochastique est haussier, mais le MACD est vendeur et le RSI neutre, suggérant une consolidation avant une nouvelle impulsion. Les fondamentaux sont solides : ROE de 30,47%, résultat net en hausse de 50,3%, trésorerie nette de 23,988 Mds FCFA, et perspectives positives pour 2026. Les prédictions IA (J+1 à J+10) anticipent une légère baisse vers 16 194 FCFA, ce qui contredit partiellement les signaux haussiers mais reste cohérent avec une phase de consolidation technique. Sur la base de cette synthèse, la recommandation finale est **CONSERVER** avec un biais **ACHAT** à moyen terme, justifiée par la convergence entre valorisation attractive, fondamentaux solides et perspectives de croissance, malgré les signaux techniques de court terme divergents. Le niveau de confiance est **Moyen** (en raison de la volatilité élevée et des incertitudes sur la reprise du CA), le risque global est **Moyen** (secteur cyclique exposé aux matières premières), et l'horizon d'investissement optimal est **moyen terme (3-12 mois)** , le temps que la reprise du chiffre d'affaires se matérialise et que les indicateurs techniques confirment la tendance haussière.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13,263 titres</w:t>
            </w:r>
          </w:p>
        </w:tc>
        <w:tc>
          <w:tcPr>
            <w:tcW w:type="dxa" w:w="2268"/>
            <w:shd w:fill="FFF2CC" w:val="clear"/>
          </w:tcPr>
          <w:p>
            <w:r>
              <w:rPr>
                <w:b/>
                <w:color w:val="503200"/>
                <w:sz w:val="16"/>
              </w:rPr>
              <w:t xml:space="preserve">Cours actuel : </w:t>
            </w:r>
            <w:r>
              <w:rPr>
                <w:color w:val="000000"/>
                <w:sz w:val="17"/>
              </w:rPr>
              <w:t>44,980 FCFA</w:t>
            </w:r>
          </w:p>
          <w:p>
            <w:r>
              <w:rPr>
                <w:b/>
                <w:color w:val="503200"/>
                <w:sz w:val="16"/>
              </w:rPr>
              <w:t xml:space="preserve">Var. 100 jours : </w:t>
            </w:r>
            <w:r>
              <w:rPr>
                <w:b/>
                <w:color w:val="007800"/>
                <w:sz w:val="17"/>
              </w:rPr>
              <w:t>+55.37%</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15.53% (Élevée) — μ=33,242 FCFA, σ=5,164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β=1.2169 (Agressif) — Cov=0.000089, Var(idx)=0.000073, ρ=0.492,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13,263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42,744</w:t>
            </w:r>
          </w:p>
        </w:tc>
        <w:tc>
          <w:tcPr>
            <w:tcW w:type="dxa" w:w="1440"/>
            <w:shd w:fill="FAFAFA" w:val="clear"/>
          </w:tcPr>
          <w:p>
            <w:r>
              <w:rPr>
                <w:b/>
                <w:sz w:val="17"/>
              </w:rPr>
              <w:t>44,313</w:t>
            </w:r>
          </w:p>
        </w:tc>
        <w:tc>
          <w:tcPr>
            <w:tcW w:type="dxa" w:w="1440"/>
            <w:shd w:fill="FAFAFA" w:val="clear"/>
          </w:tcPr>
          <w:p>
            <w:r>
              <w:rPr>
                <w:sz w:val="17"/>
              </w:rPr>
              <w:t>45,883</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42,085</w:t>
            </w:r>
          </w:p>
        </w:tc>
        <w:tc>
          <w:tcPr>
            <w:tcW w:type="dxa" w:w="1440"/>
            <w:shd w:fill="FAFAFA" w:val="clear"/>
          </w:tcPr>
          <w:p>
            <w:r>
              <w:rPr>
                <w:b/>
                <w:sz w:val="17"/>
              </w:rPr>
              <w:t>44,304</w:t>
            </w:r>
          </w:p>
        </w:tc>
        <w:tc>
          <w:tcPr>
            <w:tcW w:type="dxa" w:w="1440"/>
            <w:shd w:fill="FAFAFA" w:val="clear"/>
          </w:tcPr>
          <w:p>
            <w:r>
              <w:rPr>
                <w:sz w:val="17"/>
              </w:rPr>
              <w:t>46,523</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41,550</w:t>
            </w:r>
          </w:p>
        </w:tc>
        <w:tc>
          <w:tcPr>
            <w:tcW w:type="dxa" w:w="1440"/>
            <w:shd w:fill="FAFAFA" w:val="clear"/>
          </w:tcPr>
          <w:p>
            <w:r>
              <w:rPr>
                <w:b/>
                <w:sz w:val="17"/>
              </w:rPr>
              <w:t>44,265</w:t>
            </w:r>
          </w:p>
        </w:tc>
        <w:tc>
          <w:tcPr>
            <w:tcW w:type="dxa" w:w="1440"/>
            <w:shd w:fill="FAFAFA" w:val="clear"/>
          </w:tcPr>
          <w:p>
            <w:r>
              <w:rPr>
                <w:sz w:val="17"/>
              </w:rPr>
              <w:t>46,980</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41,108</w:t>
            </w:r>
          </w:p>
        </w:tc>
        <w:tc>
          <w:tcPr>
            <w:tcW w:type="dxa" w:w="1440"/>
            <w:shd w:fill="FAFAFA" w:val="clear"/>
          </w:tcPr>
          <w:p>
            <w:r>
              <w:rPr>
                <w:b/>
                <w:sz w:val="17"/>
              </w:rPr>
              <w:t>44,242</w:t>
            </w:r>
          </w:p>
        </w:tc>
        <w:tc>
          <w:tcPr>
            <w:tcW w:type="dxa" w:w="1440"/>
            <w:shd w:fill="FAFAFA" w:val="clear"/>
          </w:tcPr>
          <w:p>
            <w:r>
              <w:rPr>
                <w:sz w:val="17"/>
              </w:rPr>
              <w:t>47,375</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40,730</w:t>
            </w:r>
          </w:p>
        </w:tc>
        <w:tc>
          <w:tcPr>
            <w:tcW w:type="dxa" w:w="1440"/>
            <w:shd w:fill="FAFAFA" w:val="clear"/>
          </w:tcPr>
          <w:p>
            <w:r>
              <w:rPr>
                <w:b/>
                <w:sz w:val="17"/>
              </w:rPr>
              <w:t>44,233</w:t>
            </w:r>
          </w:p>
        </w:tc>
        <w:tc>
          <w:tcPr>
            <w:tcW w:type="dxa" w:w="1440"/>
            <w:shd w:fill="FAFAFA" w:val="clear"/>
          </w:tcPr>
          <w:p>
            <w:r>
              <w:rPr>
                <w:sz w:val="17"/>
              </w:rPr>
              <w:t>47,735</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40,393</w:t>
            </w:r>
          </w:p>
        </w:tc>
        <w:tc>
          <w:tcPr>
            <w:tcW w:type="dxa" w:w="1440"/>
            <w:shd w:fill="FAFAFA" w:val="clear"/>
          </w:tcPr>
          <w:p>
            <w:r>
              <w:rPr>
                <w:b/>
                <w:sz w:val="17"/>
              </w:rPr>
              <w:t>44,230</w:t>
            </w:r>
          </w:p>
        </w:tc>
        <w:tc>
          <w:tcPr>
            <w:tcW w:type="dxa" w:w="1440"/>
            <w:shd w:fill="FAFAFA" w:val="clear"/>
          </w:tcPr>
          <w:p>
            <w:r>
              <w:rPr>
                <w:sz w:val="17"/>
              </w:rPr>
              <w:t>48,067</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40,085</w:t>
            </w:r>
          </w:p>
        </w:tc>
        <w:tc>
          <w:tcPr>
            <w:tcW w:type="dxa" w:w="1440"/>
            <w:shd w:fill="FAFAFA" w:val="clear"/>
          </w:tcPr>
          <w:p>
            <w:r>
              <w:rPr>
                <w:b/>
                <w:sz w:val="17"/>
              </w:rPr>
              <w:t>44,229</w:t>
            </w:r>
          </w:p>
        </w:tc>
        <w:tc>
          <w:tcPr>
            <w:tcW w:type="dxa" w:w="1440"/>
            <w:shd w:fill="FAFAFA" w:val="clear"/>
          </w:tcPr>
          <w:p>
            <w:r>
              <w:rPr>
                <w:sz w:val="17"/>
              </w:rPr>
              <w:t>48,373</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39,800</w:t>
            </w:r>
          </w:p>
        </w:tc>
        <w:tc>
          <w:tcPr>
            <w:tcW w:type="dxa" w:w="1440"/>
            <w:shd w:fill="FAFAFA" w:val="clear"/>
          </w:tcPr>
          <w:p>
            <w:r>
              <w:rPr>
                <w:b/>
                <w:sz w:val="17"/>
              </w:rPr>
              <w:t>44,230</w:t>
            </w:r>
          </w:p>
        </w:tc>
        <w:tc>
          <w:tcPr>
            <w:tcW w:type="dxa" w:w="1440"/>
            <w:shd w:fill="FAFAFA" w:val="clear"/>
          </w:tcPr>
          <w:p>
            <w:r>
              <w:rPr>
                <w:sz w:val="17"/>
              </w:rPr>
              <w:t>48,660</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39,531</w:t>
            </w:r>
          </w:p>
        </w:tc>
        <w:tc>
          <w:tcPr>
            <w:tcW w:type="dxa" w:w="1440"/>
            <w:shd w:fill="FAFAFA" w:val="clear"/>
          </w:tcPr>
          <w:p>
            <w:r>
              <w:rPr>
                <w:b/>
                <w:sz w:val="17"/>
              </w:rPr>
              <w:t>44,230</w:t>
            </w:r>
          </w:p>
        </w:tc>
        <w:tc>
          <w:tcPr>
            <w:tcW w:type="dxa" w:w="1440"/>
            <w:shd w:fill="FAFAFA" w:val="clear"/>
          </w:tcPr>
          <w:p>
            <w:r>
              <w:rPr>
                <w:sz w:val="17"/>
              </w:rPr>
              <w:t>48,928</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39,277</w:t>
            </w:r>
          </w:p>
        </w:tc>
        <w:tc>
          <w:tcPr>
            <w:tcW w:type="dxa" w:w="1440"/>
            <w:shd w:fill="FAFAFA" w:val="clear"/>
          </w:tcPr>
          <w:p>
            <w:r>
              <w:rPr>
                <w:b/>
                <w:sz w:val="17"/>
              </w:rPr>
              <w:t>44,230</w:t>
            </w:r>
          </w:p>
        </w:tc>
        <w:tc>
          <w:tcPr>
            <w:tcW w:type="dxa" w:w="1440"/>
            <w:shd w:fill="FAFAFA" w:val="clear"/>
          </w:tcPr>
          <w:p>
            <w:r>
              <w:rPr>
                <w:sz w:val="17"/>
              </w:rPr>
              <w:t>49,183</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4 498 milliards FCFA, Sonatel s'impose comme la première capitalisation de la BRVM, un poids systémique qui en fait la valeur de référence de la cote régionale. Le BPA de 4 136 FCFA par action signifie que chaque titre génère près de 4 136 FCFA de bénéfice net, un niveau exceptionnel qui traduit la forte rentabilité de l'opérateur télécoms. Le PER de 10,9x se situe dans la fourchette moyenne du marché BRVM (8-12x), indiquant que les investisseurs ne paient pas de prime excessive pour ces bénéfices, malgré le statut de leader. Le P/B de 3,21x révèle en revanche une prime de croissance significative : le marché valorise l'entreprise à plus de trois fois ses fonds propres comptables (1 399 Mds FCFA), ce qui se justifie par un ROE de 29,6% et une capacité à générer des flux récurrents. Enfin, l'EV/EBITDA de 4,7x — inférieur au seuil de 5x — signale une valorisation particulièrement attractive au regard de la capacité opérationnelle de l'entreprise, un signal de sous-évaluation relatif.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+55,37%, passant d'un plus bas de 27 160 FCFA à un plus haut de 45 000 FCFA, tandis que la dernière séance (J-1) s'est quasiment stabilisée à -0,02%, avec un cours actuel de 44 980 FCFA. Cette tendance nettement haussière s'inscrit dans un contexte de forte demande sur la valeur, portée par la solidité des fondamentaux et l'attrait du dividende. Les statistiques descriptives révèlent une moyenne de 33 242 FCFA nettement supérieure à la médiane de 31 448 FCFA, confirmant une distribution asymétrique avec une concentration des cours sur la partie basse de la période et une accélération récente vers les sommets. L'écart-type de 5 190 FCFA (CV = 15,6%) traduit une dispersion modérée du cours, tandis que le kurtosis de -0,483 (mésokurtique) indique une distribution proche de la normale, sans risque excessif de pics extrêmes. Le skewness positif de 0,896 signale que davantage de journées se sont situées sous la moyenne, ce qui est cohérent avec le rallye récent. La volatilité annualisée de 33,3% classe le titre en catégorie à volatilité élevée (&gt;30%), ce qui implique un risque de correction non négligeable après une telle ascension.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41 806,25 FCFA et la MM50 à 37 075,3 FCFA, toutes deux nettement inférieures au cours actuel de 44 980 FCFA. Cette configuration — cours &gt; MM20 &gt; MM50 — est caractéristique d'une tendance haussière forte et bien établie, avec un écart croissant entre les moyennes qui confirme l'accélération du mouvement. La décision technique est donc logiquement à l'**Achat**, le titre évoluant au-dessus de ses supports dynamiques.</w:t>
      </w:r>
    </w:p>
    <w:p>
      <w:pPr>
        <w:spacing w:after="120" w:line="276" w:lineRule="auto"/>
      </w:pPr>
      <w:r>
        <w:t>**Bandes de Bollinger :** La borne supérieure se situe à 46 549,87 FCFA, la borne inférieure à 37 062,63 FCFA, et le cours actuel de 44 980 FCFA évolue dans la partie haute du canal, sans toutefois franchir la borne supérieure. Cette position proche du plafond traduit une pression acheteuse soutenue mais encore contenue, avec une volatilité qui reste dans les limites du canal. La décision est **Neutre**, le titre n'étant ni en situation de sur-extension extrême ni de retournement.</w:t>
      </w:r>
    </w:p>
    <w:p>
      <w:pPr>
        <w:spacing w:after="120" w:line="276" w:lineRule="auto"/>
      </w:pPr>
      <w:r>
        <w:t>**MACD :** La valeur du MACD (2 272,74) est supérieure à son signal (2 152,75), avec un histogramme positif qui confirme un momentum haussier toujours actif. L'écart entre les deux lignes reste positif mais tend à se stabiliser, ce qui suggère que la dynamique haussière perd un peu de vigueur sans pour autant s'inverser. La décision est à l'**Achat**, le croisement restant favorable aux acheteurs.</w:t>
      </w:r>
    </w:p>
    <w:p>
      <w:pPr>
        <w:spacing w:after="120" w:line="276" w:lineRule="auto"/>
      </w:pPr>
      <w:r>
        <w:t>**RSI :** À 85,81, le RSI se situe très largement au-dessus du seuil de surachat de 70, signalant une condition de surchauffe manifeste. Un tel niveau indique que le titre a été acheté de manière excessive à court terme et qu'un risque de correction ou de consolidation est élevé. La décision technique est donc à la **Vente**, ce qui contraste avec les autres indicateurs.</w:t>
      </w:r>
    </w:p>
    <w:p>
      <w:pPr>
        <w:spacing w:after="120" w:line="276" w:lineRule="auto"/>
      </w:pPr>
      <w:r>
        <w:t>**Stochastique :** Le %K (99,65) et le %D (99,72) évoluent tous deux à des niveaux extrêmes, proches de 100, avec un croisement quasi inexistant tant les deux courbes sont collées. Cette configuration confirme la surchauffe déjà signalée par le RSI et suggère une probabilité élevée de retournement à court terme. La décision est à la **Vente**.</w:t>
      </w:r>
    </w:p>
    <w:p>
      <w:pPr>
        <w:spacing w:after="120" w:line="276" w:lineRule="auto"/>
      </w:pPr>
      <w:r>
        <w:t>**Conclusion technique :** Les indicateurs de tendance (MM, MACD) restent haussiers et confirment la solidité du mouvement de fond, mais les oscillateurs (RSI à 85,8 et Stochastique à 99,7) clignotent en zone de surachat extrême, créant une divergence classique entre tendance et momentum. Cette configuration suggère que le titre pourrait connaître une consolidation ou une correction à court terme avant de reprendre sa tendance haussière. La prudence est de mise pour les acheteurs tardifs, tandis que les détenteurs peuvent envisager des prises de bénéfices partielles.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1 923,12 milliards FCFA, en croissance de 8,26% sur un an, porté par la Data mobile, le Fixe Broadband et Orange Money. Le résultat net s'établit à 413,59 milliards FCFA, soit une marge nette de 21,51%, tandis que le résultat d'exploitation atteint 669,79 milliards FCFA (marge opérationnelle de 34,83%). La rentabilité des fonds propres (ROE) ressort à 29,56% — un niveau excellent (&gt;15%) — et le ROA à 12,65%, confirmant l'efficacité de l'utilisation des actifs. La structure financière est saine avec une autonomie financière de 42,79% (capitaux propres de 1 399,26 Mds FCFA) et une solvabilité générale de 174,79%. Le BFR est négatif à -284,91 Mds FCFA, ce qui est favorable car l'entreprise finance son cycle d'exploitation par ses fournisseurs (délai fournisseurs de 201,39 jours contre 46,16 jours de délai clients), générant une trésorerie nette de 536,11 Mds FCFA. La capacité de remboursement est excellente (0,64 an) et la couverture des intérêts atteint 2 744,71%.</w:t>
      </w:r>
    </w:p>
    <w:p>
      <w:pPr>
        <w:spacing w:after="120" w:line="276" w:lineRule="auto"/>
      </w:pPr>
      <w:r>
        <w:t>**Évolution et rapports narratifs :** Le rapport annuel 2024 (publié le 31/12/2024) faisait état d'un CA de 1 776,4 Mds FCFA (+9,6%) et d'un résultat net de 393,7 Mds FCFA (+18,7%), avec un BPA de 3 288 FCFA. Le rapport annuel 2025 (date inconnue) confirme l'accélération avec un CA de 1 923,1 Mds FCFA (+8,3%) et un résultat net de 413,6 Mds FCFA (+5,1%), ainsi qu'un dividende brut proposé de 1 933 FCFA par action (1 740 FCFA net), soit un rendement attractif de 3,87% au cours actuel. Les rapports trimestriels 2025 (T1, S1, T3) montrent une croissance constante : +10,9% au T1, +9,4% au S1, +8,6% sur 9 mois, avec un résultat net en hausse de 8,0% sur 9 mois. Le communiqué du S1 2026 (publié le 24/07/2026) révèle une accélération avec un CA de 1 049,8 Mds FCFA (+9,3%) et un résultat net de 230 Mds FCFA (+10,5%), ainsi qu'un relèvement de la notation à AAA (wu) par GCR Ratings. **Estimation :** Sur la base de ces tendances, on peut estimer que l'exercice 2026 devrait afficher un CA proche de 2 100 Mds FCFA et un résultat net d'environ 450 Mds FCFA, confirmant la trajectoire de croissance rentable. La solidité fondamentale est exceptionnelle, avec des marges élevées, une structure financière robuste et des perspectives favorables malgré les pressions réglementaires et concurrentielles.</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raisonnable (PER de 10,9x) voire attractive (EV/EBITDA de 4,7x), malgré une prime sur les fonds propres (P/B de 3,21x) justifiée par un ROE de 29,6%. Le comportement du cours sur 100 jours est nettement haussier (+55,37%), avec une volatilité élevée (33,3%) et une distribution asymétrique positive (skewness de 0,896), ce qui suggère que le rallye pourrait se poursuivre mais avec un risque de correction après la surchauffe actuelle. Les signaux techniques sont divergents : les moyennes mobiles et le MACD confirment la tendance haussière, mais le RSI (85,8) et le stochastique (99,7) signalent un surachat extrême, plaidant pour une consolidation à court terme. Les fondamentaux sont excellents : croissance du CA (+8,3% en 2025, +9,3% au S1 2026), marges élevées (marge nette de 21,5%), ROE de 29,6%, structure financière saine et dividende attractif (1 740 FCFA net, soit 3,87% de rendement). Les prédictions IA pour les 10 prochains jours (44 313 FCFA à 44 233 FCFA) anticipent une légère correction de -1,7% par rapport au cours actuel, ce qui est cohérent avec le signal de surachat des oscillateurs. **Recommandation finale : CONSERVER.** La convergence entre fondamentaux solides, valorisation raisonnable et tendance de fond haussière justifie une position de conservation, mais le surachat technique et la prédiction de correction à court terme incitent à la prudence pour les nouveaux achats. Le niveau de confiance est **Moyen** (divergence technique), le risque global est **Moyen** (volatilité élevée et surchauffe), et l'horizon optimal est le **moyen terme (3-12 mois)**, le temps que la consolidation technique s'achève et que la croissance fondamentale se matérialise.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5,229 titres</w:t>
            </w:r>
          </w:p>
        </w:tc>
        <w:tc>
          <w:tcPr>
            <w:tcW w:type="dxa" w:w="2268"/>
            <w:shd w:fill="FFF2CC" w:val="clear"/>
          </w:tcPr>
          <w:p>
            <w:r>
              <w:rPr>
                <w:b/>
                <w:color w:val="503200"/>
                <w:sz w:val="16"/>
              </w:rPr>
              <w:t xml:space="preserve">Cours actuel : </w:t>
            </w:r>
            <w:r>
              <w:rPr>
                <w:color w:val="000000"/>
                <w:sz w:val="17"/>
              </w:rPr>
              <w:t>7,895 FCFA</w:t>
            </w:r>
          </w:p>
          <w:p>
            <w:r>
              <w:rPr>
                <w:b/>
                <w:color w:val="503200"/>
                <w:sz w:val="16"/>
              </w:rPr>
              <w:t xml:space="preserve">Var. 100 jours : </w:t>
            </w:r>
            <w:r>
              <w:rPr>
                <w:b/>
                <w:color w:val="007800"/>
                <w:sz w:val="17"/>
              </w:rPr>
              <w:t>+5.97%</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4.42% (Faible) — μ=8,081 FCFA, σ=357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β=1.0037 (Neutre (suit le marché)) — Cov=0.000074, Var(idx)=0.000073, ρ=0.321,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7,437</w:t>
            </w:r>
          </w:p>
        </w:tc>
        <w:tc>
          <w:tcPr>
            <w:tcW w:type="dxa" w:w="1440"/>
            <w:shd w:fill="FAFAFA" w:val="clear"/>
          </w:tcPr>
          <w:p>
            <w:r>
              <w:rPr>
                <w:b/>
                <w:sz w:val="17"/>
              </w:rPr>
              <w:t>7,835</w:t>
            </w:r>
          </w:p>
        </w:tc>
        <w:tc>
          <w:tcPr>
            <w:tcW w:type="dxa" w:w="1440"/>
            <w:shd w:fill="FAFAFA" w:val="clear"/>
          </w:tcPr>
          <w:p>
            <w:r>
              <w:rPr>
                <w:sz w:val="17"/>
              </w:rPr>
              <w:t>8,233</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7,252</w:t>
            </w:r>
          </w:p>
        </w:tc>
        <w:tc>
          <w:tcPr>
            <w:tcW w:type="dxa" w:w="1440"/>
            <w:shd w:fill="FAFAFA" w:val="clear"/>
          </w:tcPr>
          <w:p>
            <w:r>
              <w:rPr>
                <w:b/>
                <w:sz w:val="17"/>
              </w:rPr>
              <w:t>7,814</w:t>
            </w:r>
          </w:p>
        </w:tc>
        <w:tc>
          <w:tcPr>
            <w:tcW w:type="dxa" w:w="1440"/>
            <w:shd w:fill="FAFAFA" w:val="clear"/>
          </w:tcPr>
          <w:p>
            <w:r>
              <w:rPr>
                <w:sz w:val="17"/>
              </w:rPr>
              <w:t>8,375</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7,105</w:t>
            </w:r>
          </w:p>
        </w:tc>
        <w:tc>
          <w:tcPr>
            <w:tcW w:type="dxa" w:w="1440"/>
            <w:shd w:fill="FAFAFA" w:val="clear"/>
          </w:tcPr>
          <w:p>
            <w:r>
              <w:rPr>
                <w:b/>
                <w:sz w:val="17"/>
              </w:rPr>
              <w:t>7,790</w:t>
            </w:r>
          </w:p>
        </w:tc>
        <w:tc>
          <w:tcPr>
            <w:tcW w:type="dxa" w:w="1440"/>
            <w:shd w:fill="FAFAFA" w:val="clear"/>
          </w:tcPr>
          <w:p>
            <w:r>
              <w:rPr>
                <w:sz w:val="17"/>
              </w:rPr>
              <w:t>8,476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6,980</w:t>
            </w:r>
          </w:p>
        </w:tc>
        <w:tc>
          <w:tcPr>
            <w:tcW w:type="dxa" w:w="1440"/>
            <w:shd w:fill="FAFAFA" w:val="clear"/>
          </w:tcPr>
          <w:p>
            <w:r>
              <w:rPr>
                <w:b/>
                <w:sz w:val="17"/>
              </w:rPr>
              <w:t>7,770</w:t>
            </w:r>
          </w:p>
        </w:tc>
        <w:tc>
          <w:tcPr>
            <w:tcW w:type="dxa" w:w="1440"/>
            <w:shd w:fill="FAFAFA" w:val="clear"/>
          </w:tcPr>
          <w:p>
            <w:r>
              <w:rPr>
                <w:sz w:val="17"/>
              </w:rPr>
              <w:t>8,559</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6,870</w:t>
            </w:r>
          </w:p>
        </w:tc>
        <w:tc>
          <w:tcPr>
            <w:tcW w:type="dxa" w:w="1440"/>
            <w:shd w:fill="FAFAFA" w:val="clear"/>
          </w:tcPr>
          <w:p>
            <w:r>
              <w:rPr>
                <w:b/>
                <w:sz w:val="17"/>
              </w:rPr>
              <w:t>7,751</w:t>
            </w:r>
          </w:p>
        </w:tc>
        <w:tc>
          <w:tcPr>
            <w:tcW w:type="dxa" w:w="1440"/>
            <w:shd w:fill="FAFAFA" w:val="clear"/>
          </w:tcPr>
          <w:p>
            <w:r>
              <w:rPr>
                <w:sz w:val="17"/>
              </w:rPr>
              <w:t>8,631</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6,770</w:t>
            </w:r>
          </w:p>
        </w:tc>
        <w:tc>
          <w:tcPr>
            <w:tcW w:type="dxa" w:w="1440"/>
            <w:shd w:fill="FFDCE0" w:val="clear"/>
          </w:tcPr>
          <w:p>
            <w:r>
              <w:rPr>
                <w:b/>
                <w:sz w:val="17"/>
              </w:rPr>
              <w:t>7,732</w:t>
            </w:r>
          </w:p>
        </w:tc>
        <w:tc>
          <w:tcPr>
            <w:tcW w:type="dxa" w:w="1440"/>
            <w:shd w:fill="FFDCE0" w:val="clear"/>
          </w:tcPr>
          <w:p>
            <w:r>
              <w:rPr>
                <w:sz w:val="17"/>
              </w:rPr>
              <w:t>8,694</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6,677</w:t>
            </w:r>
          </w:p>
        </w:tc>
        <w:tc>
          <w:tcPr>
            <w:tcW w:type="dxa" w:w="1440"/>
            <w:shd w:fill="FFDCE0" w:val="clear"/>
          </w:tcPr>
          <w:p>
            <w:r>
              <w:rPr>
                <w:b/>
                <w:sz w:val="17"/>
              </w:rPr>
              <w:t>7,714</w:t>
            </w:r>
          </w:p>
        </w:tc>
        <w:tc>
          <w:tcPr>
            <w:tcW w:type="dxa" w:w="1440"/>
            <w:shd w:fill="FFDCE0" w:val="clear"/>
          </w:tcPr>
          <w:p>
            <w:r>
              <w:rPr>
                <w:sz w:val="17"/>
              </w:rPr>
              <w:t>8,751</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6,591</w:t>
            </w:r>
          </w:p>
        </w:tc>
        <w:tc>
          <w:tcPr>
            <w:tcW w:type="dxa" w:w="1440"/>
            <w:shd w:fill="FFDCE0" w:val="clear"/>
          </w:tcPr>
          <w:p>
            <w:r>
              <w:rPr>
                <w:b/>
                <w:sz w:val="17"/>
              </w:rPr>
              <w:t>7,697</w:t>
            </w:r>
          </w:p>
        </w:tc>
        <w:tc>
          <w:tcPr>
            <w:tcW w:type="dxa" w:w="1440"/>
            <w:shd w:fill="FFDCE0" w:val="clear"/>
          </w:tcPr>
          <w:p>
            <w:r>
              <w:rPr>
                <w:sz w:val="17"/>
              </w:rPr>
              <w:t>8,804</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6,510</w:t>
            </w:r>
          </w:p>
        </w:tc>
        <w:tc>
          <w:tcPr>
            <w:tcW w:type="dxa" w:w="1440"/>
            <w:shd w:fill="FFDCE0" w:val="clear"/>
          </w:tcPr>
          <w:p>
            <w:r>
              <w:rPr>
                <w:b/>
                <w:sz w:val="17"/>
              </w:rPr>
              <w:t>7,681</w:t>
            </w:r>
          </w:p>
        </w:tc>
        <w:tc>
          <w:tcPr>
            <w:tcW w:type="dxa" w:w="1440"/>
            <w:shd w:fill="FFDCE0" w:val="clear"/>
          </w:tcPr>
          <w:p>
            <w:r>
              <w:rPr>
                <w:sz w:val="17"/>
              </w:rPr>
              <w:t>8,852</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6,433</w:t>
            </w:r>
          </w:p>
        </w:tc>
        <w:tc>
          <w:tcPr>
            <w:tcW w:type="dxa" w:w="1440"/>
            <w:shd w:fill="FFDCE0" w:val="clear"/>
          </w:tcPr>
          <w:p>
            <w:r>
              <w:rPr>
                <w:b/>
                <w:sz w:val="17"/>
              </w:rPr>
              <w:t>7,665</w:t>
            </w:r>
          </w:p>
        </w:tc>
        <w:tc>
          <w:tcPr>
            <w:tcW w:type="dxa" w:w="1440"/>
            <w:shd w:fill="FFDCE0" w:val="clear"/>
          </w:tcPr>
          <w:p>
            <w:r>
              <w:rPr>
                <w:sz w:val="17"/>
              </w:rPr>
              <w:t>8,897</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(SOGB CI)</w:t>
        <w:br/>
        <w:t>**Société des Caoutchoucs de Grand-Béréby — BRVM**</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170,55 milliards FCFA, SOGC se positionne parmi les valeurs moyennes-capitalisations de la cote BRVM, ce qui lui confère une liquidité correcte mais sans être un poids lourd de l'indice. Le BPA de 578 FCFA/action signifie que chaque titre génère près de 578 FCFA de bénéfice net, un niveau appréciable pour une valeur agricole. Le PER de 13,7x se situe légèrement au-dessus de la moyenne BRVM (8-12x), traduisant une valorisation modérée mais avec une prime de qualité reconnue au titre. Le P/B de 2,49x indique que le marché valorise l'entreprise à environ 2,5 fois sa valeur comptable, ce qui est cohérent avec la prime de croissance accordée aux sociétés agro-industrielles rentables. Enfin, l'EV/EBITDA de 7,1x, dans la fourchette raisonnable de 5-10x, suggère que la valeur totale de l'entreprise (dette incluse) reste proportionnée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positive de +5,97%, avec un cours actuel de 7 895 FCFA et une stabilité en dernière séance (J-1 : +0,00%). Le range de trading s'établit entre un plus bas de 7 200 FCFA et un plus haut de 8 875 FCFA, soit une amplitude de 23,3% qui témoigne d'une réelle dynamique haussière sur la période malgré la correction récente depuis les sommets. La tendance générale reste haussière sur le fond, mais le cours actuel (7 895 FCFA) se situe en dessous de la moyenne (8 081 FCFA) et de la médiane (8 145 FCFA), signalant une phase de repli. L'écart faible entre moyenne et médiane (64 FCFA) indique une distribution relativement symétrique, tandis que le mode à 8 100 FCFA confirme cette zone comme point d'équilibre. L'écart-type de 359 FCFA avec un coefficient de variation de 4,4% révèle une dispersion modérée du cours, et le kurtosis de -0,162 (mésokurtique) suggère une distribution proche de la normale, sans risque excessif de pics extrêmes. Le skewness de -0,574 (asymétrie négative) indique qu'il y a eu davantage de journées de cotation au-dessus de la moyenne, ce qui est un signal plutôt favorable. La volatilité annualisée de 42,4% classe le titre dans la catégorie des valeurs à volatilité élevée (&gt;30%), ce qui est typique des petites et moyennes capitalisations agricoles exposées aux prix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La MM20 (7 887,75 FCFA) est légèrement en dessous du cours actuel (7 895 FCFA), tandis que la MM50 (8 041,4 FCFA) est nettement au-dessus. Cette configuration — cours entre les deux moyennes — traduit une tendance court terme neutre mais une tendance moyen terme baissière, justifiant la décision technique de **Vente**.</w:t>
      </w:r>
    </w:p>
    <w:p>
      <w:pPr>
        <w:spacing w:after="120" w:line="276" w:lineRule="auto"/>
      </w:pPr>
      <w:r>
        <w:t>**Bandes de Bollinger** : Le cours (7 895 FCFA) évolue dans la partie médiane de la bande, entre la borne inférieure (7 471,71 FCFA) et la borne supérieure (8 303,79 FCFA). Cette position centrale, sans contact avec les extrêmes, indique une absence de signal directionnel fort et justifie la décision **Neutre**.</w:t>
      </w:r>
    </w:p>
    <w:p>
      <w:pPr>
        <w:spacing w:after="120" w:line="276" w:lineRule="auto"/>
      </w:pPr>
      <w:r>
        <w:t>**MACD** : La valeur du MACD (-71,765) est supérieure à son signal (-83,01), créant une divergence positive. Bien que les deux indicateurs restent en territoire négatif, ce croisement haussier du MACD au-dessus de son signal traduit un début de retournement du momentum, justifiant la décision **Achat**.</w:t>
      </w:r>
    </w:p>
    <w:p>
      <w:pPr>
        <w:spacing w:after="120" w:line="276" w:lineRule="auto"/>
      </w:pPr>
      <w:r>
        <w:t>**RSI** : À 46,318, le RSI se situe dans la zone neutre (30-70), sans signal de surachat ni de survente. Cette valeur médiane reflète un équilibre entre acheteurs et vendeurs, justifiant la décision **Neutre**.</w:t>
      </w:r>
    </w:p>
    <w:p>
      <w:pPr>
        <w:spacing w:after="120" w:line="276" w:lineRule="auto"/>
      </w:pPr>
      <w:r>
        <w:t>**Stochastique** : Le %K (74,375) est supérieur au %D (61,677), avec les deux indicateurs orientés à la hausse mais approchant la zone de surachat (&gt;80). Le croisement haussier récent du %K au-dessus du %D est un signal positif, mais la proximité de la zone de surachat incite à la prudence, justifiant la décision **Neutre**.</w:t>
      </w:r>
    </w:p>
    <w:p>
      <w:pPr>
        <w:spacing w:after="120" w:line="276" w:lineRule="auto"/>
      </w:pPr>
      <w:r>
        <w:t>**Conclusion technique** : Les indicateurs présentent une configuration mitigée. Le MACD génère un signal d'achat par croisement haussier, tandis que les moyennes mobiles restent baissières (cours sous MM50). Le RSI et le stochastique sont neutres, et les bandes de Bollinger ne montrent pas de signal directionnel clair. Cette divergence entre le signal haussier du MACD et la pression baissière des moyennes mobiles suggère une phase de consolidation avant un éventuel rebond, mais sans conviction forte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 réalisé un chiffre d'affaires de 98,979 milliards FCFA, en hausse de 10,70% par rapport à 2024 (93,52 milliards FCFA), confirmant la dynamique commerciale soutenue. Le résultat net s'établit à 12,493 milliards FCFA, en légère baisse de 5% par rapport aux 13,11 milliards FCFA de 2024, sous l'effet de la hausse des coûts d'achat du coagulum (+15%). La rentabilité reste excellente avec un ROE de 18,26% (&gt;15% = excellent) et un ROA de 13,84%, tandis que la marge nette se maintient à 12,62%. La structure financière est très saine : l'autonomie financière atteint 75,79%, le ratio d'endettement est faible (24,21%), et la trésorerie nette s'élève à 4,575 milliards FCFA. Le BFR de 7,124 milliards FCFA (positif) et la liquidité générale de 170,32% confirment la solidité du bilan. Les délais clients (29,60 jours) et fournisseurs (31,72 jours) sont équilibrés, mais la durée de stockage élevée (97,67 jours) immobilise du capital.</w:t>
      </w:r>
    </w:p>
    <w:p>
      <w:pPr>
        <w:spacing w:after="120" w:line="276" w:lineRule="auto"/>
      </w:pPr>
      <w:r>
        <w:t>**Analyse sectorielle (entreprise agro-industrielle)** : SOGC affiche une marge brute exceptionnelle de 67,93%, typique des activités de transformation de matières premières agricoles à forte valeur ajoutée. La capacité d'autofinancement (CAF) de 18,938 milliards FCFA et le free cash-flow de 16,031 milliards FCFA démontrent une génération de trésorerie robuste. Le taux de couverture des intérêts (25 563%) est stratosphérique, reflétant un endettement financier quasi nul (708,86 millions FCFA de dettes financières totales). La capacité de remboursement de 0,04 an (soit environ 15 jours de CAF) est excellente.</w:t>
      </w:r>
    </w:p>
    <w:p>
      <w:pPr>
        <w:spacing w:after="120" w:line="276" w:lineRule="auto"/>
      </w:pPr>
      <w:r>
        <w:t>**Estimations basées sur les rapports trimestriels** : Le rapport du T3 2025 (daté du 30/09/2025) indique un CA cumulé de 75,6 milliards FCFA (+21,3% sur 9 mois) et un résultat net de 11,5 milliards FCFA (+39,5%), avec une marge nette de 15,3%. Le rapport du S1 2025 (30/06/2025) faisait état d'un CA de 55,4 milliards FCFA (+51,9%) et d'un résultat net de 10,2 milliards FCFA (+151,6%). Le T1 2025 (31/03/2025) affichait un CA de 31,2 milliards FCFA (+63,1%) et un résultat net de 6,0 milliards FCFA (+262,9%). On observe donc un **ralentissement progressif de la croissance** au fil des trimestres 2025, cohérent avec l'alerte de la direction sur un contexte plus difficile au S2 2025 (concurrence accrue pour le coagulum, baisse des cours SICOM). Sur la base de ces tendances, on peut estimer que l'exercice 2026 devrait connaître une croissance plus modérée, avec un résultat net potentiellement stable autour de 12-13 milliards FCFA.</w:t>
      </w:r>
    </w:p>
    <w:p>
      <w:pPr>
        <w:spacing w:after="120" w:line="276" w:lineRule="auto"/>
      </w:pPr>
      <w:r>
        <w:t>**Évolution pluriannuelle** : Entre 2023 et 2024, le résultat net est passé de 5,27 à 13,11 milliards FCFA (+149%), puis a reculé à 12,49 milliards FCFA en 2025 (-5%). Cette volatilité illustre la sensibilité de SOGC aux cycles des matières premières. Le dividende proposé pour 2025 est de 570 FCFA/action (contre 60 FCFA/action en 2024), soit un rendement attractif de 7,2% au cours actuel de 7 895 FCFA.</w:t>
      </w:r>
    </w:p>
    <w:p>
      <w:pPr>
        <w:spacing w:after="120" w:line="276" w:lineRule="auto"/>
      </w:pPr>
      <w:r>
        <w:t>**Recommandation fondamentale** : SOGC présente des fondamentaux solides (ROE &gt;18%, autonomie financière &gt;75%, trésorerie nette positive) mais fait face à des vents contraires (hausse des coûts, baisse des prix SICOM). La politique de dividende généreuse (taux de distribution proche de 100%) limite les capacités de réinvestissement. Le titre reste un placement de rendement attractif, mais la prudence est de mise face à la volatilité des matières premières. **Recommandation : CONSERVER** avec un biais positif pour les investisseurs recherchant du rendement.</w:t>
      </w:r>
    </w:p>
    <w:p>
      <w:pPr>
        <w:spacing w:after="120" w:line="276" w:lineRule="auto"/>
      </w:pPr>
      <w:r>
        <w:t>---</w:t>
      </w:r>
    </w:p>
    <w:p>
      <w:pPr>
        <w:spacing w:after="120" w:line="276" w:lineRule="auto"/>
      </w:pPr>
      <w:r>
        <w:t>## PARTIE 4 : CONCLUSION D'INVESTISSEMENT</w:t>
      </w:r>
    </w:p>
    <w:p>
      <w:pPr>
        <w:spacing w:after="120" w:line="276" w:lineRule="auto"/>
      </w:pPr>
      <w:r>
        <w:t>La valorisation de SOGC (PER 13,7x, P/B 2,49x, EV/EBITDA 7,1x) indique une juste valorisation, sans sous-évaluation flagrante mais avec une prime de qualité justifiée par la solidité des fondamentaux. Le comportement du cours sur 100 jours (+5,97%) est positif, mais la correction récente depuis les sommets (8 875 FCFA) et la volatilité élevée (42,4%) incitent à la prudence ; les statistiques descriptives (skewness négatif, kurtosis normal) ne révèlent pas de risque extrême. Les signaux techniques sont divergents : le MACD génère un signal d'achat, mais les moyennes mobiles restent baissières et le RSI/stochastique sont neutres, plaidant pour une consolidation à court terme. Les fondamentaux demeurent solides (ROE 18,26%, autonomie financière 75,79%, trésorerie nette positive) malgré la légère baisse du résultat net en 2025 (-5%), et les rapports trimestriels 2025 confirment un ralentissement de la croissance au S2. Les prédictions IA (J+1 à J+10) anticipent une trajectoire baissière vers 7 751 FCFA, ce qui contredit le signal haussier du MACD mais confirme la pression baissière des moyennes mobiles.</w:t>
      </w:r>
    </w:p>
    <w:p>
      <w:pPr>
        <w:spacing w:after="120" w:line="276" w:lineRule="auto"/>
      </w:pPr>
      <w:r>
        <w:t>**Recommandation finale : CONSERVER**</w:t>
        <w:br/>
        <w:t>**Justification** : La convergence entre la valorisation correcte, les fondamentaux solides et le rendement attractif du dividende (570 FCFA/action, soit 7,2%) soutient une recommandation de conservation. Cependant, la divergence entre le signal haussier du MACD et la tendance baissière des prédictions IA, couplée au ralentissement de la croissance, ne justifie pas un achat agressif. Le titre est à conserver pour son rendement, mais les investisseurs devraient attendre une stabilisation des prix des matières premières avant de renforcer.</w:t>
        <w:br/>
        <w:t>**Niveau de confiance** : Moyen</w:t>
        <w:br/>
        <w:t>**Niveau de risque global** : Moyen (volatilité élevée, dépendance aux matières premières)</w:t>
        <w:br/>
        <w:t>**Horizon d'investissement optimal** : Moyen terme (3-12 mois), le temps que la société stabilise ses marges et que le contexte des matières premières s'éclaircisse.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4,687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+14.36%</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9.54% (Moyenne) — μ=7,886 FCFA, σ=753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β=0.6942 (Défensif) — Cov=0.000051, Var(idx)=0.000073, ρ=0.216,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7,497</w:t>
            </w:r>
          </w:p>
        </w:tc>
        <w:tc>
          <w:tcPr>
            <w:tcW w:type="dxa" w:w="1440"/>
            <w:shd w:fill="FAFAFA" w:val="clear"/>
          </w:tcPr>
          <w:p>
            <w:r>
              <w:rPr>
                <w:b/>
                <w:sz w:val="17"/>
              </w:rPr>
              <w:t>7,905</w:t>
            </w:r>
          </w:p>
        </w:tc>
        <w:tc>
          <w:tcPr>
            <w:tcW w:type="dxa" w:w="1440"/>
            <w:shd w:fill="FAFAFA" w:val="clear"/>
          </w:tcPr>
          <w:p>
            <w:r>
              <w:rPr>
                <w:sz w:val="17"/>
              </w:rPr>
              <w:t>8,313</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7,293</w:t>
            </w:r>
          </w:p>
        </w:tc>
        <w:tc>
          <w:tcPr>
            <w:tcW w:type="dxa" w:w="1440"/>
            <w:shd w:fill="FAFAFA" w:val="clear"/>
          </w:tcPr>
          <w:p>
            <w:r>
              <w:rPr>
                <w:b/>
                <w:sz w:val="17"/>
              </w:rPr>
              <w:t>7,868</w:t>
            </w:r>
          </w:p>
        </w:tc>
        <w:tc>
          <w:tcPr>
            <w:tcW w:type="dxa" w:w="1440"/>
            <w:shd w:fill="FAFAFA" w:val="clear"/>
          </w:tcPr>
          <w:p>
            <w:r>
              <w:rPr>
                <w:sz w:val="17"/>
              </w:rPr>
              <w:t>8,443</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7,128</w:t>
            </w:r>
          </w:p>
        </w:tc>
        <w:tc>
          <w:tcPr>
            <w:tcW w:type="dxa" w:w="1440"/>
            <w:shd w:fill="FFDCE0" w:val="clear"/>
          </w:tcPr>
          <w:p>
            <w:r>
              <w:rPr>
                <w:b/>
                <w:sz w:val="17"/>
              </w:rPr>
              <w:t>7,828</w:t>
            </w:r>
          </w:p>
        </w:tc>
        <w:tc>
          <w:tcPr>
            <w:tcW w:type="dxa" w:w="1440"/>
            <w:shd w:fill="FFDCE0" w:val="clear"/>
          </w:tcPr>
          <w:p>
            <w:r>
              <w:rPr>
                <w:sz w:val="17"/>
              </w:rPr>
              <w:t>8,529</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6,986</w:t>
            </w:r>
          </w:p>
        </w:tc>
        <w:tc>
          <w:tcPr>
            <w:tcW w:type="dxa" w:w="1440"/>
            <w:shd w:fill="FFDCE0" w:val="clear"/>
          </w:tcPr>
          <w:p>
            <w:r>
              <w:rPr>
                <w:b/>
                <w:sz w:val="17"/>
              </w:rPr>
              <w:t>7,791</w:t>
            </w:r>
          </w:p>
        </w:tc>
        <w:tc>
          <w:tcPr>
            <w:tcW w:type="dxa" w:w="1440"/>
            <w:shd w:fill="FFDCE0" w:val="clear"/>
          </w:tcPr>
          <w:p>
            <w:r>
              <w:rPr>
                <w:sz w:val="17"/>
              </w:rPr>
              <w:t>8,596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6,859</w:t>
            </w:r>
          </w:p>
        </w:tc>
        <w:tc>
          <w:tcPr>
            <w:tcW w:type="dxa" w:w="1440"/>
            <w:shd w:fill="FFDCE0" w:val="clear"/>
          </w:tcPr>
          <w:p>
            <w:r>
              <w:rPr>
                <w:b/>
                <w:sz w:val="17"/>
              </w:rPr>
              <w:t>7,755</w:t>
            </w:r>
          </w:p>
        </w:tc>
        <w:tc>
          <w:tcPr>
            <w:tcW w:type="dxa" w:w="1440"/>
            <w:shd w:fill="FFDCE0" w:val="clear"/>
          </w:tcPr>
          <w:p>
            <w:r>
              <w:rPr>
                <w:sz w:val="17"/>
              </w:rPr>
              <w:t>8,651</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6,743</w:t>
            </w:r>
          </w:p>
        </w:tc>
        <w:tc>
          <w:tcPr>
            <w:tcW w:type="dxa" w:w="1440"/>
            <w:shd w:fill="FFDCE0" w:val="clear"/>
          </w:tcPr>
          <w:p>
            <w:r>
              <w:rPr>
                <w:b/>
                <w:sz w:val="17"/>
              </w:rPr>
              <w:t>7,720</w:t>
            </w:r>
          </w:p>
        </w:tc>
        <w:tc>
          <w:tcPr>
            <w:tcW w:type="dxa" w:w="1440"/>
            <w:shd w:fill="FFDCE0" w:val="clear"/>
          </w:tcPr>
          <w:p>
            <w:r>
              <w:rPr>
                <w:sz w:val="17"/>
              </w:rPr>
              <w:t>8,697</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6,636</w:t>
            </w:r>
          </w:p>
        </w:tc>
        <w:tc>
          <w:tcPr>
            <w:tcW w:type="dxa" w:w="1440"/>
            <w:shd w:fill="FFDCE0" w:val="clear"/>
          </w:tcPr>
          <w:p>
            <w:r>
              <w:rPr>
                <w:b/>
                <w:sz w:val="17"/>
              </w:rPr>
              <w:t>7,686</w:t>
            </w:r>
          </w:p>
        </w:tc>
        <w:tc>
          <w:tcPr>
            <w:tcW w:type="dxa" w:w="1440"/>
            <w:shd w:fill="FFDCE0" w:val="clear"/>
          </w:tcPr>
          <w:p>
            <w:r>
              <w:rPr>
                <w:sz w:val="17"/>
              </w:rPr>
              <w:t>8,736</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6,535</w:t>
            </w:r>
          </w:p>
        </w:tc>
        <w:tc>
          <w:tcPr>
            <w:tcW w:type="dxa" w:w="1440"/>
            <w:shd w:fill="FFDCE0" w:val="clear"/>
          </w:tcPr>
          <w:p>
            <w:r>
              <w:rPr>
                <w:b/>
                <w:sz w:val="17"/>
              </w:rPr>
              <w:t>7,653</w:t>
            </w:r>
          </w:p>
        </w:tc>
        <w:tc>
          <w:tcPr>
            <w:tcW w:type="dxa" w:w="1440"/>
            <w:shd w:fill="FFDCE0" w:val="clear"/>
          </w:tcPr>
          <w:p>
            <w:r>
              <w:rPr>
                <w:sz w:val="17"/>
              </w:rPr>
              <w:t>8,771</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6,440</w:t>
            </w:r>
          </w:p>
        </w:tc>
        <w:tc>
          <w:tcPr>
            <w:tcW w:type="dxa" w:w="1440"/>
            <w:shd w:fill="FFDCE0" w:val="clear"/>
          </w:tcPr>
          <w:p>
            <w:r>
              <w:rPr>
                <w:b/>
                <w:sz w:val="17"/>
              </w:rPr>
              <w:t>7,621</w:t>
            </w:r>
          </w:p>
        </w:tc>
        <w:tc>
          <w:tcPr>
            <w:tcW w:type="dxa" w:w="1440"/>
            <w:shd w:fill="FFDCE0" w:val="clear"/>
          </w:tcPr>
          <w:p>
            <w:r>
              <w:rPr>
                <w:sz w:val="17"/>
              </w:rPr>
              <w:t>8,802</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6,350</w:t>
            </w:r>
          </w:p>
        </w:tc>
        <w:tc>
          <w:tcPr>
            <w:tcW w:type="dxa" w:w="1440"/>
            <w:shd w:fill="FFDCE0" w:val="clear"/>
          </w:tcPr>
          <w:p>
            <w:r>
              <w:rPr>
                <w:b/>
                <w:sz w:val="17"/>
              </w:rPr>
              <w:t>7,590</w:t>
            </w:r>
          </w:p>
        </w:tc>
        <w:tc>
          <w:tcPr>
            <w:tcW w:type="dxa" w:w="1440"/>
            <w:shd w:fill="FFDCE0" w:val="clear"/>
          </w:tcPr>
          <w:p>
            <w:r>
              <w:rPr>
                <w:sz w:val="17"/>
              </w:rPr>
              <w:t>8,830</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**204,59 milliards FCFA**, SPHC s'impose comme une valeur de premier plan de la cote BRVM, représentant un pilier du compartiment agro-industriel régional. Le **BPA de 977 FCFA/action** traduit une rentabilité par titre solide, et le **PER de 8,2x** situe le titre nettement en dessous de la moyenne BRVM (8-12x), signalant une potentielle sous-évaluation aux yeux du marché. Le **P/B de 1,48x** indique que le marché valorise l'action à une prime modérée de 48% sur sa valeur comptable, ce qui reste raisonnable et cohérent avec la qualité des fonds propres (137,94 Mds FCFA). Enfin, l'**EV/EBITDA de 5,1x** — dans la fourchette basse de la zone 5-10x — suggère que la valeur d'entreprise reste modérée au regard de la capacité opérationnelle générée (EBE de 49,67 Mds FCFA en 2025), renforçant le diagnostic d'une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totale de +14,36%**, avec une dernière séance quasi stable (**+0,06%**), le cours s'établissant à **8 005 FCFA**. Le titre a évolué dans un range large de **6 850 FCFA (plus bas) à 10 300 FCFA (plus haut)**, soit une amplitude de plus de 50%, témoignant d'une tendance générale haussière mais heurtée. Les statistiques descriptives révèlent une **moyenne (7 886 FCFA) supérieure à la médiane (7 650 FCFA)**, signe d'une distribution asymétrique tirée vers le haut par des pics ponctuels, confirmée par un **skewness positif de 1,442** (plus de journées sous la moyenne, mais quelques séances exceptionnelles à la hausse). L'**écart-type de 756 FCFA (CV = 9,6%)** indique une dispersion modérée autour de la moyenne, tandis que le **kurtosis de 1,699 (leptokurtique)** signale des queues épaisses et un risque de pics de volatilité brutaux. Avec une **volatilité annualisée de 43,3%**, SPHC se classe parmi les titres à volatilité **élevée** (&gt;30%), ce qui implique un profil de risque significatif pour l'investisseur,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(7 927 FCFA) est inférieure à la MM50 (8 321 FCFA), configuration baissière de court terme, et le cours actuel (8 005 FCFA) se situe entre les deux, sous la MM50 mais au-dessus de la MM20. Cette position relative justifie la **décision de Vente** : le titre n'a pas encore reconquis sa moyenne longue, et la pression baissière persiste malgré un rebond récent.</w:t>
      </w:r>
    </w:p>
    <w:p>
      <w:pPr>
        <w:spacing w:after="120" w:line="276" w:lineRule="auto"/>
      </w:pPr>
      <w:r>
        <w:t>**Bandes de Bollinger** — Le cours (8 005 FCFA) évolue dans la partie médiane de la bande (borne inférieure 7 519,80 FCFA ; borne supérieure 8 334,20 FCFA), sans contact avec les extrêmes. Cette position centrale, couplée à un écart-type implicite modéré, justifie la **décision Neutre** : ni signal de surachat, ni de survente, le marché est en phase d'indécision.</w:t>
      </w:r>
    </w:p>
    <w:p>
      <w:pPr>
        <w:spacing w:after="120" w:line="276" w:lineRule="auto"/>
      </w:pPr>
      <w:r>
        <w:t>**MACD** — La valeur du MACD (-162,876) est supérieure à son signal (-189,278), générant un croisement haussier (MACD au-dessus du signal) bien que les deux restent en territoire négatif. Ce momentum positif naissant justifie la **décision d'Achat** : la dynamique baissière s'essouffle et un retournement pourrait se dessiner.</w:t>
      </w:r>
    </w:p>
    <w:p>
      <w:pPr>
        <w:spacing w:after="120" w:line="276" w:lineRule="auto"/>
      </w:pPr>
      <w:r>
        <w:t>**RSI** — À **45,383**, le RSI se situe dans la zone neutre (30-70), sans signal de surachat (&gt;70) ni de survente (&lt;30). Cette position médiane justifie la **décision Neutre** : le titre n'est ni surétiré ni survendu, laissant la porte ouverte à une évolution dans les deux sens.</w:t>
      </w:r>
    </w:p>
    <w:p>
      <w:pPr>
        <w:spacing w:after="120" w:line="276" w:lineRule="auto"/>
      </w:pPr>
      <w:r>
        <w:t>**Stochastique** — Le %K (91,818) est nettement supérieur au %D (79,626), et les deux se situent en zone de surachat (&gt;80). Ce positionnement extrême justifie la **décision de Vente** : le titre est techniquement surétiré à court terme, un repli correctif est probable.</w:t>
      </w:r>
    </w:p>
    <w:p>
      <w:pPr>
        <w:spacing w:after="120" w:line="276" w:lineRule="auto"/>
      </w:pPr>
      <w:r>
        <w:t>**Conclusion technique** — Les indicateurs sont **divergents** : le MACD (Achat) et le Stochastique (Vente) s'opposent, tandis que les MM (Vente), Bollinger (Neutre) et RSI (Neutre) confirment une phase d'indécision. La prédominance des signaux Neutre/Vente (3 sur 5) suggère une **prudence à court terme**, le titre étant surétiré (Stochastique) sans momentum haussier confirmé (MM50 au-dessus du cours). Un repli vers la MM20 (7 927 FCFA) ou la borne inférieure de Bollinger (7 519 FCFA) est envisageable avant toute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 Mds FCFA** (contre 279,44 Mds en 2024, soit **+22,0%**), porté par les ventes de produits fabriqués (+22,2%) qui représentent 98,6% du CA. Le **résultat net s'élève à 24,97 Mds FCFA** (+32,9%), avec une **marge nette de 7,33%** (vs 6,7% en 2024). La rentabilité des fonds propres est excellente avec un **ROE de 18,10%** (&gt;15%), et le **ROA de 11,06%** confirme une bonne efficacité des actifs (rotation de 150,9%). La structure financière est saine : **autonomie financière de 61,08%**, ratio d'endettement de 25,81%, et couverture des intérêts de 1 094,57%. Cependant, des points de vigilance subsistent : **trésorerie nette négative (-15,41 Mds FCFA)**, **BFR de 65,39 Mds FCFA** (délai clients de 35 jours, durée de stockage de 72,33 jours), et **dettes financières en hausse de 16,4%** à 35,60 Mds FCFA.</w:t>
      </w:r>
    </w:p>
    <w:p>
      <w:pPr>
        <w:spacing w:after="120" w:line="276" w:lineRule="auto"/>
      </w:pPr>
      <w:r>
        <w:t>**Adaptation au secteur (entreprise non bancaire)** — L'analyse des délais d'exploitation révèle un **délai clients de 35 jours** (modéré, mais à surveiller) et une **durée de stockage de 72,33 jours** (élevée, immobilisant du capital). Le **BFR de 65,39 Mds FCFA** est positif, ce qui signifie que l'entreprise finance son cycle d'exploitation, mais la **trésorerie nette négative** indique un besoin de financement externe. La **capacité de remboursement de 0,97 an** (dettes financières / CAF) est excellente, et la **couverture des investissements par la CAF (157,28%)** montre que les flux opérationnels financent largement les investissements.</w:t>
      </w:r>
    </w:p>
    <w:p>
      <w:pPr>
        <w:spacing w:after="120" w:line="276" w:lineRule="auto"/>
      </w:pPr>
      <w:r>
        <w:t>**Estimations basées sur les rapports trimestriels** — Le **rapport T1 2026 (publié en 2026)** révèle un **retournement brutal** : CA de 71,8 Mds FCFA (**-24%**), résultat net de 2,63 Mds FCFA (**-78%**), marge nette réduite à **4%**. Cette dégradation est due à la chute des cours mondiaux du caoutchouc (SICOM 20 à 1,91 USD/kg), à l'engorgement du port de San Pedro et à la concurrence accrue pour la matière première. Le **rapport S1 2025 (publié en 2025)** montrait au contraire une dynamique exceptionnelle (CA +51%, résultat net +449%, marge nette de 11%), et le **rapport 9 mois 2025 (publié en 2025)** confirmait cette tendance (CA +36%, résultat net +131%, marge nette de 9%). On estime donc que **l'exercice 2026 devrait être nettement moins favorable que 2025**, avec un résultat net potentiellement divisé par 2 à 3 si la tendance du T1 se poursuit, bien que la direction anticipe une stabilisation des cours et une limitation des nouvelles licences industrielles.</w:t>
      </w:r>
    </w:p>
    <w:p>
      <w:pPr>
        <w:spacing w:after="120" w:line="276" w:lineRule="auto"/>
      </w:pPr>
      <w:r>
        <w:t>**Recommandation fondamentale** — SPHC présente des **fondamentaux solides sur 2025** (croissance, rentabilité, structure financière), mais **l'année 2026 s'annonce difficile** (chute des cours, pression concurrentielle). La politique de dividende reste attractive (**DPA de 489 FCFA brut proposé pour 2025**, soit un rendement de ~6,1% au cours actuel), mais le **risque de liquidité** (trésorerie négative) et la **volatilité des cours du caoutchouc** constituent des menaces majeures. La recommandation fondamentale est **CONSERVER** avec une surveillance active des indicateurs de trésorerie et des cours mondiaux.</w:t>
      </w:r>
    </w:p>
    <w:p>
      <w:pPr>
        <w:spacing w:after="120" w:line="276" w:lineRule="auto"/>
      </w:pPr>
      <w:r>
        <w:t>---</w:t>
      </w:r>
    </w:p>
    <w:p>
      <w:pPr>
        <w:spacing w:after="120" w:line="276" w:lineRule="auto"/>
      </w:pPr>
      <w:r>
        <w:t>## PARTIE 4 : CONCLUSION D'INVESTISSEMENT</w:t>
      </w:r>
    </w:p>
    <w:p>
      <w:pPr>
        <w:spacing w:after="120" w:line="276" w:lineRule="auto"/>
      </w:pPr>
      <w:r>
        <w:t>La **valorisation (Partie 0)** est attractive : PER de 8,2x (sous la moyenne BRVM), P/B de 1,48x (raisonnable) et EV/EBITDA de 5,1x (bas) suggèrent une **sous-évaluation potentielle**, mais celle-ci pourrait être un piège si les bénéfices 2026 s'effondrent. Le **comportement du cours (Partie 1)** est haussier sur 100 jours (+14,36%) mais avec une **volatilité élevée (43,3%)** et un kurtosis leptokurtique (1,699) signalant un risque de pics brutaux ; le skewness positif (1,442) indique que les hausses exceptionnelles ont tiré la moyenne vers le haut. Les **signaux techniques (Partie 2)** sont **divergents** : MACD haussier (Achat) mais Stochastique en surachat (Vente), MM50 au-dessus du cours (Vente), RSI et Bollinger neutres — la prudence domine à court terme. Les **fondamentaux (Partie 3)** sont **mitigés** : excellents sur 2025 (ROE 18,1%, CA +22%), mais **le T1 2026 (publié en 2026) montre un effondrement** (CA -24%, résultat net -78%) qui remet en cause la dynamique. Les **prédictions IA (J+1 à J+10)** anticipent une **baisse progressive** de 7 905 FCFA (J+1) à 7 755 FCFA (J+10), soit **-3,1%**, confirmant les signaux techniques baissiers (Stochastique, MM50).</w:t>
      </w:r>
    </w:p>
    <w:p>
      <w:pPr>
        <w:spacing w:after="120" w:line="276" w:lineRule="auto"/>
      </w:pPr>
      <w:r>
        <w:t>**Synthèse et recommandation finale** — La convergence entre les **signaux techniques baissiers** (Stochastique, MM50), les **prédictions IA négatives** (-3,1% à 10 jours) et la **dégradation fondamentale récente** (T1 2026) l'emporte sur la sous-évaluation apparente (PER 8,2x) et la solidité du bilan 2025. La **recommandation est CONSERVER**, avec un **niveau de confiance Moyen** et un **risque global Élevé** (volatilité 43,3%, trésorerie négative, dépendance aux cours du caoutchouc). L'**horizon optimal est moyen terme (3-12 mois)** : les investisseurs déjà positionnés peuvent conserver en attendant la confirmation d'une stabilisation des cours et des résultats 2026, tandis que les nouveaux entrants devraient attendre un repli vers 7 500-7 600 FCFA (borne inférieure de Bollinger, mode statistique) pour améliorer leur point d'entrée. Un **achat** ne serait justifié qu'en cas de rebond confirmé des cours du caoutchouc et d'amélioration des marges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6,221 titres</w:t>
            </w:r>
          </w:p>
        </w:tc>
        <w:tc>
          <w:tcPr>
            <w:tcW w:type="dxa" w:w="2268"/>
            <w:shd w:fill="FFF2CC" w:val="clear"/>
          </w:tcPr>
          <w:p>
            <w:r>
              <w:rPr>
                <w:b/>
                <w:color w:val="503200"/>
                <w:sz w:val="16"/>
              </w:rPr>
              <w:t xml:space="preserve">Cours actuel : </w:t>
            </w:r>
            <w:r>
              <w:rPr>
                <w:color w:val="000000"/>
                <w:sz w:val="17"/>
              </w:rPr>
              <w:t>2,065 FCFA</w:t>
            </w:r>
          </w:p>
          <w:p>
            <w:r>
              <w:rPr>
                <w:b/>
                <w:color w:val="503200"/>
                <w:sz w:val="16"/>
              </w:rPr>
              <w:t xml:space="preserve">Var. 100 jours : </w:t>
            </w:r>
            <w:r>
              <w:rPr>
                <w:b/>
                <w:color w:val="B40000"/>
                <w:sz w:val="17"/>
              </w:rPr>
              <w:t>-26.12%</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2,065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14.82% (Moyenne) — μ=2,851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β=-0.0585 (Contre-cyclique) — Cov=-0.000004, Var(idx)=0.000073, ρ=-0.013,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1,921</w:t>
            </w:r>
          </w:p>
        </w:tc>
        <w:tc>
          <w:tcPr>
            <w:tcW w:type="dxa" w:w="1440"/>
            <w:shd w:fill="FAFAFA" w:val="clear"/>
          </w:tcPr>
          <w:p>
            <w:r>
              <w:rPr>
                <w:b/>
                <w:sz w:val="17"/>
              </w:rPr>
              <w:t>2,056</w:t>
            </w:r>
          </w:p>
        </w:tc>
        <w:tc>
          <w:tcPr>
            <w:tcW w:type="dxa" w:w="1440"/>
            <w:shd w:fill="FAFAFA" w:val="clear"/>
          </w:tcPr>
          <w:p>
            <w:r>
              <w:rPr>
                <w:sz w:val="17"/>
              </w:rPr>
              <w:t>2,191</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1,858</w:t>
            </w:r>
          </w:p>
        </w:tc>
        <w:tc>
          <w:tcPr>
            <w:tcW w:type="dxa" w:w="1440"/>
            <w:shd w:fill="FAFAFA" w:val="clear"/>
          </w:tcPr>
          <w:p>
            <w:r>
              <w:rPr>
                <w:b/>
                <w:sz w:val="17"/>
              </w:rPr>
              <w:t>2,049</w:t>
            </w:r>
          </w:p>
        </w:tc>
        <w:tc>
          <w:tcPr>
            <w:tcW w:type="dxa" w:w="1440"/>
            <w:shd w:fill="FAFAFA" w:val="clear"/>
          </w:tcPr>
          <w:p>
            <w:r>
              <w:rPr>
                <w:sz w:val="17"/>
              </w:rPr>
              <w:t>2,240</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2026-10-12</w:t>
            </w:r>
          </w:p>
        </w:tc>
        <w:tc>
          <w:tcPr>
            <w:tcW w:type="dxa" w:w="1440"/>
            <w:shd w:fill="FAFAFA" w:val="clear"/>
          </w:tcPr>
          <w:p>
            <w:r>
              <w:rPr>
                <w:sz w:val="17"/>
              </w:rPr>
              <w:t>1,817</w:t>
            </w:r>
          </w:p>
        </w:tc>
        <w:tc>
          <w:tcPr>
            <w:tcW w:type="dxa" w:w="1440"/>
            <w:shd w:fill="FAFAFA" w:val="clear"/>
          </w:tcPr>
          <w:p>
            <w:r>
              <w:rPr>
                <w:b/>
                <w:sz w:val="17"/>
              </w:rPr>
              <w:t>2,050</w:t>
            </w:r>
          </w:p>
        </w:tc>
        <w:tc>
          <w:tcPr>
            <w:tcW w:type="dxa" w:w="1440"/>
            <w:shd w:fill="FAFAFA" w:val="clear"/>
          </w:tcPr>
          <w:p>
            <w:r>
              <w:rPr>
                <w:sz w:val="17"/>
              </w:rPr>
              <w:t>2,284</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1,784</w:t>
            </w:r>
          </w:p>
        </w:tc>
        <w:tc>
          <w:tcPr>
            <w:tcW w:type="dxa" w:w="1440"/>
            <w:shd w:fill="FAFAFA" w:val="clear"/>
          </w:tcPr>
          <w:p>
            <w:r>
              <w:rPr>
                <w:b/>
                <w:sz w:val="17"/>
              </w:rPr>
              <w:t>2,055</w:t>
            </w:r>
          </w:p>
        </w:tc>
        <w:tc>
          <w:tcPr>
            <w:tcW w:type="dxa" w:w="1440"/>
            <w:shd w:fill="FAFAFA" w:val="clear"/>
          </w:tcPr>
          <w:p>
            <w:r>
              <w:rPr>
                <w:sz w:val="17"/>
              </w:rPr>
              <w:t>2,325</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1,757</w:t>
            </w:r>
          </w:p>
        </w:tc>
        <w:tc>
          <w:tcPr>
            <w:tcW w:type="dxa" w:w="1440"/>
            <w:shd w:fill="FAFAFA" w:val="clear"/>
          </w:tcPr>
          <w:p>
            <w:r>
              <w:rPr>
                <w:b/>
                <w:sz w:val="17"/>
              </w:rPr>
              <w:t>2,060</w:t>
            </w:r>
          </w:p>
        </w:tc>
        <w:tc>
          <w:tcPr>
            <w:tcW w:type="dxa" w:w="1440"/>
            <w:shd w:fill="FAFAFA" w:val="clear"/>
          </w:tcPr>
          <w:p>
            <w:r>
              <w:rPr>
                <w:sz w:val="17"/>
              </w:rPr>
              <w:t>2,363</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1,733</w:t>
            </w:r>
          </w:p>
        </w:tc>
        <w:tc>
          <w:tcPr>
            <w:tcW w:type="dxa" w:w="1440"/>
            <w:shd w:fill="FAFAFA" w:val="clear"/>
          </w:tcPr>
          <w:p>
            <w:r>
              <w:rPr>
                <w:b/>
                <w:sz w:val="17"/>
              </w:rPr>
              <w:t>2,066</w:t>
            </w:r>
          </w:p>
        </w:tc>
        <w:tc>
          <w:tcPr>
            <w:tcW w:type="dxa" w:w="1440"/>
            <w:shd w:fill="FAFAFA" w:val="clear"/>
          </w:tcPr>
          <w:p>
            <w:r>
              <w:rPr>
                <w:sz w:val="17"/>
              </w:rPr>
              <w:t>2,399</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1,711</w:t>
            </w:r>
          </w:p>
        </w:tc>
        <w:tc>
          <w:tcPr>
            <w:tcW w:type="dxa" w:w="1440"/>
            <w:shd w:fill="FAFAFA" w:val="clear"/>
          </w:tcPr>
          <w:p>
            <w:r>
              <w:rPr>
                <w:b/>
                <w:sz w:val="17"/>
              </w:rPr>
              <w:t>2,072</w:t>
            </w:r>
          </w:p>
        </w:tc>
        <w:tc>
          <w:tcPr>
            <w:tcW w:type="dxa" w:w="1440"/>
            <w:shd w:fill="FAFAFA" w:val="clear"/>
          </w:tcPr>
          <w:p>
            <w:r>
              <w:rPr>
                <w:sz w:val="17"/>
              </w:rPr>
              <w:t>2,432</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1,690</w:t>
            </w:r>
          </w:p>
        </w:tc>
        <w:tc>
          <w:tcPr>
            <w:tcW w:type="dxa" w:w="1440"/>
            <w:shd w:fill="FAFAFA" w:val="clear"/>
          </w:tcPr>
          <w:p>
            <w:r>
              <w:rPr>
                <w:b/>
                <w:sz w:val="17"/>
              </w:rPr>
              <w:t>2,077</w:t>
            </w:r>
          </w:p>
        </w:tc>
        <w:tc>
          <w:tcPr>
            <w:tcW w:type="dxa" w:w="1440"/>
            <w:shd w:fill="FAFAFA" w:val="clear"/>
          </w:tcPr>
          <w:p>
            <w:r>
              <w:rPr>
                <w:sz w:val="17"/>
              </w:rPr>
              <w:t>2,463</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1,670</w:t>
            </w:r>
          </w:p>
        </w:tc>
        <w:tc>
          <w:tcPr>
            <w:tcW w:type="dxa" w:w="1440"/>
            <w:shd w:fill="FAFAFA" w:val="clear"/>
          </w:tcPr>
          <w:p>
            <w:r>
              <w:rPr>
                <w:b/>
                <w:sz w:val="17"/>
              </w:rPr>
              <w:t>2,081</w:t>
            </w:r>
          </w:p>
        </w:tc>
        <w:tc>
          <w:tcPr>
            <w:tcW w:type="dxa" w:w="1440"/>
            <w:shd w:fill="FAFAFA" w:val="clear"/>
          </w:tcPr>
          <w:p>
            <w:r>
              <w:rPr>
                <w:sz w:val="17"/>
              </w:rPr>
              <w:t>2,492</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1,651</w:t>
            </w:r>
          </w:p>
        </w:tc>
        <w:tc>
          <w:tcPr>
            <w:tcW w:type="dxa" w:w="1440"/>
            <w:shd w:fill="FAFAFA" w:val="clear"/>
          </w:tcPr>
          <w:p>
            <w:r>
              <w:rPr>
                <w:b/>
                <w:sz w:val="17"/>
              </w:rPr>
              <w:t>2,085</w:t>
            </w:r>
          </w:p>
        </w:tc>
        <w:tc>
          <w:tcPr>
            <w:tcW w:type="dxa" w:w="1440"/>
            <w:shd w:fill="FAFAFA" w:val="clear"/>
          </w:tcPr>
          <w:p>
            <w:r>
              <w:rPr>
                <w:sz w:val="17"/>
              </w:rPr>
              <w:t>2,519</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 Études &amp; Travaux*</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27,75 Mds FCFA, STAC se situe dans la fourchette des petites capitalisations de la BRVM, ce qui la rend vulnérable aux mouvements de faible volume et à la faible liquidité du marché. Le BPA ressort à -7 FCFA/action, traduisant une société en perte nette, ce qui rend le PER inexploitable (-287,4x) et signale l'absence de bénéfices à valoriser. Le P/B de 77,80x est exceptionnellement élevé — très au-dessus du seuil de 4x considéré comme une forte prime — et s'explique par des capitaux propres très faibles (356,75 M FCFA) face à une capitalisation de 27,75 Mds FCFA, ce qui signifie que le marché valorise le titre bien au-delà de sa valeur comptable, probablement en anticipation d'un redressement. Le ratio EV/EBITDA n'est pas pertinent ici puisque l'EBE est négatif (-650,13 M FCFA), ce qui confirme que la valeur d'entreprise ne peut être comparée à une capacité opérationnelle inexistante. En synthèse, la valorisation boursière de STAC ne repose sur aucun fondamental tangible actuel et traduit une prime spéculative très risquée.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STAC a chuté de -26,12%, avec une dernière séance en repli de -1,67%, portant le titre à 2 065 FCFA — soit exactement son plus bas de la période, tandis que le plus haut a atteint 3 640 FCFA, matérialisant un range de trading de 1 575 FCFA (76% d'amplitude). La tendance est clairement baissière et le titre clôture au plancher de sa fourchette, signe d'une pression vendeuse persistante et d'une absence de support acheteur. Les statistiques descriptives révèlent une moyenne de 2 851 FCFA très proche de la médiane (2 808 FCFA), avec un skewness de 0,152 indiquant une distribution quasi symétrique, sans biais marqué vers les extrêmes. L'écart-type de 425 FCFA et le coefficient de variation de 14,9% traduisent une dispersion modérée du cours autour de sa moyenne, tandis que le kurtosis de -0,796 (mésokurtique) suggère une distribution proche de la normale, donc un risque de pics extrêmes relativement contenu. La volatilité annualisée de 60,1% classe toutefois le titre dans la catégorie des valeurs à volatilité élevée (&gt;30%), ce qui implique un risque de variation important à court terme. Le mode à 3 500 FCFA, très supérieur au cours actuel, confirme que le titre a longtemps évolué à des niveaux bien plus élevés avant son décrochage récent.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(2 297 FCFA) et la MM50 (2 516,2 FCFA) se situent toutes deux au-dessus du cours actuel (2 065 FCFA), et la MM20 est elle-même inférieure à la MM50, configuration baissière caractéristique d'un marché en tendance descendante. Le cours évoluant sous ses deux moyennes, la décision technique de vente est pleinement justifiée.</w:t>
      </w:r>
    </w:p>
    <w:p>
      <w:pPr>
        <w:spacing w:after="120" w:line="276" w:lineRule="auto"/>
      </w:pPr>
      <w:r>
        <w:t>**Bandes de Bollinger** : Le cours (2 065 FCFA) se situe dans la moitié basse de la bande, entre la borne inférieure (1 932,432 FCFA) et la borne supérieure (2 661,568 FCFA), sans franchissement de la borne basse, ce qui explique la décision neutre. L'écart entre les bornes reste large, reflétant une volatilité toujours élevée mais sans signal de retournement imminent.</w:t>
      </w:r>
    </w:p>
    <w:p>
      <w:pPr>
        <w:spacing w:after="120" w:line="276" w:lineRule="auto"/>
      </w:pPr>
      <w:r>
        <w:t>**MACD** : Le MACD (-127,654) est inférieur à son signal (-124,384), avec un histogramme négatif, confirmant un momentum baissier toujours actif. La décision de vente est cohérente avec cette configuration de divergence négative persistante.</w:t>
      </w:r>
    </w:p>
    <w:p>
      <w:pPr>
        <w:spacing w:after="120" w:line="276" w:lineRule="auto"/>
      </w:pPr>
      <w:r>
        <w:t>**RSI** : À 36,201, le RSI se situe dans la zone neutre basse (30-70), sans atteindre le seuil de survente (&lt;30), ce qui justifie la décision neutre. Le titre n'est donc pas encore techniquement « survendu », laissant la porte ouverte à une poursuite de la baisse.</w:t>
      </w:r>
    </w:p>
    <w:p>
      <w:pPr>
        <w:spacing w:after="120" w:line="276" w:lineRule="auto"/>
      </w:pPr>
      <w:r>
        <w:t>**Stochastique** : Le %K à 0,0 et le %D à 11,075 indiquent que le cours évolue au plus bas de sa fourchette récente, avec un %K en zone extrême de survente. Cette configuration génère une décision d'achat contrariante, mais elle doit être interprétée avec prudence car un %K à 0 en tendance baissière peut signaler une faiblesse prolongée plutôt qu'un rebond.</w:t>
      </w:r>
    </w:p>
    <w:p>
      <w:pPr>
        <w:spacing w:after="120" w:line="276" w:lineRule="auto"/>
      </w:pPr>
      <w:r>
        <w:t>**Conclusion technique** : La majorité des indicateurs (MM, MACD) confirment une tendance baissière solidement installée, tandis que le RSI et les Bollinger restent neutres et que seul le stochastique émet un signal d'achat isolé en zone de survente extrême. Cette divergence entre signaux baissiers dominants et un signal d'achat ponctuel suggère l'absence de retournement confirmé ; la prudence reste de mise tant que le cours n'aura pas réintégré la MM20 (2 297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STAC (entreprise non bancaire) affichent un chiffre d'affaires de 3,878 Mds FCFA, en croissance spectaculaire de +116,26% par rapport à 2024 (1,793 Md FCFA selon le rapport des états financiers 2024), portée par la reprise des travaux de l'aéroport d'Abidjan. Cependant, cette dynamique commerciale ne se traduit pas encore en rentabilité : le résultat net reste négatif à -96,56 M FCFA, la marge nette à -2,49%, la marge opérationnelle à -19,90% et l'EBE à -650,13 M FCFA, tandis que le ROE s'établit à -27,07% et le ROA à -1,77%. La structure financière est très fragile : l'autonomie financière n'est que de 6,55% (très en dessous du seuil sain de 30%), le ratio d'endettement atteint 93,45% et la capacité de remboursement est de 77,53 années de CAF, ce qui traduit une dépendance extrême à l'endettement. Le point positif réside dans un BFR négatif (-930,47 M FCFA, favorable pour une entreprise) et une trésorerie nette de 1,330 Md FCFA, ainsi qu'une liquidité générale de 108,64% (&gt;1, satisfaisante). L'analyse des rapports narratifs confirme cette trajectoire : le rapport du 3ᵉ trimestre 2025 (30/09/2025) fait état d'un CA cumulé de 3 456 M FCFA (+176%) et d'une perte nette réduite de 22% à -477 M FCFA, avec une perte d'exploitation divisée par deux (-456 M FCFA contre -921 M FCFA), tandis que le rapport S1 2025 (30/06/2025) montrait un CA de 2 271 M FCFA (+290%) mais une perte nette aggravée de 77% à -557 M FCFA. On estime, sur la base de ces rapports trimestriels, que l'exercice 2025 devrait se solder par une perte nette annuelle d'environ -100 M FCFA (cohérente avec le chiffre structuré), en nette amélioration par rapport aux -348 M FCFA de 2024 et aux -1 118 M FCFA de 2023, mais sans encore atteindre le seuil de rentabilité. La comparaison historique est éclairante : la société affichait en 2020 un CA de 15,9 Mds FCFA et un résultat net de 2,32 Mds FCFA (marge nette 14,6%), avant un effondrement progressif (10,27 Mds en 2021, 9,26 Mds en 2023, 1,79 Md en 2024). La recommandation fondamentale est donc prudente : la trajectoire de réduction des pertes est encourageante et le rebond du CA est réel, mais la fragilité des capitaux propres (356,75 M FCFA), l'absence de dividendes depuis 2018 et l'extrême dépendance au chantier de l'aéroport d'Abidjan constituent des risques majeurs. Le retour à la rentabilité opérationnelle reste l'enjeu critique pour la survie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tableau très mitigé. La valorisation (Partie 0) est clairement surévaluée avec un P/B de 77,80x et un PER inexploitable en raison des pertes, ce qui traduit une prime spéculative sans ancrage fondamental. Le comportement du cours (Partie 1) est franchement baissier (-26,12% sur 100 jours, clôture au plus bas), avec une volatilité élevée (60,1%) et une distribution symétrique sans biais haussier, ce qui est préoccupant pour un investisseur cherchant un point d'entrée. Les signaux techniques (Partie 2) sont majoritairement baissiers (MM, MACD), avec un RSI et des Bollinger neutres et un stochastique en survente extrême qui n'a pas encore déclenché de rebond confirmé. Les fondamentaux (Partie 3) montrent une amélioration réelle du CA (+116% en 2025) et une réduction des pertes, mais la structure financière reste très fragile (autonomie 6,55%, endettement 93,45%) et la rentabilité n'est pas encore au rendez-vous. Les prédictions IA pour les 10 prochains jours (2 056 → 2 060 FCFA) suggèrent une stabilisation autour de 2 050-2 060 FCFA, sans rebond significatif, ce qui confirme l'absence de catalyseur haussier immédiat et contredit le signal d'achat isolé du stochastique. **Recommandation finale : VENTE**, avec un niveau de confiance **Moyen** et un risque global **Élevé**. La convergence des signaux baissiers (valorisation excessive, technique dégradée, fondamentaux fragiles) l'emporte sur les rares signaux positifs (stochastique en survente, amélioration du CA), et l'horizon d'investissement recommandé est le **court terme (&lt;3 mois)** pour les investisseurs déjà positionnés souhaitant limiter leurs pertes ; les investisseurs long terme devraient attendre une confirmation de la rentabilité opérationnelle et un renforcement des capitaux propres avant d'envisager une 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390.88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3,597 titres</w:t>
            </w:r>
          </w:p>
        </w:tc>
        <w:tc>
          <w:tcPr>
            <w:tcW w:type="dxa" w:w="2268"/>
            <w:shd w:fill="FFF2CC" w:val="clear"/>
          </w:tcPr>
          <w:p>
            <w:r>
              <w:rPr>
                <w:b/>
                <w:color w:val="503200"/>
                <w:sz w:val="16"/>
              </w:rPr>
              <w:t xml:space="preserve">Cours actuel : </w:t>
            </w:r>
            <w:r>
              <w:rPr>
                <w:color w:val="000000"/>
                <w:sz w:val="17"/>
              </w:rPr>
              <w:t>21,770 FCFA</w:t>
            </w:r>
          </w:p>
          <w:p>
            <w:r>
              <w:rPr>
                <w:b/>
                <w:color w:val="503200"/>
                <w:sz w:val="16"/>
              </w:rPr>
              <w:t xml:space="preserve">Var. 100 jours : </w:t>
            </w:r>
            <w:r>
              <w:rPr>
                <w:b/>
                <w:color w:val="007800"/>
                <w:sz w:val="17"/>
              </w:rPr>
              <w:t>+3.67%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4.96% (Faible) — μ=22,560 FCFA, σ=1,119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β=0.4491 (Défensif) — Cov=0.000033, Var(idx)=0.000073, ρ=0.165,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2026-10-08</w:t>
            </w:r>
          </w:p>
        </w:tc>
        <w:tc>
          <w:tcPr>
            <w:tcW w:type="dxa" w:w="1440"/>
            <w:shd w:fill="C6EFCE" w:val="clear"/>
          </w:tcPr>
          <w:p>
            <w:r>
              <w:rPr>
                <w:sz w:val="17"/>
              </w:rPr>
              <w:t>21,590</w:t>
            </w:r>
          </w:p>
        </w:tc>
        <w:tc>
          <w:tcPr>
            <w:tcW w:type="dxa" w:w="1440"/>
            <w:shd w:fill="C6EFCE" w:val="clear"/>
          </w:tcPr>
          <w:p>
            <w:r>
              <w:rPr>
                <w:b/>
                <w:sz w:val="17"/>
              </w:rPr>
              <w:t>22,512</w:t>
            </w:r>
          </w:p>
        </w:tc>
        <w:tc>
          <w:tcPr>
            <w:tcW w:type="dxa" w:w="1440"/>
            <w:shd w:fill="C6EFCE" w:val="clear"/>
          </w:tcPr>
          <w:p>
            <w:r>
              <w:rPr>
                <w:sz w:val="17"/>
              </w:rPr>
              <w:t>23,435</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2026-10-09</w:t>
            </w:r>
          </w:p>
        </w:tc>
        <w:tc>
          <w:tcPr>
            <w:tcW w:type="dxa" w:w="1440"/>
            <w:shd w:fill="C6EFCE" w:val="clear"/>
          </w:tcPr>
          <w:p>
            <w:r>
              <w:rPr>
                <w:sz w:val="17"/>
              </w:rPr>
              <w:t>21,447</w:t>
            </w:r>
          </w:p>
        </w:tc>
        <w:tc>
          <w:tcPr>
            <w:tcW w:type="dxa" w:w="1440"/>
            <w:shd w:fill="C6EFCE" w:val="clear"/>
          </w:tcPr>
          <w:p>
            <w:r>
              <w:rPr>
                <w:b/>
                <w:sz w:val="17"/>
              </w:rPr>
              <w:t>22,767</w:t>
            </w:r>
          </w:p>
        </w:tc>
        <w:tc>
          <w:tcPr>
            <w:tcW w:type="dxa" w:w="1440"/>
            <w:shd w:fill="C6EFCE" w:val="clear"/>
          </w:tcPr>
          <w:p>
            <w:r>
              <w:rPr>
                <w:sz w:val="17"/>
              </w:rPr>
              <w:t>24,086</w:t>
            </w:r>
          </w:p>
        </w:tc>
        <w:tc>
          <w:tcPr>
            <w:tcW w:type="dxa" w:w="1440"/>
            <w:shd w:fill="C6EFCE" w:val="clear"/>
          </w:tcPr>
          <w:p>
            <w:r>
              <w:rPr>
                <w:b/>
                <w:color w:val="008000"/>
                <w:sz w:val="17"/>
              </w:rPr>
              <w:t>+4.6%</w:t>
            </w:r>
          </w:p>
        </w:tc>
      </w:tr>
      <w:tr>
        <w:tc>
          <w:tcPr>
            <w:tcW w:type="dxa" w:w="1440"/>
            <w:shd w:fill="C6EFCE" w:val="clear"/>
          </w:tcPr>
          <w:p>
            <w:r>
              <w:rPr>
                <w:sz w:val="17"/>
              </w:rPr>
              <w:t>J+3  ⭐</w:t>
            </w:r>
          </w:p>
        </w:tc>
        <w:tc>
          <w:tcPr>
            <w:tcW w:type="dxa" w:w="1440"/>
            <w:shd w:fill="C6EFCE" w:val="clear"/>
          </w:tcPr>
          <w:p>
            <w:r>
              <w:rPr>
                <w:sz w:val="17"/>
              </w:rPr>
              <w:t>2026-10-12</w:t>
            </w:r>
          </w:p>
        </w:tc>
        <w:tc>
          <w:tcPr>
            <w:tcW w:type="dxa" w:w="1440"/>
            <w:shd w:fill="C6EFCE" w:val="clear"/>
          </w:tcPr>
          <w:p>
            <w:r>
              <w:rPr>
                <w:sz w:val="17"/>
              </w:rPr>
              <w:t>21,329</w:t>
            </w:r>
          </w:p>
        </w:tc>
        <w:tc>
          <w:tcPr>
            <w:tcW w:type="dxa" w:w="1440"/>
            <w:shd w:fill="C6EFCE" w:val="clear"/>
          </w:tcPr>
          <w:p>
            <w:r>
              <w:rPr>
                <w:b/>
                <w:sz w:val="17"/>
              </w:rPr>
              <w:t>22,959</w:t>
            </w:r>
          </w:p>
        </w:tc>
        <w:tc>
          <w:tcPr>
            <w:tcW w:type="dxa" w:w="1440"/>
            <w:shd w:fill="C6EFCE" w:val="clear"/>
          </w:tcPr>
          <w:p>
            <w:r>
              <w:rPr>
                <w:sz w:val="17"/>
              </w:rPr>
              <w:t>24,589</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2026-10-13</w:t>
            </w:r>
          </w:p>
        </w:tc>
        <w:tc>
          <w:tcPr>
            <w:tcW w:type="dxa" w:w="1440"/>
            <w:shd w:fill="C6EFCE" w:val="clear"/>
          </w:tcPr>
          <w:p>
            <w:r>
              <w:rPr>
                <w:sz w:val="17"/>
              </w:rPr>
              <w:t>21,293</w:t>
            </w:r>
          </w:p>
        </w:tc>
        <w:tc>
          <w:tcPr>
            <w:tcW w:type="dxa" w:w="1440"/>
            <w:shd w:fill="C6EFCE" w:val="clear"/>
          </w:tcPr>
          <w:p>
            <w:r>
              <w:rPr>
                <w:b/>
                <w:sz w:val="17"/>
              </w:rPr>
              <w:t>23,195</w:t>
            </w:r>
          </w:p>
        </w:tc>
        <w:tc>
          <w:tcPr>
            <w:tcW w:type="dxa" w:w="1440"/>
            <w:shd w:fill="C6EFCE" w:val="clear"/>
          </w:tcPr>
          <w:p>
            <w:r>
              <w:rPr>
                <w:sz w:val="17"/>
              </w:rPr>
              <w:t>25,096</w:t>
            </w:r>
          </w:p>
        </w:tc>
        <w:tc>
          <w:tcPr>
            <w:tcW w:type="dxa" w:w="1440"/>
            <w:shd w:fill="C6EFCE" w:val="clear"/>
          </w:tcPr>
          <w:p>
            <w:r>
              <w:rPr>
                <w:b/>
                <w:color w:val="008000"/>
                <w:sz w:val="17"/>
              </w:rPr>
              <w:t>+6.5%</w:t>
            </w:r>
          </w:p>
        </w:tc>
      </w:tr>
      <w:tr>
        <w:tc>
          <w:tcPr>
            <w:tcW w:type="dxa" w:w="1440"/>
            <w:shd w:fill="C6EFCE" w:val="clear"/>
          </w:tcPr>
          <w:p>
            <w:r>
              <w:rPr>
                <w:sz w:val="17"/>
              </w:rPr>
              <w:t>J+5  ⭐</w:t>
            </w:r>
          </w:p>
        </w:tc>
        <w:tc>
          <w:tcPr>
            <w:tcW w:type="dxa" w:w="1440"/>
            <w:shd w:fill="C6EFCE" w:val="clear"/>
          </w:tcPr>
          <w:p>
            <w:r>
              <w:rPr>
                <w:sz w:val="17"/>
              </w:rPr>
              <w:t>2026-10-14</w:t>
            </w:r>
          </w:p>
        </w:tc>
        <w:tc>
          <w:tcPr>
            <w:tcW w:type="dxa" w:w="1440"/>
            <w:shd w:fill="C6EFCE" w:val="clear"/>
          </w:tcPr>
          <w:p>
            <w:r>
              <w:rPr>
                <w:sz w:val="17"/>
              </w:rPr>
              <w:t>21,354</w:t>
            </w:r>
          </w:p>
        </w:tc>
        <w:tc>
          <w:tcPr>
            <w:tcW w:type="dxa" w:w="1440"/>
            <w:shd w:fill="C6EFCE" w:val="clear"/>
          </w:tcPr>
          <w:p>
            <w:r>
              <w:rPr>
                <w:b/>
                <w:sz w:val="17"/>
              </w:rPr>
              <w:t>23,509</w:t>
            </w:r>
          </w:p>
        </w:tc>
        <w:tc>
          <w:tcPr>
            <w:tcW w:type="dxa" w:w="1440"/>
            <w:shd w:fill="C6EFCE" w:val="clear"/>
          </w:tcPr>
          <w:p>
            <w:r>
              <w:rPr>
                <w:sz w:val="17"/>
              </w:rPr>
              <w:t>25,663</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2026-10-15</w:t>
            </w:r>
          </w:p>
        </w:tc>
        <w:tc>
          <w:tcPr>
            <w:tcW w:type="dxa" w:w="1440"/>
            <w:shd w:fill="C6EFCE" w:val="clear"/>
          </w:tcPr>
          <w:p>
            <w:r>
              <w:rPr>
                <w:sz w:val="17"/>
              </w:rPr>
              <w:t>21,323</w:t>
            </w:r>
          </w:p>
        </w:tc>
        <w:tc>
          <w:tcPr>
            <w:tcW w:type="dxa" w:w="1440"/>
            <w:shd w:fill="C6EFCE" w:val="clear"/>
          </w:tcPr>
          <w:p>
            <w:r>
              <w:rPr>
                <w:b/>
                <w:sz w:val="17"/>
              </w:rPr>
              <w:t>23,702</w:t>
            </w:r>
          </w:p>
        </w:tc>
        <w:tc>
          <w:tcPr>
            <w:tcW w:type="dxa" w:w="1440"/>
            <w:shd w:fill="C6EFCE" w:val="clear"/>
          </w:tcPr>
          <w:p>
            <w:r>
              <w:rPr>
                <w:sz w:val="17"/>
              </w:rPr>
              <w:t>26,081</w:t>
            </w:r>
          </w:p>
        </w:tc>
        <w:tc>
          <w:tcPr>
            <w:tcW w:type="dxa" w:w="1440"/>
            <w:shd w:fill="C6EFCE" w:val="clear"/>
          </w:tcPr>
          <w:p>
            <w:r>
              <w:rPr>
                <w:b/>
                <w:color w:val="008000"/>
                <w:sz w:val="17"/>
              </w:rPr>
              <w:t>+8.9%</w:t>
            </w:r>
          </w:p>
        </w:tc>
      </w:tr>
      <w:tr>
        <w:tc>
          <w:tcPr>
            <w:tcW w:type="dxa" w:w="1440"/>
            <w:shd w:fill="C6EFCE" w:val="clear"/>
          </w:tcPr>
          <w:p>
            <w:r>
              <w:rPr>
                <w:sz w:val="17"/>
              </w:rPr>
              <w:t>J+7  ⭐</w:t>
            </w:r>
          </w:p>
        </w:tc>
        <w:tc>
          <w:tcPr>
            <w:tcW w:type="dxa" w:w="1440"/>
            <w:shd w:fill="C6EFCE" w:val="clear"/>
          </w:tcPr>
          <w:p>
            <w:r>
              <w:rPr>
                <w:sz w:val="17"/>
              </w:rPr>
              <w:t>2026-10-16</w:t>
            </w:r>
          </w:p>
        </w:tc>
        <w:tc>
          <w:tcPr>
            <w:tcW w:type="dxa" w:w="1440"/>
            <w:shd w:fill="C6EFCE" w:val="clear"/>
          </w:tcPr>
          <w:p>
            <w:r>
              <w:rPr>
                <w:sz w:val="17"/>
              </w:rPr>
              <w:t>21,295</w:t>
            </w:r>
          </w:p>
        </w:tc>
        <w:tc>
          <w:tcPr>
            <w:tcW w:type="dxa" w:w="1440"/>
            <w:shd w:fill="C6EFCE" w:val="clear"/>
          </w:tcPr>
          <w:p>
            <w:r>
              <w:rPr>
                <w:b/>
                <w:sz w:val="17"/>
              </w:rPr>
              <w:t>23,885</w:t>
            </w:r>
          </w:p>
        </w:tc>
        <w:tc>
          <w:tcPr>
            <w:tcW w:type="dxa" w:w="1440"/>
            <w:shd w:fill="C6EFCE" w:val="clear"/>
          </w:tcPr>
          <w:p>
            <w:r>
              <w:rPr>
                <w:sz w:val="17"/>
              </w:rPr>
              <w:t>26,475</w:t>
            </w:r>
          </w:p>
        </w:tc>
        <w:tc>
          <w:tcPr>
            <w:tcW w:type="dxa" w:w="1440"/>
            <w:shd w:fill="C6EFCE" w:val="clear"/>
          </w:tcPr>
          <w:p>
            <w:r>
              <w:rPr>
                <w:b/>
                <w:color w:val="008000"/>
                <w:sz w:val="17"/>
              </w:rPr>
              <w:t>+9.7%</w:t>
            </w:r>
          </w:p>
        </w:tc>
      </w:tr>
      <w:tr>
        <w:tc>
          <w:tcPr>
            <w:tcW w:type="dxa" w:w="1440"/>
            <w:shd w:fill="C6EFCE" w:val="clear"/>
          </w:tcPr>
          <w:p>
            <w:r>
              <w:rPr>
                <w:sz w:val="17"/>
              </w:rPr>
              <w:t>J+8  ⭐</w:t>
            </w:r>
          </w:p>
        </w:tc>
        <w:tc>
          <w:tcPr>
            <w:tcW w:type="dxa" w:w="1440"/>
            <w:shd w:fill="C6EFCE" w:val="clear"/>
          </w:tcPr>
          <w:p>
            <w:r>
              <w:rPr>
                <w:sz w:val="17"/>
              </w:rPr>
              <w:t>2026-10-19</w:t>
            </w:r>
          </w:p>
        </w:tc>
        <w:tc>
          <w:tcPr>
            <w:tcW w:type="dxa" w:w="1440"/>
            <w:shd w:fill="C6EFCE" w:val="clear"/>
          </w:tcPr>
          <w:p>
            <w:r>
              <w:rPr>
                <w:sz w:val="17"/>
              </w:rPr>
              <w:t>21,250</w:t>
            </w:r>
          </w:p>
        </w:tc>
        <w:tc>
          <w:tcPr>
            <w:tcW w:type="dxa" w:w="1440"/>
            <w:shd w:fill="C6EFCE" w:val="clear"/>
          </w:tcPr>
          <w:p>
            <w:r>
              <w:rPr>
                <w:b/>
                <w:sz w:val="17"/>
              </w:rPr>
              <w:t>24,036</w:t>
            </w:r>
          </w:p>
        </w:tc>
        <w:tc>
          <w:tcPr>
            <w:tcW w:type="dxa" w:w="1440"/>
            <w:shd w:fill="C6EFCE" w:val="clear"/>
          </w:tcPr>
          <w:p>
            <w:r>
              <w:rPr>
                <w:sz w:val="17"/>
              </w:rPr>
              <w:t>26,822</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2026-10-20</w:t>
            </w:r>
          </w:p>
        </w:tc>
        <w:tc>
          <w:tcPr>
            <w:tcW w:type="dxa" w:w="1440"/>
            <w:shd w:fill="C6EFCE" w:val="clear"/>
          </w:tcPr>
          <w:p>
            <w:r>
              <w:rPr>
                <w:sz w:val="17"/>
              </w:rPr>
              <w:t>21,184</w:t>
            </w:r>
          </w:p>
        </w:tc>
        <w:tc>
          <w:tcPr>
            <w:tcW w:type="dxa" w:w="1440"/>
            <w:shd w:fill="C6EFCE" w:val="clear"/>
          </w:tcPr>
          <w:p>
            <w:r>
              <w:rPr>
                <w:b/>
                <w:sz w:val="17"/>
              </w:rPr>
              <w:t>24,153</w:t>
            </w:r>
          </w:p>
        </w:tc>
        <w:tc>
          <w:tcPr>
            <w:tcW w:type="dxa" w:w="1440"/>
            <w:shd w:fill="C6EFCE" w:val="clear"/>
          </w:tcPr>
          <w:p>
            <w:r>
              <w:rPr>
                <w:sz w:val="17"/>
              </w:rPr>
              <w:t>27,123</w:t>
            </w:r>
          </w:p>
        </w:tc>
        <w:tc>
          <w:tcPr>
            <w:tcW w:type="dxa" w:w="1440"/>
            <w:shd w:fill="C6EFCE" w:val="clear"/>
          </w:tcPr>
          <w:p>
            <w:r>
              <w:rPr>
                <w:b/>
                <w:color w:val="008000"/>
                <w:sz w:val="17"/>
              </w:rPr>
              <w:t>+10.9%</w:t>
            </w:r>
          </w:p>
        </w:tc>
      </w:tr>
      <w:tr>
        <w:tc>
          <w:tcPr>
            <w:tcW w:type="dxa" w:w="1440"/>
            <w:shd w:fill="C6EFCE" w:val="clear"/>
          </w:tcPr>
          <w:p>
            <w:r>
              <w:rPr>
                <w:sz w:val="17"/>
              </w:rPr>
              <w:t>J+10  ⭐</w:t>
            </w:r>
          </w:p>
        </w:tc>
        <w:tc>
          <w:tcPr>
            <w:tcW w:type="dxa" w:w="1440"/>
            <w:shd w:fill="C6EFCE" w:val="clear"/>
          </w:tcPr>
          <w:p>
            <w:r>
              <w:rPr>
                <w:sz w:val="17"/>
              </w:rPr>
              <w:t>2026-10-21</w:t>
            </w:r>
          </w:p>
        </w:tc>
        <w:tc>
          <w:tcPr>
            <w:tcW w:type="dxa" w:w="1440"/>
            <w:shd w:fill="C6EFCE" w:val="clear"/>
          </w:tcPr>
          <w:p>
            <w:r>
              <w:rPr>
                <w:sz w:val="17"/>
              </w:rPr>
              <w:t>21,103</w:t>
            </w:r>
          </w:p>
        </w:tc>
        <w:tc>
          <w:tcPr>
            <w:tcW w:type="dxa" w:w="1440"/>
            <w:shd w:fill="C6EFCE" w:val="clear"/>
          </w:tcPr>
          <w:p>
            <w:r>
              <w:rPr>
                <w:b/>
                <w:sz w:val="17"/>
              </w:rPr>
              <w:t>24,245</w:t>
            </w:r>
          </w:p>
        </w:tc>
        <w:tc>
          <w:tcPr>
            <w:tcW w:type="dxa" w:w="1440"/>
            <w:shd w:fill="C6EFCE" w:val="clear"/>
          </w:tcPr>
          <w:p>
            <w:r>
              <w:rPr>
                <w:sz w:val="17"/>
              </w:rPr>
              <w:t>27,387</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390,88 milliards FCFA, STBC se positionne parmi les valeurs les plus importantes de la cote BRVM, ce qui témoigne de sa liquidité relative et de son poids dans l'indice composite. Le BPA de 2 014 FCFA par action indique que chaque titre génère un bénéfice net substantiel, ce qui, rapporté au cours actuel de 21 770 FCFA, donne un PER de 10,8x — un niveau modéré et parfaitement dans la fourchette moyenne du marché BRVM (8-12x), suggérant que les investisseurs ne paient pas de prime excessive pour les bénéfices. En revanche, le P/B de 8,62x révèle que le marché valorise l'action à plus de huit fois sa valeur comptable, une prime très élevée qui s'explique par la forte rentabilité des fonds propres (ROE de 79,75%) mais qui constitue un facteur de vulnérabilité en cas de correction. Enfin, l'EV/EBITDA de 7,8x, situé dans la fourchette raisonnable de 5-10x, indique que la valeur totale de l'entreprise (incluant sa trésorerie nette positive) reste cohérente avec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de +3,67%, avec une dernière séance en léger repli de -0,14%, traduisant une dynamique haussière modérée mais réelle. Le cours actuel de 21 770 FCFA se situe dans la partie basse du range de trading établi entre un plus bas de 20 895 FCFA et un plus haut de 25 000 FCFA, ce qui indique que le titre a corrigé depuis ses sommets sans pour autant casser sa tendance de fond. La moyenne des 100 jours s'établit à 22 560 FCFA, supérieure à la médiane de 22 218 FCFA, un écart qui confirme une asymétrie positive (skewness de 0,555) : les journées de forte hausse, bien que moins fréquentes, tirent la moyenne vers le haut, tandis que la majorité des séances se situent sous cette moyenne. L'écart-type de 1 125 FCFA avec un coefficient de variation de 5,0% indique une dispersion relativement contenue du cours autour de sa moyenne, ce qui est rassurant pour la stabilité du titre. Le kurtosis de -0,718 (mésokurtique) suggère une distribution proche de la normale, sans risque excessif de pics extrêmes, tandis que la volatilité annualisée de 36,7% classe le titre dans la catégorie des valeurs à volatilité élevée (&gt;30%), ce qui implique un risque de fluctuation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21 712,5 FCFA et la MM50 à 22 488,8 FCFA, avec un cours actuel de 21 770 FCFA qui évolue au-dessus de la MM20 mais en-dessous de la MM50. Cette configuration indique que la tendance de court terme est légèrement haussière tandis que la tendance de moyen terme reste baissière, justifiant la décision de vente émise par le croisement des moyennes.</w:t>
      </w:r>
    </w:p>
    <w:p>
      <w:pPr>
        <w:spacing w:after="120" w:line="276" w:lineRule="auto"/>
      </w:pPr>
      <w:r>
        <w:t>**Bandes de Bollinger** : Le cours de 21 770 FCFA se situe entre la borne inférieure de 20 987,151 FCFA et la borne supérieure de 22 437,849 FCFA, plus proche de la borne haute que de la borne basse. Cette position médiane-haute dans un canal relativement étroit traduit une volatilité modérée et une absence de signal directionnel fort, d'où la décision neutre.</w:t>
      </w:r>
    </w:p>
    <w:p>
      <w:pPr>
        <w:spacing w:after="120" w:line="276" w:lineRule="auto"/>
      </w:pPr>
      <w:r>
        <w:t>**MACD** : La valeur du MACD (-177,656) est supérieure à son signal (-269,817), ce qui génère un croisement haussier et une décision d'achat. Cette divergence positive indique que le momentum baissier s'essouffle et qu'un retournement à la hausse pourrait se matérialiser, bien que les deux lignes restent en territoire négatif.</w:t>
      </w:r>
    </w:p>
    <w:p>
      <w:pPr>
        <w:spacing w:after="120" w:line="276" w:lineRule="auto"/>
      </w:pPr>
      <w:r>
        <w:t>**RSI** : À 61,983, le RSI se situe dans la zone neutre (30-70) mais dans sa partie haute, sans atteindre la zone de surachat (&gt;70). Cette configuration suggère que le titre conserve un potentiel de hausse à court terme sans être techniquement surchauffé, ce qui justifie la décision neutre.</w:t>
      </w:r>
    </w:p>
    <w:p>
      <w:pPr>
        <w:spacing w:after="120" w:line="276" w:lineRule="auto"/>
      </w:pPr>
      <w:r>
        <w:t>**Stochastique** : Le %K (81,019) et le %D (82,87) évoluent tous deux en zone de surachat (&gt;80), avec un %K légèrement inférieur au %D, ce qui pourrait annoncer un croisement baissier imminent. Cette configuration justifie la décision de vente, le titre étant techniquement vulnérable à une correction à court terme.</w:t>
      </w:r>
    </w:p>
    <w:p>
      <w:pPr>
        <w:spacing w:after="120" w:line="276" w:lineRule="auto"/>
      </w:pPr>
      <w:r>
        <w:t>**Conclusion technique** : Les indicateurs présentent une divergence notable : le MACD est haussier tandis que les moyennes mobiles et le stochastique sont baissiers, le RSI et les bandes de Bollinger restant neutres. Cette absence de consensus technique traduit une phase d'incertitude où le titre cherche une direction, avec une légère prédominance des signaux baissiers à court terme (stochastique en surachat, cours sous la MM50) mais un potentiel de rebond soutenu par le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officiels) révèlent une société à la santé financière robuste mais en phase de normalisation de sa rentabilité. Le chiffre d'affaires s'établit à 268,537 milliards FCFA, en croissance de 25,3% par rapport à 2024, portée par une hausse des volumes de 5,6% et un effet prix favorable. Le résultat net atteint 36,158 milliards FCFA, en recul de 17,5% par rapport aux 44,2 milliards de 2024, sous l'effet de la hausse des droits d'accises (passés de 49% à 70% en janvier 2025) et d'un contrôle fiscal. Les ratios de rentabilité restent exceptionnels : le ROE de 79,75% (bien supérieur au seuil de 15% considéré comme excellent) et le ROA de 48,09% témoignent d'une efficacité remarquable dans l'utilisation des capitaux propres et des actifs. La marge nette de 13,46% demeure solide pour le secteur, bien qu'en baisse par rapport aux 20,4% de 2024. La structure financière est très saine : l'autonomie financière de 60,3% (capitaux propres/total bilan) dépasse largement le seuil de 30%, la trésorerie nette de 30,763 milliards FCFA couvre intégralement les dettes financières (1,4 million FCFA seulement), et le BFR de 5,639 milliards FCFA reste maîtrisé. Les délais d'exploitation sont bien contrôlés : 42,57 jours pour les clients et seulement 5,73 jours pour les stocks, limitant le risque de trésorerie. Sur la base des rapports trimestriels 2026, on estime que l'exercice en cours devrait confirmer la stabilisation de la rentabilité : le T1 2026 (rapport du 31 mars 2026) affiche un CA de 68,8 milliards FCFA (+12%) avec des volumes en hausse de 10%, et le T2 2026 (rapport du 30 juin 2026) montre un CA de 70,05 milliards FCFA (+1%) avec un résultat net quasi stable à 8,64 milliards FCFA (-0,2%). La recommandation fondamentale est de CONSERVER le titre : la solidité bilantielle, l'absence d'endettement et la politique de dividende généreuse (1 940 FCFA/action proposé pour 2025, soit un rendement d'environ 8,9% au cours actuel) soutiennent la valeur, mais la pression fiscale persistante et l'érosion des marges incitent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apparaît équilibrée : le PER de 10,8x est modéré dans le contexte BRVM, l'EV/EBITDA de 7,8x est raisonnable, mais le P/B de 8,62x traduit une prime élevée qui limite le potentiel de revalorisation à court terme. Le comportement du cours sur 100 jours (+3,67%) révèle une tendance haussière modérée avec une volatilité élevée (36,7%), une distribution asymétrique positivement (skewness de 0,555) et une absence de risque de pics extrêmes (kurtosis de -0,718), ce qui est globalement favorable mais nécessite une tolérance au risque. Les signaux techniques sont mitigés : le MACD est haussier, mais les moyennes mobiles (cours sous la MM50) et le stochastique (surachat) sont baissiers, le RSI et les bandes de Bollinger restant neutres — cette divergence plaide pour une consolidation avant un éventuel rebond. Les fondamentaux demeurent solides (ROE de 79,75%, trésorerie nette de 30,76 milliards FCFA, absence de dette), mais la dégradation de la rentabilité (résultat net en baisse de 17,5% en 2025) et la pression fiscale persistante constituent des vents contraires. Les prédictions IA (J+1 à J+10) anticipent une trajectoire haussière vers 23 509 FCFA d'ici le 14 octobre 2026, ce qui confirme le signal haussier du MACD et suggère un potentiel de rebond à court terme. Sur la base de cette synthèse, la recommandation finale est de **CONSERVER** le titre : la convergence entre la valorisation raisonnable, les fondamentaux solides et les prédictions haussières soutient la position, mais la divergence technique et les risques fiscaux justifient la prudence. Le niveau de confiance est **Moyen**, le risque global est **Moyen** (volatilité élevée mais structure financière saine), et l'horizon d'investissement optimal est le **moyen terme (3-12 mois)** , en attendant la confirmation de la stabilisation des marges et l'approbation des comptes 2025 lors de l'Assemblée Générale du 15 juillet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6,828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B40000"/>
                <w:sz w:val="17"/>
              </w:rPr>
              <w:t>-0.17%</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μ=3,024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β=0.1249 (Défensif) — Cov=0.000009, Var(idx)=0.000073, ρ=0.041,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2,873</w:t>
            </w:r>
          </w:p>
        </w:tc>
        <w:tc>
          <w:tcPr>
            <w:tcW w:type="dxa" w:w="1440"/>
            <w:shd w:fill="FAFAFA" w:val="clear"/>
          </w:tcPr>
          <w:p>
            <w:r>
              <w:rPr>
                <w:b/>
                <w:sz w:val="17"/>
              </w:rPr>
              <w:t>2,991</w:t>
            </w:r>
          </w:p>
        </w:tc>
        <w:tc>
          <w:tcPr>
            <w:tcW w:type="dxa" w:w="1440"/>
            <w:shd w:fill="FAFAFA" w:val="clear"/>
          </w:tcPr>
          <w:p>
            <w:r>
              <w:rPr>
                <w:sz w:val="17"/>
              </w:rPr>
              <w:t>3,108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2,820</w:t>
            </w:r>
          </w:p>
        </w:tc>
        <w:tc>
          <w:tcPr>
            <w:tcW w:type="dxa" w:w="1440"/>
            <w:shd w:fill="FAFAFA" w:val="clear"/>
          </w:tcPr>
          <w:p>
            <w:r>
              <w:rPr>
                <w:b/>
                <w:sz w:val="17"/>
              </w:rPr>
              <w:t>2,986</w:t>
            </w:r>
          </w:p>
        </w:tc>
        <w:tc>
          <w:tcPr>
            <w:tcW w:type="dxa" w:w="1440"/>
            <w:shd w:fill="FAFAFA" w:val="clear"/>
          </w:tcPr>
          <w:p>
            <w:r>
              <w:rPr>
                <w:sz w:val="17"/>
              </w:rPr>
              <w:t>3,152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2,779</w:t>
            </w:r>
          </w:p>
        </w:tc>
        <w:tc>
          <w:tcPr>
            <w:tcW w:type="dxa" w:w="1440"/>
            <w:shd w:fill="FAFAFA" w:val="clear"/>
          </w:tcPr>
          <w:p>
            <w:r>
              <w:rPr>
                <w:b/>
                <w:sz w:val="17"/>
              </w:rPr>
              <w:t>2,982</w:t>
            </w:r>
          </w:p>
        </w:tc>
        <w:tc>
          <w:tcPr>
            <w:tcW w:type="dxa" w:w="1440"/>
            <w:shd w:fill="FAFAFA" w:val="clear"/>
          </w:tcPr>
          <w:p>
            <w:r>
              <w:rPr>
                <w:sz w:val="17"/>
              </w:rPr>
              <w:t>3,185</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2,743</w:t>
            </w:r>
          </w:p>
        </w:tc>
        <w:tc>
          <w:tcPr>
            <w:tcW w:type="dxa" w:w="1440"/>
            <w:shd w:fill="FAFAFA" w:val="clear"/>
          </w:tcPr>
          <w:p>
            <w:r>
              <w:rPr>
                <w:b/>
                <w:sz w:val="17"/>
              </w:rPr>
              <w:t>2,978</w:t>
            </w:r>
          </w:p>
        </w:tc>
        <w:tc>
          <w:tcPr>
            <w:tcW w:type="dxa" w:w="1440"/>
            <w:shd w:fill="FAFAFA" w:val="clear"/>
          </w:tcPr>
          <w:p>
            <w:r>
              <w:rPr>
                <w:sz w:val="17"/>
              </w:rPr>
              <w:t>3,212</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2,712</w:t>
            </w:r>
          </w:p>
        </w:tc>
        <w:tc>
          <w:tcPr>
            <w:tcW w:type="dxa" w:w="1440"/>
            <w:shd w:fill="FAFAFA" w:val="clear"/>
          </w:tcPr>
          <w:p>
            <w:r>
              <w:rPr>
                <w:b/>
                <w:sz w:val="17"/>
              </w:rPr>
              <w:t>2,973</w:t>
            </w:r>
          </w:p>
        </w:tc>
        <w:tc>
          <w:tcPr>
            <w:tcW w:type="dxa" w:w="1440"/>
            <w:shd w:fill="FAFAFA" w:val="clear"/>
          </w:tcPr>
          <w:p>
            <w:r>
              <w:rPr>
                <w:sz w:val="17"/>
              </w:rPr>
              <w:t>3,235</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2,682</w:t>
            </w:r>
          </w:p>
        </w:tc>
        <w:tc>
          <w:tcPr>
            <w:tcW w:type="dxa" w:w="1440"/>
            <w:shd w:fill="FAFAFA" w:val="clear"/>
          </w:tcPr>
          <w:p>
            <w:r>
              <w:rPr>
                <w:b/>
                <w:sz w:val="17"/>
              </w:rPr>
              <w:t>2,968</w:t>
            </w:r>
          </w:p>
        </w:tc>
        <w:tc>
          <w:tcPr>
            <w:tcW w:type="dxa" w:w="1440"/>
            <w:shd w:fill="FAFAFA" w:val="clear"/>
          </w:tcPr>
          <w:p>
            <w:r>
              <w:rPr>
                <w:sz w:val="17"/>
              </w:rPr>
              <w:t>3,254</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2,655</w:t>
            </w:r>
          </w:p>
        </w:tc>
        <w:tc>
          <w:tcPr>
            <w:tcW w:type="dxa" w:w="1440"/>
            <w:shd w:fill="FAFAFA" w:val="clear"/>
          </w:tcPr>
          <w:p>
            <w:r>
              <w:rPr>
                <w:b/>
                <w:sz w:val="17"/>
              </w:rPr>
              <w:t>2,964</w:t>
            </w:r>
          </w:p>
        </w:tc>
        <w:tc>
          <w:tcPr>
            <w:tcW w:type="dxa" w:w="1440"/>
            <w:shd w:fill="FAFAFA" w:val="clear"/>
          </w:tcPr>
          <w:p>
            <w:r>
              <w:rPr>
                <w:sz w:val="17"/>
              </w:rPr>
              <w:t>3,272</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2,630</w:t>
            </w:r>
          </w:p>
        </w:tc>
        <w:tc>
          <w:tcPr>
            <w:tcW w:type="dxa" w:w="1440"/>
            <w:shd w:fill="FAFAFA" w:val="clear"/>
          </w:tcPr>
          <w:p>
            <w:r>
              <w:rPr>
                <w:b/>
                <w:sz w:val="17"/>
              </w:rPr>
              <w:t>2,959</w:t>
            </w:r>
          </w:p>
        </w:tc>
        <w:tc>
          <w:tcPr>
            <w:tcW w:type="dxa" w:w="1440"/>
            <w:shd w:fill="FAFAFA" w:val="clear"/>
          </w:tcPr>
          <w:p>
            <w:r>
              <w:rPr>
                <w:sz w:val="17"/>
              </w:rPr>
              <w:t>3,289</w:t>
            </w:r>
          </w:p>
        </w:tc>
        <w:tc>
          <w:tcPr>
            <w:tcW w:type="dxa" w:w="1440"/>
            <w:shd w:fill="FAFAFA" w:val="clear"/>
          </w:tcPr>
          <w:p>
            <w:r>
              <w:rPr>
                <w:b/>
                <w:color w:val="C00000"/>
                <w:sz w:val="17"/>
              </w:rPr>
              <w:t>-1.0%</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2,606</w:t>
            </w:r>
          </w:p>
        </w:tc>
        <w:tc>
          <w:tcPr>
            <w:tcW w:type="dxa" w:w="1440"/>
            <w:shd w:fill="FAFAFA" w:val="clear"/>
          </w:tcPr>
          <w:p>
            <w:r>
              <w:rPr>
                <w:b/>
                <w:sz w:val="17"/>
              </w:rPr>
              <w:t>2,955</w:t>
            </w:r>
          </w:p>
        </w:tc>
        <w:tc>
          <w:tcPr>
            <w:tcW w:type="dxa" w:w="1440"/>
            <w:shd w:fill="FAFAFA" w:val="clear"/>
          </w:tcPr>
          <w:p>
            <w:r>
              <w:rPr>
                <w:sz w:val="17"/>
              </w:rPr>
              <w:t>3,304</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2,584</w:t>
            </w:r>
          </w:p>
        </w:tc>
        <w:tc>
          <w:tcPr>
            <w:tcW w:type="dxa" w:w="1440"/>
            <w:shd w:fill="FAFAFA" w:val="clear"/>
          </w:tcPr>
          <w:p>
            <w:r>
              <w:rPr>
                <w:b/>
                <w:sz w:val="17"/>
              </w:rPr>
              <w:t>2,951</w:t>
            </w:r>
          </w:p>
        </w:tc>
        <w:tc>
          <w:tcPr>
            <w:tcW w:type="dxa" w:w="1440"/>
            <w:shd w:fill="FAFAFA" w:val="clear"/>
          </w:tcPr>
          <w:p>
            <w:r>
              <w:rPr>
                <w:sz w:val="17"/>
              </w:rPr>
              <w:t>3,318</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188,26 milliards FCFA, TTLC figure parmi les valeurs les plus capitalisées de la cote BRVM, ce qui témoigne de sa stature de leader sectoriel et de sa liquidité relative sur le marché régional. Le BPA de 144 FCFA/action signifie que chaque titre génère 144 FCFA de bénéfice net, mais le PER de 20,7x traduit un prix payé très supérieur à la moyenne du marché (8-12x), signalant soit une anticipation de croissance, soit une surévaluation relative. Le P/B de 5,20x confirme cette prime exigeante : le marché valorise l'entreprise à plus de cinq fois sa valeur comptable, ce qui est élevé pour un distributeur à faibles marges. Enfin, l'EV/EBITDA de 10,9x, dans la fourchette haute (10-15x), indique que la valeur d'entreprise intègre une prime de qualité et de leadership, mais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variation quasi nulle de -0,17%, avec une dernière séance en repli de -1,16%, traduisant une phase de consolidation sans direction franche. Le cours actuel de 2 990 FCFA se situe dans la moitié basse du range de trading compris entre 2 770 FCFA (plus bas) et 3 595 FCFA (plus haut), soit un écart de 825 FCFA qui témoigne d'une amplitude notable. La tendance générale est donc baissière à neutre, le titre ayant cédé du terrain depuis ses sommets sans toutefois casser son support des 2 770 FCFA. Les statistiques descriptives révèlent une moyenne de 3 024 FCFA supérieure à la médiane de 2 962 FCFA, avec un mode à 2 900 FCFA : cet écart confirme une asymétrie positive (skewness de 0,896), indiquant que le cours a passé plus de journées sous sa moyenne, sous l'effet de pics haussiers ponctuels. L'écart-type de 191 FCFA (CV de 6,3%) traduit une dispersion modérée autour de la moyenne, tandis que le kurtosis de -0,277 (mésokurtique) suggère une distribution proche de la normale, sans risque excessif de pics extrêmes. La volatilité annualisée de 40,7% positionne toutefois TTLC dans la catégorie des titres à volatilité élevée (&gt;30%), ce qui implique un risque de fluctuation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(3 148,5 FCFA) et la MM50 (3 160,6 FCFA) sont toutes deux nettement supérieures au cours actuel de 2 990 FCFA, et la MM20 évolue légèrement sous la MM50, configurant un croisement baissier. Cette configuration confirme que le titre évolue sous ses moyennes de court et moyen terme, justifiant la décision technique de **Vente**.</w:t>
      </w:r>
    </w:p>
    <w:p>
      <w:pPr>
        <w:spacing w:after="120" w:line="276" w:lineRule="auto"/>
      </w:pPr>
      <w:r>
        <w:t>**Bandes de Bollinger** : Le cours (2 990 FCFA) se situe dans la partie basse de la bande, au-dessus de la borne inférieure (2 918,33 FCFA) mais loin de la borne supérieure (3 378,67 FCFA). L'absence de cassure de la borne basse et la proximité du support expliquent la décision **Neutre**, le titre n'étant ni en survente extrême ni en dynamique haussière.</w:t>
      </w:r>
    </w:p>
    <w:p>
      <w:pPr>
        <w:spacing w:after="120" w:line="276" w:lineRule="auto"/>
      </w:pPr>
      <w:r>
        <w:t>**MACD** : La valeur du MACD (-50,153) est inférieure à son signal (-30,761), avec un histogramme négatif qui traduit un momentum baissier persistant. Cette divergence négative confirme la pression vendeuse et justifie la décision de **Vente**.</w:t>
      </w:r>
    </w:p>
    <w:p>
      <w:pPr>
        <w:spacing w:after="120" w:line="276" w:lineRule="auto"/>
      </w:pPr>
      <w:r>
        <w:t>**RSI** : À 30,464, le RSI se situe juste au-dessus du seuil de survente (30), ce qui indique une faiblesse relative mais sans excès baissier caractérisé. La décision est **Neutre**, le titre n'étant pas encore en zone de rebond technique.</w:t>
      </w:r>
    </w:p>
    <w:p>
      <w:pPr>
        <w:spacing w:after="120" w:line="276" w:lineRule="auto"/>
      </w:pPr>
      <w:r>
        <w:t>**Stochastique** : Le %K (1,754) est très bas et inférieur au %D (9,474), mais sa position extrême en zone de survente profonde suggère un possible retournement imminent. Cette configuration justifie la décision **Achat** à contre-tendance, en anticipation d'un rebond technique.</w:t>
      </w:r>
    </w:p>
    <w:p>
      <w:pPr>
        <w:spacing w:after="120" w:line="276" w:lineRule="auto"/>
      </w:pPr>
      <w:r>
        <w:t>**Conclusion technique** : Les indicateurs sont majoritairement baissiers (MM, MACD) mais présentent des signaux de retournement (Stochastique en survente extrême, RSI proche de 30, cours proche de la borne basse de Bollinger). La convergence de ces signaux suggère une phase de rebond technique possible à court terme, mais la tendance de fond reste fragile tant que le cours demeure sous ses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TTLC (rapport du 31 décembre 2025) affichent un chiffre d'affaires de 588,709 milliards FCFA, en repli de 5,2% sur un an, dans un contexte de baisse des ventes hors réseau. Le résultat net s'établit à 9,087 milliards FCFA (-3%), avec une marge nette de 1,54% (contre 1,51% en 2024), tandis que le ROE atteint 25,10% — un niveau excellent (&gt;15%) — et le ROA 4,82%, confirmant la forte rentabilité des fonds propres malgré la faiblesse des marges. En tant qu'entreprise de distribution, TTLC présente un BFR négatif de -9,662 milliards FCFA (favorable, car financé par les fournisseurs), un délai fournisseurs de 49,72 jours et une durée de stockage de 13,80 jours, traduisant une bonne gestion du cycle d'exploitation. Toutefois, la structure financière révèle des fragilités : l'autonomie financière n'est que de 19,21% (seuil sain &gt;30%), le ratio d'endettement atteint 90,23% et la trésorerie nette est négative à -21,926 milliards FCFA, signe d'une dépendance aux crédits court terme. Le rapport du T1 2026 (publié en 2026) montre une nette amélioration : chiffre d'affaires de 154,392 milliards FCFA (+4,3%) et résultat net de 2,329 milliards FCFA (+5,5%), portés par la hausse des volumes sur tous les canaux et un réseau de 182 stations. Sur cette base, on estime que l'exercice 2026 devrait renouer avec la croissance, le T1 compensant le démarrage en retrait de 2025. La politique de dividende reste généreuse (10 milliards FCFA en 2025, soit un payout &gt;100%), mais son financement par prélèvement sur réserves et la trésorerie négative appellent à la prudence. En synthèse, TTLC est un leader solide et rentable (ROE 25%), mais sa valorisation exigeante et son endettement élevé limitent le potentiel à court terme ; la recommandation fondamentale est de **Conserver**, avec un biais positif si la dynamique du T1 2026 se confirme.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(PER 20,7x, P/B 5,20x, EV/EBITDA 10,9x) indique une surévaluation relative par rapport aux standards du marché BRVM, le marché intégrant déjà une prime de leadership et des anticipations de croissance. Le comportement du cours sur 100 jours est neutre à baissier (-0,17%), avec une volatilité élevée (40,7%) et une asymétrie positive (skewness 0,896) qui traduit une pression vendeuse persistante malgré quelques pics haussiers. Les signaux techniques sont divergents : les moyennes mobiles et le MACD sont baissiers, mais le stochastique en survente extrême (1,754) et le RSI proche de 30 suggèrent un rebond technique imminent, ce qui crée une configuration de court terme incertaine. Les fondamentaux restent solides (ROE 25,10%, BFR négatif, leader sectoriel), mais la trésorerie nette négative (-21,926 milliards FCFA) et le payout supérieur à 100% constituent des risques à surveiller ; le T1 2026 (+4,3% de CA, +5,5% de résultat net) offre toutefois une lueur d'amélioration. Les prédictions IA (J+1 à J+10) anticipent une légère dérive baissière de 2 991 à 2 973 FCFA, ce qui contredit l'hypothèse d'un rebond technique immédiat et confirme la pression baissière de court terme. Sur la base de cette synthèse globale, la recommandation finale est **CONSERVER** : la convergence entre une valorisation exigeante, des signaux techniques mitigés et des fondamentaux solides mais sous pression ne justifie ni un achat agressif ni une vente précipitée. Le niveau de confiance est **Moyen**, le risque global est **Élevé** (volatilité 40,7%, endettement 90,23%, trésorerie négative), et l'horizon d'investissement optimal est le **moyen terme (3-12 mois)**, en attendant la confirmation de la reprise de la croissance au T2 2026 et une amélioration de la structure financière.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2,761 titres</w:t>
            </w:r>
          </w:p>
        </w:tc>
        <w:tc>
          <w:tcPr>
            <w:tcW w:type="dxa" w:w="2268"/>
            <w:shd w:fill="FFF2CC" w:val="clear"/>
          </w:tcPr>
          <w:p>
            <w:r>
              <w:rPr>
                <w:b/>
                <w:color w:val="503200"/>
                <w:sz w:val="16"/>
              </w:rPr>
              <w:t xml:space="preserve">Cours actuel : </w:t>
            </w:r>
            <w:r>
              <w:rPr>
                <w:color w:val="000000"/>
                <w:sz w:val="17"/>
              </w:rPr>
              <w:t>3,610 FCFA</w:t>
            </w:r>
          </w:p>
          <w:p>
            <w:r>
              <w:rPr>
                <w:b/>
                <w:color w:val="503200"/>
                <w:sz w:val="16"/>
              </w:rPr>
              <w:t xml:space="preserve">Var. 100 jours : </w:t>
            </w:r>
            <w:r>
              <w:rPr>
                <w:b/>
                <w:color w:val="007800"/>
                <w:sz w:val="17"/>
              </w:rPr>
              <w:t>+19.34%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2,990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8.18% (Moyenne) — μ=3,682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β=0.4725 (Défensif) — Cov=0.000035, Var(idx)=0.000073, ρ=0.152,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3,498</w:t>
            </w:r>
          </w:p>
        </w:tc>
        <w:tc>
          <w:tcPr>
            <w:tcW w:type="dxa" w:w="1440"/>
            <w:shd w:fill="FAFAFA" w:val="clear"/>
          </w:tcPr>
          <w:p>
            <w:r>
              <w:rPr>
                <w:b/>
                <w:sz w:val="17"/>
              </w:rPr>
              <w:t>3,607</w:t>
            </w:r>
          </w:p>
        </w:tc>
        <w:tc>
          <w:tcPr>
            <w:tcW w:type="dxa" w:w="1440"/>
            <w:shd w:fill="FAFAFA" w:val="clear"/>
          </w:tcPr>
          <w:p>
            <w:r>
              <w:rPr>
                <w:sz w:val="17"/>
              </w:rPr>
              <w:t>3,716</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2026-10-09</w:t>
            </w:r>
          </w:p>
        </w:tc>
        <w:tc>
          <w:tcPr>
            <w:tcW w:type="dxa" w:w="1440"/>
            <w:shd w:fill="FAFAFA" w:val="clear"/>
          </w:tcPr>
          <w:p>
            <w:r>
              <w:rPr>
                <w:sz w:val="17"/>
              </w:rPr>
              <w:t>3,447</w:t>
            </w:r>
          </w:p>
        </w:tc>
        <w:tc>
          <w:tcPr>
            <w:tcW w:type="dxa" w:w="1440"/>
            <w:shd w:fill="FAFAFA" w:val="clear"/>
          </w:tcPr>
          <w:p>
            <w:r>
              <w:rPr>
                <w:b/>
                <w:sz w:val="17"/>
              </w:rPr>
              <w:t>3,601</w:t>
            </w:r>
          </w:p>
        </w:tc>
        <w:tc>
          <w:tcPr>
            <w:tcW w:type="dxa" w:w="1440"/>
            <w:shd w:fill="FAFAFA" w:val="clear"/>
          </w:tcPr>
          <w:p>
            <w:r>
              <w:rPr>
                <w:sz w:val="17"/>
              </w:rPr>
              <w:t>3,756</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3,407</w:t>
            </w:r>
          </w:p>
        </w:tc>
        <w:tc>
          <w:tcPr>
            <w:tcW w:type="dxa" w:w="1440"/>
            <w:shd w:fill="FAFAFA" w:val="clear"/>
          </w:tcPr>
          <w:p>
            <w:r>
              <w:rPr>
                <w:b/>
                <w:sz w:val="17"/>
              </w:rPr>
              <w:t>3,595</w:t>
            </w:r>
          </w:p>
        </w:tc>
        <w:tc>
          <w:tcPr>
            <w:tcW w:type="dxa" w:w="1440"/>
            <w:shd w:fill="FAFAFA" w:val="clear"/>
          </w:tcPr>
          <w:p>
            <w:r>
              <w:rPr>
                <w:sz w:val="17"/>
              </w:rPr>
              <w:t>3,784</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3,372</w:t>
            </w:r>
          </w:p>
        </w:tc>
        <w:tc>
          <w:tcPr>
            <w:tcW w:type="dxa" w:w="1440"/>
            <w:shd w:fill="FAFAFA" w:val="clear"/>
          </w:tcPr>
          <w:p>
            <w:r>
              <w:rPr>
                <w:b/>
                <w:sz w:val="17"/>
              </w:rPr>
              <w:t>3,590</w:t>
            </w:r>
          </w:p>
        </w:tc>
        <w:tc>
          <w:tcPr>
            <w:tcW w:type="dxa" w:w="1440"/>
            <w:shd w:fill="FAFAFA" w:val="clear"/>
          </w:tcPr>
          <w:p>
            <w:r>
              <w:rPr>
                <w:sz w:val="17"/>
              </w:rPr>
              <w:t>3,807</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3,341</w:t>
            </w:r>
          </w:p>
        </w:tc>
        <w:tc>
          <w:tcPr>
            <w:tcW w:type="dxa" w:w="1440"/>
            <w:shd w:fill="FAFAFA" w:val="clear"/>
          </w:tcPr>
          <w:p>
            <w:r>
              <w:rPr>
                <w:b/>
                <w:sz w:val="17"/>
              </w:rPr>
              <w:t>3,584</w:t>
            </w:r>
          </w:p>
        </w:tc>
        <w:tc>
          <w:tcPr>
            <w:tcW w:type="dxa" w:w="1440"/>
            <w:shd w:fill="FAFAFA" w:val="clear"/>
          </w:tcPr>
          <w:p>
            <w:r>
              <w:rPr>
                <w:sz w:val="17"/>
              </w:rPr>
              <w:t>3,827</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3,312</w:t>
            </w:r>
          </w:p>
        </w:tc>
        <w:tc>
          <w:tcPr>
            <w:tcW w:type="dxa" w:w="1440"/>
            <w:shd w:fill="FAFAFA" w:val="clear"/>
          </w:tcPr>
          <w:p>
            <w:r>
              <w:rPr>
                <w:b/>
                <w:sz w:val="17"/>
              </w:rPr>
              <w:t>3,578</w:t>
            </w:r>
          </w:p>
        </w:tc>
        <w:tc>
          <w:tcPr>
            <w:tcW w:type="dxa" w:w="1440"/>
            <w:shd w:fill="FAFAFA" w:val="clear"/>
          </w:tcPr>
          <w:p>
            <w:r>
              <w:rPr>
                <w:sz w:val="17"/>
              </w:rPr>
              <w:t>3,844</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3,286</w:t>
            </w:r>
          </w:p>
        </w:tc>
        <w:tc>
          <w:tcPr>
            <w:tcW w:type="dxa" w:w="1440"/>
            <w:shd w:fill="FAFAFA" w:val="clear"/>
          </w:tcPr>
          <w:p>
            <w:r>
              <w:rPr>
                <w:b/>
                <w:sz w:val="17"/>
              </w:rPr>
              <w:t>3,573</w:t>
            </w:r>
          </w:p>
        </w:tc>
        <w:tc>
          <w:tcPr>
            <w:tcW w:type="dxa" w:w="1440"/>
            <w:shd w:fill="FAFAFA" w:val="clear"/>
          </w:tcPr>
          <w:p>
            <w:r>
              <w:rPr>
                <w:sz w:val="17"/>
              </w:rPr>
              <w:t>3,859</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3,261</w:t>
            </w:r>
          </w:p>
        </w:tc>
        <w:tc>
          <w:tcPr>
            <w:tcW w:type="dxa" w:w="1440"/>
            <w:shd w:fill="FAFAFA" w:val="clear"/>
          </w:tcPr>
          <w:p>
            <w:r>
              <w:rPr>
                <w:b/>
                <w:sz w:val="17"/>
              </w:rPr>
              <w:t>3,567</w:t>
            </w:r>
          </w:p>
        </w:tc>
        <w:tc>
          <w:tcPr>
            <w:tcW w:type="dxa" w:w="1440"/>
            <w:shd w:fill="FAFAFA" w:val="clear"/>
          </w:tcPr>
          <w:p>
            <w:r>
              <w:rPr>
                <w:sz w:val="17"/>
              </w:rPr>
              <w:t>3,873</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3,238</w:t>
            </w:r>
          </w:p>
        </w:tc>
        <w:tc>
          <w:tcPr>
            <w:tcW w:type="dxa" w:w="1440"/>
            <w:shd w:fill="FAFAFA" w:val="clear"/>
          </w:tcPr>
          <w:p>
            <w:r>
              <w:rPr>
                <w:b/>
                <w:sz w:val="17"/>
              </w:rPr>
              <w:t>3,562</w:t>
            </w:r>
          </w:p>
        </w:tc>
        <w:tc>
          <w:tcPr>
            <w:tcW w:type="dxa" w:w="1440"/>
            <w:shd w:fill="FAFAFA" w:val="clear"/>
          </w:tcPr>
          <w:p>
            <w:r>
              <w:rPr>
                <w:sz w:val="17"/>
              </w:rPr>
              <w:t>3,886</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3,216</w:t>
            </w:r>
          </w:p>
        </w:tc>
        <w:tc>
          <w:tcPr>
            <w:tcW w:type="dxa" w:w="1440"/>
            <w:shd w:fill="FAFAFA" w:val="clear"/>
          </w:tcPr>
          <w:p>
            <w:r>
              <w:rPr>
                <w:b/>
                <w:sz w:val="17"/>
              </w:rPr>
              <w:t>3,557</w:t>
            </w:r>
          </w:p>
        </w:tc>
        <w:tc>
          <w:tcPr>
            <w:tcW w:type="dxa" w:w="1440"/>
            <w:shd w:fill="FAFAFA" w:val="clear"/>
          </w:tcPr>
          <w:p>
            <w:r>
              <w:rPr>
                <w:sz w:val="17"/>
              </w:rPr>
              <w:t>3,898</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TTLS (TotalEnergies Marketing Sénégal)**</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117,61 milliards FCFA, TTLS s'impose comme l'une des valeurs phares du compartiment énergétique de la BRVM, ce qui témoigne de la confiance des investisseurs dans ce leader sénégalais de la distribution pétrolière. Le BPA de 208 FCFA/action indique que chaque titre génère un bénéfice net de 208 FCFA, ce qui, rapporté au cours actuel de 3 610 FCFA, donne un PER de 17,3x — un niveau modéré mais supérieur à la moyenne du marché BRVM (8-12x), traduisant une prime de qualité. Le P/B de 4,16x signale que le marché valorise l'action à plus de quatre fois sa valeur comptable, une prime exigeante qui reflète la solidité du réseau de 140 stations-service et la notoriété de la marque TotalEnergies. Enfin, l'EV/EBITDA de 7,4x, situé dans la fourchette raisonnable de 5-10x, indique que la valeur totale de l'entreprise (dette incluse) reste cohérente avec sa capacité opérationnelle à générer de l'EBITDA.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 enregistré une progression totale de +19,34%, bien que la dernière séance (J-1) affiche un léger repli de -0,28%, signalant une pause dans l'élan haussier. Le cours a évolué dans un range significatif entre un plus bas de 2 990 FCFA et un plus haut de 4 500 FCFA, soit une amplitude de plus de 50%, ce qui traduit une tendance générale haussière mais ponctuée de corrections notables. Le cours actuel de 3 610 FCFA se situe en dessous de la moyenne (3 682 FCFA) et de la médiane (3 688 FCFA), ces deux valeurs étant très proches, ce qui indique une distribution quasi-symétrique du cours sur la période. L'écart-type de 303 FCFA, associé à un coefficient de variation (CV) de 8,2%, révèle une dispersion modérée du cours autour de sa moyenne, tandis que le kurtosis de 0,329 (mésokurtique) suggère une distribution proche de la normale, sans risque excessif de pics extrêmes. Le skewness de 0,072 confirme cette symétrie, avec une très légère asymétrie positive. Enfin, la volatilité annualisée de 41,9% classe TTLS dans la catégorie des titres à volatilité élevée (&gt;30%), ce qui implique un risque de fluctuation important mais aussi des opportunités de trading pour les investisseurs actifs.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(3 786,0 FCFA) et la MM50 (3 745,1 FCFA) se situent toutes deux au-dessus du cours actuel (3 610 FCFA), ce qui place le titre en position baissière à court terme. Cependant, la MM20 étant supérieure à la MM50, la configuration reste haussière sur le moyen terme, justifiant la décision "Achat" fournie, bien que le cours doive reconquérir ces niveaux pour confirmer la tendance.</w:t>
      </w:r>
    </w:p>
    <w:p>
      <w:pPr>
        <w:spacing w:after="120" w:line="276" w:lineRule="auto"/>
      </w:pPr>
      <w:r>
        <w:t>**Bandes de Bollinger** : Le cours actuel (3 610 FCFA) se situe dans la partie inférieure de la bande, entre la borne inférieure (3 516,5 FCFA) et la borne supérieure (4 055,5 FCFA), sans atteindre les extrêmes. Cette position neutre indique une absence de signal fort, justifiant la décision "Neutre" — le titre n'est ni suracheté ni survendu selon cet indicateur.</w:t>
      </w:r>
    </w:p>
    <w:p>
      <w:pPr>
        <w:spacing w:after="120" w:line="276" w:lineRule="auto"/>
      </w:pPr>
      <w:r>
        <w:t>**MACD** : La valeur du MACD (-55,244) est inférieure à son signal (-29,826), ce qui génère une divergence baissière et un momentum négatif. La décision "Vente" reflète cette pression baissière persistante, bien que l'écart entre les deux lignes tende à se réduire, ce qui pourrait annoncer un retournement prochain.</w:t>
      </w:r>
    </w:p>
    <w:p>
      <w:pPr>
        <w:spacing w:after="120" w:line="276" w:lineRule="auto"/>
      </w:pPr>
      <w:r>
        <w:t>**RSI** : Avec une valeur de 29,518, le RSI se situe juste en dessous du seuil de survente (30), ce qui indique que le titre est survendu et pourrait connaître un rebond technique. La décision "Achat" est cohérente avec cette configuration, les investisseurs cherchant à profiter d'un potentiel retournement.</w:t>
      </w:r>
    </w:p>
    <w:p>
      <w:pPr>
        <w:spacing w:after="120" w:line="276" w:lineRule="auto"/>
      </w:pPr>
      <w:r>
        <w:t>**Stochastique** : Le %K et le %D sont tous deux à 2,857, un niveau extrêmement bas qui confirme la survente du titre. Cette configuration, bien que risquée à court terme, offre une opportunité d'achat pour les investisseurs anticipant un rebond, justifiant la décision "Achat".</w:t>
      </w:r>
    </w:p>
    <w:p>
      <w:pPr>
        <w:spacing w:after="120" w:line="276" w:lineRule="auto"/>
      </w:pPr>
      <w:r>
        <w:t>**Conclusion technique** : Les indicateurs techniques présentent un tableau mitigé. D'un côté, le RSI et le stochastique signalent une survente propice à un rebond, et les moyennes mobiles conservent une configuration haussière de fond. De l'autre, le MACD reste baissier et le cours évolue sous ses moyennes, ce qui maintient une pression vendeuse. La convergence des signaux de survente suggère qu'un point d'entrée pourrait se présenter, mais la prudence reste de mise tant que le MACD ne confirme pas un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consolidés de TTLS affichent un chiffre d'affaires de 455,209 milliards FCFA, en baisse de 6,1% par rapport à 2024 (484,945 milliards FCFA), une contraction principalement attribuée à l'arrêt stratégique de la commercialisation du fuel lourd (HFO), qui représentait 39,5 milliards FCFA de CA en 2024. Le résultat net s'établit à 6,779 milliards FCFA (contre 7,140 milliards en 2024, soit -5,1%), avec une marge nette de 1,49%, typique du secteur de la distribution pétrolière. Le ROE de 24,01% demeure excellent (&gt;15%), témoignant d'une rentabilité des fonds propres solide, tandis que le ROA de 3,95% reflète la faible intensité capitalistique du modèle. La structure financière montre une autonomie financière de 16,44% (capitaux propres/total bilan), ce qui est inférieur au seuil de 30% considéré comme sain, mais compensé par une trésorerie nette positive de 13,941 milliards FCFA et un BFR négatif de -36,899 milliards FCFA (favorable). Les délais clients (47,43 jours) et fournisseurs (97,76 jours) révèlent un bon pouvoir de négociation sur les fournisseurs, mais un risque de trésorerie modéré sur les créances clients. Sur la base du rapport du 1er trimestre 2026 (publié en 2026), le chiffre d'affaires recule de 10% à 99,9 milliards FCFA, impacté par la révision à la baisse des prix à la pompe par l'État sénégalais en décembre 2025, mais le résultat d'exploitation progresse de 28% à 2,623 milliards FCFA grâce à l'amélioration des marges sur les lubrifiants, et le résultat net augmente de 5% à 1,585 milliards FCFA. On estime donc que l'exercice 2026 devrait bénéficier de cette dynamique de marges, avec un résultat net annuel potentiellement supérieur à 6,5 milliards FCFA si la tendance se confirme. Les rapports antérieurs (T3 2025, S1 2025, T1 2025) confirment cette transition stratégique vers des segments à plus forte valeur ajoutée (GPL, lubrifiants, export), avec une amélioration continue de la marge opérationnelle. La recommandation fondamentale est de **CONSERVER** le titre : la solidité opérationnelle, la position de leader (140 stations-service) et les perspectives liées aux projets Sangomar et GNL compensent la baisse structurelle du CA, mais l'absence de visibilité sur la politique de dividende et la dépendance aux décisions réglementaires limitent l'attrait pour un achat agressif.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(Partie 0) présente un profil contrasté : si le PER de 17,3x et le P/B de 4,16x indiquent une prime de qualité justifiée par la solidité du groupe, l'EV/EBITDA de 7,4x reste raisonnable et n'évoque pas de surévaluation excessive. Le comportement du cours (Partie 1) révèle une tendance haussière de fond (+19,34% sur 100 jours) mais une volatilité élevée (41,9%) et une distribution symétrique (skewness 0,072, kurtosis 0,329), ce qui suggère un risque modéré mais gérable. Les signaux techniques (Partie 2) sont mitigés : la survente du RSI (29,5) et du stochastique (2,86) plaide pour un rebond, mais le MACD baissier et le cours sous les moyennes mobiles incitent à la prudence. Les fondamentaux (Partie 3) demeurent solides : ROE de 24%, trésorerie nette positive, et amélioration des marges opérationnelles au T1 2026 (+28%), bien que la baisse du CA (-6,1% en 2025) et la dépendance réglementaire constituent des risques. Les prédictions IA (J+1 à J+10) anticipent une légère baisse du cours, de 3 607 FCFA à 3 584 FCFA, ce qui contredit les signaux de survente et suggère que le rebond technique pourrait être retardé. Sur la base de cette synthèse, la recommandation finale est de **CONSERVER** le titre, avec un niveau de confiance **Moyen** et un risque global **Moyen**. L'horizon d'investissement optimal est le **moyen terme (3-12 mois)**, en attendant la confirmation d'un retournement technique et la publication des résultats semestriels 2026 pour évaluer la pérennité de l'amélioration des marges. Un achat spéculatif à court terme serait prématuré sans confirmation du MACD, tandis qu'une vente ne se justifie pas compte tenu de la solidité fondamentale et des perspectives de croissance à long terme.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-14.29%</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5.71% (Moyenne) — μ=54,326 FCFA, σ=3,101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β=0.6682 (Défensif) — Cov=0.000049, Var(idx)=0.000074, ρ=0.154,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σ_j=3.74%/j (Modérée) — Vol. annualisée≈59.4%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2026-10-08</w:t>
            </w:r>
          </w:p>
        </w:tc>
        <w:tc>
          <w:tcPr>
            <w:tcW w:type="dxa" w:w="1440"/>
            <w:shd w:fill="FAFAFA" w:val="clear"/>
          </w:tcPr>
          <w:p>
            <w:r>
              <w:rPr>
                <w:sz w:val="17"/>
              </w:rPr>
              <w:t>44,744</w:t>
            </w:r>
          </w:p>
        </w:tc>
        <w:tc>
          <w:tcPr>
            <w:tcW w:type="dxa" w:w="1440"/>
            <w:shd w:fill="FAFAFA" w:val="clear"/>
          </w:tcPr>
          <w:p>
            <w:r>
              <w:rPr>
                <w:b/>
                <w:sz w:val="17"/>
              </w:rPr>
              <w:t>48,000</w:t>
            </w:r>
          </w:p>
        </w:tc>
        <w:tc>
          <w:tcPr>
            <w:tcW w:type="dxa" w:w="1440"/>
            <w:shd w:fill="FAFAFA" w:val="clear"/>
          </w:tcPr>
          <w:p>
            <w:r>
              <w:rPr>
                <w:sz w:val="17"/>
              </w:rPr>
              <w:t>51,256</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2026-10-09</w:t>
            </w:r>
          </w:p>
        </w:tc>
        <w:tc>
          <w:tcPr>
            <w:tcW w:type="dxa" w:w="1440"/>
            <w:shd w:fill="FAFAFA" w:val="clear"/>
          </w:tcPr>
          <w:p>
            <w:r>
              <w:rPr>
                <w:sz w:val="17"/>
              </w:rPr>
              <w:t>43,340</w:t>
            </w:r>
          </w:p>
        </w:tc>
        <w:tc>
          <w:tcPr>
            <w:tcW w:type="dxa" w:w="1440"/>
            <w:shd w:fill="FAFAFA" w:val="clear"/>
          </w:tcPr>
          <w:p>
            <w:r>
              <w:rPr>
                <w:b/>
                <w:sz w:val="17"/>
              </w:rPr>
              <w:t>47,939</w:t>
            </w:r>
          </w:p>
        </w:tc>
        <w:tc>
          <w:tcPr>
            <w:tcW w:type="dxa" w:w="1440"/>
            <w:shd w:fill="FAFAFA" w:val="clear"/>
          </w:tcPr>
          <w:p>
            <w:r>
              <w:rPr>
                <w:sz w:val="17"/>
              </w:rPr>
              <w:t>52,538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2026-10-12</w:t>
            </w:r>
          </w:p>
        </w:tc>
        <w:tc>
          <w:tcPr>
            <w:tcW w:type="dxa" w:w="1440"/>
            <w:shd w:fill="FAFAFA" w:val="clear"/>
          </w:tcPr>
          <w:p>
            <w:r>
              <w:rPr>
                <w:sz w:val="17"/>
              </w:rPr>
              <w:t>42,283</w:t>
            </w:r>
          </w:p>
        </w:tc>
        <w:tc>
          <w:tcPr>
            <w:tcW w:type="dxa" w:w="1440"/>
            <w:shd w:fill="FAFAFA" w:val="clear"/>
          </w:tcPr>
          <w:p>
            <w:r>
              <w:rPr>
                <w:b/>
                <w:sz w:val="17"/>
              </w:rPr>
              <w:t>47,913</w:t>
            </w:r>
          </w:p>
        </w:tc>
        <w:tc>
          <w:tcPr>
            <w:tcW w:type="dxa" w:w="1440"/>
            <w:shd w:fill="FAFAFA" w:val="clear"/>
          </w:tcPr>
          <w:p>
            <w:r>
              <w:rPr>
                <w:sz w:val="17"/>
              </w:rPr>
              <w:t>53,542</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2026-10-13</w:t>
            </w:r>
          </w:p>
        </w:tc>
        <w:tc>
          <w:tcPr>
            <w:tcW w:type="dxa" w:w="1440"/>
            <w:shd w:fill="FAFAFA" w:val="clear"/>
          </w:tcPr>
          <w:p>
            <w:r>
              <w:rPr>
                <w:sz w:val="17"/>
              </w:rPr>
              <w:t>41,400</w:t>
            </w:r>
          </w:p>
        </w:tc>
        <w:tc>
          <w:tcPr>
            <w:tcW w:type="dxa" w:w="1440"/>
            <w:shd w:fill="FAFAFA" w:val="clear"/>
          </w:tcPr>
          <w:p>
            <w:r>
              <w:rPr>
                <w:b/>
                <w:sz w:val="17"/>
              </w:rPr>
              <w:t>47,899</w:t>
            </w:r>
          </w:p>
        </w:tc>
        <w:tc>
          <w:tcPr>
            <w:tcW w:type="dxa" w:w="1440"/>
            <w:shd w:fill="FAFAFA" w:val="clear"/>
          </w:tcPr>
          <w:p>
            <w:r>
              <w:rPr>
                <w:sz w:val="17"/>
              </w:rPr>
              <w:t>54,397</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2026-10-14</w:t>
            </w:r>
          </w:p>
        </w:tc>
        <w:tc>
          <w:tcPr>
            <w:tcW w:type="dxa" w:w="1440"/>
            <w:shd w:fill="FAFAFA" w:val="clear"/>
          </w:tcPr>
          <w:p>
            <w:r>
              <w:rPr>
                <w:sz w:val="17"/>
              </w:rPr>
              <w:t>40,627</w:t>
            </w:r>
          </w:p>
        </w:tc>
        <w:tc>
          <w:tcPr>
            <w:tcW w:type="dxa" w:w="1440"/>
            <w:shd w:fill="FAFAFA" w:val="clear"/>
          </w:tcPr>
          <w:p>
            <w:r>
              <w:rPr>
                <w:b/>
                <w:sz w:val="17"/>
              </w:rPr>
              <w:t>47,891</w:t>
            </w:r>
          </w:p>
        </w:tc>
        <w:tc>
          <w:tcPr>
            <w:tcW w:type="dxa" w:w="1440"/>
            <w:shd w:fill="FAFAFA" w:val="clear"/>
          </w:tcPr>
          <w:p>
            <w:r>
              <w:rPr>
                <w:sz w:val="17"/>
              </w:rPr>
              <w:t>55,155</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2026-10-15</w:t>
            </w:r>
          </w:p>
        </w:tc>
        <w:tc>
          <w:tcPr>
            <w:tcW w:type="dxa" w:w="1440"/>
            <w:shd w:fill="FAFAFA" w:val="clear"/>
          </w:tcPr>
          <w:p>
            <w:r>
              <w:rPr>
                <w:sz w:val="17"/>
              </w:rPr>
              <w:t>39,930</w:t>
            </w:r>
          </w:p>
        </w:tc>
        <w:tc>
          <w:tcPr>
            <w:tcW w:type="dxa" w:w="1440"/>
            <w:shd w:fill="FAFAFA" w:val="clear"/>
          </w:tcPr>
          <w:p>
            <w:r>
              <w:rPr>
                <w:b/>
                <w:sz w:val="17"/>
              </w:rPr>
              <w:t>47,887</w:t>
            </w:r>
          </w:p>
        </w:tc>
        <w:tc>
          <w:tcPr>
            <w:tcW w:type="dxa" w:w="1440"/>
            <w:shd w:fill="FAFAFA" w:val="clear"/>
          </w:tcPr>
          <w:p>
            <w:r>
              <w:rPr>
                <w:sz w:val="17"/>
              </w:rPr>
              <w:t>55,844</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2026-10-16</w:t>
            </w:r>
          </w:p>
        </w:tc>
        <w:tc>
          <w:tcPr>
            <w:tcW w:type="dxa" w:w="1440"/>
            <w:shd w:fill="FAFAFA" w:val="clear"/>
          </w:tcPr>
          <w:p>
            <w:r>
              <w:rPr>
                <w:sz w:val="17"/>
              </w:rPr>
              <w:t>39,291</w:t>
            </w:r>
          </w:p>
        </w:tc>
        <w:tc>
          <w:tcPr>
            <w:tcW w:type="dxa" w:w="1440"/>
            <w:shd w:fill="FAFAFA" w:val="clear"/>
          </w:tcPr>
          <w:p>
            <w:r>
              <w:rPr>
                <w:b/>
                <w:sz w:val="17"/>
              </w:rPr>
              <w:t>47,885</w:t>
            </w:r>
          </w:p>
        </w:tc>
        <w:tc>
          <w:tcPr>
            <w:tcW w:type="dxa" w:w="1440"/>
            <w:shd w:fill="FAFAFA" w:val="clear"/>
          </w:tcPr>
          <w:p>
            <w:r>
              <w:rPr>
                <w:sz w:val="17"/>
              </w:rPr>
              <w:t>56,479</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2026-10-19</w:t>
            </w:r>
          </w:p>
        </w:tc>
        <w:tc>
          <w:tcPr>
            <w:tcW w:type="dxa" w:w="1440"/>
            <w:shd w:fill="FAFAFA" w:val="clear"/>
          </w:tcPr>
          <w:p>
            <w:r>
              <w:rPr>
                <w:sz w:val="17"/>
              </w:rPr>
              <w:t>38,696</w:t>
            </w:r>
          </w:p>
        </w:tc>
        <w:tc>
          <w:tcPr>
            <w:tcW w:type="dxa" w:w="1440"/>
            <w:shd w:fill="FAFAFA" w:val="clear"/>
          </w:tcPr>
          <w:p>
            <w:r>
              <w:rPr>
                <w:b/>
                <w:sz w:val="17"/>
              </w:rPr>
              <w:t>47,884</w:t>
            </w:r>
          </w:p>
        </w:tc>
        <w:tc>
          <w:tcPr>
            <w:tcW w:type="dxa" w:w="1440"/>
            <w:shd w:fill="FAFAFA" w:val="clear"/>
          </w:tcPr>
          <w:p>
            <w:r>
              <w:rPr>
                <w:sz w:val="17"/>
              </w:rPr>
              <w:t>57,071</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2026-10-20</w:t>
            </w:r>
          </w:p>
        </w:tc>
        <w:tc>
          <w:tcPr>
            <w:tcW w:type="dxa" w:w="1440"/>
            <w:shd w:fill="FAFAFA" w:val="clear"/>
          </w:tcPr>
          <w:p>
            <w:r>
              <w:rPr>
                <w:sz w:val="17"/>
              </w:rPr>
              <w:t>38,139</w:t>
            </w:r>
          </w:p>
        </w:tc>
        <w:tc>
          <w:tcPr>
            <w:tcW w:type="dxa" w:w="1440"/>
            <w:shd w:fill="FAFAFA" w:val="clear"/>
          </w:tcPr>
          <w:p>
            <w:r>
              <w:rPr>
                <w:b/>
                <w:sz w:val="17"/>
              </w:rPr>
              <w:t>47,884</w:t>
            </w:r>
          </w:p>
        </w:tc>
        <w:tc>
          <w:tcPr>
            <w:tcW w:type="dxa" w:w="1440"/>
            <w:shd w:fill="FAFAFA" w:val="clear"/>
          </w:tcPr>
          <w:p>
            <w:r>
              <w:rPr>
                <w:sz w:val="17"/>
              </w:rPr>
              <w:t>57,628</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2026-10-21</w:t>
            </w:r>
          </w:p>
        </w:tc>
        <w:tc>
          <w:tcPr>
            <w:tcW w:type="dxa" w:w="1440"/>
            <w:shd w:fill="FAFAFA" w:val="clear"/>
          </w:tcPr>
          <w:p>
            <w:r>
              <w:rPr>
                <w:sz w:val="17"/>
              </w:rPr>
              <w:t>37,612</w:t>
            </w:r>
          </w:p>
        </w:tc>
        <w:tc>
          <w:tcPr>
            <w:tcW w:type="dxa" w:w="1440"/>
            <w:shd w:fill="FAFAFA" w:val="clear"/>
          </w:tcPr>
          <w:p>
            <w:r>
              <w:rPr>
                <w:b/>
                <w:sz w:val="17"/>
              </w:rPr>
              <w:t>47,884</w:t>
            </w:r>
          </w:p>
        </w:tc>
        <w:tc>
          <w:tcPr>
            <w:tcW w:type="dxa" w:w="1440"/>
            <w:shd w:fill="FAFAFA" w:val="clear"/>
          </w:tcPr>
          <w:p>
            <w:r>
              <w:rPr>
                <w:sz w:val="17"/>
              </w:rPr>
              <w:t>58,156</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440,80 milliards FCFA, un niveau qui la place parmi les valeurs significatives de la cote BRVM, bien que très en deçà des poids lourds comme SONATEL. Les ratios de valorisation classiques (BPA, PER, P/B, EV/EBITDA) ne sont pas calculables en l'état, faute de données financières structurées exploitables dans la base (les états financiers annuels n'étant pas disponibles sous format structuré). Cette absence empêche toute lecture directe du prix payé par le marché pour chaque franc de bénéfice ou de valeur comptable. Toutefois, en croisant le cours actuel (48 000 FCFA) avec le bénéfice net 2023 de 640,3 millions FCFA et un nombre d'actions estimé à environ 9,18 millions (déduit de la capitalisation), le BPA ressortirait à environ 70 FCFA, soit un PER implicite très élevé (&gt;600x), signe d'une valorisation déconnectée des bénéfices courants. Ce niveau traduit davantage une anticipation de redressement qu'une rentabilité actuelle, ce qui rend l'analyse fondamentale (Partie 3) d'autant plus critique.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**-14,29%**, avec une légère reprise de **+0,52%** lors de la dernière séance (J-1), portant le cours à **48 000 FCFA**. Le titre a évolué dans un range de **47 215 FCFA (plus bas)** à **60 295 FCFA (plus haut)**, soit un écart de plus de 13 000 FCFA, illustrant une tendance générale baissière avec une pression vendeuse persistante. Les statistiques descriptives révèlent une **moyenne de 54 326 FCFA** et une **médiane de 54 422 FCFA**, quasi identiques, confirmant une distribution symétrique (skewness de -0,185, proche de zéro). L'**écart-type de 3 116 FCFA** et un **coefficient de variation de 5,7%** indiquent une dispersion modérée du cours autour de sa moyenne, tandis que le **kurtosis de -0,501** (mésokurtique) suggère une distribution proche de la normale, sans risque excessif de pics extrêmes. La **volatilité annualisée de 59,4%** classe le titre dans la catégorie **élevée (&gt;30%)**, ce qui est cohérent avec un marché peu liquide (volume moyen de seulement 21 titres/jour) où le moindre flux peut faire varier le cours significativement. Le mode à 58 000 FCFA, nettement supérieur au cours actuel, confirme que le titre a longtemps évolué au-dessus de 50 000 FCFA avant de décrocher récemment.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(50 878 FCFA) et la MM50 (52 635,5 FCFA) sont toutes deux supérieures au cours actuel (48 000 FCFA), avec une MM20 en dessous de la MM50, configuration baissière classique (croisement mort confirmé). Le cours évoluant sous ses deux moyennes, la décision technique est **Vente**, signalant une pression baissière de court et moyen terme.</w:t>
      </w:r>
    </w:p>
    <w:p>
      <w:pPr>
        <w:spacing w:after="120" w:line="276" w:lineRule="auto"/>
      </w:pPr>
      <w:r>
        <w:t>**Bandes de Bollinger** : Le cours (48 000 FCFA) se situe dans la moitié inférieure de la bande, entre la borne inférieure (46 103,15 FCFA) et la borne supérieure (55 652,85 FCFA), sans toucher les extrêmes. Cette position médiane-basse, couplée à un écart-type modéré, justifie une décision **Neutre** : le titre n'est ni en survente extrême ni en surachat, mais la tendance reste fragile.</w:t>
      </w:r>
    </w:p>
    <w:p>
      <w:pPr>
        <w:spacing w:after="120" w:line="276" w:lineRule="auto"/>
      </w:pPr>
      <w:r>
        <w:t>**MACD** : La valeur du MACD (-1 394,56) est inférieure à son signal (-1 116,31), avec un histogramme négatif, confirmant un momentum baissier. La divergence négative persistante entre les deux lignes justifie la décision **Vente**, bien que l'écart reste contenu, suggérant un essoufflement possible de la baisse.</w:t>
      </w:r>
    </w:p>
    <w:p>
      <w:pPr>
        <w:spacing w:after="120" w:line="276" w:lineRule="auto"/>
      </w:pPr>
      <w:r>
        <w:t>**RSI** : À 47,51, le RSI se situe dans la zone neutre (30-70), sans signal de surachat ni de survente. Cette valeur médiane reflète un équilibre précaire entre acheteurs et vendeurs, justifiant une décision **Neutre** et l'absence de signal directionnel fort.</w:t>
      </w:r>
    </w:p>
    <w:p>
      <w:pPr>
        <w:spacing w:after="120" w:line="276" w:lineRule="auto"/>
      </w:pPr>
      <w:r>
        <w:t>**Stochastique** : Le %K (14,31) et le %D (10,82) sont tous deux en zone de survente (&lt;20), avec un %K légèrement au-dessus du %D, signalant un possible début de croisement haussier. Cette configuration justifie une décision **Achat** à court terme, en anticipation d'un rebond technique.</w:t>
      </w:r>
    </w:p>
    <w:p>
      <w:pPr>
        <w:spacing w:after="120" w:line="276" w:lineRule="auto"/>
      </w:pPr>
      <w:r>
        <w:t>**Conclusion technique** : Les indicateurs sont majoritairement baissiers (MM, MACD) ou neutres (Bollinger, RSI), avec un seul signal haussier (Stochastique en survente). Cette divergence suggère un marché en fin de correction, mais sans confirmation d'inversion de tendance. La prudence reste de mise tant que le cours n'aura pas reconquis la MM20 (50 878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le chiffre d'affaires s'établit à **24 336 010 000 FCFA**, stable par rapport à 2022 (même montant), traduisant une stagnation de l'activité. Le résultat net ressort à **640 334 855 FCFA**, en forte amélioration après la perte massive de **-6 908 362 002 FCFA en 2022**, mais la marge nette reste faible à **2,63%**, très en dessous de la moyenne sectorielle FMCG (5-10%). Le résultat d'exploitation passe de **-6 258 M FCFA en 2022** à **+3 340 M FCFA en 2023**, signe d'un redressement opérationnel, mais les **capitaux propres restent négatifs à -10 658 M FCFA** et le **report à nouveau négatif de -35 635 M FCFA** fragilise structurellement le bilan. La **trésorerie passive (14 874 M FCFA)** dépasse largement la trésorerie active (non communiquée), indiquant un risque de liquidité. Aucun dividende n'a été versé en 2023, et la politique de rétention des bénéfices vise à reconstituer les fonds propres. **En 2022**, le CA était également de **24 336 M FCFA**, mais le résultat net affichait une perte de **-6 382,6 M FCFA** (selon un rapport provisoire) ou **-6 908,4 M FCFA** (selon le rapport définitif), avec une marge nette de **-26,2% à -28,4%**. L'endettement financier s'élevait à **4 379 M FCFA en 2023** (vs 3 827 M FCFA en 2022), en hausse. Les rapports antérieurs (2021, 2020) montrent une volatilité extrême des résultats : bénéfice de **+6 090,8 M FCFA en 2021** (marge nette de 25%), suivi d'une perte en 2022, puis d'un retour à un bénéfice modeste en 2023. Cette instabilité chronique, couplée à des capitaux propres négatifs et une absence de dividende, traduit une **situation financière précaire** malgré les signes de redressement opérationnel. **Recommandation fondamentale** : la solidité reste fragile, les risques (liquidité, endettement, concurrence) sont élevés, et les perspectives dépendent d'une amélioration durable des marges et d'une recapitalisation. Les rapports datant de 2023 (et antérieurs), ils ne reflètent pas les exercices 2024-2025, mais constituent la meilleure base disponible.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**Valorisation (Partie 0)** : la capitalisation de 440,80 Mds FCFA et un PER implicite très élevé (&gt;600x) suggèrent une surévaluation par rapport aux bénéfices actuels, bien que l'absence de ratios calculables limite l'analyse. **Comportement du cours (Partie 1)** : la tendance baissière (-14,29% sur 100 jours), la volatilité élevée (59,4%) et la distribution symétrique (skewness -0,185, kurtosis -0,501) indiquent un titre risqué mais sans biais extrême, évoluant dans un range large (47 215-60 295 FCFA). **Signaux techniques (Partie 2)** : divergence entre indicateurs baissiers (MM, MACD) et neutres (Bollinger, RSI), avec un signal haussier isolé (Stochastique en survente), plaidant pour une prudence à court terme. **Fondamentaux (Partie 3)** : redressement opérationnel en 2023 (résultat net de 640,3 M FCFA, résultat d'exploitation de +3 340 M FCFA) mais structure financière fragile (capitaux propres négatifs, endettement en hausse, absence de dividende). **Prédictions IA (J+1 à J+10)** : la trajectoire prévue (48 000 → 47 891 FCFA) anticipe une quasi-stabilité avec une légère érosion, confirmant l'absence de catalyseur haussier immédiat. **Recommandation finale : CONSERVER (avec vigilance)**. Cette recommandation reflète la convergence entre des fondamentaux en amélioration mais fragiles, des signaux techniques mitigés, et des prédictions stables. Le niveau de confiance est **Moyen** (données fondamentales anciennes, liquidité faible), et le risque global est **Élevé** (volatilité, endettement, capitaux propres négatifs). L'horizon optimal est **long terme (&gt;1 an)** pour les investisseurs patients misant sur une restructuration réussie, avec un suivi trimestriel impératif des marges et de la trésorerie. Une vente serait justifiée en cas de nouvelle perte en 2024-2025 ou de dégradation supplémentaire des capitaux propres.</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13,598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15.12% (Élevée) — μ=2,014 FCFA, σ=304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β=0.5975 (Défensif) — Cov=0.000044, Var(idx)=0.000073, ρ=0.161,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13,598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2026-10-08</w:t>
            </w:r>
          </w:p>
        </w:tc>
        <w:tc>
          <w:tcPr>
            <w:tcW w:type="dxa" w:w="1440"/>
            <w:shd w:fill="FAFAFA" w:val="clear"/>
          </w:tcPr>
          <w:p>
            <w:r>
              <w:rPr>
                <w:sz w:val="17"/>
              </w:rPr>
              <w:t>2,186</w:t>
            </w:r>
          </w:p>
        </w:tc>
        <w:tc>
          <w:tcPr>
            <w:tcW w:type="dxa" w:w="1440"/>
            <w:shd w:fill="FAFAFA" w:val="clear"/>
          </w:tcPr>
          <w:p>
            <w:r>
              <w:rPr>
                <w:b/>
                <w:sz w:val="17"/>
              </w:rPr>
              <w:t>2,267</w:t>
            </w:r>
          </w:p>
        </w:tc>
        <w:tc>
          <w:tcPr>
            <w:tcW w:type="dxa" w:w="1440"/>
            <w:shd w:fill="FAFAFA" w:val="clear"/>
          </w:tcPr>
          <w:p>
            <w:r>
              <w:rPr>
                <w:sz w:val="17"/>
              </w:rPr>
              <w:t>2,348</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2026-10-09</w:t>
            </w:r>
          </w:p>
        </w:tc>
        <w:tc>
          <w:tcPr>
            <w:tcW w:type="dxa" w:w="1440"/>
            <w:shd w:fill="FFDCE0" w:val="clear"/>
          </w:tcPr>
          <w:p>
            <w:r>
              <w:rPr>
                <w:sz w:val="17"/>
              </w:rPr>
              <w:t>2,140</w:t>
            </w:r>
          </w:p>
        </w:tc>
        <w:tc>
          <w:tcPr>
            <w:tcW w:type="dxa" w:w="1440"/>
            <w:shd w:fill="FFDCE0" w:val="clear"/>
          </w:tcPr>
          <w:p>
            <w:r>
              <w:rPr>
                <w:b/>
                <w:sz w:val="17"/>
              </w:rPr>
              <w:t>2,253</w:t>
            </w:r>
          </w:p>
        </w:tc>
        <w:tc>
          <w:tcPr>
            <w:tcW w:type="dxa" w:w="1440"/>
            <w:shd w:fill="FFDCE0" w:val="clear"/>
          </w:tcPr>
          <w:p>
            <w:r>
              <w:rPr>
                <w:sz w:val="17"/>
              </w:rPr>
              <w:t>2,366</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2026-10-12</w:t>
            </w:r>
          </w:p>
        </w:tc>
        <w:tc>
          <w:tcPr>
            <w:tcW w:type="dxa" w:w="1440"/>
            <w:shd w:fill="FFDCE0" w:val="clear"/>
          </w:tcPr>
          <w:p>
            <w:r>
              <w:rPr>
                <w:sz w:val="17"/>
              </w:rPr>
              <w:t>2,099</w:t>
            </w:r>
          </w:p>
        </w:tc>
        <w:tc>
          <w:tcPr>
            <w:tcW w:type="dxa" w:w="1440"/>
            <w:shd w:fill="FFDCE0" w:val="clear"/>
          </w:tcPr>
          <w:p>
            <w:r>
              <w:rPr>
                <w:b/>
                <w:sz w:val="17"/>
              </w:rPr>
              <w:t>2,237</w:t>
            </w:r>
          </w:p>
        </w:tc>
        <w:tc>
          <w:tcPr>
            <w:tcW w:type="dxa" w:w="1440"/>
            <w:shd w:fill="FFDCE0" w:val="clear"/>
          </w:tcPr>
          <w:p>
            <w:r>
              <w:rPr>
                <w:sz w:val="17"/>
              </w:rPr>
              <w:t>2,375</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2026-10-13</w:t>
            </w:r>
          </w:p>
        </w:tc>
        <w:tc>
          <w:tcPr>
            <w:tcW w:type="dxa" w:w="1440"/>
            <w:shd w:fill="FFDCE0" w:val="clear"/>
          </w:tcPr>
          <w:p>
            <w:r>
              <w:rPr>
                <w:sz w:val="17"/>
              </w:rPr>
              <w:t>2,063</w:t>
            </w:r>
          </w:p>
        </w:tc>
        <w:tc>
          <w:tcPr>
            <w:tcW w:type="dxa" w:w="1440"/>
            <w:shd w:fill="FFDCE0" w:val="clear"/>
          </w:tcPr>
          <w:p>
            <w:r>
              <w:rPr>
                <w:b/>
                <w:sz w:val="17"/>
              </w:rPr>
              <w:t>2,221</w:t>
            </w:r>
          </w:p>
        </w:tc>
        <w:tc>
          <w:tcPr>
            <w:tcW w:type="dxa" w:w="1440"/>
            <w:shd w:fill="FFDCE0" w:val="clear"/>
          </w:tcPr>
          <w:p>
            <w:r>
              <w:rPr>
                <w:sz w:val="17"/>
              </w:rPr>
              <w:t>2,379</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2026-10-14</w:t>
            </w:r>
          </w:p>
        </w:tc>
        <w:tc>
          <w:tcPr>
            <w:tcW w:type="dxa" w:w="1440"/>
            <w:shd w:fill="FFDCE0" w:val="clear"/>
          </w:tcPr>
          <w:p>
            <w:r>
              <w:rPr>
                <w:sz w:val="17"/>
              </w:rPr>
              <w:t>2,030</w:t>
            </w:r>
          </w:p>
        </w:tc>
        <w:tc>
          <w:tcPr>
            <w:tcW w:type="dxa" w:w="1440"/>
            <w:shd w:fill="FFDCE0" w:val="clear"/>
          </w:tcPr>
          <w:p>
            <w:r>
              <w:rPr>
                <w:b/>
                <w:sz w:val="17"/>
              </w:rPr>
              <w:t>2,206</w:t>
            </w:r>
          </w:p>
        </w:tc>
        <w:tc>
          <w:tcPr>
            <w:tcW w:type="dxa" w:w="1440"/>
            <w:shd w:fill="FFDCE0" w:val="clear"/>
          </w:tcPr>
          <w:p>
            <w:r>
              <w:rPr>
                <w:sz w:val="17"/>
              </w:rPr>
              <w:t>2,381</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2026-10-15</w:t>
            </w:r>
          </w:p>
        </w:tc>
        <w:tc>
          <w:tcPr>
            <w:tcW w:type="dxa" w:w="1440"/>
            <w:shd w:fill="FFDCE0" w:val="clear"/>
          </w:tcPr>
          <w:p>
            <w:r>
              <w:rPr>
                <w:sz w:val="17"/>
              </w:rPr>
              <w:t>2,000</w:t>
            </w:r>
          </w:p>
        </w:tc>
        <w:tc>
          <w:tcPr>
            <w:tcW w:type="dxa" w:w="1440"/>
            <w:shd w:fill="FFDCE0" w:val="clear"/>
          </w:tcPr>
          <w:p>
            <w:r>
              <w:rPr>
                <w:b/>
                <w:sz w:val="17"/>
              </w:rPr>
              <w:t>2,191</w:t>
            </w:r>
          </w:p>
        </w:tc>
        <w:tc>
          <w:tcPr>
            <w:tcW w:type="dxa" w:w="1440"/>
            <w:shd w:fill="FFDCE0" w:val="clear"/>
          </w:tcPr>
          <w:p>
            <w:r>
              <w:rPr>
                <w:sz w:val="17"/>
              </w:rPr>
              <w:t>2,382</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2026-10-16</w:t>
            </w:r>
          </w:p>
        </w:tc>
        <w:tc>
          <w:tcPr>
            <w:tcW w:type="dxa" w:w="1440"/>
            <w:shd w:fill="FFDCE0" w:val="clear"/>
          </w:tcPr>
          <w:p>
            <w:r>
              <w:rPr>
                <w:sz w:val="17"/>
              </w:rPr>
              <w:t>1,972</w:t>
            </w:r>
          </w:p>
        </w:tc>
        <w:tc>
          <w:tcPr>
            <w:tcW w:type="dxa" w:w="1440"/>
            <w:shd w:fill="FFDCE0" w:val="clear"/>
          </w:tcPr>
          <w:p>
            <w:r>
              <w:rPr>
                <w:b/>
                <w:sz w:val="17"/>
              </w:rPr>
              <w:t>2,177</w:t>
            </w:r>
          </w:p>
        </w:tc>
        <w:tc>
          <w:tcPr>
            <w:tcW w:type="dxa" w:w="1440"/>
            <w:shd w:fill="FFDCE0" w:val="clear"/>
          </w:tcPr>
          <w:p>
            <w:r>
              <w:rPr>
                <w:sz w:val="17"/>
              </w:rPr>
              <w:t>2,382</w:t>
            </w:r>
          </w:p>
        </w:tc>
        <w:tc>
          <w:tcPr>
            <w:tcW w:type="dxa" w:w="1440"/>
            <w:shd w:fill="FFDCE0" w:val="clear"/>
          </w:tcPr>
          <w:p>
            <w:r>
              <w:rPr>
                <w:b/>
                <w:color w:val="C00000"/>
                <w:sz w:val="17"/>
              </w:rPr>
              <w:t>-5.4%</w:t>
            </w:r>
          </w:p>
        </w:tc>
      </w:tr>
      <w:tr>
        <w:tc>
          <w:tcPr>
            <w:tcW w:type="dxa" w:w="1440"/>
            <w:shd w:fill="FFDCE0" w:val="clear"/>
          </w:tcPr>
          <w:p>
            <w:r>
              <w:rPr>
                <w:sz w:val="17"/>
              </w:rPr>
              <w:t>J+8  ⭐</w:t>
            </w:r>
          </w:p>
        </w:tc>
        <w:tc>
          <w:tcPr>
            <w:tcW w:type="dxa" w:w="1440"/>
            <w:shd w:fill="FFDCE0" w:val="clear"/>
          </w:tcPr>
          <w:p>
            <w:r>
              <w:rPr>
                <w:sz w:val="17"/>
              </w:rPr>
              <w:t>2026-10-19</w:t>
            </w:r>
          </w:p>
        </w:tc>
        <w:tc>
          <w:tcPr>
            <w:tcW w:type="dxa" w:w="1440"/>
            <w:shd w:fill="FFDCE0" w:val="clear"/>
          </w:tcPr>
          <w:p>
            <w:r>
              <w:rPr>
                <w:sz w:val="17"/>
              </w:rPr>
              <w:t>1,945</w:t>
            </w:r>
          </w:p>
        </w:tc>
        <w:tc>
          <w:tcPr>
            <w:tcW w:type="dxa" w:w="1440"/>
            <w:shd w:fill="FFDCE0" w:val="clear"/>
          </w:tcPr>
          <w:p>
            <w:r>
              <w:rPr>
                <w:b/>
                <w:sz w:val="17"/>
              </w:rPr>
              <w:t>2,163</w:t>
            </w:r>
          </w:p>
        </w:tc>
        <w:tc>
          <w:tcPr>
            <w:tcW w:type="dxa" w:w="1440"/>
            <w:shd w:fill="FFDCE0" w:val="clear"/>
          </w:tcPr>
          <w:p>
            <w:r>
              <w:rPr>
                <w:sz w:val="17"/>
              </w:rPr>
              <w:t>2,381</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2026-10-20</w:t>
            </w:r>
          </w:p>
        </w:tc>
        <w:tc>
          <w:tcPr>
            <w:tcW w:type="dxa" w:w="1440"/>
            <w:shd w:fill="FFDCE0" w:val="clear"/>
          </w:tcPr>
          <w:p>
            <w:r>
              <w:rPr>
                <w:sz w:val="17"/>
              </w:rPr>
              <w:t>1,920</w:t>
            </w:r>
          </w:p>
        </w:tc>
        <w:tc>
          <w:tcPr>
            <w:tcW w:type="dxa" w:w="1440"/>
            <w:shd w:fill="FFDCE0" w:val="clear"/>
          </w:tcPr>
          <w:p>
            <w:r>
              <w:rPr>
                <w:b/>
                <w:sz w:val="17"/>
              </w:rPr>
              <w:t>2,149</w:t>
            </w:r>
          </w:p>
        </w:tc>
        <w:tc>
          <w:tcPr>
            <w:tcW w:type="dxa" w:w="1440"/>
            <w:shd w:fill="FFDCE0" w:val="clear"/>
          </w:tcPr>
          <w:p>
            <w:r>
              <w:rPr>
                <w:sz w:val="17"/>
              </w:rPr>
              <w:t>2,379</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2026-10-21</w:t>
            </w:r>
          </w:p>
        </w:tc>
        <w:tc>
          <w:tcPr>
            <w:tcW w:type="dxa" w:w="1440"/>
            <w:shd w:fill="FFDCE0" w:val="clear"/>
          </w:tcPr>
          <w:p>
            <w:r>
              <w:rPr>
                <w:sz w:val="17"/>
              </w:rPr>
              <w:t>1,896</w:t>
            </w:r>
          </w:p>
        </w:tc>
        <w:tc>
          <w:tcPr>
            <w:tcW w:type="dxa" w:w="1440"/>
            <w:shd w:fill="FFDCE0" w:val="clear"/>
          </w:tcPr>
          <w:p>
            <w:r>
              <w:rPr>
                <w:b/>
                <w:sz w:val="17"/>
              </w:rPr>
              <w:t>2,137</w:t>
            </w:r>
          </w:p>
        </w:tc>
        <w:tc>
          <w:tcPr>
            <w:tcW w:type="dxa" w:w="1440"/>
            <w:shd w:fill="FFDCE0" w:val="clear"/>
          </w:tcPr>
          <w:p>
            <w:r>
              <w:rPr>
                <w:sz w:val="17"/>
              </w:rPr>
              <w:t>2,377</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**RAPPORT D'ANALYSE FINANCIÈRE — UNIWAX (UNXC)**</w:t>
        <w:br/>
        <w:t>*Bourse Régionale des Valeurs Mobilières (BRVM) — Secteur : Entreprise industrielle (Textile)*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47,73 Mds FCFA, UNXC se situe dans la catégorie des valeurs moyennes de la cote BRVM, ce qui lui confère une liquidité relative mais un poids non négligeable dans l'indice sectoriel. Le BPA ressort à -30 FCFA/action, conséquence directe de la perte nette de -624,11 M FCFA enregistrée en 2025, ce qui rend le PER non significatif (-76,5x) : les investisseurs ne paient donc pas pour des bénéfices actuels, mais anticipent un redressement. Le P/B de 1,94x indique que le marché valorise la société à près du double de sa valeur comptable (capitaux propres de 24,62 Mds FCFA), un niveau raisonnable mais qui intègre déjà une prime de redressement. En revanche, l'EV/EBITDA de 39,3x apparaît très exigeant (&gt;15x), signe que la valeur d'entreprise reste chèrement valorisée au regard de la capacité opérationnelle actuelle (EBE de 1,127 Md FCFA), ce qui traduit une forte anticipation de la part du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totale de +25,00%, avec une dernière séance quasi stable (+0,22%), portant le cours à 2 300 FCFA. Le titre a évolué dans un range très large, entre un plus bas de 1 250 FCFA et un plus haut de 2 495 FCFA, soit un écart de près de 100%, témoignant d'une forte volatilité directionnelle. La tendance générale est nettement haussière, portée par le retour à une rentabilité opérationnelle positive annoncée au S1 2026. Les statistiques descriptives révèlent une moyenne (2 014 FCFA) supérieure à la médiane (1 945 FCFA), signe d'une légère asymétrie positive due aux pics récents, tandis que le mode (1 970 FCFA) se situe en dessous du cours actuel. L'écart-type de 306 FCFA (CV=15,2%) indique une dispersion modérée autour de la moyenne, et le kurtosis de -0,553 (mésokurtique) suggère une distribution proche de la normale, sans risque extrême de pics. Le skewness de -0,180 confirme une distribution quasi symétrique, légèrement tirée vers les valeurs basses. Enfin, la volatilité annualisée de 49,9% classe le titre dans la catégorie des valeurs très volatiles (&gt;30%), ce qui implique un risque de marché élevé et un horizon d'investissement à adapter.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(2 340,75 FCFA) et la MM50 (2 242,20 FCFA) se situent toutes deux au-dessus du cours actuel (2 300 FCFA), avec une MM20 supérieure à la MM50, configuration typique d'une tendance haussière de court terme. Le cours évoluant sous la MM20 mais au-dessus de la MM50, la décision technique ressort à "Achat", suggérant un repli temporaire dans une dynamique positive.</w:t>
      </w:r>
    </w:p>
    <w:p>
      <w:pPr>
        <w:spacing w:after="120" w:line="276" w:lineRule="auto"/>
      </w:pPr>
      <w:r>
        <w:t>**Bandes de Bollinger** : Le cours (2 300 FCFA) se situe entre la borne inférieure (2 208,55 FCFA) et la borne supérieure (2 472,95 FCFA), plus proche de la borne basse, ce qui traduit une pression vendeuse récente mais sans rupture. La décision est "Neutre", les bandes n'étant ni comprimées ni éclatées, indiquant une volatilité en cours de normalisation.</w:t>
      </w:r>
    </w:p>
    <w:p>
      <w:pPr>
        <w:spacing w:after="120" w:line="276" w:lineRule="auto"/>
      </w:pPr>
      <w:r>
        <w:t>**MACD** : La valeur du MACD (16,377) est inférieure à son signal (31,488), générant une décision de "Vente". Cette divergence négative indique un essoufflement du momentum haussier, bien que les deux lignes restent en territoire positif, ce qui nuance le signal baissier.</w:t>
      </w:r>
    </w:p>
    <w:p>
      <w:pPr>
        <w:spacing w:after="120" w:line="276" w:lineRule="auto"/>
      </w:pPr>
      <w:r>
        <w:t>**RSI** : À 46,667, le RSI se situe en zone neutre (30-70), sans signal de surachat ni de survente. La décision "Neutre" reflète un équilibre entre acheteurs et vendeurs, avec une légère tendance baissière depuis les sommets.</w:t>
      </w:r>
    </w:p>
    <w:p>
      <w:pPr>
        <w:spacing w:after="120" w:line="276" w:lineRule="auto"/>
      </w:pPr>
      <w:r>
        <w:t>**Stochastique** : Le %K (40,816) est supérieur au %D (36,735), sans croisement net, et les deux indicateurs se situent en zone basse mais non extrême. La décision "Neutre" confirme l'absence de signal directionnel fort à court terme.</w:t>
      </w:r>
    </w:p>
    <w:p>
      <w:pPr>
        <w:spacing w:after="120" w:line="276" w:lineRule="auto"/>
      </w:pPr>
      <w:r>
        <w:t>**Conclusion technique** : Les indicateurs sont majoritairement neutres, avec une divergence entre la tendance de fond haussière (MM) et le momentum baissier de court terme (MACD). Le titre semble en phase de consolidation après une forte progression, sans signal clair d'achat ou de vente à court terme. La prudence est de mise en attendant une confirmation de la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UNIWAX a réalisé un chiffre d'affaires de 29,032 Mds FCFA, en croissance de 6,2% par rapport à 2024, confirmant la dynamique commerciale. Cependant, le résultat net reste négatif à -624,11 M FCFA, bien qu'en amélioration de 71% par rapport à la perte de -2,19 Mds FCFA en 2024. Le ROE s'établit à -2,54% et le ROA à -1,97%, traduisant une rentabilité toujours dégradée, mais la marge brute de 53,53% et l'EBE redevenu positif à 1,127 Md FCFA (contre -0,35 Md en 2024) montrent un redressement opérationnel réel. La structure financière est solide, avec une autonomie financière de 77,58% et un ratio d'endettement très faible de 1,50%, tandis que la liquidité générale (346,19%) et la trésorerie nette positive (3,813 Mds FCFA) offrent une bonne marge de manœuvre. Le BFR de 11,187 Mds FCFA (positif) et le délai de stockage élevé de 325 jours constituent des points de vigilance, tout comme le flux opérationnel négatif de -8,124 Mds FCFA, compensé par des cessions d'actifs (+9,399 Mds FCFA). Les rapports trimestriels confirment la tendance : au S1 2026 (rapport du 30/06/2026), le CA atteint 15,752 Mds FCFA (+0,3%) et le résultat d'exploitation redevient positif à 771 M FCFA, contre une perte de -314 M FCFA au S1 2025. Le résultat net du S1 2026 s'élève à 771 M FCFA, contre 8,216 Mds FCFA au S1 2025 (ce dernier incluant une plus-value exceptionnelle de cession de près de 10 Mds FCFA). Sur la base de ces rapports, on estime que l'exercice 2026 devrait confirmer le retour à une rentabilité opérationnelle durable, avec un résultat net annuel attendu autour de 1,5 à 2 Mds FCFA, hors éléments exceptionnels. La recommandation fondamentale est de **conserver** le titre, avec un potentiel d'achat si la rentabilité opérationnelle se confirme au S2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si le P/B de 1,94x reste raisonnable, le PER négatif et l'EV/EBITDA de 39,3x traduisent une anticipation forte de redressement, sans marge de sécurité évidente. Le comportement du cours (Partie 1) est haussier sur 100 jours (+25%), mais la volatilité annualisée de 49,9% et la distribution quasi symétrique (skewness -0,180, kurtosis -0,553) indiquent un risque de marché élevé, sans biais directionnel marqué. Les signaux techniques (Partie 2) sont divergents : les moyennes mobiles restent haussières, mais le MACD est baissier et les autres indicateurs sont neutres, suggérant une consolidation en cours. Les fondamentaux (Partie 3) montrent un redressement réel (EBE positif, perte réduite, structure financière saine), mais la rentabilité nette reste fragile et dépendante d'éléments non récurrents. Les prédictions IA (J+1 à J+10) anticipent une baisse progressive de 2 267 à 2 206 FCFA, ce qui contredit la tendance haussière de fond et confirme la pression baissière de court terme. Sur la base de cette synthèse, la recommandation finale est **CONSERVER**, avec un niveau de confiance **Moyen** et un risque global **Élevé**. L'horizon d'investissement optimal est le **moyen terme (3-12 mois)**, en attendant la confirmation de la rentabilité opérationnelle au S2 2026 et une clarification des signaux techniques. Une position d'achat pourrait être envisagée en cas de repli vers 2 100-2 200 FCFA avec confirmation d'un retour durable à l'équilibre.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