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36"/>
        </w:rPr>
        <w:t>RAPPORT MENSUEL BRVM</w:t>
      </w:r>
    </w:p>
    <w:p>
      <w:pPr>
        <w:spacing w:after="240"/>
        <w:jc w:val="center"/>
      </w:pPr>
      <w:r>
        <w:rPr>
          <w:color w:val="666666"/>
          <w:sz w:val="20"/>
        </w:rPr>
        <w:t>Synthèse par section — évolution sur la période   •   03/08/2026 → 31/08/2026   •   28 rapport(s) journalier(s)</w:t>
      </w:r>
    </w:p>
    <w:p>
      <w:pPr>
        <w:spacing w:before="200" w:after="40"/>
      </w:pPr>
      <w:r>
        <w:rPr>
          <w:b/>
          <w:color w:val="1A237E"/>
          <w:sz w:val="26"/>
        </w:rPr>
        <w:t>SYNTHÈSE MENSUELLE — ÉVOLUTION DE LA PÉRIODE</w:t>
      </w:r>
    </w:p>
    <w:p>
      <w:pPr>
        <w:spacing w:before="20" w:after="160"/>
      </w:pPr>
      <w:r>
        <w:rPr>
          <w:b w:val="0"/>
          <w:color w:val="666666"/>
          <w:sz w:val="16"/>
        </w:rPr>
        <w:t>Période : 03/08/2026 → 31/08/2026   •   28 élément(s) analysé(s)</w:t>
      </w:r>
    </w:p>
    <w:p>
      <w:pPr>
        <w:spacing w:before="160" w:after="40"/>
      </w:pPr>
      <w:r>
        <w:rPr>
          <w:b/>
          <w:color w:val="0F9D58"/>
          <w:sz w:val="22"/>
        </w:rPr>
        <w:t>TENDANCE GÉNÉRALE</w:t>
      </w:r>
    </w:p>
    <w:p>
      <w:pPr>
        <w:spacing w:before="20" w:after="20"/>
      </w:pPr>
      <w:r>
        <w:rPr>
          <w:b w:val="0"/>
          <w:sz w:val="20"/>
        </w:rPr>
        <w:t>Au cours du mois d'août 2026, l'indice BRVM Composite a affiché une solide trajectoire haussière, débutant autour de 482 points pour clôturer à 530,06 points. Cette progression soutenue témoigne d'un regain de confiance persistant des investisseurs sur la place régionale de l'UEMOA. Parallèlement, la capitalisation boursière globale a connu des fluctuations techniques majeures, marquant une transition de structure au milieu du mois avant de se stabiliser en fin de période aux alentours de 2 043,994 milliards FCFA.</w:t>
      </w:r>
    </w:p>
    <w:p>
      <w:pPr>
        <w:spacing w:before="160" w:after="40"/>
      </w:pPr>
      <w:r>
        <w:rPr>
          <w:b/>
          <w:color w:val="0F9D58"/>
          <w:sz w:val="22"/>
        </w:rPr>
        <w:t>FAITS MARQUANTS DE LA PÉRIODE</w:t>
      </w:r>
    </w:p>
    <w:p>
      <w:pPr>
        <w:spacing w:before="20" w:after="20"/>
      </w:pPr>
      <w:r>
        <w:rPr>
          <w:b w:val="0"/>
          <w:sz w:val="20"/>
        </w:rPr>
        <w:t>- Le BRVM Composite a atteint son plus haut de la période à la fin du mois, s'établissant durablement au-dessus du seuil des 530 points.</w:t>
      </w:r>
    </w:p>
    <w:p>
      <w:pPr>
        <w:spacing w:before="20" w:after="20"/>
      </w:pPr>
      <w:r>
        <w:rPr>
          <w:b w:val="0"/>
          <w:sz w:val="20"/>
        </w:rPr>
        <w:t>- Une rupture apparente dans le calcul de la capitalisation globale a été enregistrée à partir de la mi-août, passant de plus de 18 500 milliards à un niveau inférieur consolidé autour de 2 040 milliards FCFA.</w:t>
      </w:r>
    </w:p>
    <w:p>
      <w:pPr>
        <w:spacing w:before="20" w:after="20"/>
      </w:pPr>
      <w:r>
        <w:rPr>
          <w:b w:val="0"/>
          <w:sz w:val="20"/>
        </w:rPr>
        <w:t>- Le secteur des services publics a dominé la période avec des performances s'envolant de plus de 47 % à plus de 86 % de rendement moyen.</w:t>
      </w:r>
    </w:p>
    <w:p>
      <w:pPr>
        <w:spacing w:before="20" w:after="20"/>
      </w:pPr>
      <w:r>
        <w:rPr>
          <w:b w:val="0"/>
          <w:sz w:val="20"/>
        </w:rPr>
        <w:t>- Le nombre de titres présentant des divergences entre analyses techniques et fondamentales a fluctué entre 11 et 25 valeurs selon les séances.</w:t>
      </w:r>
    </w:p>
    <w:p>
      <w:pPr>
        <w:spacing w:before="20" w:after="20"/>
      </w:pPr>
      <w:r>
        <w:rPr>
          <w:b w:val="0"/>
          <w:sz w:val="20"/>
        </w:rPr>
        <w:t>- Le profil de risque de liquidité a concerné de manière récurrente entre 8 et 12 titres à faible liquidité sur l'ensemble du mois.</w:t>
      </w:r>
    </w:p>
    <w:p>
      <w:pPr>
        <w:spacing w:before="160" w:after="40"/>
      </w:pPr>
      <w:r>
        <w:rPr>
          <w:b/>
          <w:color w:val="0F9D58"/>
          <w:sz w:val="22"/>
        </w:rPr>
        <w:t>ROTATION SECTORIELLE</w:t>
      </w:r>
    </w:p>
    <w:p>
      <w:pPr>
        <w:spacing w:before="20" w:after="20"/>
      </w:pPr>
      <w:r>
        <w:rPr>
          <w:b w:val="0"/>
          <w:sz w:val="20"/>
        </w:rPr>
        <w:t>Le secteur des services publics s'est imposé en tête de la surperformance, affichant des gains exceptionnels et constants tout au long du mois, soutenu par la solidité de ses valeurs composantes. Les services financiers ont également maintenu une surperformance régulière, confirmant l'attrait des investisseurs pour les valeurs bancaires régionales. En revanche, le secteur industriel est demeuré globalement en sous-performance relative face au dynamisme des utilities et de la finance.</w:t>
      </w:r>
    </w:p>
    <w:p>
      <w:pPr>
        <w:spacing w:before="160" w:after="40"/>
      </w:pPr>
      <w:r>
        <w:rPr>
          <w:b/>
          <w:color w:val="0F9D58"/>
          <w:sz w:val="22"/>
        </w:rPr>
        <w:t>RISQUES &amp; POINTS DE VIGILANCE</w:t>
      </w:r>
    </w:p>
    <w:p>
      <w:pPr>
        <w:spacing w:before="20" w:after="20"/>
      </w:pPr>
      <w:r>
        <w:rPr>
          <w:b w:val="0"/>
          <w:sz w:val="20"/>
        </w:rPr>
        <w:t>- Persistance de poches de liquidité réduite sur plusieurs titres de la cote, induisant un risque de sortie pour les investisseurs institutionnels.</w:t>
      </w:r>
    </w:p>
    <w:p>
      <w:pPr>
        <w:spacing w:before="20" w:after="20"/>
      </w:pPr>
      <w:r>
        <w:rPr>
          <w:b w:val="0"/>
          <w:sz w:val="20"/>
        </w:rPr>
        <w:t>- Volatilité statistique accrue de la valorisation globale du marché, marquée par une distribution leptokurtique traduisant un risque de pics de valorisation.</w:t>
      </w:r>
    </w:p>
    <w:p>
      <w:pPr>
        <w:spacing w:before="20" w:after="20"/>
      </w:pPr>
      <w:r>
        <w:rPr>
          <w:b w:val="0"/>
          <w:sz w:val="20"/>
        </w:rPr>
        <w:t>- Présence continue de divergences entre indicateurs techniques et fondamentaux sur plus d'une dizaine de sociétés cotées.</w:t>
      </w:r>
    </w:p>
    <w:p>
      <w:pPr>
        <w:spacing w:before="20" w:after="20"/>
      </w:pPr>
      <w:r>
        <w:rPr>
          <w:b w:val="0"/>
          <w:sz w:val="20"/>
        </w:rPr>
        <w:t>- Nécessité de vérifier rigoureusement les fondamentaux sous-jacents en raison de la forte concentration sectorielle des performances.</w:t>
      </w:r>
    </w:p>
    <w:p>
      <w:pPr>
        <w:spacing w:before="160" w:after="40"/>
      </w:pPr>
      <w:r>
        <w:rPr>
          <w:b/>
          <w:color w:val="0F9D58"/>
          <w:sz w:val="22"/>
        </w:rPr>
        <w:t>PERSPECTIVES</w:t>
      </w:r>
    </w:p>
    <w:p>
      <w:pPr>
        <w:spacing w:before="20" w:after="20"/>
      </w:pPr>
      <w:r>
        <w:rPr>
          <w:b w:val="0"/>
          <w:sz w:val="20"/>
        </w:rPr>
        <w:t>La dynamique haussière observée sur l'indice BRVM Composite laisse entrevoir un climat de marché constructif pour la rentrée boursière. Les investisseurs devront néanmoins privilégier une approche sélective, en surveillant attentivement la liquidité des titres et la confirmation des fondamentaux face aux valorisations élevées atteintes par certains secteurs phares.</w:t>
      </w:r>
    </w:p>
    <w:p>
      <w:pPr>
        <w:spacing w:before="120" w:after="160"/>
        <w:jc w:val="center"/>
      </w:pPr>
      <w:r>
        <w:rPr>
          <w:b w:val="0"/>
          <w:color w:val="999999"/>
          <w:sz w:val="18"/>
        </w:rPr>
        <w:t>— — —</w:t>
      </w:r>
    </w:p>
    <w:p>
      <w:pPr>
        <w:pStyle w:val="Heading1"/>
      </w:pPr>
      <w:r>
        <w:t>SYNTHÈSE GÉNÉRALE</w:t>
      </w:r>
    </w:p>
    <w:p>
      <w:pPr>
        <w:spacing w:after="20"/>
      </w:pPr>
      <w:r>
        <w:rPr>
          <w:sz w:val="20"/>
        </w:rPr>
        <w:t>- Au cours du mois d'août 2026, l'indice BRVM Composite a poursuivi sa tendance haussière, progressant globalement pour s'établir à 530,06 points en fin de période.</w:t>
      </w:r>
    </w:p>
    <w:p>
      <w:pPr>
        <w:spacing w:after="20"/>
      </w:pPr>
      <w:r>
        <w:rPr>
          <w:sz w:val="20"/>
        </w:rPr>
        <w:t>- La performance de l'indice sur les 100 derniers jours glissants affiche une hausse significative de l'ordre de 29 %, portée par un regain de confiance des investisseurs.</w:t>
      </w:r>
    </w:p>
    <w:p>
      <w:pPr>
        <w:spacing w:after="20"/>
      </w:pPr>
      <w:r>
        <w:rPr>
          <w:sz w:val="20"/>
        </w:rPr>
        <w:t>- La capitalisation boursière globale, après avoir atteint un pic avoisinant les 19,89 milliards de FCFA en cours de mois, a connu une forte variation technique en fin de période pour s'établir à 2 043,99 milliards de FCFA.</w:t>
      </w:r>
    </w:p>
    <w:p>
      <w:pPr>
        <w:spacing w:after="20"/>
      </w:pPr>
      <w:r>
        <w:rPr>
          <w:sz w:val="20"/>
        </w:rPr>
        <w:t>- Les indicateurs statistiques confirment une distribution globalement normale à platykurtique des cotations, caractérisée par une faible à modérée dispersion et une asymétrie positive persistante de l'indice.</w:t>
      </w:r>
    </w:p>
    <w:p>
      <w:pPr>
        <w:pStyle w:val="Heading1"/>
      </w:pPr>
      <w:r>
        <w:t>ANALYSE PAR SECTEUR</w:t>
      </w:r>
    </w:p>
    <w:p>
      <w:pPr>
        <w:spacing w:after="20"/>
      </w:pPr>
      <w:r>
        <w:rPr>
          <w:sz w:val="20"/>
        </w:rPr>
        <w:t>- Au cours de la période du 3 août au 31 août 2026, les secteurs des Services Publics et des Services Financiers ont constamment affiché un sentiment d'achat et une surperformance face au BRVM Composite.</w:t>
      </w:r>
    </w:p>
    <w:p>
      <w:pPr>
        <w:spacing w:after="20"/>
      </w:pPr>
      <w:r>
        <w:rPr>
          <w:sz w:val="20"/>
        </w:rPr>
        <w:t>- Le secteur des Services Publics (2 sociétés) a vu sa performance moyenne sur 100 jours progresser fortement, passant de 47,11 % à 86,37 %, et son prix moyen s'accroître de 8450 à 9850 FCFA.</w:t>
      </w:r>
    </w:p>
    <w:p>
      <w:pPr>
        <w:spacing w:after="20"/>
      </w:pPr>
      <w:r>
        <w:rPr>
          <w:sz w:val="20"/>
        </w:rPr>
        <w:t>- Le secteur des Services Financiers (16 sociétés) a vu sa performance moyenne passer de 38,76 % à 41,10 %, après un creux à 32,77 %, tandis que son prix moyen a évolué de 12782 à 13441 FCFA.</w:t>
      </w:r>
    </w:p>
    <w:p>
      <w:pPr>
        <w:spacing w:after="20"/>
      </w:pPr>
      <w:r>
        <w:rPr>
          <w:sz w:val="20"/>
        </w:rPr>
        <w:t>- Le niveau de risque des Services Financiers est revenu à un profil faible en fin de période, après une phase intermédiaire de risque moyen, alors que le risque des Services Publics est demeuré moyen.</w:t>
      </w:r>
    </w:p>
    <w:p>
      <w:pPr>
        <w:pStyle w:val="Heading1"/>
      </w:pPr>
      <w:r>
        <w:t>MATRICE DE CONVERGENCE DES SIGNAUX</w:t>
      </w:r>
    </w:p>
    <w:p>
      <w:pPr>
        <w:spacing w:after="20"/>
      </w:pPr>
      <w:r>
        <w:rPr>
          <w:sz w:val="20"/>
        </w:rPr>
        <w:t>- La matrice de convergence des signaux de la BRVM met en relation les indicateurs techniques et les recommandations fondamentales de l'IA sur la période d'août 2026.</w:t>
      </w:r>
    </w:p>
    <w:p>
      <w:pPr>
        <w:spacing w:after="20"/>
      </w:pPr>
      <w:r>
        <w:rPr>
          <w:sz w:val="20"/>
        </w:rPr>
        <w:t>- L'analyse montre une volatilité constante des titres entre les zones de convergence favorable, neutre et défavorable.</w:t>
      </w:r>
    </w:p>
    <w:p>
      <w:pPr>
        <w:spacing w:after="20"/>
      </w:pPr>
      <w:r>
        <w:rPr>
          <w:sz w:val="20"/>
        </w:rPr>
        <w:t>- Les configurations de double achat fluctuent au gré des réajustements techniques des sociétés cotées.</w:t>
      </w:r>
    </w:p>
    <w:p>
      <w:pPr>
        <w:spacing w:after="20"/>
      </w:pPr>
      <w:r>
        <w:rPr>
          <w:sz w:val="20"/>
        </w:rPr>
        <w:t>- Les divergences persistent mais restent limitées, traduisant une absence de consensus directionnel lourd sur le marché.</w:t>
      </w:r>
    </w:p>
    <w:p>
      <w:pPr>
        <w:spacing w:after="20"/>
      </w:pPr>
      <w:r>
        <w:rPr>
          <w:sz w:val="20"/>
        </w:rPr>
        <w:t>- Les mouvements observés du début à la fin de la période reflètent une rotation sectorielle continue sans tendance unilatérale marquée.</w:t>
      </w:r>
    </w:p>
    <w:p>
      <w:pPr>
        <w:pStyle w:val="Heading1"/>
      </w:pPr>
      <w:r>
        <w:t>ANALYSE DE LIQUIDITÉ</w:t>
      </w:r>
    </w:p>
    <w:p>
      <w:pPr>
        <w:spacing w:after="20"/>
      </w:pPr>
      <w:r>
        <w:rPr>
          <w:sz w:val="20"/>
        </w:rPr>
        <w:t>- Durant la période du 3 août au 31 août 2026, l analyse de liquidité de la BRVM montre une domination constante d ETIT en tête des titres à haute liquidité malgré une baisse de son volume moyen de 2,74 à 1,52 million d actions.</w:t>
      </w:r>
    </w:p>
    <w:p>
      <w:pPr>
        <w:spacing w:after="20"/>
      </w:pPr>
      <w:r>
        <w:rPr>
          <w:sz w:val="20"/>
        </w:rPr>
        <w:t>- Le titre BICB a enregistré une progression notable de sa liquidité, intégrant durablement le haut du classement avec des volumes portés à plus de 21 000 titres en fin de période.</w:t>
      </w:r>
    </w:p>
    <w:p>
      <w:pPr>
        <w:spacing w:after="20"/>
      </w:pPr>
      <w:r>
        <w:rPr>
          <w:sz w:val="20"/>
        </w:rPr>
        <w:t>- Les valeurs phares telles que SNTS et SDSC affichent des volumes et des valeurs moyennes échangées globalement orientés à la hausse.</w:t>
      </w:r>
    </w:p>
    <w:p>
      <w:pPr>
        <w:spacing w:after="20"/>
      </w:pPr>
      <w:r>
        <w:rPr>
          <w:sz w:val="20"/>
        </w:rPr>
        <w:t>- Le groupe des titres à faible liquidité reste marqué par la présence récurrente d émetteurs comme ABJC, CFAC et SIVC, traduisant un risque de liquidité persistant sur ces lignes.</w:t>
      </w:r>
    </w:p>
    <w:p>
      <w:pPr>
        <w:pStyle w:val="Heading1"/>
      </w:pPr>
      <w:r>
        <w:t>TOP 10 DES DIVERGENCES MAJEURES</w:t>
      </w:r>
    </w:p>
    <w:p>
      <w:pPr>
        <w:spacing w:after="20"/>
      </w:pPr>
      <w:r>
        <w:rPr>
          <w:sz w:val="20"/>
        </w:rPr>
        <w:t>Au cours de la période du 3 au 31 août 2026, les scores de divergence sur le marché de la BRVM ont fluctué entre 4/8 et 6/8, traduisant des désalignements persistants entre indicateurs techniques et fondamentaux.</w:t>
      </w:r>
    </w:p>
    <w:p>
      <w:pPr>
        <w:spacing w:after="20"/>
      </w:pPr>
      <w:r>
        <w:rPr>
          <w:sz w:val="20"/>
        </w:rPr>
        <w:t>- Les scores maximaux ont atteint 6/8 à plusieurs reprises, notamment pour des valeurs comme ONATEL Burkina Faso, Société Générale Côte d'Ivoire, BOA Bénin et Servair Abidjan.</w:t>
      </w:r>
    </w:p>
    <w:p>
      <w:pPr>
        <w:spacing w:after="20"/>
      </w:pPr>
      <w:r>
        <w:rPr>
          <w:sz w:val="20"/>
        </w:rPr>
        <w:t>- Les signaux de vente sont principalement dominés par les moyennes mobiles, le MACD et le stochastique, tandis que les signaux d'achat proviennent sporadiquement des moyennes mobiles ou du MACD.</w:t>
      </w:r>
    </w:p>
    <w:p>
      <w:pPr>
        <w:spacing w:after="20"/>
      </w:pPr>
      <w:r>
        <w:rPr>
          <w:sz w:val="20"/>
        </w:rPr>
        <w:t>- Malgré ces divergences techniques marquées, la recommandation finale pour l'ensemble des titres listés demeure systématiquement orientée à l'achat ou à l'achat fort sur la période.</w:t>
      </w:r>
    </w:p>
    <w:p>
      <w:pPr>
        <w:pStyle w:val="Heading1"/>
      </w:pPr>
      <w:r>
        <w:t>MATRICE RISQUE vs HORIZON</w:t>
      </w:r>
    </w:p>
    <w:p>
      <w:pPr>
        <w:spacing w:after="20"/>
      </w:pPr>
      <w:r>
        <w:rPr>
          <w:sz w:val="20"/>
        </w:rPr>
        <w:t>Au cours de la période du 3 août au 31 août 2026, la matrice risque/horizon de la BRVM montre une concentration exclusive des recommandations sur l'horizon à moyen terme, les segments court et long terme restant nuls.</w:t>
      </w:r>
    </w:p>
    <w:p>
      <w:pPr>
        <w:spacing w:after="20"/>
      </w:pPr>
      <w:r>
        <w:rPr>
          <w:sz w:val="20"/>
        </w:rPr>
        <w:t>- Le nombre de titres classés à faible risque à moyen terme est passé de 25 au début du mois à 21 à la fin, après avoir fluctué entre un creux de 19 et un pic de 25.</w:t>
      </w:r>
    </w:p>
    <w:p>
      <w:pPr>
        <w:spacing w:after="20"/>
      </w:pPr>
      <w:r>
        <w:rPr>
          <w:sz w:val="20"/>
        </w:rPr>
        <w:t>- Corrélativement, le portefeuille de titres à risque moyen à moyen terme a évolué de 22 à 26 unités, culminant temporairement à 28.</w:t>
      </w:r>
    </w:p>
    <w:p>
      <w:pPr>
        <w:spacing w:after="20"/>
      </w:pPr>
      <w:r>
        <w:rPr>
          <w:sz w:val="20"/>
        </w:rPr>
        <w:t>- Le niveau de risque élevé est demeuré totalement vierge sur l'ensemble de la période observée.</w:t>
      </w:r>
    </w:p>
    <w:p>
      <w:pPr>
        <w:pStyle w:val="Heading1"/>
      </w:pPr>
      <w:r>
        <w:t>ANALYSE MACRO</w:t>
      </w:r>
    </w:p>
    <w:p>
      <w:pPr>
        <w:spacing w:after="20"/>
      </w:pPr>
      <w:r>
        <w:rPr>
          <w:sz w:val="20"/>
        </w:rPr>
        <w:t>Au cours de la période du 03 au 31 août 2026, l'analyse macro-économique et financière de la BRVM, générée par intelligence artificielle à partir de flux d'actualités mondiaux et régionaux, est restée stable dans sa méthodologie de collecte avec un volume constant de 100 sources analysées par rapport. L'indice BRVM Composite a évolué à la hausse, passant de 482,65 points au début du mois (02 août) à 482,28 points le 05 août, pour atteindre 529,94 points en fin de période (28 août). Aucun changement notable dans la structure des rapports n'est intervenu, l'infrastructure de veille sur la BCEAO, l'UEMOA, les matières premières et les marchés mondiaux étant maintenue de manière uniforme.</w:t>
      </w:r>
    </w:p>
    <w:p>
      <w:pPr>
        <w:pStyle w:val="Heading1"/>
      </w:pPr>
      <w:r>
        <w:t>1. ACTUALITÉS MACRO</w:t>
      </w:r>
    </w:p>
    <w:p>
      <w:pPr>
        <w:spacing w:after="20"/>
      </w:pPr>
      <w:r>
        <w:rPr>
          <w:sz w:val="20"/>
        </w:rPr>
        <w:t>- Le mois est marqué par une forte volatilité des marchés mondiaux, caractérisée par l'oscillation de l'indice des matières premières MXV (passant par un pic au-delà de 2 900 points) et des cours du pétrole soumis à des tensions géopolitiques.</w:t>
      </w:r>
    </w:p>
    <w:p>
      <w:pPr>
        <w:spacing w:after="20"/>
      </w:pPr>
      <w:r>
        <w:rPr>
          <w:sz w:val="20"/>
        </w:rPr>
        <w:t>- Sur le plan monétaire, la perspective de hausses de taux de la BCE et la politique restrictive de la Fed accentuent la prudence internationale et pèsent potentiellement sur les flux de capitaux vers la BRVM.</w:t>
      </w:r>
    </w:p>
    <w:p>
      <w:pPr>
        <w:spacing w:after="20"/>
      </w:pPr>
      <w:r>
        <w:rPr>
          <w:sz w:val="20"/>
        </w:rPr>
        <w:t>- En Afrique, l'actualité met en avant la vitalité du marché obligataire avec l'émission réussie de 108 milliards de FCFA de dette verte par la Senelec, ainsi que le potentiel des infrastructures, des énergies renouvelables et de l'agro-industrie.</w:t>
      </w:r>
    </w:p>
    <w:p>
      <w:pPr>
        <w:spacing w:after="20"/>
      </w:pPr>
      <w:r>
        <w:rPr>
          <w:sz w:val="20"/>
        </w:rPr>
        <w:t>- Pour la BRVM, ces mouvements mondiaux influencent directement les perspectives des secteurs clés, profitant aux valeurs énergétiques lors des hausses du brut tout en pesant sur les coûts d'approvisionnement des industries de consommation de base.</w:t>
      </w:r>
    </w:p>
    <w:p>
      <w:pPr>
        <w:pStyle w:val="Heading1"/>
      </w:pPr>
      <w:r>
        <w:t>2. ACTUALITÉS POLITIQUES</w:t>
      </w:r>
    </w:p>
    <w:p>
      <w:pPr>
        <w:spacing w:after="20"/>
      </w:pPr>
      <w:r>
        <w:rPr>
          <w:sz w:val="20"/>
        </w:rPr>
        <w:t>- La période a été marquée par un environnement géopolitique mondial contrasté, oscillant entre des tensions inflationnistes et pétrolières persistantes et des signaux de détente au Moyen-Orient.</w:t>
      </w:r>
    </w:p>
    <w:p>
      <w:pPr>
        <w:spacing w:after="20"/>
      </w:pPr>
      <w:r>
        <w:rPr>
          <w:sz w:val="20"/>
        </w:rPr>
        <w:t>- À l'échelle de l'Afrique de l'Ouest, la stabilité politique relative a prévalu malgré des tensions persistantes au Mali et des incertitudes persistantes liées aux dynamiques de la CEDEAO et de l'AES.</w:t>
      </w:r>
    </w:p>
    <w:p>
      <w:pPr>
        <w:spacing w:after="20"/>
      </w:pPr>
      <w:r>
        <w:rPr>
          <w:sz w:val="20"/>
        </w:rPr>
        <w:t>- Les questions monétaires, notamment les débats autour de la monnaie unique et du retrait de certains États, ont introduit une volatilité modérée dans les perceptions des investisseurs.</w:t>
      </w:r>
    </w:p>
    <w:p>
      <w:pPr>
        <w:spacing w:after="20"/>
      </w:pPr>
      <w:r>
        <w:rPr>
          <w:sz w:val="20"/>
        </w:rPr>
        <w:t>- Pour la BRVM, cet équilibre globalement préservé a permis au marché de se concentrer sur ses fondamentaux régionaux, soutenant l'attractivité des valeurs de la cote malgré la prudence induite par le contexte international.</w:t>
      </w:r>
    </w:p>
    <w:p>
      <w:pPr>
        <w:pStyle w:val="Heading1"/>
      </w:pPr>
      <w:r>
        <w:t>3. ACTUALITÉS FINANCIÈRES</w:t>
      </w:r>
    </w:p>
    <w:p>
      <w:pPr>
        <w:spacing w:after="20"/>
      </w:pPr>
      <w:r>
        <w:rPr>
          <w:sz w:val="20"/>
        </w:rPr>
        <w:t>Sur la période du 3 au 31 août 2026, l'actualité financière de la BRVM a été marquée par un environnement international volatil, partagé entre la fluctuation des matières premières, les politiques des banques centrales et l'impact de la dette verte de Senelec à Luxembourg.</w:t>
      </w:r>
    </w:p>
    <w:p>
      <w:pPr>
        <w:spacing w:after="20"/>
      </w:pPr>
      <w:r>
        <w:rPr>
          <w:sz w:val="20"/>
        </w:rPr>
        <w:t>- L'indice BRVM Composite s'est stabilisé autour de 530,06 points en fin de période, témoignant d'une résilience face aux incertitudes mondiales.</w:t>
      </w:r>
    </w:p>
    <w:p>
      <w:pPr>
        <w:spacing w:after="20"/>
      </w:pPr>
      <w:r>
        <w:rPr>
          <w:sz w:val="20"/>
        </w:rPr>
        <w:t>- Les matières premières ont alterné phases de baisse et de hausse, l'indice MXV influençant directement la rentabilité des valeurs agro-industrielles et énergétiques locales.</w:t>
      </w:r>
    </w:p>
    <w:p>
      <w:pPr>
        <w:spacing w:after="20"/>
      </w:pPr>
      <w:r>
        <w:rPr>
          <w:sz w:val="20"/>
        </w:rPr>
        <w:t>- Les investisseurs de la zone UEMOA ont fait preuve de prudence face aux perspectives de resserrement monétaire global et aux débats sur la monnaie unique de la CEDEAO.</w:t>
      </w:r>
    </w:p>
    <w:p>
      <w:pPr>
        <w:spacing w:after="20"/>
      </w:pPr>
      <w:r>
        <w:rPr>
          <w:sz w:val="20"/>
        </w:rPr>
        <w:t>- Le succès de l'emprunt vert sénégalais a renforcé la crédibilité des émetteurs ouest-africains, ouvrant des perspectives de diversification pour le marché financier régional.</w:t>
      </w:r>
    </w:p>
    <w:p>
      <w:pPr>
        <w:pStyle w:val="Heading1"/>
      </w:pPr>
      <w:r>
        <w:t>SYNTHÈSE &amp; RECOMMANDATION FINALE</w:t>
      </w:r>
    </w:p>
    <w:p>
      <w:pPr>
        <w:spacing w:after="20"/>
      </w:pPr>
      <w:r>
        <w:rPr>
          <w:sz w:val="20"/>
        </w:rPr>
        <w:t>- Sur la période du 3 au 31 août 2026, le niveau d'alerte global pour la BRVM est resté majoritairement au vert, malgré un passage temporaire à l'orange à la mi-août en raison d'incertitudes géopolitiques et monétaires.</w:t>
      </w:r>
    </w:p>
    <w:p>
      <w:pPr>
        <w:spacing w:after="20"/>
      </w:pPr>
      <w:r>
        <w:rPr>
          <w:sz w:val="20"/>
        </w:rPr>
        <w:t>- L'évolution du marché a été soutenue par des fondamentaux d'entreprises solides et une stabilité régionale relative, en dépit de la volatilité des marchés internationaux et des fluctuations des matières premières.</w:t>
      </w:r>
    </w:p>
    <w:p>
      <w:pPr>
        <w:spacing w:after="20"/>
      </w:pPr>
      <w:r>
        <w:rPr>
          <w:sz w:val="20"/>
        </w:rPr>
        <w:t>- La stratégie recommandée a évolué d'une approche prudente vers une sélection rigoureuse, en maintenant une exposition continue sur les valeurs bancaires et de consommation de base tout en capitalisant ponctuellement sur les secteurs énergétiques et agro-industriels.</w:t>
      </w:r>
    </w:p>
    <w:p>
      <w:pPr>
        <w:spacing w:after="20"/>
      </w:pPr>
      <w:r>
        <w:rPr>
          <w:sz w:val="20"/>
        </w:rPr>
        <w:t>- Les principaux facteurs de surveillance sont passés des risques purement politiques locaux aux contraintes macroéconomiques externes, notamment l'évolution des taux d'intérêt de la BCE et de la Fed ainsi que l'inflation mondiale.</w:t>
      </w:r>
    </w:p>
    <w:p>
      <w:pPr>
        <w:pStyle w:val="Heading1"/>
      </w:pPr>
      <w:r>
        <w:t>ACTUALITÉS DU MARCHÉ BRVM</w:t>
      </w:r>
    </w:p>
    <w:p>
      <w:pPr>
        <w:spacing w:after="20"/>
      </w:pPr>
      <w:r>
        <w:rPr>
          <w:sz w:val="20"/>
        </w:rPr>
        <w:t>- Sur la période du 3 août au 31 août 2026, la section actualités du marché BRVM s'est stabilisée autour de la publication de documents officiels par les sociétés cotées.</w:t>
      </w:r>
    </w:p>
    <w:p>
      <w:pPr>
        <w:spacing w:after="20"/>
      </w:pPr>
      <w:r>
        <w:rPr>
          <w:sz w:val="20"/>
        </w:rPr>
        <w:t>- Le volume des documents référencés concernant les Assemblées Générales est passé de 8 à 14 documents au cours du mois, illustrant l'intensification des procédures de gouvernance.</w:t>
      </w:r>
    </w:p>
    <w:p>
      <w:pPr>
        <w:spacing w:after="20"/>
      </w:pPr>
      <w:r>
        <w:rPr>
          <w:sz w:val="20"/>
        </w:rPr>
        <w:t>- Les communications ont notamment mis en avant des informations clés telles que les avis de convocation, l'approbation des états financiers et les formulaires de vote par correspondance, à l'instar d'Uniwax SA.</w:t>
      </w:r>
    </w:p>
    <w:p>
      <w:pPr>
        <w:spacing w:after="20"/>
      </w:pPr>
      <w:r>
        <w:rPr>
          <w:sz w:val="20"/>
        </w:rPr>
        <w:t>- Les indicateurs d'impact et de résolutions sont restés stables, sans apparition de nouveaux types d'alertes financières majeures en dehors du suivi réglementaire habituel des émetteurs.</w:t>
      </w:r>
    </w:p>
    <w:p>
      <w:pPr>
        <w:pStyle w:val="Heading1"/>
      </w:pPr>
      <w:r>
        <w:t>CLASSEMENT DES SOCIÉTÉS</w:t>
      </w:r>
    </w:p>
    <w:p>
      <w:pPr>
        <w:spacing w:after="20"/>
      </w:pPr>
      <w:r>
        <w:rPr>
          <w:sz w:val="20"/>
        </w:rPr>
        <w:t>- Le classement des 47 sociétés de la BRVM repose sur un score composite combinant technique, fondamental, risque et liquidité.</w:t>
      </w:r>
    </w:p>
    <w:p>
      <w:pPr>
        <w:spacing w:after="20"/>
      </w:pPr>
      <w:r>
        <w:rPr>
          <w:sz w:val="20"/>
        </w:rPr>
        <w:t>- Sur la période du 3 au 31 août 2026, les scores des leaders ont fluctué globalement entre 76 et 85 sur 100 avec une mention systématique d'excellence.</w:t>
      </w:r>
    </w:p>
    <w:p>
      <w:pPr>
        <w:spacing w:after="20"/>
      </w:pPr>
      <w:r>
        <w:rPr>
          <w:sz w:val="20"/>
        </w:rPr>
        <w:t>- Le secteur des services financiers et celui de la consommation de base dominent régulièrement les premières places du palmarès.</w:t>
      </w:r>
    </w:p>
    <w:p>
      <w:pPr>
        <w:spacing w:after="20"/>
      </w:pPr>
      <w:r>
        <w:rPr>
          <w:sz w:val="20"/>
        </w:rPr>
        <w:t>- Les signaux fondamentaux demeurent uniformément orientés à l'achat pour les têtes de liste, malgré des signaux techniques plus partagés entre achat, neutre et vente.</w:t>
      </w:r>
    </w:p>
    <w:p>
      <w:pPr>
        <w:spacing w:after="20"/>
      </w:pPr>
      <w:r>
        <w:rPr>
          <w:sz w:val="20"/>
        </w:rPr>
        <w:t>- La rotation des valeurs en tête de classement s'est intensifiée, illustrée par l'alternance de leaders tels que TTLS, SNTS, SCRC et NTLC.</w:t>
      </w:r>
    </w:p>
    <w:p>
      <w:pPr>
        <w:pStyle w:val="Heading1"/>
      </w:pPr>
      <w:r>
        <w:t>PORTEFEUILLES MODÈLES</w:t>
      </w:r>
    </w:p>
    <w:p>
      <w:pPr>
        <w:spacing w:after="20"/>
      </w:pPr>
      <w:r>
        <w:rPr>
          <w:sz w:val="20"/>
        </w:rPr>
        <w:t>- Au cours de la période du 03/08/2026 au 31/08/2026, la section des portefeuilles modèles (Défensif et Équilibré) a fait l'objet de rééquilibrations dynamiques fréquentes fondées sur le score composite, le profil de risque et la liquidité.</w:t>
      </w:r>
    </w:p>
    <w:p>
      <w:pPr>
        <w:spacing w:after="20"/>
      </w:pPr>
      <w:r>
        <w:rPr>
          <w:sz w:val="20"/>
        </w:rPr>
        <w:t>- La structure de base est restée stable, maintenant une position de liquidités (cash) recommandée de 15% pour le portefeuille défensif et des pondérations équipondérées d'environ 10,6% à 11,2% par ligne.</w:t>
      </w:r>
    </w:p>
    <w:p>
      <w:pPr>
        <w:spacing w:after="20"/>
      </w:pPr>
      <w:r>
        <w:rPr>
          <w:sz w:val="20"/>
        </w:rPr>
        <w:t>- L'évolution hebdomadaire montre une rotation continue des valeurs composant les portefeuilles afin d'intégrer les variations de cours et d'optimiser le ratio rendement/risque sur le marché de la BRVM.</w:t>
      </w:r>
    </w:p>
    <w:p>
      <w:pPr>
        <w:spacing w:after="20"/>
      </w:pPr>
      <w:r>
        <w:rPr>
          <w:sz w:val="20"/>
        </w:rPr>
        <w:t>- Des titres phares tels que Bank of Africa Côte d'Ivoire (BOAC) et Sonatel (SNTS) ont fréquemment occupé les premiers rangs au début de la période, avant d'être progressivement complétés ou remplacés par d'autres valeurs selon l'évolution de leurs scores.</w:t>
      </w:r>
    </w:p>
    <w:p>
      <w:pPr>
        <w:pStyle w:val="Heading1"/>
      </w:pPr>
      <w:r>
        <w:t>ALERTES DU JOUR</w:t>
      </w:r>
    </w:p>
    <w:p>
      <w:pPr>
        <w:spacing w:after="20"/>
      </w:pPr>
      <w:r>
        <w:rPr>
          <w:sz w:val="20"/>
        </w:rPr>
        <w:t>Sur la période du 3 au 31 août 2026, la section des alertes du jour sur le marché BRVM est caractérisée par une persistance de signaux techniques de surachat généralisé.</w:t>
      </w:r>
    </w:p>
    <w:p>
      <w:pPr>
        <w:spacing w:after="20"/>
      </w:pPr>
      <w:r>
        <w:rPr>
          <w:sz w:val="20"/>
        </w:rPr>
        <w:t>- Les indices RSI de nombreuses valeurs dépassent systématiquement le seuil critique de 70, signalant un risque accru de correction technique.</w:t>
      </w:r>
    </w:p>
    <w:p>
      <w:pPr>
        <w:spacing w:after="20"/>
      </w:pPr>
      <w:r>
        <w:rPr>
          <w:sz w:val="20"/>
        </w:rPr>
        <w:t>- Plusieurs titres majeurs évoluent en permanence à proximité immédiate ou au niveau exact de leurs plus hauts sur 100 jours.</w:t>
      </w:r>
    </w:p>
    <w:p>
      <w:pPr>
        <w:spacing w:after="20"/>
      </w:pPr>
      <w:r>
        <w:rPr>
          <w:sz w:val="20"/>
        </w:rPr>
        <w:t>- Une divergence constante entre les signaux techniques vendeurs et les fondamentaux acheteurs se maintient, entraînant des ajustements répétés de recommandations vers l'achat.</w:t>
      </w:r>
    </w:p>
    <w:p>
      <w:pPr>
        <w:spacing w:after="20"/>
      </w:pPr>
      <w:r>
        <w:rPr>
          <w:sz w:val="20"/>
        </w:rPr>
        <w:t>- L'analyse factuelle montre une rotation des valeurs en alerte au fil des séances, traduisant une dynamique haussière soutenue mais potentiellement fragile sur l'ensemble de la cote régionale.</w:t>
      </w:r>
    </w:p>
    <w:p>
      <w:pPr>
        <w:pStyle w:val="Heading1"/>
      </w:pPr>
      <w:r>
        <w:t>RÉCAPITULATIF DES RISQUES</w:t>
      </w:r>
    </w:p>
    <w:p>
      <w:pPr>
        <w:spacing w:after="20"/>
      </w:pPr>
      <w:r>
        <w:rPr>
          <w:sz w:val="20"/>
        </w:rPr>
        <w:t>Sur la période du 3 août au 31 août 2026, le marché de la BRVM maintient globalement un profil de risque faible, aucun titre n'atteignant les seuils de risque élevé ou très élevé.</w:t>
      </w:r>
    </w:p>
    <w:p>
      <w:pPr>
        <w:spacing w:after="20"/>
      </w:pPr>
      <w:r>
        <w:rPr>
          <w:sz w:val="20"/>
        </w:rPr>
        <w:t>- Le score de risque moyen du marché a légèrement fluctué, passant de 20,8/100 en début de période à 21,2/100 en fin de mois (avec un pic à 21,6/100).</w:t>
      </w:r>
    </w:p>
    <w:p>
      <w:pPr>
        <w:spacing w:after="20"/>
      </w:pPr>
      <w:r>
        <w:rPr>
          <w:sz w:val="20"/>
        </w:rPr>
        <w:t>- Le score médian a connu une progression comparable, évoluant de 19,3/100 à 20,3/100.</w:t>
      </w:r>
    </w:p>
    <w:p>
      <w:pPr>
        <w:spacing w:after="20"/>
      </w:pPr>
      <w:r>
        <w:rPr>
          <w:sz w:val="20"/>
        </w:rPr>
        <w:t>- La répartition des titres s'est resserrée vers la catégorie de risque moyen, dont la part est passée de 47% à 55% des sociétés suivies.</w:t>
      </w:r>
    </w:p>
    <w:p>
      <w:pPr>
        <w:spacing w:after="20"/>
      </w:pPr>
      <w:r>
        <w:rPr>
          <w:sz w:val="20"/>
        </w:rPr>
        <w:t>- Les principaux facteurs de risque identifiés au sein du Top 5 demeurent la volatilité élevée et la faible liquidité, des valeurs telles qu'ETIT, SICC et NEIC occupant régulièrement les premières positions.</w:t>
      </w:r>
    </w:p>
    <w:p>
      <w:pPr>
        <w:pStyle w:val="Heading1"/>
      </w:pPr>
      <w:r>
        <w:t>PRÉDICTIONS</w:t>
      </w:r>
    </w:p>
    <w:p>
      <w:pPr>
        <w:spacing w:after="20"/>
      </w:pPr>
      <w:r>
        <w:rPr>
          <w:sz w:val="20"/>
        </w:rPr>
        <w:t>- Le signal de marché global demeure résolument baissier sur l'ensemble de la période d'août 2026 pour les 47 valeurs suivies.</w:t>
      </w:r>
    </w:p>
    <w:p>
      <w:pPr>
        <w:spacing w:after="20"/>
      </w:pPr>
      <w:r>
        <w:rPr>
          <w:sz w:val="20"/>
        </w:rPr>
        <w:t>- La variation moyenne J+10 s'est accentuée, passant de -10,37% au début du mois à -12,43% en fin de période.</w:t>
      </w:r>
    </w:p>
    <w:p>
      <w:pPr>
        <w:spacing w:after="20"/>
      </w:pPr>
      <w:r>
        <w:rPr>
          <w:sz w:val="20"/>
        </w:rPr>
        <w:t>- Le nombre de sociétés orientées à la baisse oscille entre 36 et 39, tandis que les prédictions de hausse restent marginales (entre 6 et 8 valeurs).</w:t>
      </w:r>
    </w:p>
    <w:p>
      <w:pPr>
        <w:spacing w:after="20"/>
      </w:pPr>
      <w:r>
        <w:rPr>
          <w:sz w:val="20"/>
        </w:rPr>
        <w:t>- La fiabilité des modèles demeure globalement faible pour 68% à 74% des sociétés, signalant une forte volatilité persistante sur le marché.</w:t>
      </w:r>
    </w:p>
    <w:p>
      <w:pPr>
        <w:pStyle w:val="Heading1"/>
      </w:pPr>
      <w:r>
        <w:t>ANALYSE FINANCIÈRE</w:t>
      </w:r>
    </w:p>
    <w:p>
      <w:pPr>
        <w:spacing w:after="20"/>
      </w:pPr>
      <w:r>
        <w:rPr>
          <w:sz w:val="20"/>
        </w:rPr>
        <w:t>- L'analyse financière de la période du 03/08/2026 au 31/08/2026 porte sur 44 sociétés cotées sur 47, se concentrant sur le secteur de la consommation de base avec 7 sociétés analysées pour l'exercice 2025.</w:t>
      </w:r>
    </w:p>
    <w:p>
      <w:pPr>
        <w:spacing w:after="20"/>
      </w:pPr>
      <w:r>
        <w:rPr>
          <w:sz w:val="20"/>
        </w:rPr>
        <w:t>- Les données financières demeurent strictement stables sur l'ensemble des dix points de la période.</w:t>
      </w:r>
    </w:p>
    <w:p>
      <w:pPr>
        <w:spacing w:after="20"/>
      </w:pPr>
      <w:r>
        <w:rPr>
          <w:sz w:val="20"/>
        </w:rPr>
        <w:t>- Le secteur affiche des performances contrastées, marquées par de fortes rentabilités pour STBC et NTLC, affichant des ROE respectifs de 79,75% et 62,28%.</w:t>
      </w:r>
    </w:p>
    <w:p>
      <w:pPr>
        <w:spacing w:after="20"/>
      </w:pPr>
      <w:r>
        <w:rPr>
          <w:sz w:val="20"/>
        </w:rPr>
        <w:t>- A l'opposé, SCRC enregistre des difficultés notables avec un résultat net négatif de -7,954 milliards de FCFA et un ROE de -46,13%.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