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13/09/2026 à 09:09</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47 ACHAT  |  0 NEUTRE  |  0 VENTE  (sur 47 sociétés)</w:t>
      </w:r>
    </w:p>
    <w:p>
      <w:pPr>
        <w:spacing w:before="20" w:after="20"/>
        <w:ind w:left="360" w:right="360"/>
        <w:shd w:val="clear" w:color="auto" w:fill="EBF5FB"/>
      </w:pPr>
      <w:r>
        <w:rPr>
          <w:b/>
          <w:sz w:val="19"/>
        </w:rPr>
        <w:t xml:space="preserve">Top opportunité :  </w:t>
      </w:r>
      <w:r>
        <w:rPr>
          <w:color w:val="008000"/>
          <w:sz w:val="19"/>
        </w:rPr>
        <w:t>BOAC  (score 80/100)</w:t>
      </w:r>
    </w:p>
    <w:p>
      <w:pPr>
        <w:spacing w:before="20" w:after="20"/>
        <w:ind w:left="360" w:right="360"/>
        <w:shd w:val="clear" w:color="auto" w:fill="EBF5FB"/>
      </w:pPr>
      <w:r>
        <w:rPr>
          <w:b/>
          <w:sz w:val="19"/>
        </w:rPr>
        <w:t xml:space="preserve">Secteur surperformant :  </w:t>
      </w:r>
      <w:r>
        <w:rPr>
          <w:color w:val="008000"/>
          <w:sz w:val="19"/>
        </w:rPr>
        <w:t>SERVICES PUBLICS  (+108.4%)</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9 sociétés — vérifier avant d'investir</w:t>
      </w:r>
    </w:p>
    <w:p>
      <w:pPr>
        <w:spacing w:before="20" w:after="20"/>
        <w:ind w:left="360" w:right="360"/>
        <w:shd w:val="clear" w:color="auto" w:fill="EBF5FB"/>
      </w:pPr>
      <w:r>
        <w:rPr>
          <w:b/>
          <w:sz w:val="19"/>
        </w:rPr>
        <w:t xml:space="preserve">⚠️ Liquidité réduite :  </w:t>
      </w:r>
      <w:r>
        <w:rPr>
          <w:color w:val="C00000"/>
          <w:sz w:val="19"/>
        </w:rPr>
        <w:t>10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555.48 points </w:t>
      </w:r>
      <w:r>
        <w:rPr>
          <w:color w:val="008000"/>
        </w:rPr>
        <w:t>(+0.49%)</w:t>
      </w:r>
      <w:r>
        <w:t xml:space="preserve"> sur la séance. </w:t>
      </w:r>
      <w:r>
        <w:t>La capitalisation globale du marché atteint 21 420,094 milliards FCFA.</w:t>
      </w:r>
    </w:p>
    <w:p/>
    <w:p>
      <w:pPr>
        <w:pStyle w:val="Heading3"/>
      </w:pPr>
      <w:r>
        <w:t>📊 Évolution de l'indice BRVM Composite (100 derniers jours)</w:t>
      </w:r>
    </w:p>
    <w:p>
      <w:r>
        <w:rPr>
          <w:b/>
        </w:rPr>
        <w:t xml:space="preserve">BRVM Composite — </w:t>
      </w:r>
      <w:r>
        <w:t xml:space="preserve">Sur les 100 derniers jours de cotation (2026-04-17 au 2026-09-11), l'indice BRVM Composite a évolué de </w:t>
      </w:r>
      <w:r>
        <w:rPr>
          <w:b/>
          <w:color w:val="008000"/>
        </w:rPr>
        <w:t>+39.21%</w:t>
      </w:r>
      <w:r>
        <w:t>, passant de 399.03 pts à 555.48 pts. Le plus haut atteint est 555.48 pts et le plus bas 399.03 pts. Sur l'ensemble de la période, la moyenne de l'indice s'établit à 461.75 pts, la médiane à 458.59 pts et le mode à 399.03 pts</w:t>
      </w:r>
      <w:r>
        <w:t xml:space="preserve"> (asymétrie positive — plus de jours sous la moyenne). </w:t>
      </w:r>
      <w:r>
        <w:t xml:space="preserve">L'écart-type de 45.73 pts (CV=9.9%) traduit une modérée dispersion des cotations. Le kurtosis de -0.84 indique une distribution distribution normale.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+39.23%</w:t>
      </w:r>
      <w:r>
        <w:t xml:space="preserve"> sur la période, passant de 15 384,908 Mds FCFA à 21 420,094 Mds FCFA. Le pic de capitalisation observé est de 21 420,094 Mds FCFA et le plancher de 15 384,908 Mds FCFA. La moyenne de la capitalisation sur la période s'établit à 17 796,489 Mds FCFA, la médiane à 17 666,409 Mds FCFA et le mode à 15 384,908 Mds FCFA</w:t>
      </w:r>
      <w:r>
        <w:t xml:space="preserve"> (asymétrie positive). </w:t>
      </w:r>
      <w:r>
        <w:t>L'écart-type de 1 764,333 Mds FCFA (CV=9.9%) reflète une modérée variabilité de la valorisation du marché. Le kurtosis de -0.83 indique une distribution distribution normale.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LNBB - LNBB - LOTERIE NATIONALE DU BENIN</w:t>
      </w:r>
      <w:r>
        <w:t xml:space="preserve"> | Prix: 4000 FCFA | </w:t>
      </w:r>
      <w:r>
        <w:rPr>
          <w:b/>
          <w:color w:val="008000"/>
        </w:rPr>
        <w:t>ACHAT FORT</w:t>
      </w:r>
      <w:r>
        <w:t xml:space="preserve"> | Confiance: Élevée | Risque: Faible</w:t>
      </w:r>
    </w:p>
    <w:p>
      <w:pPr>
        <w:pStyle w:val="ListNumber"/>
      </w:pPr>
      <w:r>
        <w:rPr>
          <w:b/>
        </w:rPr>
        <w:t>ABJC - ABJC - SERVAIR ABIDJAN CI</w:t>
      </w:r>
      <w:r>
        <w:t xml:space="preserve"> | Prix: 4095 FCFA | </w:t>
      </w:r>
      <w:r>
        <w:rPr>
          <w:b/>
          <w:color w:val="008000"/>
        </w:rPr>
        <w:t>ACHAT</w:t>
      </w:r>
      <w:r>
        <w:t xml:space="preserve"> | Confiance: Moyen | Risque: Moyen</w:t>
      </w:r>
    </w:p>
    <w:p>
      <w:pPr>
        <w:pStyle w:val="ListNumber"/>
      </w:pPr>
      <w:r>
        <w:rPr>
          <w:b/>
        </w:rPr>
        <w:t>BICB - BIIC BN - Banque internationale pour le commerce du benin</w:t>
      </w:r>
      <w:r>
        <w:t xml:space="preserve"> | Prix: 10450 FCFA | </w:t>
      </w:r>
      <w:r>
        <w:rPr>
          <w:b/>
          <w:color w:val="008000"/>
        </w:rPr>
        <w:t>ACHAT</w:t>
      </w:r>
      <w:r>
        <w:t xml:space="preserve"> | Confiance: Moyen | Risque: Moyen</w:t>
      </w:r>
    </w:p>
    <w:p>
      <w:pPr>
        <w:pStyle w:val="ListNumber"/>
      </w:pPr>
      <w:r>
        <w:rPr>
          <w:b/>
        </w:rPr>
        <w:t>BICC - BICI CI - Banque internationale pour le commerce et l'industrie de la Côte d'Ivoire</w:t>
      </w:r>
      <w:r>
        <w:t xml:space="preserve"> | Prix: 33010 FCFA | </w:t>
      </w:r>
      <w:r>
        <w:rPr>
          <w:b/>
          <w:color w:val="008000"/>
        </w:rPr>
        <w:t>ACHAT</w:t>
      </w:r>
      <w:r>
        <w:t xml:space="preserve"> | Confiance: Moyen | Risque: Moyen</w:t>
      </w:r>
    </w:p>
    <w:p>
      <w:pPr>
        <w:pStyle w:val="ListNumber"/>
      </w:pPr>
      <w:r>
        <w:rPr>
          <w:b/>
        </w:rPr>
        <w:t>BNBC - BNBC - BERNABE CI</w:t>
      </w:r>
      <w:r>
        <w:t xml:space="preserve"> | Prix: 2135 FCFA | </w:t>
      </w:r>
      <w:r>
        <w:rPr>
          <w:b/>
          <w:color w:val="008000"/>
        </w:rPr>
        <w:t>ACHAT</w:t>
      </w:r>
      <w:r>
        <w:t xml:space="preserve"> | Confiance: Moyen | Risque: Faible</w:t>
      </w:r>
    </w:p>
    <w:p>
      <w:pPr>
        <w:pStyle w:val="ListNumber"/>
      </w:pPr>
      <w:r>
        <w:rPr>
          <w:b/>
        </w:rPr>
        <w:t>BOAB - BANK OF AFRICA BENIN</w:t>
      </w:r>
      <w:r>
        <w:t xml:space="preserve"> | Prix: 10100 FCFA | </w:t>
      </w:r>
      <w:r>
        <w:rPr>
          <w:b/>
          <w:color w:val="008000"/>
        </w:rPr>
        <w:t>ACHAT</w:t>
      </w:r>
      <w:r>
        <w:t xml:space="preserve"> | Confiance: Moyen | Risque: Moyen</w:t>
      </w:r>
    </w:p>
    <w:p>
      <w:pPr>
        <w:pStyle w:val="ListNumber"/>
      </w:pPr>
      <w:r>
        <w:rPr>
          <w:b/>
        </w:rPr>
        <w:t>BOABF - BANK OF AFRICA BURKINA FASO</w:t>
      </w:r>
      <w:r>
        <w:t xml:space="preserve"> | Prix: 8990 FCFA | </w:t>
      </w:r>
      <w:r>
        <w:rPr>
          <w:b/>
          <w:color w:val="008000"/>
        </w:rPr>
        <w:t>ACHAT</w:t>
      </w:r>
      <w:r>
        <w:t xml:space="preserve"> | Confiance: Faible | Risque: Moyen</w:t>
      </w:r>
    </w:p>
    <w:p>
      <w:pPr>
        <w:pStyle w:val="ListNumber"/>
      </w:pPr>
      <w:r>
        <w:rPr>
          <w:b/>
        </w:rPr>
        <w:t>BOAC - BANK OF AFRICA COTE D'IVOIRE</w:t>
      </w:r>
      <w:r>
        <w:t xml:space="preserve"> | Prix: 12400 FCFA | </w:t>
      </w:r>
      <w:r>
        <w:rPr>
          <w:b/>
          <w:color w:val="008000"/>
        </w:rPr>
        <w:t>ACHAT</w:t>
      </w:r>
      <w:r>
        <w:t xml:space="preserve"> | Confiance: Élevée | Risque: Moyen</w:t>
      </w:r>
    </w:p>
    <w:p>
      <w:pPr>
        <w:pStyle w:val="ListNumber"/>
      </w:pPr>
      <w:r>
        <w:rPr>
          <w:b/>
        </w:rPr>
        <w:t>BOAM - BANK OF AFRICA MALI</w:t>
      </w:r>
      <w:r>
        <w:t xml:space="preserve"> | Prix: 7150 FCFA | </w:t>
      </w:r>
      <w:r>
        <w:rPr>
          <w:b/>
          <w:color w:val="008000"/>
        </w:rPr>
        <w:t>ACHAT</w:t>
      </w:r>
      <w:r>
        <w:t xml:space="preserve"> | Confiance: Moyen | Risque: Faible</w:t>
      </w:r>
    </w:p>
    <w:p>
      <w:pPr>
        <w:pStyle w:val="ListNumber"/>
      </w:pPr>
      <w:r>
        <w:rPr>
          <w:b/>
        </w:rPr>
        <w:t>BOAN - BANK OF AFRICA NIGER</w:t>
      </w:r>
      <w:r>
        <w:t xml:space="preserve"> | Prix: 5595 FCFA | </w:t>
      </w:r>
      <w:r>
        <w:rPr>
          <w:b/>
          <w:color w:val="008000"/>
        </w:rPr>
        <w:t>ACHAT</w:t>
      </w:r>
      <w:r>
        <w:t xml:space="preserve"> | Confiance: Faible | Risque: Moyen</w:t>
      </w:r>
    </w:p>
    <w:p/>
    <w:p>
      <w:pPr>
        <w:pStyle w:val="Heading2"/>
      </w:pPr>
      <w:r>
        <w:t>📉 TOP 10 DES ACTIONS À ÉVITER</w:t>
      </w:r>
    </w:p>
    <w:p>
      <w:r>
        <w:t>Ces actions présentent des signaux de vente ou de dégradation fondamentale. Il est conseillé de les céder immédiatement ou d'éviter d'y investir.</w:t>
      </w:r>
    </w:p>
    <w:p>
      <w:r>
        <w:rPr>
          <w:i/>
        </w:rPr>
        <w:t>✅ Aucune action à éviter ce jour.</w:t>
      </w:r>
      <w:r>
        <w:t xml:space="preserve"> L'ensemble des 47 sociétés analysées présentent des signaux neutres ou positifs. Aucun signal de vente fort n'a été détecté par l'analyse Multi-AI.</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108.35%</w:t>
      </w:r>
      <w:r>
        <w:t xml:space="preserve">  |  </w:t>
      </w:r>
      <w:r>
        <w:rPr>
          <w:b/>
        </w:rPr>
        <w:t xml:space="preserve">vs BRVM Composite: </w:t>
      </w:r>
      <w:r>
        <w:rPr>
          <w:b/>
          <w:color w:val="008000"/>
        </w:rPr>
        <w:t>+69.15%  🟢 Surperformance</w:t>
      </w:r>
      <w:r>
        <w:br/>
      </w:r>
      <w:r>
        <w:rPr>
          <w:b/>
        </w:rPr>
        <w:t xml:space="preserve">Sentiment général: </w:t>
      </w:r>
      <w:r>
        <w:t xml:space="preserve">ACHAT  |  </w:t>
      </w:r>
      <w:r>
        <w:rPr>
          <w:b/>
        </w:rPr>
        <w:t xml:space="preserve">Risque moyen: </w:t>
      </w:r>
      <w:r>
        <w:t xml:space="preserve">Moyen  |  </w:t>
      </w:r>
      <w:r>
        <w:rPr>
          <w:b/>
        </w:rPr>
        <w:t xml:space="preserve">Prix moyen: </w:t>
      </w:r>
      <w:r>
        <w:t>10250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51.20%</w:t>
      </w:r>
      <w:r>
        <w:t xml:space="preserve">  |  </w:t>
      </w:r>
      <w:r>
        <w:rPr>
          <w:b/>
        </w:rPr>
        <w:t xml:space="preserve">vs BRVM Composite: </w:t>
      </w:r>
      <w:r>
        <w:rPr>
          <w:b/>
          <w:color w:val="008000"/>
        </w:rPr>
        <w:t>+11.99%  🟢 Surperformance</w:t>
      </w:r>
      <w:r>
        <w:br/>
      </w:r>
      <w:r>
        <w:rPr>
          <w:b/>
        </w:rPr>
        <w:t xml:space="preserve">Sentiment général: </w:t>
      </w:r>
      <w:r>
        <w:t xml:space="preserve">ACHAT  |  </w:t>
      </w:r>
      <w:r>
        <w:rPr>
          <w:b/>
        </w:rPr>
        <w:t xml:space="preserve">Risque moyen: </w:t>
      </w:r>
      <w:r>
        <w:t xml:space="preserve">Moyen  |  </w:t>
      </w:r>
      <w:r>
        <w:rPr>
          <w:b/>
        </w:rPr>
        <w:t xml:space="preserve">Prix moyen: </w:t>
      </w:r>
      <w:r>
        <w:t>14272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ENERGIE</w:t>
      </w:r>
    </w:p>
    <w:p>
      <w:r>
        <w:rPr>
          <w:b/>
        </w:rPr>
        <w:t xml:space="preserve">Nombre de sociétés: </w:t>
      </w:r>
      <w:r>
        <w:t xml:space="preserve">4  |  </w:t>
      </w:r>
      <w:r>
        <w:rPr>
          <w:b/>
        </w:rPr>
        <w:t xml:space="preserve">Performance moyenne (100j): </w:t>
      </w:r>
      <w:r>
        <w:rPr>
          <w:color w:val="008000"/>
        </w:rPr>
        <w:t>32.38%</w:t>
      </w:r>
      <w:r>
        <w:t xml:space="preserve">  |  </w:t>
      </w:r>
      <w:r>
        <w:rPr>
          <w:b/>
        </w:rPr>
        <w:t xml:space="preserve">vs BRVM Composite: </w:t>
      </w:r>
      <w:r>
        <w:rPr>
          <w:b/>
          <w:color w:val="C00000"/>
        </w:rPr>
        <w:t>-6.83%  🔴 Sous-performance</w:t>
      </w:r>
      <w:r>
        <w:br/>
      </w:r>
      <w:r>
        <w:rPr>
          <w:b/>
        </w:rPr>
        <w:t xml:space="preserve">Sentiment général: </w:t>
      </w:r>
      <w:r>
        <w:t xml:space="preserve">ACHAT  |  </w:t>
      </w:r>
      <w:r>
        <w:rPr>
          <w:b/>
        </w:rPr>
        <w:t xml:space="preserve">Risque moyen: </w:t>
      </w:r>
      <w:r>
        <w:t xml:space="preserve">Moyen  |  </w:t>
      </w:r>
      <w:r>
        <w:rPr>
          <w:b/>
        </w:rPr>
        <w:t xml:space="preserve">Prix moyen: </w:t>
      </w:r>
      <w:r>
        <w:t>7005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32.02%</w:t>
      </w:r>
      <w:r>
        <w:t xml:space="preserve">  |  </w:t>
      </w:r>
      <w:r>
        <w:rPr>
          <w:b/>
        </w:rPr>
        <w:t xml:space="preserve">vs BRVM Composite: </w:t>
      </w:r>
      <w:r>
        <w:rPr>
          <w:b/>
          <w:color w:val="C00000"/>
        </w:rPr>
        <w:t>-7.19%  🔴 Sous-performance</w:t>
      </w:r>
      <w:r>
        <w:br/>
      </w:r>
      <w:r>
        <w:rPr>
          <w:b/>
        </w:rPr>
        <w:t xml:space="preserve">Sentiment général: </w:t>
      </w:r>
      <w:r>
        <w:t xml:space="preserve">ACHAT  |  </w:t>
      </w:r>
      <w:r>
        <w:rPr>
          <w:b/>
        </w:rPr>
        <w:t xml:space="preserve">Risque moyen: </w:t>
      </w:r>
      <w:r>
        <w:t xml:space="preserve">Moyen  |  </w:t>
      </w:r>
      <w:r>
        <w:rPr>
          <w:b/>
        </w:rPr>
        <w:t xml:space="preserve">Prix moyen: </w:t>
      </w:r>
      <w:r>
        <w:t>21532 FCFA</w:t>
        <w:br/>
      </w:r>
      <w:r>
        <w:rPr>
          <w:b/>
        </w:rPr>
        <w:br/>
        <w:t xml:space="preserve">Sociétés: </w:t>
      </w:r>
      <w:r>
        <w:t>ONTBF (ONTBF - ONATEL BURKINA FASO), ORAC (ORAC - ORANGE COTE D'IVOIRE), SNTS (SNTS - SONATEL SN)</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28.02%</w:t>
      </w:r>
      <w:r>
        <w:t xml:space="preserve">  |  </w:t>
      </w:r>
      <w:r>
        <w:rPr>
          <w:b/>
        </w:rPr>
        <w:t xml:space="preserve">vs BRVM Composite: </w:t>
      </w:r>
      <w:r>
        <w:rPr>
          <w:b/>
          <w:color w:val="C00000"/>
        </w:rPr>
        <w:t>-11.19%  🔴 Sous-performance</w:t>
      </w:r>
      <w:r>
        <w:br/>
      </w:r>
      <w:r>
        <w:rPr>
          <w:b/>
        </w:rPr>
        <w:t xml:space="preserve">Sentiment général: </w:t>
      </w:r>
      <w:r>
        <w:t xml:space="preserve">ACHAT  |  </w:t>
      </w:r>
      <w:r>
        <w:rPr>
          <w:b/>
        </w:rPr>
        <w:t xml:space="preserve">Risque moyen: </w:t>
      </w:r>
      <w:r>
        <w:t xml:space="preserve">Faible  |  </w:t>
      </w:r>
      <w:r>
        <w:rPr>
          <w:b/>
        </w:rPr>
        <w:t xml:space="preserve">Prix moyen: </w:t>
      </w:r>
      <w:r>
        <w:t>3067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23.68%</w:t>
      </w:r>
      <w:r>
        <w:t xml:space="preserve">  |  </w:t>
      </w:r>
      <w:r>
        <w:rPr>
          <w:b/>
        </w:rPr>
        <w:t xml:space="preserve">vs BRVM Composite: </w:t>
      </w:r>
      <w:r>
        <w:rPr>
          <w:b/>
          <w:color w:val="C00000"/>
        </w:rPr>
        <w:t>-15.53%  🔴 Sous-performance</w:t>
      </w:r>
      <w:r>
        <w:br/>
      </w:r>
      <w:r>
        <w:rPr>
          <w:b/>
        </w:rPr>
        <w:t xml:space="preserve">Sentiment général: </w:t>
      </w:r>
      <w:r>
        <w:t xml:space="preserve">ACHAT  |  </w:t>
      </w:r>
      <w:r>
        <w:rPr>
          <w:b/>
        </w:rPr>
        <w:t xml:space="preserve">Risque moyen: </w:t>
      </w:r>
      <w:r>
        <w:t xml:space="preserve">Moyen  |  </w:t>
      </w:r>
      <w:r>
        <w:rPr>
          <w:b/>
        </w:rPr>
        <w:t xml:space="preserve">Prix moyen: </w:t>
      </w:r>
      <w:r>
        <w:t>18610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INDUSTRIELS</w:t>
      </w:r>
    </w:p>
    <w:p>
      <w:r>
        <w:rPr>
          <w:b/>
        </w:rPr>
        <w:t xml:space="preserve">Nombre de sociétés: </w:t>
      </w:r>
      <w:r>
        <w:t xml:space="preserve">6  |  </w:t>
      </w:r>
      <w:r>
        <w:rPr>
          <w:b/>
        </w:rPr>
        <w:t xml:space="preserve">Performance moyenne (100j): </w:t>
      </w:r>
      <w:r>
        <w:rPr>
          <w:color w:val="008000"/>
        </w:rPr>
        <w:t>6.08%</w:t>
      </w:r>
      <w:r>
        <w:t xml:space="preserve">  |  </w:t>
      </w:r>
      <w:r>
        <w:rPr>
          <w:b/>
        </w:rPr>
        <w:t xml:space="preserve">vs BRVM Composite: </w:t>
      </w:r>
      <w:r>
        <w:rPr>
          <w:b/>
          <w:color w:val="C00000"/>
        </w:rPr>
        <w:t>-33.13%  🔴 Sous-performance</w:t>
      </w:r>
      <w:r>
        <w:br/>
      </w:r>
      <w:r>
        <w:rPr>
          <w:b/>
        </w:rPr>
        <w:t xml:space="preserve">Sentiment général: </w:t>
      </w:r>
      <w:r>
        <w:t xml:space="preserve">ACHAT  |  </w:t>
      </w:r>
      <w:r>
        <w:rPr>
          <w:b/>
        </w:rPr>
        <w:t xml:space="preserve">Risque moyen: </w:t>
      </w:r>
      <w:r>
        <w:t xml:space="preserve">Faible  |  </w:t>
      </w:r>
      <w:r>
        <w:rPr>
          <w:b/>
        </w:rPr>
        <w:t xml:space="preserve">Prix moyen: </w:t>
      </w:r>
      <w:r>
        <w:t>2531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BOAC, BOAS, CABC, CIEC, ECOC, ETIT, NSBC, ORAC, PALC, SDSC, SEMC, SGBC, SHEC, SIBC, SNTS, SPHC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ABJC, BICB, BICC, BNBC, BOAB, BOAM, CBIBF, CFAC, FTSC, LNBB, NEIC, NTLC, ONTBF, ORGT, SAFC, SDCC, SIVC, SMBC, STAC, TTLC, UNLC, UNXC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BOABF, BOAN, PRSC, SCRC, SICC, SLBC, SOGC, STBC, TTLS</w:t>
            </w:r>
          </w:p>
        </w:tc>
        <w:tc>
          <w:tcPr>
            <w:tcW w:type="dxa" w:w="2160"/>
            <w:shd w:fill="FFC7CE" w:val="clear"/>
          </w:tcPr>
          <w:p>
            <w:pPr>
              <w:spacing w:before="40" w:after="40"/>
            </w:pPr>
            <w:r/>
            <w:r>
              <w:rPr>
                <w:b w:val="0"/>
                <w:sz w:val="16"/>
              </w:rPr>
              <w:t>—</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1304182</w:t>
            </w:r>
          </w:p>
        </w:tc>
        <w:tc>
          <w:tcPr>
            <w:tcW w:type="dxa" w:w="1728"/>
          </w:tcPr>
          <w:p>
            <w:r>
              <w:t>87893912 FCFA</w:t>
            </w:r>
          </w:p>
        </w:tc>
        <w:tc>
          <w:tcPr>
            <w:tcW w:type="dxa" w:w="1728"/>
          </w:tcPr>
          <w:p>
            <w:r>
              <w:t>169.23%</w:t>
            </w:r>
          </w:p>
        </w:tc>
        <w:tc>
          <w:tcPr>
            <w:tcW w:type="dxa" w:w="1728"/>
          </w:tcPr>
          <w:p>
            <w:r>
              <w:t>ACHAT</w:t>
            </w:r>
          </w:p>
        </w:tc>
      </w:tr>
      <w:tr>
        <w:tc>
          <w:tcPr>
            <w:tcW w:type="dxa" w:w="1728"/>
          </w:tcPr>
          <w:p>
            <w:r>
              <w:t>BICB (BIIC BN - Banque internationale pour le commerce du benin)</w:t>
            </w:r>
          </w:p>
        </w:tc>
        <w:tc>
          <w:tcPr>
            <w:tcW w:type="dxa" w:w="1728"/>
          </w:tcPr>
          <w:p>
            <w:r>
              <w:t>19418</w:t>
            </w:r>
          </w:p>
        </w:tc>
        <w:tc>
          <w:tcPr>
            <w:tcW w:type="dxa" w:w="1728"/>
          </w:tcPr>
          <w:p>
            <w:r>
              <w:t>171115932 FCFA</w:t>
            </w:r>
          </w:p>
        </w:tc>
        <w:tc>
          <w:tcPr>
            <w:tcW w:type="dxa" w:w="1728"/>
          </w:tcPr>
          <w:p>
            <w:r>
              <w:t>104.50%</w:t>
            </w:r>
          </w:p>
        </w:tc>
        <w:tc>
          <w:tcPr>
            <w:tcW w:type="dxa" w:w="1728"/>
          </w:tcPr>
          <w:p>
            <w:r>
              <w:t>ACHAT</w:t>
            </w:r>
          </w:p>
        </w:tc>
      </w:tr>
      <w:tr>
        <w:tc>
          <w:tcPr>
            <w:tcW w:type="dxa" w:w="1728"/>
          </w:tcPr>
          <w:p>
            <w:r>
              <w:t>SDSC (SDSC - AFRICA GLOBAL LOGISTICS CI)</w:t>
            </w:r>
          </w:p>
        </w:tc>
        <w:tc>
          <w:tcPr>
            <w:tcW w:type="dxa" w:w="1728"/>
          </w:tcPr>
          <w:p>
            <w:r>
              <w:t>18015</w:t>
            </w:r>
          </w:p>
        </w:tc>
        <w:tc>
          <w:tcPr>
            <w:tcW w:type="dxa" w:w="1728"/>
          </w:tcPr>
          <w:p>
            <w:r>
              <w:t>50621678 FCFA</w:t>
            </w:r>
          </w:p>
        </w:tc>
        <w:tc>
          <w:tcPr>
            <w:tcW w:type="dxa" w:w="1728"/>
          </w:tcPr>
          <w:p>
            <w:r>
              <w:t>69.75%</w:t>
            </w:r>
          </w:p>
        </w:tc>
        <w:tc>
          <w:tcPr>
            <w:tcW w:type="dxa" w:w="1728"/>
          </w:tcPr>
          <w:p>
            <w:r>
              <w:t>ACHAT</w:t>
            </w:r>
          </w:p>
        </w:tc>
      </w:tr>
      <w:tr>
        <w:tc>
          <w:tcPr>
            <w:tcW w:type="dxa" w:w="1728"/>
          </w:tcPr>
          <w:p>
            <w:r>
              <w:t>UNXC (UNXC - UNIWAX COTE D'IVOIRE)</w:t>
            </w:r>
          </w:p>
        </w:tc>
        <w:tc>
          <w:tcPr>
            <w:tcW w:type="dxa" w:w="1728"/>
          </w:tcPr>
          <w:p>
            <w:r>
              <w:t>15489</w:t>
            </w:r>
          </w:p>
        </w:tc>
        <w:tc>
          <w:tcPr>
            <w:tcW w:type="dxa" w:w="1728"/>
          </w:tcPr>
          <w:p>
            <w:r>
              <w:t>36546481 FCFA</w:t>
            </w:r>
          </w:p>
        </w:tc>
        <w:tc>
          <w:tcPr>
            <w:tcW w:type="dxa" w:w="1728"/>
          </w:tcPr>
          <w:p>
            <w:r>
              <w:t>28.00%</w:t>
            </w:r>
          </w:p>
        </w:tc>
        <w:tc>
          <w:tcPr>
            <w:tcW w:type="dxa" w:w="1728"/>
          </w:tcPr>
          <w:p>
            <w:r>
              <w:t>ACHAT</w:t>
            </w:r>
          </w:p>
        </w:tc>
      </w:tr>
      <w:tr>
        <w:tc>
          <w:tcPr>
            <w:tcW w:type="dxa" w:w="1728"/>
          </w:tcPr>
          <w:p>
            <w:r>
              <w:t>SIBC (SIBC - SOCIETE IVOIRIENNE DE BANQUE)</w:t>
            </w:r>
          </w:p>
        </w:tc>
        <w:tc>
          <w:tcPr>
            <w:tcW w:type="dxa" w:w="1728"/>
          </w:tcPr>
          <w:p>
            <w:r>
              <w:t>15326</w:t>
            </w:r>
          </w:p>
        </w:tc>
        <w:tc>
          <w:tcPr>
            <w:tcW w:type="dxa" w:w="1728"/>
          </w:tcPr>
          <w:p>
            <w:r>
              <w:t>140000766 FCFA</w:t>
            </w:r>
          </w:p>
        </w:tc>
        <w:tc>
          <w:tcPr>
            <w:tcW w:type="dxa" w:w="1728"/>
          </w:tcPr>
          <w:p>
            <w:r>
              <w:t>32.48%</w:t>
            </w:r>
          </w:p>
        </w:tc>
        <w:tc>
          <w:tcPr>
            <w:tcW w:type="dxa" w:w="1728"/>
          </w:tcPr>
          <w:p>
            <w:r>
              <w:t>ACHAT</w:t>
            </w:r>
          </w:p>
        </w:tc>
      </w:tr>
      <w:tr>
        <w:tc>
          <w:tcPr>
            <w:tcW w:type="dxa" w:w="1728"/>
          </w:tcPr>
          <w:p>
            <w:r>
              <w:t>BOAS (BANK OF AFRICA SENEGAL)</w:t>
            </w:r>
          </w:p>
        </w:tc>
        <w:tc>
          <w:tcPr>
            <w:tcW w:type="dxa" w:w="1728"/>
          </w:tcPr>
          <w:p>
            <w:r>
              <w:t>14884</w:t>
            </w:r>
          </w:p>
        </w:tc>
        <w:tc>
          <w:tcPr>
            <w:tcW w:type="dxa" w:w="1728"/>
          </w:tcPr>
          <w:p>
            <w:r>
              <w:t>120505306 FCFA</w:t>
            </w:r>
          </w:p>
        </w:tc>
        <w:tc>
          <w:tcPr>
            <w:tcW w:type="dxa" w:w="1728"/>
          </w:tcPr>
          <w:p>
            <w:r>
              <w:t>20.68%</w:t>
            </w:r>
          </w:p>
        </w:tc>
        <w:tc>
          <w:tcPr>
            <w:tcW w:type="dxa" w:w="1728"/>
          </w:tcPr>
          <w:p>
            <w:r>
              <w:t>ACHAT</w:t>
            </w:r>
          </w:p>
        </w:tc>
      </w:tr>
      <w:tr>
        <w:tc>
          <w:tcPr>
            <w:tcW w:type="dxa" w:w="1728"/>
          </w:tcPr>
          <w:p>
            <w:r>
              <w:t>SNTS (SNTS - SONATEL SN)</w:t>
            </w:r>
          </w:p>
        </w:tc>
        <w:tc>
          <w:tcPr>
            <w:tcW w:type="dxa" w:w="1728"/>
          </w:tcPr>
          <w:p>
            <w:r>
              <w:t>12063</w:t>
            </w:r>
          </w:p>
        </w:tc>
        <w:tc>
          <w:tcPr>
            <w:tcW w:type="dxa" w:w="1728"/>
          </w:tcPr>
          <w:p>
            <w:r>
              <w:t>439459552 FCFA</w:t>
            </w:r>
          </w:p>
        </w:tc>
        <w:tc>
          <w:tcPr>
            <w:tcW w:type="dxa" w:w="1728"/>
          </w:tcPr>
          <w:p>
            <w:r>
              <w:t>37.83%</w:t>
            </w:r>
          </w:p>
        </w:tc>
        <w:tc>
          <w:tcPr>
            <w:tcW w:type="dxa" w:w="1728"/>
          </w:tcPr>
          <w:p>
            <w:r>
              <w:t>ACHAT</w:t>
            </w:r>
          </w:p>
        </w:tc>
      </w:tr>
      <w:tr>
        <w:tc>
          <w:tcPr>
            <w:tcW w:type="dxa" w:w="1728"/>
          </w:tcPr>
          <w:p>
            <w:r>
              <w:t>BOAC (BANK OF AFRICA COTE D'IVOIRE)</w:t>
            </w:r>
          </w:p>
        </w:tc>
        <w:tc>
          <w:tcPr>
            <w:tcW w:type="dxa" w:w="1728"/>
          </w:tcPr>
          <w:p>
            <w:r>
              <w:t>11377</w:t>
            </w:r>
          </w:p>
        </w:tc>
        <w:tc>
          <w:tcPr>
            <w:tcW w:type="dxa" w:w="1728"/>
          </w:tcPr>
          <w:p>
            <w:r>
              <w:t>144451005 FCFA</w:t>
            </w:r>
          </w:p>
        </w:tc>
        <w:tc>
          <w:tcPr>
            <w:tcW w:type="dxa" w:w="1728"/>
          </w:tcPr>
          <w:p>
            <w:r>
              <w:t>44.19%</w:t>
            </w:r>
          </w:p>
        </w:tc>
        <w:tc>
          <w:tcPr>
            <w:tcW w:type="dxa" w:w="1728"/>
          </w:tcPr>
          <w:p>
            <w:r>
              <w:t>ACHAT</w:t>
            </w:r>
          </w:p>
        </w:tc>
      </w:tr>
      <w:tr>
        <w:tc>
          <w:tcPr>
            <w:tcW w:type="dxa" w:w="1728"/>
          </w:tcPr>
          <w:p>
            <w:r>
              <w:t>SPHC (SPHC - Société Africaine de Plantation d'Hévéas de Côte d'Ivoire)</w:t>
            </w:r>
          </w:p>
        </w:tc>
        <w:tc>
          <w:tcPr>
            <w:tcW w:type="dxa" w:w="1728"/>
          </w:tcPr>
          <w:p>
            <w:r>
              <w:t>10469</w:t>
            </w:r>
          </w:p>
        </w:tc>
        <w:tc>
          <w:tcPr>
            <w:tcW w:type="dxa" w:w="1728"/>
          </w:tcPr>
          <w:p>
            <w:r>
              <w:t>92674183 FCFA</w:t>
            </w:r>
          </w:p>
        </w:tc>
        <w:tc>
          <w:tcPr>
            <w:tcW w:type="dxa" w:w="1728"/>
          </w:tcPr>
          <w:p>
            <w:r>
              <w:t>13.70%</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SOGC (SOGC - Société des caoutchoucs de Grand-Béréby)</w:t>
            </w:r>
          </w:p>
        </w:tc>
        <w:tc>
          <w:tcPr>
            <w:tcW w:type="dxa" w:w="1728"/>
          </w:tcPr>
          <w:p>
            <w:r>
              <w:t>4086</w:t>
            </w:r>
          </w:p>
        </w:tc>
        <w:tc>
          <w:tcPr>
            <w:tcW w:type="dxa" w:w="1728"/>
          </w:tcPr>
          <w:p>
            <w:r>
              <w:t>33707378 FCFA</w:t>
            </w:r>
          </w:p>
        </w:tc>
        <w:tc>
          <w:tcPr>
            <w:tcW w:type="dxa" w:w="1728"/>
          </w:tcPr>
          <w:p>
            <w:r>
              <w:t>2.92%</w:t>
            </w:r>
          </w:p>
        </w:tc>
        <w:tc>
          <w:tcPr>
            <w:tcW w:type="dxa" w:w="1728"/>
          </w:tcPr>
          <w:p>
            <w:r>
              <w:t>ACHAT</w:t>
            </w:r>
          </w:p>
        </w:tc>
      </w:tr>
      <w:tr>
        <w:tc>
          <w:tcPr>
            <w:tcW w:type="dxa" w:w="1728"/>
          </w:tcPr>
          <w:p>
            <w:r>
              <w:t>NSBC (NSBC - NSIA BANQUE COTE D'IVOIRE)</w:t>
            </w:r>
          </w:p>
        </w:tc>
        <w:tc>
          <w:tcPr>
            <w:tcW w:type="dxa" w:w="1728"/>
          </w:tcPr>
          <w:p>
            <w:r>
              <w:t>4013</w:t>
            </w:r>
          </w:p>
        </w:tc>
        <w:tc>
          <w:tcPr>
            <w:tcW w:type="dxa" w:w="1728"/>
          </w:tcPr>
          <w:p>
            <w:r>
              <w:t>93236704 FCFA</w:t>
            </w:r>
          </w:p>
        </w:tc>
        <w:tc>
          <w:tcPr>
            <w:tcW w:type="dxa" w:w="1728"/>
          </w:tcPr>
          <w:p>
            <w:r>
              <w:t>73.67%</w:t>
            </w:r>
          </w:p>
        </w:tc>
        <w:tc>
          <w:tcPr>
            <w:tcW w:type="dxa" w:w="1728"/>
          </w:tcPr>
          <w:p>
            <w:r>
              <w:t>ACHAT</w:t>
            </w:r>
          </w:p>
        </w:tc>
      </w:tr>
      <w:tr>
        <w:tc>
          <w:tcPr>
            <w:tcW w:type="dxa" w:w="1728"/>
          </w:tcPr>
          <w:p>
            <w:r>
              <w:t>ORAC (ORAC - ORANGE COTE D'IVOIRE)</w:t>
            </w:r>
          </w:p>
        </w:tc>
        <w:tc>
          <w:tcPr>
            <w:tcW w:type="dxa" w:w="1728"/>
          </w:tcPr>
          <w:p>
            <w:r>
              <w:t>3992</w:t>
            </w:r>
          </w:p>
        </w:tc>
        <w:tc>
          <w:tcPr>
            <w:tcW w:type="dxa" w:w="1728"/>
          </w:tcPr>
          <w:p>
            <w:r>
              <w:t>83541608 FCFA</w:t>
            </w:r>
          </w:p>
        </w:tc>
        <w:tc>
          <w:tcPr>
            <w:tcW w:type="dxa" w:w="1728"/>
          </w:tcPr>
          <w:p>
            <w:r>
              <w:t>52.72%</w:t>
            </w:r>
          </w:p>
        </w:tc>
        <w:tc>
          <w:tcPr>
            <w:tcW w:type="dxa" w:w="1728"/>
          </w:tcPr>
          <w:p>
            <w:r>
              <w:t>ACHAT</w:t>
            </w:r>
          </w:p>
        </w:tc>
      </w:tr>
      <w:tr>
        <w:tc>
          <w:tcPr>
            <w:tcW w:type="dxa" w:w="1728"/>
          </w:tcPr>
          <w:p>
            <w:r>
              <w:t>CFAC (CFAC - CFAO MOTORS CI)</w:t>
            </w:r>
          </w:p>
        </w:tc>
        <w:tc>
          <w:tcPr>
            <w:tcW w:type="dxa" w:w="1728"/>
          </w:tcPr>
          <w:p>
            <w:r>
              <w:t>3588</w:t>
            </w:r>
          </w:p>
        </w:tc>
        <w:tc>
          <w:tcPr>
            <w:tcW w:type="dxa" w:w="1728"/>
          </w:tcPr>
          <w:p>
            <w:r>
              <w:t>6127128 FCFA</w:t>
            </w:r>
          </w:p>
        </w:tc>
        <w:tc>
          <w:tcPr>
            <w:tcW w:type="dxa" w:w="1728"/>
          </w:tcPr>
          <w:p>
            <w:r>
              <w:t>10.36%</w:t>
            </w:r>
          </w:p>
        </w:tc>
        <w:tc>
          <w:tcPr>
            <w:tcW w:type="dxa" w:w="1728"/>
          </w:tcPr>
          <w:p>
            <w:r>
              <w:t>ACHAT</w:t>
            </w:r>
          </w:p>
        </w:tc>
      </w:tr>
      <w:tr>
        <w:tc>
          <w:tcPr>
            <w:tcW w:type="dxa" w:w="1728"/>
          </w:tcPr>
          <w:p>
            <w:r>
              <w:t>STBC (STBC - SITAB COTE D'IVOIRE)</w:t>
            </w:r>
          </w:p>
        </w:tc>
        <w:tc>
          <w:tcPr>
            <w:tcW w:type="dxa" w:w="1728"/>
          </w:tcPr>
          <w:p>
            <w:r>
              <w:t>3358</w:t>
            </w:r>
          </w:p>
        </w:tc>
        <w:tc>
          <w:tcPr>
            <w:tcW w:type="dxa" w:w="1728"/>
          </w:tcPr>
          <w:p>
            <w:r>
              <w:t>74762726 FCFA</w:t>
            </w:r>
          </w:p>
        </w:tc>
        <w:tc>
          <w:tcPr>
            <w:tcW w:type="dxa" w:w="1728"/>
          </w:tcPr>
          <w:p>
            <w:r>
              <w:t>8.29%</w:t>
            </w:r>
          </w:p>
        </w:tc>
        <w:tc>
          <w:tcPr>
            <w:tcW w:type="dxa" w:w="1728"/>
          </w:tcPr>
          <w:p>
            <w:r>
              <w:t>ACHAT</w:t>
            </w:r>
          </w:p>
        </w:tc>
      </w:tr>
      <w:tr>
        <w:tc>
          <w:tcPr>
            <w:tcW w:type="dxa" w:w="1728"/>
          </w:tcPr>
          <w:p>
            <w:r>
              <w:t>PALC (PALC - PALM COTE D'IVOIRE)</w:t>
            </w:r>
          </w:p>
        </w:tc>
        <w:tc>
          <w:tcPr>
            <w:tcW w:type="dxa" w:w="1728"/>
          </w:tcPr>
          <w:p>
            <w:r>
              <w:t>3332</w:t>
            </w:r>
          </w:p>
        </w:tc>
        <w:tc>
          <w:tcPr>
            <w:tcW w:type="dxa" w:w="1728"/>
          </w:tcPr>
          <w:p>
            <w:r>
              <w:t>29975364 FCFA</w:t>
            </w:r>
          </w:p>
        </w:tc>
        <w:tc>
          <w:tcPr>
            <w:tcW w:type="dxa" w:w="1728"/>
          </w:tcPr>
          <w:p>
            <w:r>
              <w:t>2.47%</w:t>
            </w:r>
          </w:p>
        </w:tc>
        <w:tc>
          <w:tcPr>
            <w:tcW w:type="dxa" w:w="1728"/>
          </w:tcPr>
          <w:p>
            <w:r>
              <w:t>ACHAT</w:t>
            </w:r>
          </w:p>
        </w:tc>
      </w:tr>
      <w:tr>
        <w:tc>
          <w:tcPr>
            <w:tcW w:type="dxa" w:w="1728"/>
          </w:tcPr>
          <w:p>
            <w:r>
              <w:t>FTSC (FTSC - FILTISAC COTE D'IVOIRE)</w:t>
            </w:r>
          </w:p>
        </w:tc>
        <w:tc>
          <w:tcPr>
            <w:tcW w:type="dxa" w:w="1728"/>
          </w:tcPr>
          <w:p>
            <w:r>
              <w:t>3087</w:t>
            </w:r>
          </w:p>
        </w:tc>
        <w:tc>
          <w:tcPr>
            <w:tcW w:type="dxa" w:w="1728"/>
          </w:tcPr>
          <w:p>
            <w:r>
              <w:t>6590863 FCFA</w:t>
            </w:r>
          </w:p>
        </w:tc>
        <w:tc>
          <w:tcPr>
            <w:tcW w:type="dxa" w:w="1728"/>
          </w:tcPr>
          <w:p>
            <w:r>
              <w:t>-3.64%</w:t>
            </w:r>
          </w:p>
        </w:tc>
        <w:tc>
          <w:tcPr>
            <w:tcW w:type="dxa" w:w="1728"/>
          </w:tcPr>
          <w:p>
            <w:r>
              <w:t>ACHAT</w:t>
            </w:r>
          </w:p>
        </w:tc>
      </w:tr>
      <w:tr>
        <w:tc>
          <w:tcPr>
            <w:tcW w:type="dxa" w:w="1728"/>
          </w:tcPr>
          <w:p>
            <w:r>
              <w:t>NEIC (NEIC - NEI-CEDA CI)</w:t>
            </w:r>
          </w:p>
        </w:tc>
        <w:tc>
          <w:tcPr>
            <w:tcW w:type="dxa" w:w="1728"/>
          </w:tcPr>
          <w:p>
            <w:r>
              <w:t>2582</w:t>
            </w:r>
          </w:p>
        </w:tc>
        <w:tc>
          <w:tcPr>
            <w:tcW w:type="dxa" w:w="1728"/>
          </w:tcPr>
          <w:p>
            <w:r>
              <w:t>7142017 FCFA</w:t>
            </w:r>
          </w:p>
        </w:tc>
        <w:tc>
          <w:tcPr>
            <w:tcW w:type="dxa" w:w="1728"/>
          </w:tcPr>
          <w:p>
            <w:r>
              <w:t>100.73%</w:t>
            </w:r>
          </w:p>
        </w:tc>
        <w:tc>
          <w:tcPr>
            <w:tcW w:type="dxa" w:w="1728"/>
          </w:tcPr>
          <w:p>
            <w:r>
              <w:t>ACHAT</w:t>
            </w:r>
          </w:p>
        </w:tc>
      </w:tr>
      <w:tr>
        <w:tc>
          <w:tcPr>
            <w:tcW w:type="dxa" w:w="1728"/>
          </w:tcPr>
          <w:p>
            <w:r>
              <w:t>TTLS (TTLS - TOTAL ENERGIES MARKETING SENEGAL)</w:t>
            </w:r>
          </w:p>
        </w:tc>
        <w:tc>
          <w:tcPr>
            <w:tcW w:type="dxa" w:w="1728"/>
          </w:tcPr>
          <w:p>
            <w:r>
              <w:t>2428</w:t>
            </w:r>
          </w:p>
        </w:tc>
        <w:tc>
          <w:tcPr>
            <w:tcW w:type="dxa" w:w="1728"/>
          </w:tcPr>
          <w:p>
            <w:r>
              <w:t>9236386 FCFA</w:t>
            </w:r>
          </w:p>
        </w:tc>
        <w:tc>
          <w:tcPr>
            <w:tcW w:type="dxa" w:w="1728"/>
          </w:tcPr>
          <w:p>
            <w:r>
              <w:t>18.60%</w:t>
            </w:r>
          </w:p>
        </w:tc>
        <w:tc>
          <w:tcPr>
            <w:tcW w:type="dxa" w:w="1728"/>
          </w:tcPr>
          <w:p>
            <w:r>
              <w:t>ACHAT</w:t>
            </w:r>
          </w:p>
        </w:tc>
      </w:tr>
      <w:tr>
        <w:tc>
          <w:tcPr>
            <w:tcW w:type="dxa" w:w="1728"/>
          </w:tcPr>
          <w:p>
            <w:r>
              <w:t>SDCC (SDCC - Société de Distribution d'Eau de Côte d'Ivoire)</w:t>
            </w:r>
          </w:p>
        </w:tc>
        <w:tc>
          <w:tcPr>
            <w:tcW w:type="dxa" w:w="1728"/>
          </w:tcPr>
          <w:p>
            <w:r>
              <w:t>2344</w:t>
            </w:r>
          </w:p>
        </w:tc>
        <w:tc>
          <w:tcPr>
            <w:tcW w:type="dxa" w:w="1728"/>
          </w:tcPr>
          <w:p>
            <w:r>
              <w:t>30371176 FCFA</w:t>
            </w:r>
          </w:p>
        </w:tc>
        <w:tc>
          <w:tcPr>
            <w:tcW w:type="dxa" w:w="1728"/>
          </w:tcPr>
          <w:p>
            <w:r>
              <w:t>87.68%</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BOABF - BANK OF AFRICA BURKINA FASO</w:t>
      </w:r>
    </w:p>
    <w:p>
      <w:r>
        <w:rPr>
          <w:b/>
        </w:rPr>
        <w:t xml:space="preserve">Score de divergence: </w:t>
      </w:r>
      <w:r>
        <w:t>5/8</w:t>
        <w:br/>
      </w:r>
      <w:r>
        <w:rPr>
          <w:b/>
        </w:rPr>
        <w:t xml:space="preserve">Description: </w:t>
      </w:r>
      <w:r>
        <w:t>Signaux d'achat: MM | Signaux de vente: MACD, RSI, Stochastique | Recommandation finale: ACHAT</w:t>
        <w:br/>
      </w:r>
    </w:p>
    <w:p/>
    <w:p>
      <w:pPr>
        <w:pStyle w:val="Heading3"/>
      </w:pPr>
      <w:r>
        <w:t>2. SOGC - SOGC - Société des caoutchoucs de Grand-Béréby</w:t>
      </w:r>
    </w:p>
    <w:p>
      <w:r>
        <w:rPr>
          <w:b/>
        </w:rPr>
        <w:t xml:space="preserve">Score de divergence: </w:t>
      </w:r>
      <w:r>
        <w:t>5/8</w:t>
        <w:br/>
      </w:r>
      <w:r>
        <w:rPr>
          <w:b/>
        </w:rPr>
        <w:t xml:space="preserve">Description: </w:t>
      </w:r>
      <w:r>
        <w:t>Signaux de vente: MM, MACD | Recommandation finale: ACHAT</w:t>
        <w:br/>
      </w:r>
    </w:p>
    <w:p/>
    <w:p>
      <w:pPr>
        <w:pStyle w:val="Heading3"/>
      </w:pPr>
      <w:r>
        <w:t>3. STBC - STBC - SITAB COTE D'IVOIRE</w:t>
      </w:r>
    </w:p>
    <w:p>
      <w:r>
        <w:rPr>
          <w:b/>
        </w:rPr>
        <w:t xml:space="preserve">Score de divergence: </w:t>
      </w:r>
      <w:r>
        <w:t>5/8</w:t>
        <w:br/>
      </w:r>
      <w:r>
        <w:rPr>
          <w:b/>
        </w:rPr>
        <w:t xml:space="preserve">Description: </w:t>
      </w:r>
      <w:r>
        <w:t>Signaux de vente: MM, MACD | Recommandation finale: ACHAT</w:t>
        <w:br/>
      </w:r>
    </w:p>
    <w:p/>
    <w:p>
      <w:pPr>
        <w:pStyle w:val="Heading3"/>
      </w:pPr>
      <w:r>
        <w:t>4. BOAN - BANK OF AFRICA NIGER</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5. PRSC - PRSC - TRACTAFRIC MOTORS CI</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6. SCRC - SCRC - SUCRIVOIRE</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7. SICC - SICC - SICOR COTE D'IVOIRE</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8. SLBC - SLBC - SOLIBRA COTE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9. TTLS - TTLS - TOTAL ENERGIES MARKETING SENEGAL</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10. BOAC - BANK OF AFRICA COTE D'IVOIRE</w:t>
      </w:r>
    </w:p>
    <w:p>
      <w:r>
        <w:rPr>
          <w:b/>
        </w:rPr>
        <w:t xml:space="preserve">Score de divergence: </w:t>
      </w:r>
      <w:r>
        <w:t>2/8</w:t>
        <w:br/>
      </w:r>
      <w:r>
        <w:rPr>
          <w:b/>
        </w:rPr>
        <w:t xml:space="preserve">Description: </w:t>
      </w:r>
      <w:r>
        <w:t>Signaux d'achat: MM, RSI, Stochastique | Signaux de vente: MACD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22</w:t>
            </w:r>
          </w:p>
        </w:tc>
        <w:tc>
          <w:tcPr>
            <w:tcW w:type="dxa" w:w="2160"/>
          </w:tcPr>
          <w:p>
            <w:r>
              <w:t>0</w:t>
            </w:r>
          </w:p>
        </w:tc>
      </w:tr>
      <w:tr>
        <w:tc>
          <w:tcPr>
            <w:tcW w:type="dxa" w:w="2160"/>
          </w:tcPr>
          <w:p>
            <w:r>
              <w:t>Risque Moyen</w:t>
            </w:r>
          </w:p>
        </w:tc>
        <w:tc>
          <w:tcPr>
            <w:tcW w:type="dxa" w:w="2160"/>
          </w:tcPr>
          <w:p>
            <w:r>
              <w:t>0</w:t>
            </w:r>
          </w:p>
        </w:tc>
        <w:tc>
          <w:tcPr>
            <w:tcW w:type="dxa" w:w="2160"/>
          </w:tcPr>
          <w:p>
            <w:r>
              <w:t>25</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BNBC (BNBC - BERNABE CI)</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CFAC (CFAC - CFAO MOTORS CI)</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ONTBF (ONTBF - ONATEL BURKINA FASO)</w:t>
      </w:r>
    </w:p>
    <w:p>
      <w:pPr>
        <w:pStyle w:val="ListBullet"/>
      </w:pPr>
      <w:r>
        <w:t>• ORGT (ORGT - ORAGROUP TOGO)</w:t>
      </w:r>
    </w:p>
    <w:p>
      <w:pPr>
        <w:pStyle w:val="ListBullet"/>
      </w:pPr>
      <w:r>
        <w:t>• SDCC (SDCC - Société de Distribution d'Eau de Côte d'Ivoire)</w:t>
      </w:r>
    </w:p>
    <w:p>
      <w:pPr>
        <w:pStyle w:val="ListBullet"/>
      </w:pPr>
      <w:r>
        <w:t>• SEMC (SEMC - EVIOSYS PACKAGING SIEM CI)</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TTLS (TTLS - TOTAL ENERGIES MARKETING SENEGAL)</w:t>
      </w:r>
    </w:p>
    <w:p>
      <w:pPr>
        <w:pStyle w:val="ListBullet"/>
      </w:pPr>
      <w:r>
        <w:t>• UNXC (UNXC - UNIWAX COTE D'IVOIRE)</w:t>
      </w:r>
    </w:p>
    <w:p/>
    <w:p>
      <w:pPr>
        <w:pStyle w:val="Heading3"/>
      </w:pPr>
      <w:r>
        <w:t>🟡 Risque Moyen - Moyen Terme</w:t>
      </w:r>
    </w:p>
    <w:p>
      <w:pPr>
        <w:pStyle w:val="ListBullet"/>
      </w:pPr>
      <w:r>
        <w:t>• ABJC (ABJC - SERVAIR ABIDJAN CI)</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 (BANK OF AFRICA BENIN)</w:t>
      </w:r>
    </w:p>
    <w:p>
      <w:pPr>
        <w:pStyle w:val="ListBullet"/>
      </w:pPr>
      <w:r>
        <w:t>• BOABF (BANK OF AFRICA BURKINA FASO)</w:t>
      </w:r>
    </w:p>
    <w:p>
      <w:pPr>
        <w:pStyle w:val="ListBullet"/>
      </w:pPr>
      <w:r>
        <w:t>• BOAC (BANK OF AFRICA COTE D'IVOIRE)</w:t>
      </w:r>
    </w:p>
    <w:p>
      <w:pPr>
        <w:pStyle w:val="ListBullet"/>
      </w:pPr>
      <w:r>
        <w:t>• BOAN (BANK OF AFRICA NIGER)</w:t>
      </w:r>
    </w:p>
    <w:p>
      <w:pPr>
        <w:pStyle w:val="ListBullet"/>
      </w:pPr>
      <w:r>
        <w:t>• CBIBF (CBIBF - CORIS BANK INTERNATIONAL BURKINA FASO)</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NTLC (NTLC - NESTLE COTE D'IVOIRE)</w:t>
      </w:r>
    </w:p>
    <w:p>
      <w:pPr>
        <w:pStyle w:val="ListBullet"/>
      </w:pPr>
      <w:r>
        <w:t>• ORAC (ORAC - ORANGE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SDSC (SDSC - AFRICA GLOBAL LOGISTICS CI)</w:t>
      </w:r>
    </w:p>
    <w:p>
      <w:pPr>
        <w:pStyle w:val="ListBullet"/>
      </w:pPr>
      <w:r>
        <w:t>• SICC (SICC - SICOR COTE D'IVOIRE)</w:t>
      </w:r>
    </w:p>
    <w:p>
      <w:pPr>
        <w:pStyle w:val="ListBullet"/>
      </w:pPr>
      <w:r>
        <w:t>• SMBC (SMBC - Société Multinationale de Bitumes COTE D'IVOIRE)</w:t>
      </w:r>
    </w:p>
    <w:p>
      <w:pPr>
        <w:pStyle w:val="ListBullet"/>
      </w:pPr>
      <w:r>
        <w:t>• SNTS (SNTS - SONATEL SN)</w:t>
      </w:r>
    </w:p>
    <w:p>
      <w:pPr>
        <w:pStyle w:val="ListBullet"/>
      </w:pPr>
      <w:r>
        <w:t>• STAC (STAC - SETAO COTE D'IVOIRE)</w:t>
      </w:r>
    </w:p>
    <w:p>
      <w:pPr>
        <w:pStyle w:val="ListBullet"/>
      </w:pPr>
      <w:r>
        <w:t>• TTLC (TTLC - TOTAL ENERGIES MARKETING COTE D'IVOIRE)</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La BCE a de nouveau relevé ses taux directeurs face à une inflation persistante dans la zone euro, tout en anticipant une inflation durable. Parallèlement, la France décroche en matière de croissance, d'emploi et de pouvoir d'achat par rapport à ses partenaires européens. Ces signaux confirment un ralentissement des économies développées, avec un resserrement monétaire qui pèse sur la demande mondiale.</w:t>
      </w:r>
    </w:p>
    <w:p>
      <w:pPr>
        <w:pStyle w:val="Heading3"/>
      </w:pPr>
      <w:r>
        <w:rPr>
          <w:color w:val="500050"/>
        </w:rPr>
        <w:t>⚡ Impact estimé sur la BRVM</w:t>
      </w:r>
    </w:p>
    <w:p>
      <w:pPr>
        <w:spacing w:before="20" w:after="40"/>
        <w:ind w:left="280"/>
      </w:pPr>
      <w:r>
        <w:rPr>
          <w:i/>
          <w:sz w:val="18"/>
        </w:rPr>
        <w:t>Le resserrement BCE renchérit le coût du capital pour les investisseurs européens présents en Afrique, réduisant potentiellement les flux vers la BRVM. Les secteurs exportateurs comme PALC (cacao) et les industriels CABC/SDSC pourraient subir une demande européenne atone. Les financières BOAB, SGBC, BICB restent exposées à un ralentissement des financements internationaux.</w:t>
      </w:r>
    </w:p>
    <w:p>
      <w:pPr>
        <w:pStyle w:val="Heading2"/>
      </w:pPr>
      <w:r>
        <w:rPr>
          <w:color w:val="006E32"/>
        </w:rPr>
        <w:t>🌍 Plan Africain</w:t>
      </w:r>
    </w:p>
    <w:p>
      <w:pPr>
        <w:spacing w:before="20" w:after="40"/>
        <w:ind w:left="0"/>
      </w:pPr>
      <w:r>
        <w:rPr>
          <w:sz w:val="18"/>
        </w:rPr>
        <w:t>Le Sénégal et le FMI ont conclu un accord sur un programme d'aide de près de 1,9 milliard d'euros, renforçant la stabilité macroéconomique du pays. Goldman Sachs prévoit un retour de l'Afrique du Sud en "Investment grade" dès 2028, signal positif pour les marchés africains. Ces éléments traduisent une amélioration progressive de la perception risque du continent.</w:t>
      </w:r>
    </w:p>
    <w:p>
      <w:pPr>
        <w:pStyle w:val="Heading3"/>
      </w:pPr>
      <w:r>
        <w:rPr>
          <w:color w:val="500050"/>
        </w:rPr>
        <w:t>⚡ Impact estimé sur la BRVM</w:t>
      </w:r>
    </w:p>
    <w:p>
      <w:pPr>
        <w:spacing w:before="20" w:after="40"/>
        <w:ind w:left="280"/>
      </w:pPr>
      <w:r>
        <w:rPr>
          <w:i/>
          <w:sz w:val="18"/>
        </w:rPr>
        <w:t>L'accord FMI-Sénégal rassure sur la solvabilité régionale et soutient indirectement les banques cotées (BOAB, ECOC, SGBC) présentes au Sénégal. Le reclassement sud-africain pourrait détourner une partie des capitaux africains vers Johannesburg, concurrençant la BRVM.</w:t>
      </w:r>
    </w:p>
    <w:p>
      <w:pPr>
        <w:pStyle w:val="Heading2"/>
      </w:pPr>
      <w:r>
        <w:rPr>
          <w:color w:val="145A28"/>
        </w:rPr>
        <w:t>🌍 Plan Afrique de l'Ouest</w:t>
      </w:r>
    </w:p>
    <w:p>
      <w:pPr>
        <w:spacing w:before="20" w:after="40"/>
        <w:ind w:left="0"/>
      </w:pPr>
      <w:r>
        <w:rPr>
          <w:sz w:val="18"/>
        </w:rPr>
        <w:t>La CEDEAO affiche une croissance du PIB de 6,1% en 2025, témoignant d'une dynamique économique robuste dans la sous-région. Les entreprises algériennes montrent une dynamique notable, mais sans lien direct avec la zone UEMOA. La nomination du Prof. Pitché à la tête de l'OOAS renforce la coopération sanitaire régionale.</w:t>
      </w:r>
    </w:p>
    <w:p>
      <w:pPr>
        <w:pStyle w:val="Heading3"/>
      </w:pPr>
      <w:r>
        <w:rPr>
          <w:color w:val="500050"/>
        </w:rPr>
        <w:t>⚡ Impact estimé sur la BRVM</w:t>
      </w:r>
    </w:p>
    <w:p>
      <w:pPr>
        <w:spacing w:before="20" w:after="40"/>
        <w:ind w:left="280"/>
      </w:pPr>
      <w:r>
        <w:rPr>
          <w:i/>
          <w:sz w:val="18"/>
        </w:rPr>
        <w:t>La croissance CEDEAO de 6,1% soutient les perspectives bénéficiaires des sociétés BRVM opérant régionalement : BOAB, SGBC, ETIT (banques), SDCC (services publics) et ORAC (télécoms). Un environnement porteur favorise la consommation, bénéficiant à PALC et ABJC.</w:t>
      </w:r>
    </w:p>
    <w:p>
      <w:pPr>
        <w:pStyle w:val="Heading2"/>
      </w:pPr>
      <w:r>
        <w:rPr>
          <w:color w:val="8C4600"/>
        </w:rPr>
        <w:t>🏦 Plan UEMOA / Zone Franc</w:t>
      </w:r>
    </w:p>
    <w:p>
      <w:pPr>
        <w:spacing w:before="20" w:after="40"/>
        <w:ind w:left="0"/>
      </w:pPr>
      <w:r>
        <w:rPr>
          <w:sz w:val="18"/>
        </w:rPr>
        <w:t>La BCEAO maintient son taux directeur à 3%, signal d'ancrage monétaire et de stabilité du FCFA. Cette décision contraste avec le resserrement BCE, préservant la liquidité bancaire dans l'UEMOA. Le Sénégal reste sous tension politique autour du FMI, mais l'accord signé limite les risques.</w:t>
      </w:r>
    </w:p>
    <w:p>
      <w:pPr>
        <w:pStyle w:val="Heading3"/>
      </w:pPr>
      <w:r>
        <w:rPr>
          <w:color w:val="500050"/>
        </w:rPr>
        <w:t>⚡ Impact estimé sur la BRVM</w:t>
      </w:r>
    </w:p>
    <w:p>
      <w:pPr>
        <w:spacing w:before="20" w:after="40"/>
        <w:ind w:left="280"/>
      </w:pPr>
      <w:r>
        <w:rPr>
          <w:i/>
          <w:sz w:val="18"/>
        </w:rPr>
        <w:t>Le statu quo BCEAO à 3% maintient des conditions de financement favorables pour les banques (SGBC, BICB, BOAB, ECOC) et soutient les marges. Les secteurs agro-industriel (PALC, SOGC) et distribution (ABJC) bénéficient d'un crédit abordable. L'énergie (SHEC) reste soutenue par la stabilité monétaire.</w:t>
      </w:r>
    </w:p>
    <w:p>
      <w:pPr>
        <w:pStyle w:val="Heading2"/>
      </w:pPr>
      <w:r>
        <w:rPr>
          <w:color w:val="003366"/>
        </w:rPr>
        <w:t>📈 Plan BRVM</w:t>
      </w:r>
    </w:p>
    <w:p>
      <w:pPr>
        <w:spacing w:before="20" w:after="40"/>
        <w:ind w:left="0"/>
      </w:pPr>
      <w:r>
        <w:rPr>
          <w:sz w:val="18"/>
        </w:rPr>
        <w:t>Les résultats encourageants des sociétés cotées ivoiriennes sont soulignés par La Tribune, confirmant la bonne tenue fondamentale du marché. L'indice BRVM Composite à 555,48 points reflète une dynamique positive portée par les financières et les industriels.</w:t>
      </w:r>
    </w:p>
    <w:p>
      <w:pPr>
        <w:pStyle w:val="Heading3"/>
      </w:pPr>
      <w:r>
        <w:rPr>
          <w:color w:val="500050"/>
        </w:rPr>
        <w:t>⚡ Impact estimé sur la BRVM</w:t>
      </w:r>
    </w:p>
    <w:p>
      <w:pPr>
        <w:spacing w:before="20" w:after="40"/>
        <w:ind w:left="280"/>
      </w:pPr>
      <w:r>
        <w:rPr>
          <w:i/>
          <w:sz w:val="18"/>
        </w:rPr>
        <w:t>Recommandations : **SGBC, BICB, BOAB** — conserver, résultats solides et environnement BCEAO favorable. **PALC** — conserver, soutenu par la croissance CEDEAO. **ETIT** — accumuler sur repli. **ONTBF, SOGC, CFAC** — surveiller, dépendants de la demande européenne. **NTLC, SIVC** — neutre, données insuffisantes.</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Le décrochage économique français et le resserrement BCE créent un climat d'incertitude en Europe. Les tensions commerciales et monétaires internationales pèsent sur les perspectives de croissance mondiale, affectant les flux d'investissement vers les marchés frontières.</w:t>
      </w:r>
    </w:p>
    <w:p>
      <w:pPr>
        <w:pStyle w:val="Heading3"/>
      </w:pPr>
      <w:r>
        <w:rPr>
          <w:color w:val="500050"/>
        </w:rPr>
        <w:t>⚡ Impact estimé sur la BRVM</w:t>
      </w:r>
    </w:p>
    <w:p>
      <w:pPr>
        <w:spacing w:before="20" w:after="40"/>
        <w:ind w:left="280"/>
      </w:pPr>
      <w:r>
        <w:rPr>
          <w:i/>
          <w:sz w:val="18"/>
        </w:rPr>
        <w:t>Les investisseurs institutionnels européens, principaux pourvoyeurs de capitaux de la BRVM, pourraient réduire leur exposition aux marchés frontières. Risque de compression des volumes et de volatilité accrue sur les valeurs liquides (SGBC, BOAB, PALC).</w:t>
      </w:r>
    </w:p>
    <w:p>
      <w:pPr>
        <w:pStyle w:val="Heading2"/>
      </w:pPr>
      <w:r>
        <w:rPr>
          <w:color w:val="006E32"/>
        </w:rPr>
        <w:t>🌍 Plan Africain</w:t>
      </w:r>
    </w:p>
    <w:p>
      <w:pPr>
        <w:spacing w:before="20" w:after="40"/>
        <w:ind w:left="0"/>
      </w:pPr>
      <w:r>
        <w:rPr>
          <w:sz w:val="18"/>
        </w:rPr>
        <w:t>L'accord FMI-Sénégal fait face à un bras de fer politique à l'Assemblée nationale sénégalaise, créant une incertitude politique locale. Goldman Sachs anticipe une amélioration de la notation sud-africaine, renforçant l'attractivité du continent.</w:t>
      </w:r>
    </w:p>
    <w:p>
      <w:pPr>
        <w:pStyle w:val="Heading3"/>
      </w:pPr>
      <w:r>
        <w:rPr>
          <w:color w:val="500050"/>
        </w:rPr>
        <w:t>⚡ Impact estimé sur la BRVM</w:t>
      </w:r>
    </w:p>
    <w:p>
      <w:pPr>
        <w:spacing w:before="20" w:after="40"/>
        <w:ind w:left="280"/>
      </w:pPr>
      <w:r>
        <w:rPr>
          <w:i/>
          <w:sz w:val="18"/>
        </w:rPr>
        <w:t>Le risque politique sénégalais pourrait affecter les banques exposées (BOAB, ECOC) et peser sur la confiance des investisseurs. À l'inverse, l'amélioration sud-africaine soutient la perception globale du risque africain.</w:t>
      </w:r>
    </w:p>
    <w:p>
      <w:pPr>
        <w:pStyle w:val="Heading2"/>
      </w:pPr>
      <w:r>
        <w:rPr>
          <w:color w:val="145A28"/>
        </w:rPr>
        <w:t>🌍 Plan Afrique de l'Ouest</w:t>
      </w:r>
    </w:p>
    <w:p>
      <w:pPr>
        <w:spacing w:before="20" w:after="40"/>
        <w:ind w:left="0"/>
      </w:pPr>
      <w:r>
        <w:rPr>
          <w:sz w:val="18"/>
        </w:rPr>
        <w:t>La nomination du Prof. Pitché à l'OOAS renforce la gouvernance sanitaire régionale. Les entreprises algériennes en force témoignent d'une dynamique hors zone UEMOA. La stabilité politique relative de la CEDEAO contraste avec les tensions sahéliennes.</w:t>
      </w:r>
    </w:p>
    <w:p>
      <w:pPr>
        <w:pStyle w:val="Heading3"/>
      </w:pPr>
      <w:r>
        <w:rPr>
          <w:color w:val="500050"/>
        </w:rPr>
        <w:t>⚡ Impact estimé sur la BRVM</w:t>
      </w:r>
    </w:p>
    <w:p>
      <w:pPr>
        <w:spacing w:before="20" w:after="40"/>
        <w:ind w:left="280"/>
      </w:pPr>
      <w:r>
        <w:rPr>
          <w:i/>
          <w:sz w:val="18"/>
        </w:rPr>
        <w:t>La stabilité relative de l'UEMOA (hors Sénégal) soutient les sociétés cotées opérant en Côte d'Ivoire, Bénin, Togo, Burkina. Risque spécifique sur les valeurs exposées au Sénégal (BOAB, ECOC).</w:t>
      </w:r>
    </w:p>
    <w:p>
      <w:pPr>
        <w:pStyle w:val="Heading2"/>
      </w:pPr>
      <w:r>
        <w:rPr>
          <w:color w:val="8C4600"/>
        </w:rPr>
        <w:t>🏦 Plan UEMOA / Zone Franc</w:t>
      </w:r>
    </w:p>
    <w:p>
      <w:pPr>
        <w:spacing w:before="20" w:after="40"/>
        <w:ind w:left="0"/>
      </w:pPr>
      <w:r>
        <w:rPr>
          <w:sz w:val="18"/>
        </w:rPr>
        <w:t>Le Sénégal traverse un bras de fer politique autour du FMI, avec des divergences entre gouvernement et Assemblée. Les autres pays de l'Union restent stables, avec des réformes institutionnelles en cours.</w:t>
      </w:r>
    </w:p>
    <w:p>
      <w:pPr>
        <w:pStyle w:val="Heading3"/>
      </w:pPr>
      <w:r>
        <w:rPr>
          <w:color w:val="500050"/>
        </w:rPr>
        <w:t>⚡ Impact estimé sur la BRVM</w:t>
      </w:r>
    </w:p>
    <w:p>
      <w:pPr>
        <w:spacing w:before="20" w:after="40"/>
        <w:ind w:left="280"/>
      </w:pPr>
      <w:r>
        <w:rPr>
          <w:i/>
          <w:sz w:val="18"/>
        </w:rPr>
        <w:t>Risque réglementaire modéré. La stabilité ivoirienne (premier marché BRVM) compense partiellement les tensions sénégalaises. Surveillance accrue sur les valeurs à exposition sénégalaise.</w:t>
      </w:r>
    </w:p>
    <w:p>
      <w:pPr>
        <w:pStyle w:val="Heading2"/>
      </w:pPr>
      <w:r>
        <w:rPr>
          <w:color w:val="003366"/>
        </w:rPr>
        <w:t>📈 Plan BRVM</w:t>
      </w:r>
    </w:p>
    <w:p>
      <w:pPr>
        <w:spacing w:before="20" w:after="40"/>
        <w:ind w:left="0"/>
      </w:pPr>
      <w:r>
        <w:rPr>
          <w:sz w:val="18"/>
        </w:rPr>
        <w:t>La BRVM bénéficie d'une reconnaissance croissante avec des résultats encourageants des sociétés ivoiriennes. La gouvernance des sociétés cotées s'améliore progressivement, soutenue par le CREPMF.</w:t>
      </w:r>
    </w:p>
    <w:p>
      <w:pPr>
        <w:pStyle w:val="Heading3"/>
      </w:pPr>
      <w:r>
        <w:rPr>
          <w:color w:val="500050"/>
        </w:rPr>
        <w:t>⚡ Impact estimé sur la BRVM</w:t>
      </w:r>
    </w:p>
    <w:p>
      <w:pPr>
        <w:spacing w:before="20" w:after="40"/>
        <w:ind w:left="280"/>
      </w:pPr>
      <w:r>
        <w:rPr>
          <w:i/>
          <w:sz w:val="18"/>
        </w:rPr>
        <w:t>Environnement réglementaire favorable. Les nouvelles cotations potentielles et l'amélioration de la gouvernance renforcent l'attractivité du marché. Impact positif sur la liquidité et la valorisation des titres.</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Le resserrement BCE pousse les taux européens à la hausse, attirant les capitaux vers les actifs européens au détriment des marchés émergents. La France décroche, affaiblissant la demande européenne. Les marchés mondiaux restent sous pression inflationniste.</w:t>
      </w:r>
    </w:p>
    <w:p>
      <w:pPr>
        <w:pStyle w:val="Heading3"/>
      </w:pPr>
      <w:r>
        <w:rPr>
          <w:color w:val="500050"/>
        </w:rPr>
        <w:t>⚡ Impact estimé sur la BRVM</w:t>
      </w:r>
    </w:p>
    <w:p>
      <w:pPr>
        <w:spacing w:before="20" w:after="40"/>
        <w:ind w:left="280"/>
      </w:pPr>
      <w:r>
        <w:rPr>
          <w:i/>
          <w:sz w:val="18"/>
        </w:rPr>
        <w:t>Corrélation négative avec les marchés développés : la hausse des taux BCE détourne les capitaux de la BRVM. Les investisseurs BRVM pourraient arbitrer en faveur d'actifs européens plus rémunérateurs, pesant sur les valorisations.</w:t>
      </w:r>
    </w:p>
    <w:p>
      <w:pPr>
        <w:pStyle w:val="Heading2"/>
      </w:pPr>
      <w:r>
        <w:rPr>
          <w:color w:val="006E32"/>
        </w:rPr>
        <w:t>🌍 Plan Africain</w:t>
      </w:r>
    </w:p>
    <w:p>
      <w:pPr>
        <w:spacing w:before="20" w:after="40"/>
        <w:ind w:left="0"/>
      </w:pPr>
      <w:r>
        <w:rPr>
          <w:sz w:val="18"/>
        </w:rPr>
        <w:t>L'accord FMI-Sénégal (1,9 Md€) améliore la liquidité souveraine régionale. La perspective de retour en Investment grade de l'Afrique du Sud renforce l'attractivité obligataire africaine. Les eurobonds africains bénéficient d'un regain d'intérêt.</w:t>
      </w:r>
    </w:p>
    <w:p>
      <w:pPr>
        <w:pStyle w:val="Heading3"/>
      </w:pPr>
      <w:r>
        <w:rPr>
          <w:color w:val="500050"/>
        </w:rPr>
        <w:t>⚡ Impact estimé sur la BRVM</w:t>
      </w:r>
    </w:p>
    <w:p>
      <w:pPr>
        <w:spacing w:before="20" w:after="40"/>
        <w:ind w:left="280"/>
      </w:pPr>
      <w:r>
        <w:rPr>
          <w:i/>
          <w:sz w:val="18"/>
        </w:rPr>
        <w:t>Concurrence accrue des marchés obligataires africains (Afrique du Sud, Sénégal) pour les capitaux. La BRVM pourrait subir un arbitrage défavorable au profit des titres souverains mieux notés.</w:t>
      </w:r>
    </w:p>
    <w:p>
      <w:pPr>
        <w:pStyle w:val="Heading2"/>
      </w:pPr>
      <w:r>
        <w:rPr>
          <w:color w:val="145A28"/>
        </w:rPr>
        <w:t>🌍 Plan Afrique de l'Ouest</w:t>
      </w:r>
    </w:p>
    <w:p>
      <w:pPr>
        <w:spacing w:before="20" w:after="40"/>
        <w:ind w:left="0"/>
      </w:pPr>
      <w:r>
        <w:rPr>
          <w:sz w:val="18"/>
        </w:rPr>
        <w:t>La BRVM reste la principale place financière de l'UEMOA, sans concurrent régional majeur. Les flux de capitaux sous-régionaux restent captifs grâce à la zone FCFA et à l'intégration financière.</w:t>
      </w:r>
    </w:p>
    <w:p>
      <w:pPr>
        <w:pStyle w:val="Heading3"/>
      </w:pPr>
      <w:r>
        <w:rPr>
          <w:color w:val="500050"/>
        </w:rPr>
        <w:t>⚡ Impact estimé sur la BRVM</w:t>
      </w:r>
    </w:p>
    <w:p>
      <w:pPr>
        <w:spacing w:before="20" w:after="40"/>
        <w:ind w:left="280"/>
      </w:pPr>
      <w:r>
        <w:rPr>
          <w:i/>
          <w:sz w:val="18"/>
        </w:rPr>
        <w:t>Positionnement dominant préservé. La BRVM bénéficie de sa position de monopole régional pour capter l'épargne institutionnelle UEMOA (banques, assurances, caisses de retraite).</w:t>
      </w:r>
    </w:p>
    <w:p>
      <w:pPr>
        <w:pStyle w:val="Heading2"/>
      </w:pPr>
      <w:r>
        <w:rPr>
          <w:color w:val="8C4600"/>
        </w:rPr>
        <w:t>🏦 Plan UEMOA / Zone Franc</w:t>
      </w:r>
    </w:p>
    <w:p>
      <w:pPr>
        <w:spacing w:before="20" w:after="40"/>
        <w:ind w:left="0"/>
      </w:pPr>
      <w:r>
        <w:rPr>
          <w:sz w:val="18"/>
        </w:rPr>
        <w:t>Le maintien du taux BCEAO à 3% préserve la liquidité bancaire et l'attractivité des titres publics UEMOA. L'arbitrage entre titres publics et actions BRVM reste équilibré, avec des rendements obligataires souverains compétitifs.</w:t>
      </w:r>
    </w:p>
    <w:p>
      <w:pPr>
        <w:pStyle w:val="Heading3"/>
      </w:pPr>
      <w:r>
        <w:rPr>
          <w:color w:val="500050"/>
        </w:rPr>
        <w:t>⚡ Impact estimé sur la BRVM</w:t>
      </w:r>
    </w:p>
    <w:p>
      <w:pPr>
        <w:spacing w:before="20" w:after="40"/>
        <w:ind w:left="280"/>
      </w:pPr>
      <w:r>
        <w:rPr>
          <w:i/>
          <w:sz w:val="18"/>
        </w:rPr>
        <w:t>Les taux bas BCEAO soutiennent les actions à dividendes élevés (SGBC, BOAB, ETIT). Risque d'arbitrage si les rendements des titres publics augmentent, détournant les investisseurs des actions.</w:t>
      </w:r>
    </w:p>
    <w:p>
      <w:pPr>
        <w:pStyle w:val="Heading2"/>
      </w:pPr>
      <w:r>
        <w:rPr>
          <w:color w:val="003366"/>
        </w:rPr>
        <w:t>📈 Plan BRVM</w:t>
      </w:r>
    </w:p>
    <w:p>
      <w:pPr>
        <w:spacing w:before="20" w:after="40"/>
        <w:ind w:left="0"/>
      </w:pPr>
      <w:r>
        <w:rPr>
          <w:sz w:val="18"/>
        </w:rPr>
        <w:t>L'indice BRVM Composite à 555,48 points reflète une dynamique positive. Les résultats encourageants des sociétés ivoiriennes soutiennent le marché. Les volumes restent modérés, avec une liquidité concentrée sur les grandes capitalisations.</w:t>
      </w:r>
    </w:p>
    <w:p>
      <w:pPr>
        <w:pStyle w:val="Heading3"/>
      </w:pPr>
      <w:r>
        <w:rPr>
          <w:color w:val="500050"/>
        </w:rPr>
        <w:t>⚡ Impact estimé sur la BRVM</w:t>
      </w:r>
    </w:p>
    <w:p>
      <w:pPr>
        <w:spacing w:before="20" w:after="40"/>
        <w:ind w:left="280"/>
      </w:pPr>
      <w:r>
        <w:rPr>
          <w:i/>
          <w:sz w:val="18"/>
        </w:rPr>
        <w:t>**Opportunités d'achat** : SGBC, BICB, BOAB (financières solides, environnement favorable). **Conserver** : PALC (croissance CEDEAO), ETIT. **Sous pression** : ONTBF, SOGC, CFAC (dépendance européenne). **Neutre** : NTLC, SIVC, SHEC (données insuffisantes).</w:t>
      </w:r>
    </w:p>
    <w:p>
      <w:pPr>
        <w:pStyle w:val="Heading1"/>
      </w:pPr>
      <w:r>
        <w:rPr>
          <w:color w:val="003366"/>
        </w:rPr>
        <w:t>🎯 SYNTHÈSE &amp; RECOMMANDATION FINALE</w:t>
      </w:r>
    </w:p>
    <w:p>
      <w:pPr>
        <w:spacing w:before="120"/>
      </w:pPr>
      <w:r>
        <w:rPr>
          <w:b/>
          <w:color w:val="C85000"/>
          <w:sz w:val="22"/>
        </w:rPr>
        <w:t>**Niveau d'alerte global : ORANGE**</w:t>
      </w:r>
    </w:p>
    <w:p>
      <w:pPr>
        <w:spacing w:before="20" w:after="40"/>
        <w:ind w:left="0"/>
      </w:pPr>
      <w:r>
        <w:rPr>
          <w:sz w:val="18"/>
        </w:rPr>
        <w:t>L'environnement macro reste globalement favorable à la BRVM grâce à la stabilité BCEAO (taux à 3%), à la croissance CEDEAO de 6,1% et aux résultats solides des sociétés ivoiriennes. Cependant, le resserrement BCE, le décrochage français et les tensions politiques sénégalaises autour du FMI créent des risques baissiers. **Recommandation** : privilégier les financières (SGBC, BICB, BOAB) et PALC, tout en surveillant les valeurs exposées à l'Europe (ONTBF, SOGC, CFAC) et au Sénégal (BOAB, ECOC). Maintenir une exposition modérée avec couverture sur les valeurs défensives.</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2026-09-10</w:t>
            </w:r>
          </w:p>
        </w:tc>
        <w:tc>
          <w:tcPr>
            <w:tcW w:type="dxa" w:w="1728"/>
          </w:tcPr>
          <w:p>
            <w:r>
              <w:rPr>
                <w:sz w:val="14"/>
              </w:rPr>
              <w:t>Croissance, emploi, pouvoir d'achat : la France décroche - Les Echos</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récession inflat</w:t>
            </w:r>
          </w:p>
        </w:tc>
      </w:tr>
      <w:tr>
        <w:tc>
          <w:tcPr>
            <w:tcW w:type="dxa" w:w="1728"/>
          </w:tcPr>
          <w:p>
            <w:r>
              <w:rPr>
                <w:sz w:val="14"/>
              </w:rPr>
              <w:t>2026-09-10</w:t>
            </w:r>
          </w:p>
        </w:tc>
        <w:tc>
          <w:tcPr>
            <w:tcW w:type="dxa" w:w="1728"/>
          </w:tcPr>
          <w:p>
            <w:r>
              <w:rPr>
                <w:sz w:val="14"/>
              </w:rPr>
              <w:t xml:space="preserve">La BCE monte à nouveau ses taux et se prépare à une inflation durable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Inflation: la Banque centrale européenne relève ses taux - rts.ch</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Face aux risques inflationnistes, la BCE relève ses taux - Le Temps</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La BCE devrait relever ses taux ce jeudi, mais le suspense est total p</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La BCE relève à nouveau ses taux d'intérêt, l'inflation persiste - Bou</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Dette : le Sénégal et le FMI s'accordent sur un nouveau plan d'aide fi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2026-09-02</w:t>
            </w:r>
          </w:p>
        </w:tc>
        <w:tc>
          <w:tcPr>
            <w:tcW w:type="dxa" w:w="1728"/>
          </w:tcPr>
          <w:p>
            <w:r>
              <w:rPr>
                <w:sz w:val="14"/>
              </w:rPr>
              <w:t>Pourquoi Goldman Sachs prévoit que l’Afrique du Sud retrouve sa notati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2026-09-01</w:t>
            </w:r>
          </w:p>
        </w:tc>
        <w:tc>
          <w:tcPr>
            <w:tcW w:type="dxa" w:w="1728"/>
          </w:tcPr>
          <w:p>
            <w:r>
              <w:rPr>
                <w:sz w:val="14"/>
              </w:rPr>
              <w:t>Le FMI et le Sénégal trouvent un accord en vue d’un programme d’aide 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Sénégal : le Gouvernement et le FMI s’accordent sur un programme de 2,</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La Tanzanie ouvre son marché des obligations d'État à tous les investi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2026-08-30</w:t>
            </w:r>
          </w:p>
        </w:tc>
        <w:tc>
          <w:tcPr>
            <w:tcW w:type="dxa" w:w="1728"/>
          </w:tcPr>
          <w:p>
            <w:r>
              <w:rPr>
                <w:sz w:val="14"/>
              </w:rPr>
              <w:t xml:space="preserve">Afrique du Sud : 56 milliards de dollars d'investissement public face </w:t>
            </w:r>
          </w:p>
        </w:tc>
        <w:tc>
          <w:tcPr>
            <w:tcW w:type="dxa" w:w="1728"/>
          </w:tcPr>
          <w:p>
            <w:r>
              <w:rPr>
                <w:sz w:val="14"/>
              </w:rPr>
              <w:t>Neutre</w:t>
            </w:r>
          </w:p>
        </w:tc>
        <w:tc>
          <w:tcPr>
            <w:tcW w:type="dxa" w:w="1728"/>
          </w:tcPr>
          <w:p>
            <w:r>
              <w:rPr>
                <w:sz w:val="14"/>
              </w:rPr>
              <w:t>Neutre</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2026-09-11</w:t>
            </w:r>
          </w:p>
        </w:tc>
        <w:tc>
          <w:tcPr>
            <w:tcW w:type="dxa" w:w="1728"/>
          </w:tcPr>
          <w:p>
            <w:r>
              <w:rPr>
                <w:sz w:val="14"/>
              </w:rPr>
              <w:t>Les entreprises algériennes en force - L'Expression</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2026-09-11</w:t>
            </w:r>
          </w:p>
        </w:tc>
        <w:tc>
          <w:tcPr>
            <w:tcW w:type="dxa" w:w="1728"/>
          </w:tcPr>
          <w:p>
            <w:r>
              <w:rPr>
                <w:sz w:val="14"/>
              </w:rPr>
              <w:t>OOAS : Le Prof. Vincent Palokinam Pitché prend les rênes de l’institut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2026-09-11</w:t>
            </w:r>
          </w:p>
        </w:tc>
        <w:tc>
          <w:tcPr>
            <w:tcW w:type="dxa" w:w="1728"/>
          </w:tcPr>
          <w:p>
            <w:r>
              <w:rPr>
                <w:sz w:val="14"/>
              </w:rPr>
              <w:t>COUNTRY REPORT – CEDEAO REPORT : Croissance du PIB de 6,1% réalisée en</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2026-09-10</w:t>
            </w:r>
          </w:p>
        </w:tc>
        <w:tc>
          <w:tcPr>
            <w:tcW w:type="dxa" w:w="1728"/>
          </w:tcPr>
          <w:p>
            <w:r>
              <w:rPr>
                <w:sz w:val="14"/>
              </w:rPr>
              <w:t xml:space="preserve">Monnaie unique : la CEDEAO maintient le cap sur le lancement de l’ECO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2026-09-10</w:t>
            </w:r>
          </w:p>
        </w:tc>
        <w:tc>
          <w:tcPr>
            <w:tcW w:type="dxa" w:w="1728"/>
          </w:tcPr>
          <w:p>
            <w:r>
              <w:rPr>
                <w:sz w:val="14"/>
              </w:rPr>
              <w:t>DOSSIER–CEDEAO REPORT - Centre international Julius Maada Bio, une inf</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2026-09-09</w:t>
            </w:r>
          </w:p>
        </w:tc>
        <w:tc>
          <w:tcPr>
            <w:tcW w:type="dxa" w:w="1728"/>
          </w:tcPr>
          <w:p>
            <w:r>
              <w:rPr>
                <w:sz w:val="14"/>
              </w:rPr>
              <w:t xml:space="preserve">ECO : la Cédéao accélère le processus vers 2027 - APAnews - Agence de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2026-09-12</w:t>
            </w:r>
          </w:p>
        </w:tc>
        <w:tc>
          <w:tcPr>
            <w:tcW w:type="dxa" w:w="1728"/>
          </w:tcPr>
          <w:p>
            <w:r>
              <w:rPr>
                <w:sz w:val="14"/>
              </w:rPr>
              <w:t>Sénégal: le pays accueille la flamme olympique des Jeux de la Jeunesse</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2026-09-12</w:t>
            </w:r>
          </w:p>
        </w:tc>
        <w:tc>
          <w:tcPr>
            <w:tcW w:type="dxa" w:w="1728"/>
          </w:tcPr>
          <w:p>
            <w:r>
              <w:rPr>
                <w:sz w:val="14"/>
              </w:rPr>
              <w:t>Afrique : la BCEAO maintient son taux directeur à 3% - Africa24 TV</w:t>
            </w:r>
          </w:p>
        </w:tc>
        <w:tc>
          <w:tcPr>
            <w:tcW w:type="dxa" w:w="1728"/>
          </w:tcPr>
          <w:p>
            <w:r>
              <w:rPr>
                <w:sz w:val="14"/>
              </w:rPr>
              <w:t>Neutre</w:t>
            </w:r>
          </w:p>
        </w:tc>
        <w:tc>
          <w:tcPr>
            <w:tcW w:type="dxa" w:w="1728"/>
          </w:tcPr>
          <w:p>
            <w:r>
              <w:rPr>
                <w:sz w:val="14"/>
              </w:rPr>
              <w:t>Neutre</w:t>
            </w:r>
          </w:p>
        </w:tc>
        <w:tc>
          <w:tcPr>
            <w:tcW w:type="dxa" w:w="1728"/>
          </w:tcPr>
          <w:p>
            <w:r>
              <w:rPr>
                <w:sz w:val="14"/>
              </w:rPr>
              <w:t>Google News — BCEAO taux direc</w:t>
            </w:r>
          </w:p>
        </w:tc>
      </w:tr>
      <w:tr>
        <w:tc>
          <w:tcPr>
            <w:tcW w:type="dxa" w:w="1728"/>
          </w:tcPr>
          <w:p>
            <w:r>
              <w:rPr>
                <w:sz w:val="14"/>
              </w:rPr>
              <w:t>2026-09-09</w:t>
            </w:r>
          </w:p>
        </w:tc>
        <w:tc>
          <w:tcPr>
            <w:tcW w:type="dxa" w:w="1728"/>
          </w:tcPr>
          <w:p>
            <w:r>
              <w:rPr>
                <w:sz w:val="14"/>
              </w:rPr>
              <w:t>Sénégal : le FMI au cœur d'un bras de fer politique à l'Assemblée - Af</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2026-09-11</w:t>
            </w:r>
          </w:p>
        </w:tc>
        <w:tc>
          <w:tcPr>
            <w:tcW w:type="dxa" w:w="1728"/>
          </w:tcPr>
          <w:p>
            <w:r>
              <w:rPr>
                <w:sz w:val="14"/>
              </w:rPr>
              <w:t xml:space="preserve">UEMOA : la BCEAO maintient son taux directeur à 3% malgré la remontée </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BCEAO taux direc</w:t>
            </w:r>
          </w:p>
        </w:tc>
      </w:tr>
      <w:tr>
        <w:tc>
          <w:tcPr>
            <w:tcW w:type="dxa" w:w="1728"/>
          </w:tcPr>
          <w:p>
            <w:r>
              <w:rPr>
                <w:sz w:val="14"/>
              </w:rPr>
              <w:t>2026-09-09</w:t>
            </w:r>
          </w:p>
        </w:tc>
        <w:tc>
          <w:tcPr>
            <w:tcW w:type="dxa" w:w="1728"/>
          </w:tcPr>
          <w:p>
            <w:r>
              <w:rPr>
                <w:sz w:val="14"/>
              </w:rPr>
              <w:t>Sénégal : les trois mesures à retenir d’un discours très « FMI-compati</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2026-09-10</w:t>
            </w:r>
          </w:p>
        </w:tc>
        <w:tc>
          <w:tcPr>
            <w:tcW w:type="dxa" w:w="1728"/>
          </w:tcPr>
          <w:p>
            <w:r>
              <w:rPr>
                <w:sz w:val="14"/>
              </w:rPr>
              <w:t>Dette, FMI, déficit : qui est responsable de la crise au Sénégal ? - B</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2026-09-10</w:t>
            </w:r>
          </w:p>
        </w:tc>
        <w:tc>
          <w:tcPr>
            <w:tcW w:type="dxa" w:w="1728"/>
          </w:tcPr>
          <w:p>
            <w:r>
              <w:rPr>
                <w:sz w:val="14"/>
              </w:rPr>
              <w:t>Croissance, emploi, pouvoir d'achat : la France décroche - Les Echos</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récession inflat</w:t>
            </w:r>
          </w:p>
        </w:tc>
      </w:tr>
      <w:tr>
        <w:tc>
          <w:tcPr>
            <w:tcW w:type="dxa" w:w="1728"/>
          </w:tcPr>
          <w:p>
            <w:r>
              <w:rPr>
                <w:sz w:val="14"/>
              </w:rPr>
              <w:t>2026-09-10</w:t>
            </w:r>
          </w:p>
        </w:tc>
        <w:tc>
          <w:tcPr>
            <w:tcW w:type="dxa" w:w="1728"/>
          </w:tcPr>
          <w:p>
            <w:r>
              <w:rPr>
                <w:sz w:val="14"/>
              </w:rPr>
              <w:t xml:space="preserve">La BCE monte à nouveau ses taux et se prépare à une inflation durable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2026-09-12</w:t>
            </w:r>
          </w:p>
        </w:tc>
        <w:tc>
          <w:tcPr>
            <w:tcW w:type="dxa" w:w="1728"/>
          </w:tcPr>
          <w:p>
            <w:r>
              <w:rPr>
                <w:sz w:val="14"/>
              </w:rPr>
              <w:t>Afrique : la BCEAO maintient son taux directeur à 3% - Africa24 TV</w:t>
            </w:r>
          </w:p>
        </w:tc>
        <w:tc>
          <w:tcPr>
            <w:tcW w:type="dxa" w:w="1728"/>
          </w:tcPr>
          <w:p>
            <w:r>
              <w:rPr>
                <w:sz w:val="14"/>
              </w:rPr>
              <w:t>Neutre</w:t>
            </w:r>
          </w:p>
        </w:tc>
        <w:tc>
          <w:tcPr>
            <w:tcW w:type="dxa" w:w="1728"/>
          </w:tcPr>
          <w:p>
            <w:r>
              <w:rPr>
                <w:sz w:val="14"/>
              </w:rPr>
              <w:t>Neutre</w:t>
            </w:r>
          </w:p>
        </w:tc>
        <w:tc>
          <w:tcPr>
            <w:tcW w:type="dxa" w:w="1728"/>
          </w:tcPr>
          <w:p>
            <w:r>
              <w:rPr>
                <w:sz w:val="14"/>
              </w:rPr>
              <w:t>Google News — BCEAO taux direc</w:t>
            </w:r>
          </w:p>
        </w:tc>
      </w:tr>
      <w:tr>
        <w:tc>
          <w:tcPr>
            <w:tcW w:type="dxa" w:w="1728"/>
          </w:tcPr>
          <w:p>
            <w:r>
              <w:rPr>
                <w:sz w:val="14"/>
              </w:rPr>
              <w:t>2026-09-10</w:t>
            </w:r>
          </w:p>
        </w:tc>
        <w:tc>
          <w:tcPr>
            <w:tcW w:type="dxa" w:w="1728"/>
          </w:tcPr>
          <w:p>
            <w:r>
              <w:rPr>
                <w:sz w:val="14"/>
              </w:rPr>
              <w:t>Inflation: la Banque centrale européenne relève ses taux - rts.ch</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Face aux risques inflationnistes, la BCE relève ses taux - Le Temps</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2026-09-12</w:t>
            </w:r>
          </w:p>
        </w:tc>
        <w:tc>
          <w:tcPr>
            <w:tcW w:type="dxa" w:w="1728"/>
          </w:tcPr>
          <w:p>
            <w:r>
              <w:rPr>
                <w:sz w:val="14"/>
              </w:rPr>
              <w:t>Afrique : la BCEAO maintient son taux directeur à 3% - Africa24 TV</w:t>
            </w:r>
          </w:p>
        </w:tc>
        <w:tc>
          <w:tcPr>
            <w:tcW w:type="dxa" w:w="1728"/>
          </w:tcPr>
          <w:p>
            <w:r>
              <w:rPr>
                <w:sz w:val="14"/>
              </w:rPr>
              <w:t>Neutre</w:t>
            </w:r>
          </w:p>
        </w:tc>
        <w:tc>
          <w:tcPr>
            <w:tcW w:type="dxa" w:w="1728"/>
          </w:tcPr>
          <w:p>
            <w:r>
              <w:rPr>
                <w:sz w:val="14"/>
              </w:rPr>
              <w:t>Neutre</w:t>
            </w:r>
          </w:p>
        </w:tc>
        <w:tc>
          <w:tcPr>
            <w:tcW w:type="dxa" w:w="1728"/>
          </w:tcPr>
          <w:p>
            <w:r>
              <w:rPr>
                <w:sz w:val="14"/>
              </w:rPr>
              <w:t>Google News — BCEAO taux direc</w:t>
            </w:r>
          </w:p>
        </w:tc>
      </w:tr>
      <w:tr>
        <w:tc>
          <w:tcPr>
            <w:tcW w:type="dxa" w:w="1728"/>
          </w:tcPr>
          <w:p>
            <w:r>
              <w:rPr>
                <w:sz w:val="14"/>
              </w:rPr>
              <w:t>2026-09-10</w:t>
            </w:r>
          </w:p>
        </w:tc>
        <w:tc>
          <w:tcPr>
            <w:tcW w:type="dxa" w:w="1728"/>
          </w:tcPr>
          <w:p>
            <w:r>
              <w:rPr>
                <w:sz w:val="14"/>
              </w:rPr>
              <w:t>La BCE devrait relever ses taux ce jeudi, mais le suspense est total p</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2026-09-11</w:t>
            </w:r>
          </w:p>
        </w:tc>
        <w:tc>
          <w:tcPr>
            <w:tcW w:type="dxa" w:w="1728"/>
          </w:tcPr>
          <w:p>
            <w:r>
              <w:rPr>
                <w:sz w:val="14"/>
              </w:rPr>
              <w:t>Les entreprises algériennes en force - L'Expression</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2026-09-11</w:t>
            </w:r>
          </w:p>
        </w:tc>
        <w:tc>
          <w:tcPr>
            <w:tcW w:type="dxa" w:w="1728"/>
          </w:tcPr>
          <w:p>
            <w:r>
              <w:rPr>
                <w:sz w:val="14"/>
              </w:rPr>
              <w:t>OOAS : Le Prof. Vincent Palokinam Pitché prend les rênes de l’institut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2026-09-11</w:t>
            </w:r>
          </w:p>
        </w:tc>
        <w:tc>
          <w:tcPr>
            <w:tcW w:type="dxa" w:w="1728"/>
          </w:tcPr>
          <w:p>
            <w:r>
              <w:rPr>
                <w:sz w:val="14"/>
              </w:rPr>
              <w:t>COUNTRY REPORT – CEDEAO REPORT : Croissance du PIB de 6,1% réalisée en</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2026-09-12</w:t>
            </w:r>
          </w:p>
        </w:tc>
        <w:tc>
          <w:tcPr>
            <w:tcW w:type="dxa" w:w="1728"/>
          </w:tcPr>
          <w:p>
            <w:r>
              <w:rPr>
                <w:sz w:val="14"/>
              </w:rPr>
              <w:t>Afrique : la BCEAO maintient son taux directeur à 3% - Africa24 TV</w:t>
            </w:r>
          </w:p>
        </w:tc>
        <w:tc>
          <w:tcPr>
            <w:tcW w:type="dxa" w:w="1728"/>
          </w:tcPr>
          <w:p>
            <w:r>
              <w:rPr>
                <w:sz w:val="14"/>
              </w:rPr>
              <w:t>Neutre</w:t>
            </w:r>
          </w:p>
        </w:tc>
        <w:tc>
          <w:tcPr>
            <w:tcW w:type="dxa" w:w="1728"/>
          </w:tcPr>
          <w:p>
            <w:r>
              <w:rPr>
                <w:sz w:val="14"/>
              </w:rPr>
              <w:t>Neutre</w:t>
            </w:r>
          </w:p>
        </w:tc>
        <w:tc>
          <w:tcPr>
            <w:tcW w:type="dxa" w:w="1728"/>
          </w:tcPr>
          <w:p>
            <w:r>
              <w:rPr>
                <w:sz w:val="14"/>
              </w:rPr>
              <w:t>Google News — BCEAO taux direc</w:t>
            </w:r>
          </w:p>
        </w:tc>
      </w:tr>
      <w:tr>
        <w:tc>
          <w:tcPr>
            <w:tcW w:type="dxa" w:w="1728"/>
          </w:tcPr>
          <w:p>
            <w:r>
              <w:rPr>
                <w:sz w:val="14"/>
              </w:rPr>
              <w:t>2026-09-10</w:t>
            </w:r>
          </w:p>
        </w:tc>
        <w:tc>
          <w:tcPr>
            <w:tcW w:type="dxa" w:w="1728"/>
          </w:tcPr>
          <w:p>
            <w:r>
              <w:rPr>
                <w:sz w:val="14"/>
              </w:rPr>
              <w:t>La BCE devrait relever ses taux ce jeudi, mais le suspense est total p</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2026-09-11</w:t>
            </w:r>
          </w:p>
        </w:tc>
        <w:tc>
          <w:tcPr>
            <w:tcW w:type="dxa" w:w="1728"/>
          </w:tcPr>
          <w:p>
            <w:r>
              <w:rPr>
                <w:sz w:val="14"/>
              </w:rPr>
              <w:t>OOAS : Le Prof. Vincent Palokinam Pitché prend les rênes de l’institut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2026-09-11</w:t>
            </w:r>
          </w:p>
        </w:tc>
        <w:tc>
          <w:tcPr>
            <w:tcW w:type="dxa" w:w="1728"/>
          </w:tcPr>
          <w:p>
            <w:r>
              <w:rPr>
                <w:sz w:val="14"/>
              </w:rPr>
              <w:t>COUNTRY REPORT – CEDEAO REPORT : Croissance du PIB de 6,1% réalisée en</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2026-09-09</w:t>
            </w:r>
          </w:p>
        </w:tc>
        <w:tc>
          <w:tcPr>
            <w:tcW w:type="dxa" w:w="1728"/>
          </w:tcPr>
          <w:p>
            <w:r>
              <w:rPr>
                <w:sz w:val="14"/>
              </w:rPr>
              <w:t>Sénégal : le FMI au cœur d'un bras de fer politique à l'Assemblée - Af</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2026-09-12</w:t>
            </w:r>
          </w:p>
        </w:tc>
        <w:tc>
          <w:tcPr>
            <w:tcW w:type="dxa" w:w="1728"/>
          </w:tcPr>
          <w:p>
            <w:r>
              <w:rPr>
                <w:sz w:val="14"/>
              </w:rPr>
              <w:t>Sénégal: le pays accueille la flamme olympique des Jeux de la Jeunesse</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2026-09-12</w:t>
            </w:r>
          </w:p>
        </w:tc>
        <w:tc>
          <w:tcPr>
            <w:tcW w:type="dxa" w:w="1728"/>
          </w:tcPr>
          <w:p>
            <w:r>
              <w:rPr>
                <w:sz w:val="14"/>
              </w:rPr>
              <w:t>Afrique : la BCEAO maintient son taux directeur à 3% - Africa24 TV</w:t>
            </w:r>
          </w:p>
        </w:tc>
        <w:tc>
          <w:tcPr>
            <w:tcW w:type="dxa" w:w="1728"/>
          </w:tcPr>
          <w:p>
            <w:r>
              <w:rPr>
                <w:sz w:val="14"/>
              </w:rPr>
              <w:t>Neutre</w:t>
            </w:r>
          </w:p>
        </w:tc>
        <w:tc>
          <w:tcPr>
            <w:tcW w:type="dxa" w:w="1728"/>
          </w:tcPr>
          <w:p>
            <w:r>
              <w:rPr>
                <w:sz w:val="14"/>
              </w:rPr>
              <w:t>Neutre</w:t>
            </w:r>
          </w:p>
        </w:tc>
        <w:tc>
          <w:tcPr>
            <w:tcW w:type="dxa" w:w="1728"/>
          </w:tcPr>
          <w:p>
            <w:r>
              <w:rPr>
                <w:sz w:val="14"/>
              </w:rPr>
              <w:t>Google News — BCEAO taux direc</w:t>
            </w:r>
          </w:p>
        </w:tc>
      </w:tr>
      <w:tr>
        <w:tc>
          <w:tcPr>
            <w:tcW w:type="dxa" w:w="1728"/>
          </w:tcPr>
          <w:p>
            <w:r>
              <w:rPr>
                <w:sz w:val="14"/>
              </w:rPr>
              <w:t>2026-09-10</w:t>
            </w:r>
          </w:p>
        </w:tc>
        <w:tc>
          <w:tcPr>
            <w:tcW w:type="dxa" w:w="1728"/>
          </w:tcPr>
          <w:p>
            <w:r>
              <w:rPr>
                <w:sz w:val="14"/>
              </w:rPr>
              <w:t>La BCE devrait relever ses taux ce jeudi, mais le suspense est total p</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2026-09-11</w:t>
            </w:r>
          </w:p>
        </w:tc>
        <w:tc>
          <w:tcPr>
            <w:tcW w:type="dxa" w:w="1728"/>
          </w:tcPr>
          <w:p>
            <w:r>
              <w:rPr>
                <w:sz w:val="14"/>
              </w:rPr>
              <w:t>OOAS : Le Prof. Vincent Palokinam Pitché prend les rênes de l’institut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2026-09-09</w:t>
            </w:r>
          </w:p>
        </w:tc>
        <w:tc>
          <w:tcPr>
            <w:tcW w:type="dxa" w:w="1728"/>
          </w:tcPr>
          <w:p>
            <w:r>
              <w:rPr>
                <w:sz w:val="14"/>
              </w:rPr>
              <w:t>Sénégal : le FMI au cœur d'un bras de fer politique à l'Assemblée - Af</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2026-09-10</w:t>
            </w:r>
          </w:p>
        </w:tc>
        <w:tc>
          <w:tcPr>
            <w:tcW w:type="dxa" w:w="1728"/>
          </w:tcPr>
          <w:p>
            <w:r>
              <w:rPr>
                <w:sz w:val="14"/>
              </w:rPr>
              <w:t>La BCE devrait relever ses taux ce jeudi, mais le suspense est total p</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2026-09-11</w:t>
            </w:r>
          </w:p>
        </w:tc>
        <w:tc>
          <w:tcPr>
            <w:tcW w:type="dxa" w:w="1728"/>
          </w:tcPr>
          <w:p>
            <w:r>
              <w:rPr>
                <w:sz w:val="14"/>
              </w:rPr>
              <w:t>Les entreprises algériennes en force - L'Expression</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2026-09-11</w:t>
            </w:r>
          </w:p>
        </w:tc>
        <w:tc>
          <w:tcPr>
            <w:tcW w:type="dxa" w:w="1728"/>
          </w:tcPr>
          <w:p>
            <w:r>
              <w:rPr>
                <w:sz w:val="14"/>
              </w:rPr>
              <w:t>OOAS : Le Prof. Vincent Palokinam Pitché prend les rênes de l’institut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2026-09-11</w:t>
            </w:r>
          </w:p>
        </w:tc>
        <w:tc>
          <w:tcPr>
            <w:tcW w:type="dxa" w:w="1728"/>
          </w:tcPr>
          <w:p>
            <w:r>
              <w:rPr>
                <w:sz w:val="14"/>
              </w:rPr>
              <w:t>COUNTRY REPORT – CEDEAO REPORT : Croissance du PIB de 6,1% réalisée en</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2026-09-09</w:t>
            </w:r>
          </w:p>
        </w:tc>
        <w:tc>
          <w:tcPr>
            <w:tcW w:type="dxa" w:w="1728"/>
          </w:tcPr>
          <w:p>
            <w:r>
              <w:rPr>
                <w:sz w:val="14"/>
              </w:rPr>
              <w:t>Sénégal : le FMI au cœur d'un bras de fer politique à l'Assemblée - Af</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2026-09-10</w:t>
            </w:r>
          </w:p>
        </w:tc>
        <w:tc>
          <w:tcPr>
            <w:tcW w:type="dxa" w:w="1728"/>
          </w:tcPr>
          <w:p>
            <w:r>
              <w:rPr>
                <w:sz w:val="14"/>
              </w:rPr>
              <w:t>Croissance, emploi, pouvoir d'achat : la France décroche - Les Echos</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récession inflat</w:t>
            </w:r>
          </w:p>
        </w:tc>
      </w:tr>
      <w:tr>
        <w:tc>
          <w:tcPr>
            <w:tcW w:type="dxa" w:w="1728"/>
          </w:tcPr>
          <w:p>
            <w:r>
              <w:rPr>
                <w:sz w:val="14"/>
              </w:rPr>
              <w:t>2026-09-10</w:t>
            </w:r>
          </w:p>
        </w:tc>
        <w:tc>
          <w:tcPr>
            <w:tcW w:type="dxa" w:w="1728"/>
          </w:tcPr>
          <w:p>
            <w:r>
              <w:rPr>
                <w:sz w:val="14"/>
              </w:rPr>
              <w:t xml:space="preserve">La BCE monte à nouveau ses taux et se prépare à une inflation durable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2026-09-12</w:t>
            </w:r>
          </w:p>
        </w:tc>
        <w:tc>
          <w:tcPr>
            <w:tcW w:type="dxa" w:w="1728"/>
          </w:tcPr>
          <w:p>
            <w:r>
              <w:rPr>
                <w:sz w:val="14"/>
              </w:rPr>
              <w:t>Afrique : la BCEAO maintient son taux directeur à 3% - Africa24 TV</w:t>
            </w:r>
          </w:p>
        </w:tc>
        <w:tc>
          <w:tcPr>
            <w:tcW w:type="dxa" w:w="1728"/>
          </w:tcPr>
          <w:p>
            <w:r>
              <w:rPr>
                <w:sz w:val="14"/>
              </w:rPr>
              <w:t>Neutre</w:t>
            </w:r>
          </w:p>
        </w:tc>
        <w:tc>
          <w:tcPr>
            <w:tcW w:type="dxa" w:w="1728"/>
          </w:tcPr>
          <w:p>
            <w:r>
              <w:rPr>
                <w:sz w:val="14"/>
              </w:rPr>
              <w:t>Neutre</w:t>
            </w:r>
          </w:p>
        </w:tc>
        <w:tc>
          <w:tcPr>
            <w:tcW w:type="dxa" w:w="1728"/>
          </w:tcPr>
          <w:p>
            <w:r>
              <w:rPr>
                <w:sz w:val="14"/>
              </w:rPr>
              <w:t>Google News — BCEAO taux direc</w:t>
            </w:r>
          </w:p>
        </w:tc>
      </w:tr>
      <w:tr>
        <w:tc>
          <w:tcPr>
            <w:tcW w:type="dxa" w:w="1728"/>
          </w:tcPr>
          <w:p>
            <w:r>
              <w:rPr>
                <w:sz w:val="14"/>
              </w:rPr>
              <w:t>2026-09-10</w:t>
            </w:r>
          </w:p>
        </w:tc>
        <w:tc>
          <w:tcPr>
            <w:tcW w:type="dxa" w:w="1728"/>
          </w:tcPr>
          <w:p>
            <w:r>
              <w:rPr>
                <w:sz w:val="14"/>
              </w:rPr>
              <w:t>Inflation: la Banque centrale européenne relève ses taux - rts.ch</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Face aux risques inflationnistes, la BCE relève ses taux - Le Temps</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2026-09-10</w:t>
            </w:r>
          </w:p>
        </w:tc>
        <w:tc>
          <w:tcPr>
            <w:tcW w:type="dxa" w:w="1728"/>
          </w:tcPr>
          <w:p>
            <w:r>
              <w:rPr>
                <w:sz w:val="14"/>
              </w:rPr>
              <w:t>Croissance, emploi, pouvoir d'achat : la France décroche - Les Echos</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récession inflat</w:t>
            </w:r>
          </w:p>
        </w:tc>
      </w:tr>
      <w:tr>
        <w:tc>
          <w:tcPr>
            <w:tcW w:type="dxa" w:w="1728"/>
          </w:tcPr>
          <w:p>
            <w:r>
              <w:rPr>
                <w:sz w:val="14"/>
              </w:rPr>
              <w:t>2026-09-10</w:t>
            </w:r>
          </w:p>
        </w:tc>
        <w:tc>
          <w:tcPr>
            <w:tcW w:type="dxa" w:w="1728"/>
          </w:tcPr>
          <w:p>
            <w:r>
              <w:rPr>
                <w:sz w:val="14"/>
              </w:rPr>
              <w:t xml:space="preserve">La BCE monte à nouveau ses taux et se prépare à une inflation durable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2026-09-12</w:t>
            </w:r>
          </w:p>
        </w:tc>
        <w:tc>
          <w:tcPr>
            <w:tcW w:type="dxa" w:w="1728"/>
          </w:tcPr>
          <w:p>
            <w:r>
              <w:rPr>
                <w:sz w:val="14"/>
              </w:rPr>
              <w:t>Afrique : la BCEAO maintient son taux directeur à 3% - Africa24 TV</w:t>
            </w:r>
          </w:p>
        </w:tc>
        <w:tc>
          <w:tcPr>
            <w:tcW w:type="dxa" w:w="1728"/>
          </w:tcPr>
          <w:p>
            <w:r>
              <w:rPr>
                <w:sz w:val="14"/>
              </w:rPr>
              <w:t>Neutre</w:t>
            </w:r>
          </w:p>
        </w:tc>
        <w:tc>
          <w:tcPr>
            <w:tcW w:type="dxa" w:w="1728"/>
          </w:tcPr>
          <w:p>
            <w:r>
              <w:rPr>
                <w:sz w:val="14"/>
              </w:rPr>
              <w:t>Neutre</w:t>
            </w:r>
          </w:p>
        </w:tc>
        <w:tc>
          <w:tcPr>
            <w:tcW w:type="dxa" w:w="1728"/>
          </w:tcPr>
          <w:p>
            <w:r>
              <w:rPr>
                <w:sz w:val="14"/>
              </w:rPr>
              <w:t>Google News — BCEAO taux direc</w:t>
            </w:r>
          </w:p>
        </w:tc>
      </w:tr>
      <w:tr>
        <w:tc>
          <w:tcPr>
            <w:tcW w:type="dxa" w:w="1728"/>
          </w:tcPr>
          <w:p>
            <w:r>
              <w:rPr>
                <w:sz w:val="14"/>
              </w:rPr>
              <w:t>2026-09-10</w:t>
            </w:r>
          </w:p>
        </w:tc>
        <w:tc>
          <w:tcPr>
            <w:tcW w:type="dxa" w:w="1728"/>
          </w:tcPr>
          <w:p>
            <w:r>
              <w:rPr>
                <w:sz w:val="14"/>
              </w:rPr>
              <w:t>Inflation: la Banque centrale européenne relève ses taux - rts.ch</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Face aux risques inflationnistes, la BCE relève ses taux - Le Temps</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2026-09-10</w:t>
            </w:r>
          </w:p>
        </w:tc>
        <w:tc>
          <w:tcPr>
            <w:tcW w:type="dxa" w:w="1728"/>
          </w:tcPr>
          <w:p>
            <w:r>
              <w:rPr>
                <w:sz w:val="14"/>
              </w:rPr>
              <w:t>Croissance, emploi, pouvoir d'achat : la France décroche - Les Echos</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récession inflat</w:t>
            </w:r>
          </w:p>
        </w:tc>
      </w:tr>
      <w:tr>
        <w:tc>
          <w:tcPr>
            <w:tcW w:type="dxa" w:w="1728"/>
          </w:tcPr>
          <w:p>
            <w:r>
              <w:rPr>
                <w:sz w:val="14"/>
              </w:rPr>
              <w:t>2026-09-10</w:t>
            </w:r>
          </w:p>
        </w:tc>
        <w:tc>
          <w:tcPr>
            <w:tcW w:type="dxa" w:w="1728"/>
          </w:tcPr>
          <w:p>
            <w:r>
              <w:rPr>
                <w:sz w:val="14"/>
              </w:rPr>
              <w:t xml:space="preserve">La BCE monte à nouveau ses taux et se prépare à une inflation durable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2026-09-12</w:t>
            </w:r>
          </w:p>
        </w:tc>
        <w:tc>
          <w:tcPr>
            <w:tcW w:type="dxa" w:w="1728"/>
          </w:tcPr>
          <w:p>
            <w:r>
              <w:rPr>
                <w:sz w:val="14"/>
              </w:rPr>
              <w:t>Afrique : la BCEAO maintient son taux directeur à 3% - Africa24 TV</w:t>
            </w:r>
          </w:p>
        </w:tc>
        <w:tc>
          <w:tcPr>
            <w:tcW w:type="dxa" w:w="1728"/>
          </w:tcPr>
          <w:p>
            <w:r>
              <w:rPr>
                <w:sz w:val="14"/>
              </w:rPr>
              <w:t>Neutre</w:t>
            </w:r>
          </w:p>
        </w:tc>
        <w:tc>
          <w:tcPr>
            <w:tcW w:type="dxa" w:w="1728"/>
          </w:tcPr>
          <w:p>
            <w:r>
              <w:rPr>
                <w:sz w:val="14"/>
              </w:rPr>
              <w:t>Neutre</w:t>
            </w:r>
          </w:p>
        </w:tc>
        <w:tc>
          <w:tcPr>
            <w:tcW w:type="dxa" w:w="1728"/>
          </w:tcPr>
          <w:p>
            <w:r>
              <w:rPr>
                <w:sz w:val="14"/>
              </w:rPr>
              <w:t>Google News — BCEAO taux direc</w:t>
            </w:r>
          </w:p>
        </w:tc>
      </w:tr>
      <w:tr>
        <w:tc>
          <w:tcPr>
            <w:tcW w:type="dxa" w:w="1728"/>
          </w:tcPr>
          <w:p>
            <w:r>
              <w:rPr>
                <w:sz w:val="14"/>
              </w:rPr>
              <w:t>2026-09-10</w:t>
            </w:r>
          </w:p>
        </w:tc>
        <w:tc>
          <w:tcPr>
            <w:tcW w:type="dxa" w:w="1728"/>
          </w:tcPr>
          <w:p>
            <w:r>
              <w:rPr>
                <w:sz w:val="14"/>
              </w:rPr>
              <w:t>Inflation: la Banque centrale européenne relève ses taux - rts.ch</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Face aux risques inflationnistes, la BCE relève ses taux - Le Temps</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2026-09-10</w:t>
            </w:r>
          </w:p>
        </w:tc>
        <w:tc>
          <w:tcPr>
            <w:tcW w:type="dxa" w:w="1728"/>
          </w:tcPr>
          <w:p>
            <w:r>
              <w:rPr>
                <w:sz w:val="14"/>
              </w:rPr>
              <w:t>Croissance, emploi, pouvoir d'achat : la France décroche - Les Echos</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récession inflat</w:t>
            </w:r>
          </w:p>
        </w:tc>
      </w:tr>
      <w:tr>
        <w:tc>
          <w:tcPr>
            <w:tcW w:type="dxa" w:w="1728"/>
          </w:tcPr>
          <w:p>
            <w:r>
              <w:rPr>
                <w:sz w:val="14"/>
              </w:rPr>
              <w:t>2026-09-10</w:t>
            </w:r>
          </w:p>
        </w:tc>
        <w:tc>
          <w:tcPr>
            <w:tcW w:type="dxa" w:w="1728"/>
          </w:tcPr>
          <w:p>
            <w:r>
              <w:rPr>
                <w:sz w:val="14"/>
              </w:rPr>
              <w:t xml:space="preserve">La BCE monte à nouveau ses taux et se prépare à une inflation durable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2026-09-12</w:t>
            </w:r>
          </w:p>
        </w:tc>
        <w:tc>
          <w:tcPr>
            <w:tcW w:type="dxa" w:w="1728"/>
          </w:tcPr>
          <w:p>
            <w:r>
              <w:rPr>
                <w:sz w:val="14"/>
              </w:rPr>
              <w:t>Sénégal: le pays accueille la flamme olympique des Jeux de la Jeunesse</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2026-09-12</w:t>
            </w:r>
          </w:p>
        </w:tc>
        <w:tc>
          <w:tcPr>
            <w:tcW w:type="dxa" w:w="1728"/>
          </w:tcPr>
          <w:p>
            <w:r>
              <w:rPr>
                <w:sz w:val="14"/>
              </w:rPr>
              <w:t>Afrique : la BCEAO maintient son taux directeur à 3% - Africa24 TV</w:t>
            </w:r>
          </w:p>
        </w:tc>
        <w:tc>
          <w:tcPr>
            <w:tcW w:type="dxa" w:w="1728"/>
          </w:tcPr>
          <w:p>
            <w:r>
              <w:rPr>
                <w:sz w:val="14"/>
              </w:rPr>
              <w:t>Neutre</w:t>
            </w:r>
          </w:p>
        </w:tc>
        <w:tc>
          <w:tcPr>
            <w:tcW w:type="dxa" w:w="1728"/>
          </w:tcPr>
          <w:p>
            <w:r>
              <w:rPr>
                <w:sz w:val="14"/>
              </w:rPr>
              <w:t>Neutre</w:t>
            </w:r>
          </w:p>
        </w:tc>
        <w:tc>
          <w:tcPr>
            <w:tcW w:type="dxa" w:w="1728"/>
          </w:tcPr>
          <w:p>
            <w:r>
              <w:rPr>
                <w:sz w:val="14"/>
              </w:rPr>
              <w:t>Google News — BCEAO taux direc</w:t>
            </w:r>
          </w:p>
        </w:tc>
      </w:tr>
      <w:tr>
        <w:tc>
          <w:tcPr>
            <w:tcW w:type="dxa" w:w="1728"/>
          </w:tcPr>
          <w:p>
            <w:r>
              <w:rPr>
                <w:sz w:val="14"/>
              </w:rPr>
              <w:t>2026-09-10</w:t>
            </w:r>
          </w:p>
        </w:tc>
        <w:tc>
          <w:tcPr>
            <w:tcW w:type="dxa" w:w="1728"/>
          </w:tcPr>
          <w:p>
            <w:r>
              <w:rPr>
                <w:sz w:val="14"/>
              </w:rPr>
              <w:t>Inflation: la Banque centrale européenne relève ses taux - rts.ch</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2026-09-10</w:t>
            </w:r>
          </w:p>
        </w:tc>
        <w:tc>
          <w:tcPr>
            <w:tcW w:type="dxa" w:w="1728"/>
          </w:tcPr>
          <w:p>
            <w:r>
              <w:rPr>
                <w:sz w:val="14"/>
              </w:rPr>
              <w:t>Croissance, emploi, pouvoir d'achat : la France décroche - Les Echos</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récession inflat</w:t>
            </w:r>
          </w:p>
        </w:tc>
      </w:tr>
      <w:tr>
        <w:tc>
          <w:tcPr>
            <w:tcW w:type="dxa" w:w="1728"/>
          </w:tcPr>
          <w:p>
            <w:r>
              <w:rPr>
                <w:sz w:val="14"/>
              </w:rPr>
              <w:t>2026-09-10</w:t>
            </w:r>
          </w:p>
        </w:tc>
        <w:tc>
          <w:tcPr>
            <w:tcW w:type="dxa" w:w="1728"/>
          </w:tcPr>
          <w:p>
            <w:r>
              <w:rPr>
                <w:sz w:val="14"/>
              </w:rPr>
              <w:t xml:space="preserve">La BCE monte à nouveau ses taux et se prépare à une inflation durable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Inflation: la Banque centrale européenne relève ses taux - rts.ch</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Face aux risques inflationnistes, la BCE relève ses taux - Le Temps</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2026-09-10</w:t>
            </w:r>
          </w:p>
        </w:tc>
        <w:tc>
          <w:tcPr>
            <w:tcW w:type="dxa" w:w="1728"/>
          </w:tcPr>
          <w:p>
            <w:r>
              <w:rPr>
                <w:sz w:val="14"/>
              </w:rPr>
              <w:t>La BCE devrait relever ses taux ce jeudi, mais le suspense est total p</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(2 alerte(s))</w:t>
      </w:r>
    </w:p>
    <w:p>
      <w:pPr>
        <w:spacing w:before="40" w:after="40"/>
        <w:ind w:left="360"/>
      </w:pPr>
      <w:r>
        <w:rPr>
          <w:color w:val="646464"/>
          <w:sz w:val="17"/>
        </w:rPr>
        <w:t xml:space="preserve">[12/09/2026] 🟢  </w:t>
      </w:r>
      <w:r>
        <w:rPr>
          <w:b/>
          <w:color w:val="008000"/>
          <w:sz w:val="18"/>
        </w:rPr>
        <w:t>Sénégal: le pays accueille la flamme olympique des Jeux de la Jeunesse - tv5monde</w:t>
      </w:r>
      <w:r>
        <w:rPr>
          <w:color w:val="787878"/>
          <w:sz w:val="15"/>
        </w:rPr>
        <w:t xml:space="preserve">  [politique]</w:t>
      </w:r>
      <w:r>
        <w:rPr>
          <w:color w:val="B47800"/>
          <w:sz w:val="16"/>
        </w:rPr>
        <w:t xml:space="preserve">  ★ 50/10</w:t>
      </w:r>
    </w:p>
    <w:p>
      <w:pPr>
        <w:spacing w:before="0" w:after="20"/>
        <w:ind w:left="600"/>
      </w:pPr>
      <w:r>
        <w:rPr>
          <w:color w:val="323232"/>
          <w:sz w:val="17"/>
        </w:rPr>
        <w:t>Le Sénégal a accueilli la flamme olympique des Jeux de la Jeunesse, un événement sportif international organisé par le Comité International Olympique. Cette manifestation met en lumière la capacité du pays à organiser des événements de grande envergure et renforce son image sur la scène internationale. Elle pourrait avoir des retombées positives en</w:t>
      </w:r>
    </w:p>
    <w:p>
      <w:pPr>
        <w:spacing w:before="0" w:after="40"/>
        <w:ind w:left="600"/>
      </w:pPr>
      <w:r>
        <w:rPr>
          <w:color w:val="00643C"/>
          <w:sz w:val="16"/>
        </w:rPr>
        <w:t>Points clés : Accueil de la flamme olympique des Jeux de la Jeunesse au Sénégal  •  Événement sportif international de premier plan  •  Renforcement de l'image et de la visibilité du Sénégal</w:t>
      </w:r>
    </w:p>
    <w:p>
      <w:pPr>
        <w:spacing w:before="0" w:after="60"/>
        <w:ind w:left="600"/>
      </w:pPr>
      <w:r>
        <w:rPr>
          <w:color w:val="0064B4"/>
          <w:sz w:val="15"/>
        </w:rPr>
        <w:t>Source : https://news.google.com/rss/articles/CBMiugFBVV95cUxNLTBmNHh1MVctM19nRkVPWDdiaEN</w:t>
      </w:r>
    </w:p>
    <w:p>
      <w:pPr>
        <w:spacing w:before="40" w:after="40"/>
        <w:ind w:left="360"/>
      </w:pPr>
      <w:r>
        <w:rPr>
          <w:color w:val="646464"/>
          <w:sz w:val="17"/>
        </w:rPr>
        <w:t xml:space="preserve">[10/09/2026] 🔴  </w:t>
      </w:r>
      <w:r>
        <w:rPr>
          <w:b/>
          <w:color w:val="C00000"/>
          <w:sz w:val="18"/>
        </w:rPr>
        <w:t>Dette, FMI, déficit : qui est responsable de la crise au Sénégal ? - BBC</w:t>
      </w:r>
      <w:r>
        <w:rPr>
          <w:color w:val="787878"/>
          <w:sz w:val="15"/>
        </w:rPr>
        <w:t xml:space="preserve">  [politique]</w:t>
      </w:r>
      <w:r>
        <w:rPr>
          <w:color w:val="B47800"/>
          <w:sz w:val="16"/>
        </w:rPr>
        <w:t xml:space="preserve">  ★ 50/10</w:t>
      </w:r>
    </w:p>
    <w:p>
      <w:pPr>
        <w:spacing w:before="0" w:after="20"/>
        <w:ind w:left="600"/>
      </w:pPr>
      <w:r>
        <w:rPr>
          <w:color w:val="323232"/>
          <w:sz w:val="17"/>
        </w:rPr>
        <w:t>L'article de la BBC examine les responsabilités dans la crise économique et budgétaire que traverse le Sénégal, en mettant en lumière le rôle de la dette publique, des programmes du FMI et du déficit budgétaire. Il souligne les débats politiques autour de la gestion des finances publiques et les conséquences sociales pour la population. La question</w:t>
      </w:r>
    </w:p>
    <w:p>
      <w:pPr>
        <w:spacing w:before="0" w:after="40"/>
        <w:ind w:left="600"/>
      </w:pPr>
      <w:r>
        <w:rPr>
          <w:color w:val="00643C"/>
          <w:sz w:val="16"/>
        </w:rPr>
        <w:t>Points clés : Le Sénégal fait face à une crise économique marquée par un endettement élevé et un déficit budgétaire important.  •  Le FMI et les politiques d'austérité sont pointés du doigt par certains, tandis que d'autres accusent la mauvaise gestion des autorités.  •  Les conséquences sociales et politiques de cette crise alimentent le débat public et les tensions.</w:t>
      </w:r>
    </w:p>
    <w:p>
      <w:pPr>
        <w:spacing w:before="0" w:after="60"/>
        <w:ind w:left="600"/>
      </w:pPr>
      <w:r>
        <w:rPr>
          <w:color w:val="0064B4"/>
          <w:sz w:val="15"/>
        </w:rPr>
        <w:t>Source : https://news.google.com/rss/articles/CBMiXkFVX3lxTE5md1RyUVdwTUtRRUFIQWlUZTVYVFl</w:t>
      </w:r>
    </w:p>
    <w:p>
      <w:pPr>
        <w:spacing w:before="120" w:after="40"/>
      </w:pPr>
      <w:r>
        <w:rPr>
          <w:b/>
          <w:color w:val="00467F"/>
          <w:sz w:val="20"/>
        </w:rPr>
        <w:t>🔑 politique_monetaire  (11 alerte(s))</w:t>
      </w:r>
    </w:p>
    <w:p>
      <w:pPr>
        <w:spacing w:before="40" w:after="40"/>
        <w:ind w:left="360"/>
      </w:pPr>
      <w:r>
        <w:rPr>
          <w:color w:val="646464"/>
          <w:sz w:val="17"/>
        </w:rPr>
        <w:t xml:space="preserve">[12/09/2026] ⚪  </w:t>
      </w:r>
      <w:r>
        <w:rPr>
          <w:b/>
          <w:color w:val="505050"/>
          <w:sz w:val="18"/>
        </w:rPr>
        <w:t>Afrique : la BCEAO maintient son taux directeur à 3% - Africa24 TV</w:t>
      </w:r>
      <w:r>
        <w:rPr>
          <w:color w:val="787878"/>
          <w:sz w:val="15"/>
        </w:rPr>
        <w:t xml:space="preserve">  [politique_monetaire]</w:t>
      </w:r>
      <w:r>
        <w:rPr>
          <w:color w:val="B47800"/>
          <w:sz w:val="16"/>
        </w:rPr>
        <w:t xml:space="preserve">  ★ 50/10</w:t>
      </w:r>
    </w:p>
    <w:p>
      <w:pPr>
        <w:spacing w:before="0" w:after="20"/>
        <w:ind w:left="600"/>
      </w:pPr>
      <w:r>
        <w:rPr>
          <w:color w:val="323232"/>
          <w:sz w:val="17"/>
        </w:rPr>
        <w:t>La Banque Centrale des États de l'Afrique de l'Ouest (BCEAO) a décidé de maintenir son taux directeur à 3%. Cette décision intervient dans un contexte de suivi de l'inflation et de la croissance économique dans la zone UEMOA. Le statu quo monétaire vise à soutenir l'activité économique tout en maîtrisant les pressions inflationnistes. Cette stabili</w:t>
      </w:r>
    </w:p>
    <w:p>
      <w:pPr>
        <w:spacing w:before="0" w:after="40"/>
        <w:ind w:left="600"/>
      </w:pPr>
      <w:r>
        <w:rPr>
          <w:color w:val="00643C"/>
          <w:sz w:val="16"/>
        </w:rPr>
        <w:t>Points clés : Maintien du taux directeur de la BCEAO à 3%  •  Décision applicable à l'ensemble de la zone UEMOA  •  Objectif de soutien à la croissance et de maîtrise de l'inflation</w:t>
      </w:r>
    </w:p>
    <w:p>
      <w:pPr>
        <w:spacing w:before="0" w:after="60"/>
        <w:ind w:left="600"/>
      </w:pPr>
      <w:r>
        <w:rPr>
          <w:color w:val="0064B4"/>
          <w:sz w:val="15"/>
        </w:rPr>
        <w:t>Source : https://news.google.com/rss/articles/CBMigAFBVV95cUxOdVZ1M1FBVU9YeHNQblprb0pYUlF</w:t>
      </w:r>
    </w:p>
    <w:p>
      <w:pPr>
        <w:spacing w:before="40" w:after="40"/>
        <w:ind w:left="360"/>
      </w:pPr>
      <w:r>
        <w:rPr>
          <w:color w:val="646464"/>
          <w:sz w:val="17"/>
        </w:rPr>
        <w:t xml:space="preserve">[11/09/2026] ⚪  </w:t>
      </w:r>
      <w:r>
        <w:rPr>
          <w:b/>
          <w:color w:val="505050"/>
          <w:sz w:val="18"/>
        </w:rPr>
        <w:t>UEMOA : la BCEAO maintient son taux directeur à 3% malgré la remontée des prix - Togo First</w:t>
      </w:r>
      <w:r>
        <w:rPr>
          <w:color w:val="787878"/>
          <w:sz w:val="15"/>
        </w:rPr>
        <w:t xml:space="preserve">  [politique_monetaire]</w:t>
      </w:r>
      <w:r>
        <w:rPr>
          <w:color w:val="B47800"/>
          <w:sz w:val="16"/>
        </w:rPr>
        <w:t xml:space="preserve">  ★ 50/10</w:t>
      </w:r>
    </w:p>
    <w:p>
      <w:pPr>
        <w:spacing w:before="0" w:after="20"/>
        <w:ind w:left="600"/>
      </w:pPr>
      <w:r>
        <w:rPr>
          <w:color w:val="323232"/>
          <w:sz w:val="17"/>
        </w:rPr>
        <w:t>La BCEAO a décidé de maintenir son taux directeur à 3% lors de sa dernière réunion de politique monétaire, malgré une remontée des prix dans la zone UEMOA. Cette décision vise à soutenir la croissance économique tout en surveillant l'inflation. Le maintien du taux directeur à un niveau bas devrait continuer à favoriser l'accès au crédit et l'invest</w:t>
      </w:r>
    </w:p>
    <w:p>
      <w:pPr>
        <w:spacing w:before="0" w:after="40"/>
        <w:ind w:left="600"/>
      </w:pPr>
      <w:r>
        <w:rPr>
          <w:color w:val="00643C"/>
          <w:sz w:val="16"/>
        </w:rPr>
        <w:t>Points clés : Maintien du taux directeur à 3%  •  Remontée des prix dans l'UEMOA  •  Soutien à la croissance économique</w:t>
      </w:r>
    </w:p>
    <w:p>
      <w:pPr>
        <w:spacing w:before="0" w:after="60"/>
        <w:ind w:left="600"/>
      </w:pPr>
      <w:r>
        <w:rPr>
          <w:color w:val="0064B4"/>
          <w:sz w:val="15"/>
        </w:rPr>
        <w:t>Source : https://news.google.com/rss/articles/CBMi1AFBVV95cUxQWWNqZUhCVkJMRVUtZ1A1bkRXbUJ</w:t>
      </w:r>
    </w:p>
    <w:p>
      <w:pPr>
        <w:spacing w:before="40" w:after="40"/>
        <w:ind w:left="360"/>
      </w:pPr>
      <w:r>
        <w:rPr>
          <w:color w:val="646464"/>
          <w:sz w:val="17"/>
        </w:rPr>
        <w:t xml:space="preserve">[11/09/2026] 🟢  </w:t>
      </w:r>
      <w:r>
        <w:rPr>
          <w:b/>
          <w:color w:val="008000"/>
          <w:sz w:val="18"/>
        </w:rPr>
        <w:t>L'Europe vue en hausse au lendemain de la BCE, le pétrole sous pression - Boursorama</w:t>
      </w:r>
      <w:r>
        <w:rPr>
          <w:color w:val="787878"/>
          <w:sz w:val="15"/>
        </w:rPr>
        <w:t xml:space="preserve">  [politique_monetaire]</w:t>
      </w:r>
      <w:r>
        <w:rPr>
          <w:color w:val="B47800"/>
          <w:sz w:val="16"/>
        </w:rPr>
        <w:t xml:space="preserve">  ★ 50/10</w:t>
      </w:r>
    </w:p>
    <w:p>
      <w:pPr>
        <w:spacing w:before="0" w:after="20"/>
        <w:ind w:left="600"/>
      </w:pPr>
      <w:r>
        <w:rPr>
          <w:color w:val="323232"/>
          <w:sz w:val="17"/>
        </w:rPr>
        <w:t>Les marchés européens sont attendus en hausse au lendemain de la réunion de la Banque centrale européenne (BCE), qui a probablement maintenu ou ajusté sa politique monétaire. Le pétrole reste sous pression, pénalisé par des facteurs tels que la demande incertaine ou une offre abondante. Cette dynamique pourrait influencer les marchés mondiaux, y co</w:t>
      </w:r>
    </w:p>
    <w:p>
      <w:pPr>
        <w:spacing w:before="0" w:after="40"/>
        <w:ind w:left="600"/>
      </w:pPr>
      <w:r>
        <w:rPr>
          <w:color w:val="00643C"/>
          <w:sz w:val="16"/>
        </w:rPr>
        <w:t>Points clés : L'Europe vue en hausse après la BCE  •  Le pétrole sous pression</w:t>
      </w:r>
    </w:p>
    <w:p>
      <w:pPr>
        <w:spacing w:before="0" w:after="60"/>
        <w:ind w:left="600"/>
      </w:pPr>
      <w:r>
        <w:rPr>
          <w:color w:val="0064B4"/>
          <w:sz w:val="15"/>
        </w:rPr>
        <w:t>Source : https://news.google.com/rss/articles/CBMi5wFBVV95cUxNSmVDTTdQMEhqcENWV0NCSWdxbUt</w:t>
      </w:r>
    </w:p>
    <w:p>
      <w:pPr>
        <w:spacing w:before="40" w:after="40"/>
        <w:ind w:left="360"/>
      </w:pPr>
      <w:r>
        <w:rPr>
          <w:color w:val="646464"/>
          <w:sz w:val="17"/>
        </w:rPr>
        <w:t xml:space="preserve">[11/09/2026] ⚪  </w:t>
      </w:r>
      <w:r>
        <w:rPr>
          <w:b/>
          <w:color w:val="505050"/>
          <w:sz w:val="18"/>
        </w:rPr>
        <w:t>La hausse des taux de la BCE peut-elle freiner le choc inflationniste lié à l'énergie ? - Yahoo Finance France</w:t>
      </w:r>
      <w:r>
        <w:rPr>
          <w:color w:val="787878"/>
          <w:sz w:val="15"/>
        </w:rPr>
        <w:t xml:space="preserve">  [politique_monetaire]</w:t>
      </w:r>
      <w:r>
        <w:rPr>
          <w:color w:val="B47800"/>
          <w:sz w:val="16"/>
        </w:rPr>
        <w:t xml:space="preserve">  ★ 50/10</w:t>
      </w:r>
    </w:p>
    <w:p>
      <w:pPr>
        <w:spacing w:before="0" w:after="20"/>
        <w:ind w:left="600"/>
      </w:pPr>
      <w:r>
        <w:rPr>
          <w:color w:val="323232"/>
          <w:sz w:val="17"/>
        </w:rPr>
        <w:t xml:space="preserve">La Banque centrale européenne a relevé ses taux directeurs pour lutter contre l'inflation, mais son efficacité face au choc inflationniste lié à l'énergie est incertaine. Les prix de l'énergie étant déterminés par des facteurs mondiaux, une hausse des taux n'agit que lentement sur cette composante. De plus, un resserrement monétaire pourrait peser </w:t>
      </w:r>
    </w:p>
    <w:p>
      <w:pPr>
        <w:spacing w:before="0" w:after="40"/>
        <w:ind w:left="600"/>
      </w:pPr>
      <w:r>
        <w:rPr>
          <w:color w:val="00643C"/>
          <w:sz w:val="16"/>
        </w:rPr>
        <w:t>Points clés : La BCE a augmenté ses taux pour contrer l'inflation.  •  Le choc énergétique est largement exogène et peu sensible aux taux.  •  Risque de freiner la croissance sans maîtriser les prix de l'énergie.</w:t>
      </w:r>
    </w:p>
    <w:p>
      <w:pPr>
        <w:spacing w:before="0" w:after="60"/>
        <w:ind w:left="600"/>
      </w:pPr>
      <w:r>
        <w:rPr>
          <w:color w:val="0064B4"/>
          <w:sz w:val="15"/>
        </w:rPr>
        <w:t>Source : https://news.google.com/rss/articles/CBMiiwFBVV95cUxNeXA4VlNJUzdsSWJYMm40V2U0VDR</w:t>
      </w:r>
    </w:p>
    <w:p>
      <w:pPr>
        <w:spacing w:before="40" w:after="40"/>
        <w:ind w:left="360"/>
      </w:pPr>
      <w:r>
        <w:rPr>
          <w:color w:val="646464"/>
          <w:sz w:val="17"/>
        </w:rPr>
        <w:t xml:space="preserve">[11/09/2026] 🔴  </w:t>
      </w:r>
      <w:r>
        <w:rPr>
          <w:b/>
          <w:color w:val="C00000"/>
          <w:sz w:val="18"/>
        </w:rPr>
        <w:t>Barclays s'attend à ce que la BCE procède à une nouvelle hausse des taux en décembre, alors que les pressions - Boursora</w:t>
      </w:r>
      <w:r>
        <w:rPr>
          <w:color w:val="787878"/>
          <w:sz w:val="15"/>
        </w:rPr>
        <w:t xml:space="preserve">  [politique_monetaire]</w:t>
      </w:r>
      <w:r>
        <w:rPr>
          <w:color w:val="B47800"/>
          <w:sz w:val="16"/>
        </w:rPr>
        <w:t xml:space="preserve">  ★ 50/10</w:t>
      </w:r>
    </w:p>
    <w:p>
      <w:pPr>
        <w:spacing w:before="0" w:after="20"/>
        <w:ind w:left="600"/>
      </w:pPr>
      <w:r>
        <w:rPr>
          <w:color w:val="323232"/>
          <w:sz w:val="17"/>
        </w:rPr>
        <w:t>Barclays anticipe une nouvelle hausse des taux directeurs de la Banque centrale européenne (BCE) en décembre, en raison de pressions persistantes sur les prix. Cette prévision intervient alors que l'institution monétaire européenne a déjà relevé ses taux à plusieurs reprises pour lutter contre l'inflation. Une telle décision pourrait renforcer le d</w:t>
      </w:r>
    </w:p>
    <w:p>
      <w:pPr>
        <w:spacing w:before="0" w:after="40"/>
        <w:ind w:left="600"/>
      </w:pPr>
      <w:r>
        <w:rPr>
          <w:color w:val="00643C"/>
          <w:sz w:val="16"/>
        </w:rPr>
        <w:t>Points clés : Barclays prévoit une hausse des taux de la BCE en décembre  •  Les pressions inflationnistes restent élevées dans la zone euro  •  La BCE a déjà procédé à plusieurs hausses de taux en 2023  •  Impact potentiel sur les changes et les flux de capitaux vers les marchés émergents</w:t>
      </w:r>
    </w:p>
    <w:p>
      <w:pPr>
        <w:spacing w:before="0" w:after="60"/>
        <w:ind w:left="600"/>
      </w:pPr>
      <w:r>
        <w:rPr>
          <w:color w:val="0064B4"/>
          <w:sz w:val="15"/>
        </w:rPr>
        <w:t>Source : https://news.google.com/rss/articles/CBMivgJBVV95cUxPcVVNcXhGcERzUDVoSXAySmM3cmJ</w:t>
      </w:r>
    </w:p>
    <w:p>
      <w:pPr>
        <w:spacing w:before="120" w:after="40"/>
      </w:pPr>
      <w:r>
        <w:rPr>
          <w:b/>
          <w:color w:val="00467F"/>
          <w:sz w:val="20"/>
        </w:rPr>
        <w:t>🔑 économique  (5 alerte(s))</w:t>
      </w:r>
    </w:p>
    <w:p>
      <w:pPr>
        <w:spacing w:before="40" w:after="40"/>
        <w:ind w:left="360"/>
      </w:pPr>
      <w:r>
        <w:rPr>
          <w:color w:val="646464"/>
          <w:sz w:val="17"/>
        </w:rPr>
        <w:t xml:space="preserve">[11/09/2026] ⚪  </w:t>
      </w:r>
      <w:r>
        <w:rPr>
          <w:b/>
          <w:color w:val="505050"/>
          <w:sz w:val="18"/>
        </w:rPr>
        <w:t>Les entreprises algériennes en force - L'Expression</w:t>
      </w:r>
      <w:r>
        <w:rPr>
          <w:color w:val="787878"/>
          <w:sz w:val="15"/>
        </w:rPr>
        <w:t xml:space="preserve">  [économique]</w:t>
      </w:r>
      <w:r>
        <w:rPr>
          <w:color w:val="B47800"/>
          <w:sz w:val="16"/>
        </w:rPr>
        <w:t xml:space="preserve">  ★ 50/10</w:t>
      </w:r>
    </w:p>
    <w:p>
      <w:pPr>
        <w:spacing w:before="0" w:after="20"/>
        <w:ind w:left="600"/>
      </w:pPr>
      <w:r>
        <w:rPr>
          <w:color w:val="323232"/>
          <w:sz w:val="17"/>
        </w:rPr>
        <w:t>L'article intitulé « Les entreprises algériennes en force » publié par L'Expression met en avant la dynamique des entreprises algériennes. Cependant, le contenu fourni est extrêmement limité et ne détaille ni les secteurs concernés, ni les chiffres, ni les marchés visés. Il est donc difficile d'évaluer précisément la portée de cette information pou</w:t>
      </w:r>
    </w:p>
    <w:p>
      <w:pPr>
        <w:spacing w:before="0" w:after="40"/>
        <w:ind w:left="600"/>
      </w:pPr>
      <w:r>
        <w:rPr>
          <w:color w:val="00643C"/>
          <w:sz w:val="16"/>
        </w:rPr>
        <w:t>Points clés : Titre évoquant une montée en puissance des entreprises algériennes  •  Contenu quasi inexistant, sans données chiffrées ni secteurs précis  •  Aucune mention de la BRVM ou des marchés financiers ouest-africains</w:t>
      </w:r>
    </w:p>
    <w:p>
      <w:pPr>
        <w:spacing w:before="0" w:after="60"/>
        <w:ind w:left="600"/>
      </w:pPr>
      <w:r>
        <w:rPr>
          <w:color w:val="0064B4"/>
          <w:sz w:val="15"/>
        </w:rPr>
        <w:t>Source : https://news.google.com/rss/articles/CBMiiwFBVV95cUxQQm5ScklzZzloX1ZzZUdYOUhWeGF</w:t>
      </w:r>
    </w:p>
    <w:p>
      <w:pPr>
        <w:spacing w:before="40" w:after="40"/>
        <w:ind w:left="360"/>
      </w:pPr>
      <w:r>
        <w:rPr>
          <w:color w:val="646464"/>
          <w:sz w:val="17"/>
        </w:rPr>
        <w:t xml:space="preserve">[11/09/2026] 🟢  </w:t>
      </w:r>
      <w:r>
        <w:rPr>
          <w:b/>
          <w:color w:val="008000"/>
          <w:sz w:val="18"/>
        </w:rPr>
        <w:t>COUNTRY REPORT – CEDEAO REPORT : Croissance du PIB de 6,1% réalisée en 2025 - Africa24 TV</w:t>
      </w:r>
      <w:r>
        <w:rPr>
          <w:color w:val="787878"/>
          <w:sz w:val="15"/>
        </w:rPr>
        <w:t xml:space="preserve">  [économique]</w:t>
      </w:r>
      <w:r>
        <w:rPr>
          <w:color w:val="B47800"/>
          <w:sz w:val="16"/>
        </w:rPr>
        <w:t xml:space="preserve">  ★ 50/10</w:t>
      </w:r>
    </w:p>
    <w:p>
      <w:pPr>
        <w:spacing w:before="0" w:after="20"/>
        <w:ind w:left="600"/>
      </w:pPr>
      <w:r>
        <w:rPr>
          <w:color w:val="323232"/>
          <w:sz w:val="17"/>
        </w:rPr>
        <w:t>Selon le rapport de la CEDEAO relayé par Africa24 TV, la croissance du PIB de la zone a atteint 6,1% en 2025. Cette performance témoigne d'une dynamique économique soutenue dans l'espace communautaire. Elle pourrait favoriser l'amélioration des perspectives pour les entreprises cotées à la BRVM.</w:t>
      </w:r>
    </w:p>
    <w:p>
      <w:pPr>
        <w:spacing w:before="0" w:after="40"/>
        <w:ind w:left="600"/>
      </w:pPr>
      <w:r>
        <w:rPr>
          <w:color w:val="00643C"/>
          <w:sz w:val="16"/>
        </w:rPr>
        <w:t>Points clés : Croissance du PIB de la CEDEAO de 6,1% en 2025  •  Performance économique régionale soutenue  •  Impact potentiellement favorable sur les marchés financiers de la zone</w:t>
      </w:r>
    </w:p>
    <w:p>
      <w:pPr>
        <w:spacing w:before="0" w:after="60"/>
        <w:ind w:left="600"/>
      </w:pPr>
      <w:r>
        <w:rPr>
          <w:color w:val="0064B4"/>
          <w:sz w:val="15"/>
        </w:rPr>
        <w:t>Source : https://news.google.com/rss/articles/CBMimAFBVV95cUxOVXJWdXNCamlXbWJjb192dG5tZER</w:t>
      </w:r>
    </w:p>
    <w:p>
      <w:pPr>
        <w:spacing w:before="40" w:after="40"/>
        <w:ind w:left="360"/>
      </w:pPr>
      <w:r>
        <w:rPr>
          <w:color w:val="646464"/>
          <w:sz w:val="17"/>
        </w:rPr>
        <w:t xml:space="preserve">[11/09/2026] ⚪  </w:t>
      </w:r>
      <w:r>
        <w:rPr>
          <w:b/>
          <w:color w:val="505050"/>
          <w:sz w:val="18"/>
        </w:rPr>
        <w:t>OOAS : Le Prof. Vincent Palokinam Pitché prend les rênes de l’institution régionale - FratMat</w:t>
      </w:r>
      <w:r>
        <w:rPr>
          <w:color w:val="787878"/>
          <w:sz w:val="15"/>
        </w:rPr>
        <w:t xml:space="preserve">  [économique]</w:t>
      </w:r>
      <w:r>
        <w:rPr>
          <w:color w:val="B47800"/>
          <w:sz w:val="16"/>
        </w:rPr>
        <w:t xml:space="preserve">  ★ 50/10</w:t>
      </w:r>
    </w:p>
    <w:p>
      <w:pPr>
        <w:spacing w:before="0" w:after="20"/>
        <w:ind w:left="600"/>
      </w:pPr>
      <w:r>
        <w:rPr>
          <w:color w:val="323232"/>
          <w:sz w:val="17"/>
        </w:rPr>
        <w:t>Le Professeur Vincent Palokinam Pitché a été nommé à la tête de l'Organisation Ouest-Africaine de la Santé (OOAS), une institution régionale spécialisée de la CEDEAO. Cette nomination intervient dans un contexte de défis sanitaires persistants en Afrique de l'Ouest. L'OOAS joue un rôle clé dans la coordination des politiques de santé publique et la</w:t>
      </w:r>
    </w:p>
    <w:p>
      <w:pPr>
        <w:spacing w:before="0" w:after="40"/>
        <w:ind w:left="600"/>
      </w:pPr>
      <w:r>
        <w:rPr>
          <w:color w:val="00643C"/>
          <w:sz w:val="16"/>
        </w:rPr>
        <w:t>Points clés : Nomination du Prof. Vincent Palokinam Pitché à la direction de l'OOAS  •  L'OOAS est l'institution sanitaire spécialisée de la CEDEAO  •  Enjeux de coordination régionale en matière de santé publique</w:t>
      </w:r>
    </w:p>
    <w:p>
      <w:pPr>
        <w:spacing w:before="0" w:after="60"/>
        <w:ind w:left="600"/>
      </w:pPr>
      <w:r>
        <w:rPr>
          <w:color w:val="0064B4"/>
          <w:sz w:val="15"/>
        </w:rPr>
        <w:t>Source : https://news.google.com/rss/articles/CBMiyAFBVV95cUxPS2lxelo4bXBjWWpEY3c0Y29CbU5</w:t>
      </w:r>
    </w:p>
    <w:p>
      <w:pPr>
        <w:spacing w:before="40" w:after="40"/>
        <w:ind w:left="360"/>
      </w:pPr>
      <w:r>
        <w:rPr>
          <w:color w:val="646464"/>
          <w:sz w:val="17"/>
        </w:rPr>
        <w:t xml:space="preserve">[10/09/2026] ⚪  </w:t>
      </w:r>
      <w:r>
        <w:rPr>
          <w:b/>
          <w:color w:val="505050"/>
          <w:sz w:val="18"/>
        </w:rPr>
        <w:t>BCEAO: maintien du taux directeur à 3 % malgré un rebond de l’inflation dans l’UEMOA - Benin Web TV</w:t>
      </w:r>
      <w:r>
        <w:rPr>
          <w:color w:val="787878"/>
          <w:sz w:val="15"/>
        </w:rPr>
        <w:t xml:space="preserve">  [économique]</w:t>
      </w:r>
      <w:r>
        <w:rPr>
          <w:color w:val="B47800"/>
          <w:sz w:val="16"/>
        </w:rPr>
        <w:t xml:space="preserve">  ★ 50/10</w:t>
      </w:r>
    </w:p>
    <w:p>
      <w:pPr>
        <w:spacing w:before="0" w:after="20"/>
        <w:ind w:left="600"/>
      </w:pPr>
      <w:r>
        <w:rPr>
          <w:color w:val="323232"/>
          <w:sz w:val="17"/>
        </w:rPr>
        <w:t xml:space="preserve">La BCEAO a décidé de maintenir son taux directeur à 3 % lors de sa dernière réunion de politique monétaire, malgré un rebond récent de l'inflation dans l'Union économique et monétaire ouest-africaine (UEMOA). Cette décision vise à soutenir la reprise économique tout en surveillant l'évolution des prix. Le maintien du taux directeur à un niveau bas </w:t>
      </w:r>
    </w:p>
    <w:p>
      <w:pPr>
        <w:spacing w:before="0" w:after="40"/>
        <w:ind w:left="600"/>
      </w:pPr>
      <w:r>
        <w:rPr>
          <w:color w:val="00643C"/>
          <w:sz w:val="16"/>
        </w:rPr>
        <w:t>Points clés : Maintien du taux directeur de la BCEAO à 3 %  •  Rebond de l'inflation dans l'UEMOA  •  Politique monétaire accommodante pour soutenir la croissance</w:t>
      </w:r>
    </w:p>
    <w:p>
      <w:pPr>
        <w:spacing w:before="0" w:after="60"/>
        <w:ind w:left="600"/>
      </w:pPr>
      <w:r>
        <w:rPr>
          <w:color w:val="0064B4"/>
          <w:sz w:val="15"/>
        </w:rPr>
        <w:t>Source : https://news.google.com/rss/articles/CBMipAFBVV95cUxQcENIMVlBc0lidUJ3QWdmT3hLaHg</w:t>
      </w:r>
    </w:p>
    <w:p>
      <w:pPr>
        <w:spacing w:before="40" w:after="40"/>
        <w:ind w:left="360"/>
      </w:pPr>
      <w:r>
        <w:rPr>
          <w:color w:val="646464"/>
          <w:sz w:val="17"/>
        </w:rPr>
        <w:t xml:space="preserve">[10/09/2026] 🔴  </w:t>
      </w:r>
      <w:r>
        <w:rPr>
          <w:b/>
          <w:color w:val="C00000"/>
          <w:sz w:val="18"/>
        </w:rPr>
        <w:t>Croissance, emploi, pouvoir d'achat : la France décroche - Les Echos</w:t>
      </w:r>
      <w:r>
        <w:rPr>
          <w:color w:val="787878"/>
          <w:sz w:val="15"/>
        </w:rPr>
        <w:t xml:space="preserve">  [économique]</w:t>
      </w:r>
      <w:r>
        <w:rPr>
          <w:color w:val="B47800"/>
          <w:sz w:val="16"/>
        </w:rPr>
        <w:t xml:space="preserve">  ★ 50/10</w:t>
      </w:r>
    </w:p>
    <w:p>
      <w:pPr>
        <w:spacing w:before="0" w:after="20"/>
        <w:ind w:left="600"/>
      </w:pPr>
      <w:r>
        <w:rPr>
          <w:color w:val="323232"/>
          <w:sz w:val="17"/>
        </w:rPr>
        <w:t>Selon Les Echos, la France connaît un décrochage en matière de croissance économique, d'emploi et de pouvoir d'achat par rapport à ses partenaires européens. Cette contre-performance relative souligne des difficultés structurelles persistantes. L'article met en évidence un écart croissant avec les autres grandes économies de la zone euro.</w:t>
      </w:r>
    </w:p>
    <w:p>
      <w:pPr>
        <w:spacing w:before="0" w:after="40"/>
        <w:ind w:left="600"/>
      </w:pPr>
      <w:r>
        <w:rPr>
          <w:color w:val="00643C"/>
          <w:sz w:val="16"/>
        </w:rPr>
        <w:t>Points clés : La France affiche une croissance plus faible que ses voisins européens  •  Le marché de l'emploi français montre des signes de faiblesse relative  •  Le pouvoir d'achat des ménages français progresse moins vite  •  Décrochage par rapport aux autres économies de la zone euro</w:t>
      </w:r>
    </w:p>
    <w:p>
      <w:pPr>
        <w:spacing w:before="0" w:after="60"/>
        <w:ind w:left="600"/>
      </w:pPr>
      <w:r>
        <w:rPr>
          <w:color w:val="0064B4"/>
          <w:sz w:val="15"/>
        </w:rPr>
        <w:t>Source : https://news.google.com/rss/articles/CBMisAFBVV95cUxOR0htejgyUm5UeXk3STVWOHlRaU8</w:t>
      </w:r>
    </w:p>
    <w:p>
      <w:pPr>
        <w:spacing w:before="120" w:after="40"/>
      </w:pPr>
      <w:r>
        <w:rPr>
          <w:b/>
          <w:color w:val="00467F"/>
          <w:sz w:val="20"/>
        </w:rPr>
        <w:t>🔑 matieres_premieres  (2 alerte(s))</w:t>
      </w:r>
    </w:p>
    <w:p>
      <w:pPr>
        <w:spacing w:before="40" w:after="40"/>
        <w:ind w:left="360"/>
      </w:pPr>
      <w:r>
        <w:rPr>
          <w:color w:val="646464"/>
          <w:sz w:val="17"/>
        </w:rPr>
        <w:t xml:space="preserve">[11/09/2026] 🔴  </w:t>
      </w:r>
      <w:r>
        <w:rPr>
          <w:b/>
          <w:color w:val="C00000"/>
          <w:sz w:val="18"/>
        </w:rPr>
        <w:t>L'indice MXV poursuit sa progression, le prix du pétrole dépasse les 100 dollars le baril. - Vietnam.vn</w:t>
      </w:r>
      <w:r>
        <w:rPr>
          <w:color w:val="787878"/>
          <w:sz w:val="15"/>
        </w:rPr>
        <w:t xml:space="preserve">  [matieres_premieres]</w:t>
      </w:r>
      <w:r>
        <w:rPr>
          <w:color w:val="B47800"/>
          <w:sz w:val="16"/>
        </w:rPr>
        <w:t xml:space="preserve">  ★ 50/10</w:t>
      </w:r>
    </w:p>
    <w:p>
      <w:pPr>
        <w:spacing w:before="0" w:after="20"/>
        <w:ind w:left="600"/>
      </w:pPr>
      <w:r>
        <w:rPr>
          <w:color w:val="323232"/>
          <w:sz w:val="17"/>
        </w:rPr>
        <w:t>L'indice MXV, qui suit les contrats à terme sur les matières premières, continue de progresser alors que le prix du pétrole brut dépasse le seuil symbolique des 100 dollars le baril. Cette hausse reflète des tensions persistantes sur l'offre et une demande mondiale soutenue. Le franchissement de ce cap pourrait alimenter les pressions inflationnist</w:t>
      </w:r>
    </w:p>
    <w:p>
      <w:pPr>
        <w:spacing w:before="0" w:after="40"/>
        <w:ind w:left="600"/>
      </w:pPr>
      <w:r>
        <w:rPr>
          <w:color w:val="00643C"/>
          <w:sz w:val="16"/>
        </w:rPr>
        <w:t>Points clés : L'indice MXV poursuit sa tendance haussière  •  Le prix du pétrole dépasse les 100 dollars le baril  •  Risque accru de pressions inflationnistes mondiales</w:t>
      </w:r>
    </w:p>
    <w:p>
      <w:pPr>
        <w:spacing w:before="0" w:after="60"/>
        <w:ind w:left="600"/>
      </w:pPr>
      <w:r>
        <w:rPr>
          <w:color w:val="0064B4"/>
          <w:sz w:val="15"/>
        </w:rPr>
        <w:t>Source : https://news.google.com/rss/articles/CBMihAFBVV95cUxPOTdiR3dKMXdOc0lXbnptUVU1OTV</w:t>
      </w:r>
    </w:p>
    <w:p>
      <w:pPr>
        <w:spacing w:before="40" w:after="40"/>
        <w:ind w:left="360"/>
      </w:pPr>
      <w:r>
        <w:rPr>
          <w:color w:val="646464"/>
          <w:sz w:val="17"/>
        </w:rPr>
        <w:t xml:space="preserve">[11/09/2026] 🟢  </w:t>
      </w:r>
      <w:r>
        <w:rPr>
          <w:b/>
          <w:color w:val="008000"/>
          <w:sz w:val="18"/>
        </w:rPr>
        <w:t>Marché des matières premières : l'indice MXV poursuit sa progression, fluctuant au-dessus de 3 000 points. - Vietnam.vn</w:t>
      </w:r>
      <w:r>
        <w:rPr>
          <w:color w:val="787878"/>
          <w:sz w:val="15"/>
        </w:rPr>
        <w:t xml:space="preserve">  [matieres_premieres]</w:t>
      </w:r>
      <w:r>
        <w:rPr>
          <w:color w:val="B47800"/>
          <w:sz w:val="16"/>
        </w:rPr>
        <w:t xml:space="preserve">  ★ 50/10</w:t>
      </w:r>
    </w:p>
    <w:p>
      <w:pPr>
        <w:spacing w:before="0" w:after="20"/>
        <w:ind w:left="600"/>
      </w:pPr>
      <w:r>
        <w:rPr>
          <w:color w:val="323232"/>
          <w:sz w:val="17"/>
        </w:rPr>
        <w:t>L'indice MXV, qui suit l'évolution des matières premières sur les marchés internationaux, poursuit sa progression et évolue au-dessus du seuil des 3 000 points. Cette dynamique haussière reflète une demande soutenue et des tensions sur l'offre de certaines matières premières. Le marché reste toutefois volatil, les investisseurs surveillant les fact</w:t>
      </w:r>
    </w:p>
    <w:p>
      <w:pPr>
        <w:spacing w:before="0" w:after="40"/>
        <w:ind w:left="600"/>
      </w:pPr>
      <w:r>
        <w:rPr>
          <w:color w:val="00643C"/>
          <w:sz w:val="16"/>
        </w:rPr>
        <w:t>Points clés : L'indice MXV dépasse les 3 000 points et poursuit sa hausse  •  La progression est portée par la demande et les tensions d'approvisionnement  •  Le marché reste volatil face aux incertitudes macroéconomiques  •  Impact potentiel sur les coûts d'importation des matières premières</w:t>
      </w:r>
    </w:p>
    <w:p>
      <w:pPr>
        <w:spacing w:before="0" w:after="60"/>
        <w:ind w:left="600"/>
      </w:pPr>
      <w:r>
        <w:rPr>
          <w:color w:val="0064B4"/>
          <w:sz w:val="15"/>
        </w:rPr>
        <w:t>Source : https://news.google.com/rss/articles/CBMinAFBVV95cUxNTWs5d0U4MEJ2RjIxNk5rUEVjTFV</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12,400</w:t>
            </w:r>
          </w:p>
        </w:tc>
        <w:tc>
          <w:tcPr>
            <w:tcW w:type="dxa" w:w="1080"/>
            <w:shd w:fill="C6EFCE" w:val="clear"/>
          </w:tcPr>
          <w:p>
            <w:r>
              <w:rPr>
                <w:b/>
                <w:sz w:val="16"/>
              </w:rPr>
              <w:t>80/100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CABC</w:t>
            </w:r>
          </w:p>
        </w:tc>
        <w:tc>
          <w:tcPr>
            <w:tcW w:type="dxa" w:w="1080"/>
            <w:shd w:fill="C6EFCE" w:val="clear"/>
          </w:tcPr>
          <w:p>
            <w:r>
              <w:rPr>
                <w:sz w:val="16"/>
              </w:rPr>
              <w:t>INDUSTRIELS</w:t>
            </w:r>
          </w:p>
        </w:tc>
        <w:tc>
          <w:tcPr>
            <w:tcW w:type="dxa" w:w="1080"/>
            <w:shd w:fill="C6EFCE" w:val="clear"/>
          </w:tcPr>
          <w:p>
            <w:r>
              <w:rPr>
                <w:sz w:val="16"/>
              </w:rPr>
              <w:t>3,500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8,300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8,200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9,300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10,450</w:t>
            </w:r>
          </w:p>
        </w:tc>
        <w:tc>
          <w:tcPr>
            <w:tcW w:type="dxa" w:w="1080"/>
            <w:shd w:fill="C6EFCE" w:val="clear"/>
          </w:tcPr>
          <w:p>
            <w:r>
              <w:rPr>
                <w:b/>
                <w:sz w:val="16"/>
              </w:rPr>
              <w:t>74/100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ECOC</w:t>
            </w:r>
          </w:p>
        </w:tc>
        <w:tc>
          <w:tcPr>
            <w:tcW w:type="dxa" w:w="1080"/>
            <w:shd w:fill="C6EFCE" w:val="clear"/>
          </w:tcPr>
          <w:p>
            <w:r>
              <w:rPr>
                <w:sz w:val="16"/>
              </w:rPr>
              <w:t>SERVICES FINANCIER</w:t>
            </w:r>
          </w:p>
        </w:tc>
        <w:tc>
          <w:tcPr>
            <w:tcW w:type="dxa" w:w="1080"/>
            <w:shd w:fill="C6EFCE" w:val="clear"/>
          </w:tcPr>
          <w:p>
            <w:r>
              <w:rPr>
                <w:sz w:val="16"/>
              </w:rPr>
              <w:t>17,285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SDSC</w:t>
            </w:r>
          </w:p>
        </w:tc>
        <w:tc>
          <w:tcPr>
            <w:tcW w:type="dxa" w:w="1080"/>
            <w:shd w:fill="C6EFCE" w:val="clear"/>
          </w:tcPr>
          <w:p>
            <w:r>
              <w:rPr>
                <w:sz w:val="16"/>
              </w:rPr>
              <w:t>INDUSTRIELS</w:t>
            </w:r>
          </w:p>
        </w:tc>
        <w:tc>
          <w:tcPr>
            <w:tcW w:type="dxa" w:w="1080"/>
            <w:shd w:fill="C6EFCE" w:val="clear"/>
          </w:tcPr>
          <w:p>
            <w:r>
              <w:rPr>
                <w:sz w:val="16"/>
              </w:rPr>
              <w:t>3,030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SGBC</w:t>
            </w:r>
          </w:p>
        </w:tc>
        <w:tc>
          <w:tcPr>
            <w:tcW w:type="dxa" w:w="1080"/>
            <w:shd w:fill="C6EFCE" w:val="clear"/>
          </w:tcPr>
          <w:p>
            <w:r>
              <w:rPr>
                <w:sz w:val="16"/>
              </w:rPr>
              <w:t>SERVICES FINANCIER</w:t>
            </w:r>
          </w:p>
        </w:tc>
        <w:tc>
          <w:tcPr>
            <w:tcW w:type="dxa" w:w="1080"/>
            <w:shd w:fill="C6EFCE" w:val="clear"/>
          </w:tcPr>
          <w:p>
            <w:r>
              <w:rPr>
                <w:sz w:val="16"/>
              </w:rPr>
              <w:t>38,500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4,095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BOAM</w:t>
            </w:r>
          </w:p>
        </w:tc>
        <w:tc>
          <w:tcPr>
            <w:tcW w:type="dxa" w:w="1080"/>
            <w:shd w:fill="C6EFCE" w:val="clear"/>
          </w:tcPr>
          <w:p>
            <w:r>
              <w:rPr>
                <w:sz w:val="16"/>
              </w:rPr>
              <w:t>SERVICES FINANCIER</w:t>
            </w:r>
          </w:p>
        </w:tc>
        <w:tc>
          <w:tcPr>
            <w:tcW w:type="dxa" w:w="1080"/>
            <w:shd w:fill="C6EFCE" w:val="clear"/>
          </w:tcPr>
          <w:p>
            <w:r>
              <w:rPr>
                <w:sz w:val="16"/>
              </w:rPr>
              <w:t>7,150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ETIT</w:t>
            </w:r>
          </w:p>
        </w:tc>
        <w:tc>
          <w:tcPr>
            <w:tcW w:type="dxa" w:w="1080"/>
            <w:shd w:fill="C6EFCE" w:val="clear"/>
          </w:tcPr>
          <w:p>
            <w:r>
              <w:rPr>
                <w:sz w:val="16"/>
              </w:rPr>
              <w:t>SERVICES FINANCIER</w:t>
            </w:r>
          </w:p>
        </w:tc>
        <w:tc>
          <w:tcPr>
            <w:tcW w:type="dxa" w:w="1080"/>
            <w:shd w:fill="C6EFCE" w:val="clear"/>
          </w:tcPr>
          <w:p>
            <w:r>
              <w:rPr>
                <w:sz w:val="16"/>
              </w:rPr>
              <w:t>70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22,450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SDCC</w:t>
            </w:r>
          </w:p>
        </w:tc>
        <w:tc>
          <w:tcPr>
            <w:tcW w:type="dxa" w:w="1080"/>
            <w:shd w:fill="C6EFCE" w:val="clear"/>
          </w:tcPr>
          <w:p>
            <w:r>
              <w:rPr>
                <w:sz w:val="16"/>
              </w:rPr>
              <w:t>SERVICES PUBLICS</w:t>
            </w:r>
          </w:p>
        </w:tc>
        <w:tc>
          <w:tcPr>
            <w:tcW w:type="dxa" w:w="1080"/>
            <w:shd w:fill="C6EFCE" w:val="clear"/>
          </w:tcPr>
          <w:p>
            <w:r>
              <w:rPr>
                <w:sz w:val="16"/>
              </w:rPr>
              <w:t>13,400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2,550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SMBC</w:t>
            </w:r>
          </w:p>
        </w:tc>
        <w:tc>
          <w:tcPr>
            <w:tcW w:type="dxa" w:w="1080"/>
            <w:shd w:fill="C6EFCE" w:val="clear"/>
          </w:tcPr>
          <w:p>
            <w:r>
              <w:rPr>
                <w:sz w:val="16"/>
              </w:rPr>
              <w:t>ENERGIE</w:t>
            </w:r>
          </w:p>
        </w:tc>
        <w:tc>
          <w:tcPr>
            <w:tcW w:type="dxa" w:w="1080"/>
            <w:shd w:fill="C6EFCE" w:val="clear"/>
          </w:tcPr>
          <w:p>
            <w:r>
              <w:rPr>
                <w:sz w:val="16"/>
              </w:rPr>
              <w:t>18,300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8,300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39,275</w:t>
            </w:r>
          </w:p>
        </w:tc>
        <w:tc>
          <w:tcPr>
            <w:tcW w:type="dxa" w:w="1080"/>
            <w:shd w:fill="C6EFCE" w:val="clear"/>
          </w:tcPr>
          <w:p>
            <w:r>
              <w:rPr>
                <w:b/>
                <w:sz w:val="16"/>
              </w:rPr>
              <w:t>71/100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CBIBF</w:t>
            </w:r>
          </w:p>
        </w:tc>
        <w:tc>
          <w:tcPr>
            <w:tcW w:type="dxa" w:w="1080"/>
            <w:shd w:fill="C6EFCE" w:val="clear"/>
          </w:tcPr>
          <w:p>
            <w:r>
              <w:rPr>
                <w:sz w:val="16"/>
              </w:rPr>
              <w:t>SERVICES FINANCIER</w:t>
            </w:r>
          </w:p>
        </w:tc>
        <w:tc>
          <w:tcPr>
            <w:tcW w:type="dxa" w:w="1080"/>
            <w:shd w:fill="C6EFCE" w:val="clear"/>
          </w:tcPr>
          <w:p>
            <w:r>
              <w:rPr>
                <w:sz w:val="16"/>
              </w:rPr>
              <w:t>34,300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20</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7,100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21</w:t>
            </w:r>
          </w:p>
        </w:tc>
        <w:tc>
          <w:tcPr>
            <w:tcW w:type="dxa" w:w="1080"/>
            <w:shd w:fill="C6EFCE" w:val="clear"/>
          </w:tcPr>
          <w:p>
            <w:r>
              <w:rPr>
                <w:sz w:val="16"/>
              </w:rPr>
              <w:t>LNBB</w:t>
            </w:r>
          </w:p>
        </w:tc>
        <w:tc>
          <w:tcPr>
            <w:tcW w:type="dxa" w:w="1080"/>
            <w:shd w:fill="C6EFCE" w:val="clear"/>
          </w:tcPr>
          <w:p>
            <w:r>
              <w:rPr>
                <w:sz w:val="16"/>
              </w:rPr>
              <w:t>CONSOMMATION DISCR</w:t>
            </w:r>
          </w:p>
        </w:tc>
        <w:tc>
          <w:tcPr>
            <w:tcW w:type="dxa" w:w="1080"/>
            <w:shd w:fill="C6EFCE" w:val="clear"/>
          </w:tcPr>
          <w:p>
            <w:r>
              <w:rPr>
                <w:sz w:val="16"/>
              </w:rPr>
              <w:t>4,000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22</w:t>
            </w:r>
          </w:p>
        </w:tc>
        <w:tc>
          <w:tcPr>
            <w:tcW w:type="dxa" w:w="1080"/>
            <w:shd w:fill="C6EFCE" w:val="clear"/>
          </w:tcPr>
          <w:p>
            <w:r>
              <w:rPr>
                <w:sz w:val="16"/>
              </w:rPr>
              <w:t>NSBC</w:t>
            </w:r>
          </w:p>
        </w:tc>
        <w:tc>
          <w:tcPr>
            <w:tcW w:type="dxa" w:w="1080"/>
            <w:shd w:fill="C6EFCE" w:val="clear"/>
          </w:tcPr>
          <w:p>
            <w:r>
              <w:rPr>
                <w:sz w:val="16"/>
              </w:rPr>
              <w:t>SERVICES FINANCIER</w:t>
            </w:r>
          </w:p>
        </w:tc>
        <w:tc>
          <w:tcPr>
            <w:tcW w:type="dxa" w:w="1080"/>
            <w:shd w:fill="C6EFCE" w:val="clear"/>
          </w:tcPr>
          <w:p>
            <w:r>
              <w:rPr>
                <w:sz w:val="16"/>
              </w:rPr>
              <w:t>24,400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UNXC</w:t>
            </w:r>
          </w:p>
        </w:tc>
        <w:tc>
          <w:tcPr>
            <w:tcW w:type="dxa" w:w="1080"/>
            <w:shd w:fill="EBF5FB" w:val="clear"/>
          </w:tcPr>
          <w:p>
            <w:r>
              <w:rPr>
                <w:sz w:val="16"/>
              </w:rPr>
              <w:t>CONSOMMATION DISCR</w:t>
            </w:r>
          </w:p>
        </w:tc>
        <w:tc>
          <w:tcPr>
            <w:tcW w:type="dxa" w:w="1080"/>
            <w:shd w:fill="EBF5FB" w:val="clear"/>
          </w:tcPr>
          <w:p>
            <w:r>
              <w:rPr>
                <w:sz w:val="16"/>
              </w:rPr>
              <w:t>2,400</w:t>
            </w:r>
          </w:p>
        </w:tc>
        <w:tc>
          <w:tcPr>
            <w:tcW w:type="dxa" w:w="1080"/>
            <w:shd w:fill="EBF5FB" w:val="clear"/>
          </w:tcPr>
          <w:p>
            <w:r>
              <w:rPr>
                <w:b/>
                <w:sz w:val="16"/>
              </w:rPr>
              <w:t>69/100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ONTBF</w:t>
            </w:r>
          </w:p>
        </w:tc>
        <w:tc>
          <w:tcPr>
            <w:tcW w:type="dxa" w:w="1080"/>
            <w:shd w:fill="EBF5FB" w:val="clear"/>
          </w:tcPr>
          <w:p>
            <w:r>
              <w:rPr>
                <w:sz w:val="16"/>
              </w:rPr>
              <w:t>TELECOMMUNICATIONS</w:t>
            </w:r>
          </w:p>
        </w:tc>
        <w:tc>
          <w:tcPr>
            <w:tcW w:type="dxa" w:w="1080"/>
            <w:shd w:fill="EBF5FB" w:val="clear"/>
          </w:tcPr>
          <w:p>
            <w:r>
              <w:rPr>
                <w:sz w:val="16"/>
              </w:rPr>
              <w:t>2,870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SCRC</w:t>
            </w:r>
          </w:p>
        </w:tc>
        <w:tc>
          <w:tcPr>
            <w:tcW w:type="dxa" w:w="1080"/>
            <w:shd w:fill="EBF5FB" w:val="clear"/>
          </w:tcPr>
          <w:p>
            <w:r>
              <w:rPr>
                <w:sz w:val="16"/>
              </w:rPr>
              <w:t>CONSOMMATION DE BA</w:t>
            </w:r>
          </w:p>
        </w:tc>
        <w:tc>
          <w:tcPr>
            <w:tcW w:type="dxa" w:w="1080"/>
            <w:shd w:fill="EBF5FB" w:val="clear"/>
          </w:tcPr>
          <w:p>
            <w:r>
              <w:rPr>
                <w:sz w:val="16"/>
              </w:rPr>
              <w:t>3,290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37,905</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33,010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2,120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3,205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1,560</w:t>
            </w:r>
          </w:p>
        </w:tc>
        <w:tc>
          <w:tcPr>
            <w:tcW w:type="dxa" w:w="1080"/>
            <w:shd w:fill="EBF5FB" w:val="clear"/>
          </w:tcPr>
          <w:p>
            <w:r>
              <w:rPr>
                <w:b/>
                <w:sz w:val="16"/>
              </w:rPr>
              <w:t>67/100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3,890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BNBC</w:t>
            </w:r>
          </w:p>
        </w:tc>
        <w:tc>
          <w:tcPr>
            <w:tcW w:type="dxa" w:w="1080"/>
            <w:shd w:fill="EBF5FB" w:val="clear"/>
          </w:tcPr>
          <w:p>
            <w:r>
              <w:rPr>
                <w:sz w:val="16"/>
              </w:rPr>
              <w:t>CONSOMMATION DISCR</w:t>
            </w:r>
          </w:p>
        </w:tc>
        <w:tc>
          <w:tcPr>
            <w:tcW w:type="dxa" w:w="1080"/>
            <w:shd w:fill="EBF5FB" w:val="clear"/>
          </w:tcPr>
          <w:p>
            <w:r>
              <w:rPr>
                <w:sz w:val="16"/>
              </w:rPr>
              <w:t>2,135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10,100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1,705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16,900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SIVC</w:t>
            </w:r>
          </w:p>
        </w:tc>
        <w:tc>
          <w:tcPr>
            <w:tcW w:type="dxa" w:w="1080"/>
            <w:shd w:fill="EBF5FB" w:val="clear"/>
          </w:tcPr>
          <w:p>
            <w:r>
              <w:rPr>
                <w:sz w:val="16"/>
              </w:rPr>
              <w:t>INDUSTRIELS</w:t>
            </w:r>
          </w:p>
        </w:tc>
        <w:tc>
          <w:tcPr>
            <w:tcW w:type="dxa" w:w="1080"/>
            <w:shd w:fill="EBF5FB" w:val="clear"/>
          </w:tcPr>
          <w:p>
            <w:r>
              <w:rPr>
                <w:sz w:val="16"/>
              </w:rPr>
              <w:t>2,400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2,575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TTLC</w:t>
            </w:r>
          </w:p>
        </w:tc>
        <w:tc>
          <w:tcPr>
            <w:tcW w:type="dxa" w:w="1080"/>
            <w:shd w:fill="EBF5FB" w:val="clear"/>
          </w:tcPr>
          <w:p>
            <w:r>
              <w:rPr>
                <w:sz w:val="16"/>
              </w:rPr>
              <w:t>ENERGIE</w:t>
            </w:r>
          </w:p>
        </w:tc>
        <w:tc>
          <w:tcPr>
            <w:tcW w:type="dxa" w:w="1080"/>
            <w:shd w:fill="EBF5FB" w:val="clear"/>
          </w:tcPr>
          <w:p>
            <w:r>
              <w:rPr>
                <w:sz w:val="16"/>
              </w:rPr>
              <w:t>3,280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8,990</w:t>
            </w:r>
          </w:p>
        </w:tc>
        <w:tc>
          <w:tcPr>
            <w:tcW w:type="dxa" w:w="1080"/>
            <w:shd w:fill="EBF5FB" w:val="clear"/>
          </w:tcPr>
          <w:p>
            <w:r>
              <w:rPr>
                <w:b/>
                <w:sz w:val="16"/>
              </w:rPr>
              <w:t>65/100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5,595</w:t>
            </w:r>
          </w:p>
        </w:tc>
        <w:tc>
          <w:tcPr>
            <w:tcW w:type="dxa" w:w="1080"/>
            <w:shd w:fill="EBF5FB" w:val="clear"/>
          </w:tcPr>
          <w:p>
            <w:r>
              <w:rPr>
                <w:b/>
                <w:sz w:val="16"/>
              </w:rPr>
              <w:t>65/100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NEIC</w:t>
            </w:r>
          </w:p>
        </w:tc>
        <w:tc>
          <w:tcPr>
            <w:tcW w:type="dxa" w:w="1080"/>
            <w:shd w:fill="EBF5FB" w:val="clear"/>
          </w:tcPr>
          <w:p>
            <w:r>
              <w:rPr>
                <w:sz w:val="16"/>
              </w:rPr>
              <w:t>CONSOMMATION DISCR</w:t>
            </w:r>
          </w:p>
        </w:tc>
        <w:tc>
          <w:tcPr>
            <w:tcW w:type="dxa" w:w="1080"/>
            <w:shd w:fill="EBF5FB" w:val="clear"/>
          </w:tcPr>
          <w:p>
            <w:r>
              <w:rPr>
                <w:sz w:val="16"/>
              </w:rPr>
              <w:t>2,750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SAFC</w:t>
            </w:r>
          </w:p>
        </w:tc>
        <w:tc>
          <w:tcPr>
            <w:tcW w:type="dxa" w:w="1080"/>
            <w:shd w:fill="EBF5FB" w:val="clear"/>
          </w:tcPr>
          <w:p>
            <w:r>
              <w:rPr>
                <w:sz w:val="16"/>
              </w:rPr>
              <w:t>SERVICES FINANCIER</w:t>
            </w:r>
          </w:p>
        </w:tc>
        <w:tc>
          <w:tcPr>
            <w:tcW w:type="dxa" w:w="1080"/>
            <w:shd w:fill="EBF5FB" w:val="clear"/>
          </w:tcPr>
          <w:p>
            <w:r>
              <w:rPr>
                <w:sz w:val="16"/>
              </w:rPr>
              <w:t>5,400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8,100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22,200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4,385</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8,495</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47</w:t>
            </w:r>
          </w:p>
        </w:tc>
        <w:tc>
          <w:tcPr>
            <w:tcW w:type="dxa" w:w="1080"/>
            <w:shd w:fill="FEFEFE" w:val="clear"/>
          </w:tcPr>
          <w:p>
            <w:r>
              <w:rPr>
                <w:sz w:val="16"/>
              </w:rPr>
              <w:t>UNLC</w:t>
            </w:r>
          </w:p>
        </w:tc>
        <w:tc>
          <w:tcPr>
            <w:tcW w:type="dxa" w:w="1080"/>
            <w:shd w:fill="FEFEFE" w:val="clear"/>
          </w:tcPr>
          <w:p>
            <w:r>
              <w:rPr>
                <w:sz w:val="16"/>
              </w:rPr>
              <w:t>CONSOMMATION DE BA</w:t>
            </w:r>
          </w:p>
        </w:tc>
        <w:tc>
          <w:tcPr>
            <w:tcW w:type="dxa" w:w="1080"/>
            <w:shd w:fill="FEFEFE" w:val="clear"/>
          </w:tcPr>
          <w:p>
            <w:r>
              <w:rPr>
                <w:sz w:val="16"/>
              </w:rPr>
              <w:t>54,000</w:t>
            </w:r>
          </w:p>
        </w:tc>
        <w:tc>
          <w:tcPr>
            <w:tcW w:type="dxa" w:w="1080"/>
            <w:shd w:fill="FEFEFE" w:val="clear"/>
          </w:tcPr>
          <w:p>
            <w:r>
              <w:rPr>
                <w:b/>
                <w:sz w:val="16"/>
              </w:rPr>
              <w:t>54/100  (Moyen)</w:t>
            </w:r>
          </w:p>
        </w:tc>
        <w:tc>
          <w:tcPr>
            <w:tcW w:type="dxa" w:w="1080"/>
            <w:shd w:fill="FEFEFE" w:val="clear"/>
          </w:tcPr>
          <w:p>
            <w:r>
              <w:rPr>
                <w:sz w:val="16"/>
              </w:rPr>
              <w:t>NEUTRE</w:t>
            </w:r>
          </w:p>
        </w:tc>
        <w:tc>
          <w:tcPr>
            <w:tcW w:type="dxa" w:w="1080"/>
            <w:shd w:fill="FEFEFE" w:val="clear"/>
          </w:tcPr>
          <w:p>
            <w:r>
              <w:rPr>
                <w:sz w:val="16"/>
              </w:rPr>
              <w:t>ACHAT</w:t>
            </w:r>
          </w:p>
        </w:tc>
        <w:tc>
          <w:tcPr>
            <w:tcW w:type="dxa" w:w="1080"/>
            <w:shd w:fill="FEFEFE"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CABC</w:t>
            </w:r>
          </w:p>
        </w:tc>
        <w:tc>
          <w:tcPr>
            <w:tcW w:type="dxa" w:w="1728"/>
            <w:shd w:fill="DEEAF1" w:val="clear"/>
          </w:tcPr>
          <w:p>
            <w:r>
              <w:rPr>
                <w:sz w:val="17"/>
              </w:rPr>
              <w:t>CABC - SICABLE COTE D'IVOIRE</w:t>
            </w:r>
          </w:p>
        </w:tc>
        <w:tc>
          <w:tcPr>
            <w:tcW w:type="dxa" w:w="1728"/>
            <w:shd w:fill="DEEAF1" w:val="clear"/>
          </w:tcPr>
          <w:p>
            <w:r>
              <w:rPr>
                <w:sz w:val="17"/>
              </w:rPr>
              <w:t>3,500</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8,200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SIBC</w:t>
            </w:r>
          </w:p>
        </w:tc>
        <w:tc>
          <w:tcPr>
            <w:tcW w:type="dxa" w:w="1728"/>
            <w:shd w:fill="DEEAF1" w:val="clear"/>
          </w:tcPr>
          <w:p>
            <w:r>
              <w:rPr>
                <w:sz w:val="17"/>
              </w:rPr>
              <w:t>SIBC - SOCIETE IVOIRIENNE DE</w:t>
            </w:r>
          </w:p>
        </w:tc>
        <w:tc>
          <w:tcPr>
            <w:tcW w:type="dxa" w:w="1728"/>
            <w:shd w:fill="DEEAF1" w:val="clear"/>
          </w:tcPr>
          <w:p>
            <w:r>
              <w:rPr>
                <w:sz w:val="17"/>
              </w:rPr>
              <w:t>9,300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ECOC</w:t>
            </w:r>
          </w:p>
        </w:tc>
        <w:tc>
          <w:tcPr>
            <w:tcW w:type="dxa" w:w="1728"/>
            <w:shd w:fill="DEEAF1" w:val="clear"/>
          </w:tcPr>
          <w:p>
            <w:r>
              <w:rPr>
                <w:sz w:val="17"/>
              </w:rPr>
              <w:t>ECOC - ECOBANK COTE D'IVOIRE</w:t>
            </w:r>
          </w:p>
        </w:tc>
        <w:tc>
          <w:tcPr>
            <w:tcW w:type="dxa" w:w="1728"/>
            <w:shd w:fill="DEEAF1" w:val="clear"/>
          </w:tcPr>
          <w:p>
            <w:r>
              <w:rPr>
                <w:sz w:val="17"/>
              </w:rPr>
              <w:t>17,285</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SGBC</w:t>
            </w:r>
          </w:p>
        </w:tc>
        <w:tc>
          <w:tcPr>
            <w:tcW w:type="dxa" w:w="1728"/>
            <w:shd w:fill="DEEAF1" w:val="clear"/>
          </w:tcPr>
          <w:p>
            <w:r>
              <w:rPr>
                <w:sz w:val="17"/>
              </w:rPr>
              <w:t>SGBC - SOCIETE GENERALE COTE</w:t>
            </w:r>
          </w:p>
        </w:tc>
        <w:tc>
          <w:tcPr>
            <w:tcW w:type="dxa" w:w="1728"/>
            <w:shd w:fill="DEEAF1" w:val="clear"/>
          </w:tcPr>
          <w:p>
            <w:r>
              <w:rPr>
                <w:sz w:val="17"/>
              </w:rPr>
              <w:t>38,500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BOAM</w:t>
            </w:r>
          </w:p>
        </w:tc>
        <w:tc>
          <w:tcPr>
            <w:tcW w:type="dxa" w:w="1728"/>
            <w:shd w:fill="DEEAF1" w:val="clear"/>
          </w:tcPr>
          <w:p>
            <w:r>
              <w:rPr>
                <w:sz w:val="17"/>
              </w:rPr>
              <w:t>BANK OF AFRICA MALI</w:t>
            </w:r>
          </w:p>
        </w:tc>
        <w:tc>
          <w:tcPr>
            <w:tcW w:type="dxa" w:w="1728"/>
            <w:shd w:fill="DEEAF1" w:val="clear"/>
          </w:tcPr>
          <w:p>
            <w:r>
              <w:rPr>
                <w:sz w:val="17"/>
              </w:rPr>
              <w:t>7,150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SDCC</w:t>
            </w:r>
          </w:p>
        </w:tc>
        <w:tc>
          <w:tcPr>
            <w:tcW w:type="dxa" w:w="1728"/>
            <w:shd w:fill="DEEAF1" w:val="clear"/>
          </w:tcPr>
          <w:p>
            <w:r>
              <w:rPr>
                <w:sz w:val="17"/>
              </w:rPr>
              <w:t>SDCC - Société de Distributi</w:t>
            </w:r>
          </w:p>
        </w:tc>
        <w:tc>
          <w:tcPr>
            <w:tcW w:type="dxa" w:w="1728"/>
            <w:shd w:fill="DEEAF1" w:val="clear"/>
          </w:tcPr>
          <w:p>
            <w:r>
              <w:rPr>
                <w:sz w:val="17"/>
              </w:rPr>
              <w:t>13,400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SHEC</w:t>
            </w:r>
          </w:p>
        </w:tc>
        <w:tc>
          <w:tcPr>
            <w:tcW w:type="dxa" w:w="1728"/>
            <w:shd w:fill="DEEAF1" w:val="clear"/>
          </w:tcPr>
          <w:p>
            <w:r>
              <w:rPr>
                <w:sz w:val="17"/>
              </w:rPr>
              <w:t>SHEC - VIVO ENERGY COTE D'IV</w:t>
            </w:r>
          </w:p>
        </w:tc>
        <w:tc>
          <w:tcPr>
            <w:tcW w:type="dxa" w:w="1728"/>
            <w:shd w:fill="DEEAF1" w:val="clear"/>
          </w:tcPr>
          <w:p>
            <w:r>
              <w:rPr>
                <w:sz w:val="17"/>
              </w:rPr>
              <w:t>2,550</w:t>
            </w:r>
          </w:p>
        </w:tc>
        <w:tc>
          <w:tcPr>
            <w:tcW w:type="dxa" w:w="1728"/>
            <w:shd w:fill="DEEAF1" w:val="clear"/>
          </w:tcPr>
          <w:p>
            <w:r>
              <w:rPr>
                <w:sz w:val="17"/>
              </w:rPr>
              <w:t>72/100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12,400</w:t>
            </w:r>
          </w:p>
        </w:tc>
        <w:tc>
          <w:tcPr>
            <w:tcW w:type="dxa" w:w="1728"/>
            <w:shd w:fill="E2EFDA" w:val="clear"/>
          </w:tcPr>
          <w:p>
            <w:r>
              <w:rPr>
                <w:sz w:val="17"/>
              </w:rPr>
              <w:t>80/100</w:t>
            </w:r>
          </w:p>
        </w:tc>
        <w:tc>
          <w:tcPr>
            <w:tcW w:type="dxa" w:w="1728"/>
            <w:shd w:fill="E2EFDA" w:val="clear"/>
          </w:tcPr>
          <w:p>
            <w:r>
              <w:rPr>
                <w:sz w:val="17"/>
              </w:rPr>
              <w:t>11.2%</w:t>
            </w:r>
          </w:p>
        </w:tc>
      </w:tr>
      <w:tr>
        <w:tc>
          <w:tcPr>
            <w:tcW w:type="dxa" w:w="1728"/>
            <w:shd w:fill="E2EFDA" w:val="clear"/>
          </w:tcPr>
          <w:p>
            <w:r>
              <w:rPr>
                <w:sz w:val="17"/>
              </w:rPr>
              <w:t>CABC</w:t>
            </w:r>
          </w:p>
        </w:tc>
        <w:tc>
          <w:tcPr>
            <w:tcW w:type="dxa" w:w="1728"/>
            <w:shd w:fill="E2EFDA" w:val="clear"/>
          </w:tcPr>
          <w:p>
            <w:r>
              <w:rPr>
                <w:sz w:val="17"/>
              </w:rPr>
              <w:t>CABC - SICABLE COTE D'IVOIRE</w:t>
            </w:r>
          </w:p>
        </w:tc>
        <w:tc>
          <w:tcPr>
            <w:tcW w:type="dxa" w:w="1728"/>
            <w:shd w:fill="E2EFDA" w:val="clear"/>
          </w:tcPr>
          <w:p>
            <w:r>
              <w:rPr>
                <w:sz w:val="17"/>
              </w:rPr>
              <w:t>3,500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PALC</w:t>
            </w:r>
          </w:p>
        </w:tc>
        <w:tc>
          <w:tcPr>
            <w:tcW w:type="dxa" w:w="1728"/>
            <w:shd w:fill="E2EFDA" w:val="clear"/>
          </w:tcPr>
          <w:p>
            <w:r>
              <w:rPr>
                <w:sz w:val="17"/>
              </w:rPr>
              <w:t>PALC - PALM COTE D'IVOIRE</w:t>
            </w:r>
          </w:p>
        </w:tc>
        <w:tc>
          <w:tcPr>
            <w:tcW w:type="dxa" w:w="1728"/>
            <w:shd w:fill="E2EFDA" w:val="clear"/>
          </w:tcPr>
          <w:p>
            <w:r>
              <w:rPr>
                <w:sz w:val="17"/>
              </w:rPr>
              <w:t>8,300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BOAS</w:t>
            </w:r>
          </w:p>
        </w:tc>
        <w:tc>
          <w:tcPr>
            <w:tcW w:type="dxa" w:w="1728"/>
            <w:shd w:fill="E2EFDA" w:val="clear"/>
          </w:tcPr>
          <w:p>
            <w:r>
              <w:rPr>
                <w:sz w:val="17"/>
              </w:rPr>
              <w:t>BANK OF AFRICA SENEGAL</w:t>
            </w:r>
          </w:p>
        </w:tc>
        <w:tc>
          <w:tcPr>
            <w:tcW w:type="dxa" w:w="1728"/>
            <w:shd w:fill="E2EFDA" w:val="clear"/>
          </w:tcPr>
          <w:p>
            <w:r>
              <w:rPr>
                <w:sz w:val="17"/>
              </w:rPr>
              <w:t>8,200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SIBC</w:t>
            </w:r>
          </w:p>
        </w:tc>
        <w:tc>
          <w:tcPr>
            <w:tcW w:type="dxa" w:w="1728"/>
            <w:shd w:fill="E2EFDA" w:val="clear"/>
          </w:tcPr>
          <w:p>
            <w:r>
              <w:rPr>
                <w:sz w:val="17"/>
              </w:rPr>
              <w:t>SIBC - SOCIETE IVOIRIENNE DE</w:t>
            </w:r>
          </w:p>
        </w:tc>
        <w:tc>
          <w:tcPr>
            <w:tcW w:type="dxa" w:w="1728"/>
            <w:shd w:fill="E2EFDA" w:val="clear"/>
          </w:tcPr>
          <w:p>
            <w:r>
              <w:rPr>
                <w:sz w:val="17"/>
              </w:rPr>
              <w:t>9,300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BICB</w:t>
            </w:r>
          </w:p>
        </w:tc>
        <w:tc>
          <w:tcPr>
            <w:tcW w:type="dxa" w:w="1728"/>
            <w:shd w:fill="E2EFDA" w:val="clear"/>
          </w:tcPr>
          <w:p>
            <w:r>
              <w:rPr>
                <w:sz w:val="17"/>
              </w:rPr>
              <w:t>BIIC BN - Banque internation</w:t>
            </w:r>
          </w:p>
        </w:tc>
        <w:tc>
          <w:tcPr>
            <w:tcW w:type="dxa" w:w="1728"/>
            <w:shd w:fill="E2EFDA" w:val="clear"/>
          </w:tcPr>
          <w:p>
            <w:r>
              <w:rPr>
                <w:sz w:val="17"/>
              </w:rPr>
              <w:t>10,450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ECOC</w:t>
            </w:r>
          </w:p>
        </w:tc>
        <w:tc>
          <w:tcPr>
            <w:tcW w:type="dxa" w:w="1728"/>
            <w:shd w:fill="E2EFDA" w:val="clear"/>
          </w:tcPr>
          <w:p>
            <w:r>
              <w:rPr>
                <w:sz w:val="17"/>
              </w:rPr>
              <w:t>ECOC - ECOBANK COTE D'IVOIRE</w:t>
            </w:r>
          </w:p>
        </w:tc>
        <w:tc>
          <w:tcPr>
            <w:tcW w:type="dxa" w:w="1728"/>
            <w:shd w:fill="E2EFDA" w:val="clear"/>
          </w:tcPr>
          <w:p>
            <w:r>
              <w:rPr>
                <w:sz w:val="17"/>
              </w:rPr>
              <w:t>17,285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SDSC</w:t>
            </w:r>
          </w:p>
        </w:tc>
        <w:tc>
          <w:tcPr>
            <w:tcW w:type="dxa" w:w="1728"/>
            <w:shd w:fill="E2EFDA" w:val="clear"/>
          </w:tcPr>
          <w:p>
            <w:r>
              <w:rPr>
                <w:sz w:val="17"/>
              </w:rPr>
              <w:t>SDSC - AFRICA GLOBAL LOGISTI</w:t>
            </w:r>
          </w:p>
        </w:tc>
        <w:tc>
          <w:tcPr>
            <w:tcW w:type="dxa" w:w="1728"/>
            <w:shd w:fill="E2EFDA" w:val="clear"/>
          </w:tcPr>
          <w:p>
            <w:r>
              <w:rPr>
                <w:sz w:val="17"/>
              </w:rPr>
              <w:t>3,030</w:t>
            </w:r>
          </w:p>
        </w:tc>
        <w:tc>
          <w:tcPr>
            <w:tcW w:type="dxa" w:w="1728"/>
            <w:shd w:fill="E2EFDA" w:val="clear"/>
          </w:tcPr>
          <w:p>
            <w:r>
              <w:rPr>
                <w:sz w:val="17"/>
              </w:rPr>
              <w:t>74/100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12,400</w:t>
            </w:r>
          </w:p>
        </w:tc>
        <w:tc>
          <w:tcPr>
            <w:tcW w:type="dxa" w:w="1728"/>
            <w:shd w:fill="FCE4D6" w:val="clear"/>
          </w:tcPr>
          <w:p>
            <w:r>
              <w:rPr>
                <w:sz w:val="17"/>
              </w:rPr>
              <w:t>80/100</w:t>
            </w:r>
          </w:p>
        </w:tc>
        <w:tc>
          <w:tcPr>
            <w:tcW w:type="dxa" w:w="1728"/>
            <w:shd w:fill="FCE4D6" w:val="clear"/>
          </w:tcPr>
          <w:p>
            <w:r>
              <w:rPr>
                <w:sz w:val="17"/>
              </w:rPr>
              <w:t>11.9%</w:t>
            </w:r>
          </w:p>
        </w:tc>
      </w:tr>
      <w:tr>
        <w:tc>
          <w:tcPr>
            <w:tcW w:type="dxa" w:w="1728"/>
            <w:shd w:fill="FCE4D6" w:val="clear"/>
          </w:tcPr>
          <w:p>
            <w:r>
              <w:rPr>
                <w:sz w:val="17"/>
              </w:rPr>
              <w:t>CABC</w:t>
            </w:r>
          </w:p>
        </w:tc>
        <w:tc>
          <w:tcPr>
            <w:tcW w:type="dxa" w:w="1728"/>
            <w:shd w:fill="FCE4D6" w:val="clear"/>
          </w:tcPr>
          <w:p>
            <w:r>
              <w:rPr>
                <w:sz w:val="17"/>
              </w:rPr>
              <w:t>CABC - SICABLE COTE D'IVOIRE</w:t>
            </w:r>
          </w:p>
        </w:tc>
        <w:tc>
          <w:tcPr>
            <w:tcW w:type="dxa" w:w="1728"/>
            <w:shd w:fill="FCE4D6" w:val="clear"/>
          </w:tcPr>
          <w:p>
            <w:r>
              <w:rPr>
                <w:sz w:val="17"/>
              </w:rPr>
              <w:t>3,500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PALC</w:t>
            </w:r>
          </w:p>
        </w:tc>
        <w:tc>
          <w:tcPr>
            <w:tcW w:type="dxa" w:w="1728"/>
            <w:shd w:fill="FCE4D6" w:val="clear"/>
          </w:tcPr>
          <w:p>
            <w:r>
              <w:rPr>
                <w:sz w:val="17"/>
              </w:rPr>
              <w:t>PALC - PALM COTE D'IVOIRE</w:t>
            </w:r>
          </w:p>
        </w:tc>
        <w:tc>
          <w:tcPr>
            <w:tcW w:type="dxa" w:w="1728"/>
            <w:shd w:fill="FCE4D6" w:val="clear"/>
          </w:tcPr>
          <w:p>
            <w:r>
              <w:rPr>
                <w:sz w:val="17"/>
              </w:rPr>
              <w:t>8,300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BOAS</w:t>
            </w:r>
          </w:p>
        </w:tc>
        <w:tc>
          <w:tcPr>
            <w:tcW w:type="dxa" w:w="1728"/>
            <w:shd w:fill="FCE4D6" w:val="clear"/>
          </w:tcPr>
          <w:p>
            <w:r>
              <w:rPr>
                <w:sz w:val="17"/>
              </w:rPr>
              <w:t>BANK OF AFRICA SENEGAL</w:t>
            </w:r>
          </w:p>
        </w:tc>
        <w:tc>
          <w:tcPr>
            <w:tcW w:type="dxa" w:w="1728"/>
            <w:shd w:fill="FCE4D6" w:val="clear"/>
          </w:tcPr>
          <w:p>
            <w:r>
              <w:rPr>
                <w:sz w:val="17"/>
              </w:rPr>
              <w:t>8,200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SIBC</w:t>
            </w:r>
          </w:p>
        </w:tc>
        <w:tc>
          <w:tcPr>
            <w:tcW w:type="dxa" w:w="1728"/>
            <w:shd w:fill="FCE4D6" w:val="clear"/>
          </w:tcPr>
          <w:p>
            <w:r>
              <w:rPr>
                <w:sz w:val="17"/>
              </w:rPr>
              <w:t>SIBC - SOCIETE IVOIRIENNE DE</w:t>
            </w:r>
          </w:p>
        </w:tc>
        <w:tc>
          <w:tcPr>
            <w:tcW w:type="dxa" w:w="1728"/>
            <w:shd w:fill="FCE4D6" w:val="clear"/>
          </w:tcPr>
          <w:p>
            <w:r>
              <w:rPr>
                <w:sz w:val="17"/>
              </w:rPr>
              <w:t>9,300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BICB</w:t>
            </w:r>
          </w:p>
        </w:tc>
        <w:tc>
          <w:tcPr>
            <w:tcW w:type="dxa" w:w="1728"/>
            <w:shd w:fill="FCE4D6" w:val="clear"/>
          </w:tcPr>
          <w:p>
            <w:r>
              <w:rPr>
                <w:sz w:val="17"/>
              </w:rPr>
              <w:t>BIIC BN - Banque internation</w:t>
            </w:r>
          </w:p>
        </w:tc>
        <w:tc>
          <w:tcPr>
            <w:tcW w:type="dxa" w:w="1728"/>
            <w:shd w:fill="FCE4D6" w:val="clear"/>
          </w:tcPr>
          <w:p>
            <w:r>
              <w:rPr>
                <w:sz w:val="17"/>
              </w:rPr>
              <w:t>10,450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ECOC</w:t>
            </w:r>
          </w:p>
        </w:tc>
        <w:tc>
          <w:tcPr>
            <w:tcW w:type="dxa" w:w="1728"/>
            <w:shd w:fill="FCE4D6" w:val="clear"/>
          </w:tcPr>
          <w:p>
            <w:r>
              <w:rPr>
                <w:sz w:val="17"/>
              </w:rPr>
              <w:t>ECOC - ECOBANK COTE D'IVOIRE</w:t>
            </w:r>
          </w:p>
        </w:tc>
        <w:tc>
          <w:tcPr>
            <w:tcW w:type="dxa" w:w="1728"/>
            <w:shd w:fill="FCE4D6" w:val="clear"/>
          </w:tcPr>
          <w:p>
            <w:r>
              <w:rPr>
                <w:sz w:val="17"/>
              </w:rPr>
              <w:t>17,285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SDSC</w:t>
            </w:r>
          </w:p>
        </w:tc>
        <w:tc>
          <w:tcPr>
            <w:tcW w:type="dxa" w:w="1728"/>
            <w:shd w:fill="FCE4D6" w:val="clear"/>
          </w:tcPr>
          <w:p>
            <w:r>
              <w:rPr>
                <w:sz w:val="17"/>
              </w:rPr>
              <w:t>SDSC - AFRICA GLOBAL LOGISTI</w:t>
            </w:r>
          </w:p>
        </w:tc>
        <w:tc>
          <w:tcPr>
            <w:tcW w:type="dxa" w:w="1728"/>
            <w:shd w:fill="FCE4D6" w:val="clear"/>
          </w:tcPr>
          <w:p>
            <w:r>
              <w:rPr>
                <w:sz w:val="17"/>
              </w:rPr>
              <w:t>3,030</w:t>
            </w:r>
          </w:p>
        </w:tc>
        <w:tc>
          <w:tcPr>
            <w:tcW w:type="dxa" w:w="1728"/>
            <w:shd w:fill="FCE4D6" w:val="clear"/>
          </w:tcPr>
          <w:p>
            <w:r>
              <w:rPr>
                <w:sz w:val="17"/>
              </w:rPr>
              <w:t>74/100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BOABF — BANK OF AFRICA BURKINA FASO</w:t>
      </w:r>
    </w:p>
    <w:p>
      <w:pPr>
        <w:pStyle w:val="ListBullet"/>
        <w:spacing w:before="20"/>
        <w:ind w:left="400"/>
      </w:pPr>
      <w:r>
        <w:rPr>
          <w:sz w:val="18"/>
        </w:rPr>
        <w:t>🔴 RSI surachat (81.3 &gt; 70) — risque de correction</w:t>
      </w:r>
    </w:p>
    <w:p>
      <w:pPr>
        <w:pStyle w:val="ListBullet"/>
        <w:spacing w:before="20"/>
        <w:ind w:left="400"/>
      </w:pPr>
      <w:r>
        <w:rPr>
          <w:sz w:val="18"/>
        </w:rPr>
        <w:t>⚠️ Cours à 1.1% du plus haut 100j (9,090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RSI surachat (89.0 &gt; 70) — risque de correction</w:t>
      </w:r>
    </w:p>
    <w:p>
      <w:pPr>
        <w:pStyle w:val="ListBullet"/>
        <w:spacing w:before="20"/>
        <w:ind w:left="400"/>
      </w:pPr>
      <w:r>
        <w:rPr>
          <w:sz w:val="18"/>
        </w:rPr>
        <w:t>⚠️ Cours à 0.0% du plus haut 100j (4,095 FCFA)</w:t>
      </w:r>
    </w:p>
    <w:p>
      <w:pPr>
        <w:spacing w:before="120"/>
      </w:pPr>
      <w:r>
        <w:rPr>
          <w:b/>
          <w:color w:val="0050A0"/>
          <w:sz w:val="20"/>
        </w:rPr>
        <w:t>BICC — BICI CI - Banque internationale pour le commerce et l'industrie de la Côte d'Ivoire</w:t>
      </w:r>
    </w:p>
    <w:p>
      <w:pPr>
        <w:pStyle w:val="ListBullet"/>
        <w:spacing w:before="20"/>
        <w:ind w:left="400"/>
      </w:pPr>
      <w:r>
        <w:rPr>
          <w:sz w:val="18"/>
        </w:rPr>
        <w:t>🔴 RSI surachat (75.2 &gt; 70) — risque de correction</w:t>
      </w:r>
    </w:p>
    <w:p>
      <w:pPr>
        <w:pStyle w:val="ListBullet"/>
        <w:spacing w:before="20"/>
        <w:ind w:left="400"/>
      </w:pPr>
      <w:r>
        <w:rPr>
          <w:sz w:val="18"/>
        </w:rPr>
        <w:t>⚠️ Cours à 2.9% du plus haut 100j (34,000 FCFA)</w:t>
      </w:r>
    </w:p>
    <w:p>
      <w:pPr>
        <w:spacing w:before="120"/>
      </w:pPr>
      <w:r>
        <w:rPr>
          <w:b/>
          <w:color w:val="0050A0"/>
          <w:sz w:val="20"/>
        </w:rPr>
        <w:t>BOAM — BANK OF AFRICA MALI</w:t>
      </w:r>
    </w:p>
    <w:p>
      <w:pPr>
        <w:pStyle w:val="ListBullet"/>
        <w:spacing w:before="20"/>
        <w:ind w:left="400"/>
      </w:pPr>
      <w:r>
        <w:rPr>
          <w:sz w:val="18"/>
        </w:rPr>
        <w:t>🔴 RSI surachat (74.1 &gt; 70) — risque de correction</w:t>
      </w:r>
    </w:p>
    <w:p>
      <w:pPr>
        <w:pStyle w:val="ListBullet"/>
        <w:spacing w:before="20"/>
        <w:ind w:left="400"/>
      </w:pPr>
      <w:r>
        <w:rPr>
          <w:sz w:val="18"/>
        </w:rPr>
        <w:t>⚠️ Cours à 0.6% du plus haut 100j (7,195 FCFA)</w:t>
      </w:r>
    </w:p>
    <w:p>
      <w:pPr>
        <w:spacing w:before="120"/>
      </w:pPr>
      <w:r>
        <w:rPr>
          <w:b/>
          <w:color w:val="0050A0"/>
          <w:sz w:val="20"/>
        </w:rPr>
        <w:t>BOAN — BANK OF AFRICA NIGER</w:t>
      </w:r>
    </w:p>
    <w:p>
      <w:pPr>
        <w:pStyle w:val="ListBullet"/>
        <w:spacing w:before="20"/>
        <w:ind w:left="400"/>
      </w:pPr>
      <w:r>
        <w:rPr>
          <w:sz w:val="18"/>
        </w:rPr>
        <w:t>⚠️ Cours à 0.9% du plus haut 100j (5,645 FCFA)</w:t>
      </w:r>
    </w:p>
    <w:p>
      <w:pPr>
        <w:pStyle w:val="ListBullet"/>
        <w:spacing w:before="20"/>
        <w:ind w:left="400"/>
      </w:pPr>
      <w:r>
        <w:rPr>
          <w:sz w:val="18"/>
        </w:rPr>
        <w:t>🟠 Divergence tech(VENTE) / fond(ACHAT) — recommandation ajustée à ACHAT</w:t>
      </w:r>
    </w:p>
    <w:p>
      <w:pPr>
        <w:spacing w:before="120"/>
      </w:pPr>
      <w:r>
        <w:rPr>
          <w:b/>
          <w:color w:val="0050A0"/>
          <w:sz w:val="20"/>
        </w:rPr>
        <w:t>CBIBF — CBIBF - CORIS BANK INTERNATIONAL BURKINA FASO</w:t>
      </w:r>
    </w:p>
    <w:p>
      <w:pPr>
        <w:pStyle w:val="ListBullet"/>
        <w:spacing w:before="20"/>
        <w:ind w:left="400"/>
      </w:pPr>
      <w:r>
        <w:rPr>
          <w:sz w:val="18"/>
        </w:rPr>
        <w:t>🔴 RSI surachat (79.9 &gt; 70) — risque de correction</w:t>
      </w:r>
    </w:p>
    <w:p>
      <w:pPr>
        <w:pStyle w:val="ListBullet"/>
        <w:spacing w:before="20"/>
        <w:ind w:left="400"/>
      </w:pPr>
      <w:r>
        <w:rPr>
          <w:sz w:val="18"/>
        </w:rPr>
        <w:t>⚠️ Cours à 0.0% du plus haut 100j (34,300 FCFA)</w:t>
      </w:r>
    </w:p>
    <w:p>
      <w:pPr>
        <w:spacing w:before="120"/>
      </w:pPr>
      <w:r>
        <w:rPr>
          <w:b/>
          <w:color w:val="0050A0"/>
          <w:sz w:val="20"/>
        </w:rPr>
        <w:t>SDCC — SDCC - Société de Distribution d'Eau de Côte d'Ivoire</w:t>
      </w:r>
    </w:p>
    <w:p>
      <w:pPr>
        <w:pStyle w:val="ListBullet"/>
        <w:spacing w:before="20"/>
        <w:ind w:left="400"/>
      </w:pPr>
      <w:r>
        <w:rPr>
          <w:sz w:val="18"/>
        </w:rPr>
        <w:t>🔴 RSI surachat (70.9 &gt; 70) — risque de correction</w:t>
      </w:r>
    </w:p>
    <w:p>
      <w:pPr>
        <w:pStyle w:val="ListBullet"/>
        <w:spacing w:before="20"/>
        <w:ind w:left="400"/>
      </w:pPr>
      <w:r>
        <w:rPr>
          <w:sz w:val="18"/>
        </w:rPr>
        <w:t>⚠️ Cours à 2.3% du plus haut 100j (13,710 FCFA)</w:t>
      </w:r>
    </w:p>
    <w:p>
      <w:pPr>
        <w:spacing w:before="120"/>
      </w:pPr>
      <w:r>
        <w:rPr>
          <w:b/>
          <w:color w:val="0050A0"/>
          <w:sz w:val="20"/>
        </w:rPr>
        <w:t>SMBC — SMBC - Société Multinationale de Bitumes COTE D'IVOIRE</w:t>
      </w:r>
    </w:p>
    <w:p>
      <w:pPr>
        <w:pStyle w:val="ListBullet"/>
        <w:spacing w:before="20"/>
        <w:ind w:left="400"/>
      </w:pPr>
      <w:r>
        <w:rPr>
          <w:sz w:val="18"/>
        </w:rPr>
        <w:t>🔴 RSI surachat (81.8 &gt; 70) — risque de correction</w:t>
      </w:r>
    </w:p>
    <w:p>
      <w:pPr>
        <w:pStyle w:val="ListBullet"/>
        <w:spacing w:before="20"/>
        <w:ind w:left="400"/>
      </w:pPr>
      <w:r>
        <w:rPr>
          <w:sz w:val="18"/>
        </w:rPr>
        <w:t>⚠️ Cours à 1.1% du plus haut 100j (18,500 FCFA)</w:t>
      </w:r>
    </w:p>
    <w:p>
      <w:pPr>
        <w:spacing w:before="120"/>
      </w:pPr>
      <w:r>
        <w:rPr>
          <w:b/>
          <w:color w:val="0050A0"/>
          <w:sz w:val="20"/>
        </w:rPr>
        <w:t>BICB — BIIC BN - Banque internationale pour le commerce du benin</w:t>
      </w:r>
    </w:p>
    <w:p>
      <w:pPr>
        <w:pStyle w:val="ListBullet"/>
        <w:spacing w:before="20"/>
        <w:ind w:left="400"/>
      </w:pPr>
      <w:r>
        <w:rPr>
          <w:sz w:val="18"/>
        </w:rPr>
        <w:t>🔴 RSI surachat (81.0 &gt; 70) — risque de correction</w:t>
      </w:r>
    </w:p>
    <w:p>
      <w:pPr>
        <w:spacing w:before="120"/>
      </w:pPr>
      <w:r>
        <w:rPr>
          <w:b/>
          <w:color w:val="0050A0"/>
          <w:sz w:val="20"/>
        </w:rPr>
        <w:t>BOAB — BANK OF AFRICA BENIN</w:t>
      </w:r>
    </w:p>
    <w:p>
      <w:pPr>
        <w:pStyle w:val="ListBullet"/>
        <w:spacing w:before="20"/>
        <w:ind w:left="400"/>
      </w:pPr>
      <w:r>
        <w:rPr>
          <w:sz w:val="18"/>
        </w:rPr>
        <w:t>⚠️ Cours à 2.4% du plus haut 100j (10,350 FCFA)</w:t>
      </w:r>
    </w:p>
    <w:p>
      <w:pPr>
        <w:spacing w:before="120"/>
      </w:pPr>
      <w:r>
        <w:rPr>
          <w:b/>
          <w:color w:val="0050A0"/>
          <w:sz w:val="20"/>
        </w:rPr>
        <w:t>BOAC — BANK OF AFRICA COTE D'IVOIRE</w:t>
      </w:r>
    </w:p>
    <w:p>
      <w:pPr>
        <w:pStyle w:val="ListBullet"/>
        <w:spacing w:before="20"/>
        <w:ind w:left="400"/>
      </w:pPr>
      <w:r>
        <w:rPr>
          <w:sz w:val="18"/>
        </w:rPr>
        <w:t>🟢 RSI survente (20.9 &lt; 30) — opportunité potentielle</w:t>
      </w:r>
    </w:p>
    <w:p>
      <w:pPr>
        <w:spacing w:before="120"/>
      </w:pPr>
      <w:r>
        <w:rPr>
          <w:b/>
          <w:color w:val="0050A0"/>
          <w:sz w:val="20"/>
        </w:rPr>
        <w:t>CABC — CABC - SICABLE COTE D'IVOIRE</w:t>
      </w:r>
    </w:p>
    <w:p>
      <w:pPr>
        <w:pStyle w:val="ListBullet"/>
        <w:spacing w:before="20"/>
        <w:ind w:left="400"/>
      </w:pPr>
      <w:r>
        <w:rPr>
          <w:sz w:val="18"/>
        </w:rPr>
        <w:t>🟢 RSI survente (25.9 &lt; 30) — opportunité potentielle</w:t>
      </w:r>
    </w:p>
    <w:p>
      <w:pPr>
        <w:spacing w:before="120"/>
      </w:pPr>
      <w:r>
        <w:rPr>
          <w:b/>
          <w:color w:val="0050A0"/>
          <w:sz w:val="20"/>
        </w:rPr>
        <w:t>ECOC — ECOC - ECOBANK COTE D'IVOIRE</w:t>
      </w:r>
    </w:p>
    <w:p>
      <w:pPr>
        <w:pStyle w:val="ListBullet"/>
        <w:spacing w:before="20"/>
        <w:ind w:left="400"/>
      </w:pPr>
      <w:r>
        <w:rPr>
          <w:sz w:val="18"/>
        </w:rPr>
        <w:t>⚠️ Cours à 2.5% du plus haut 100j (17,725 FCFA)</w:t>
      </w:r>
    </w:p>
    <w:p>
      <w:pPr>
        <w:spacing w:before="120"/>
      </w:pPr>
      <w:r>
        <w:rPr>
          <w:b/>
          <w:color w:val="0050A0"/>
          <w:sz w:val="20"/>
        </w:rPr>
        <w:t>NSBC — NSBC - NSIA BANQUE COTE D'IVOIRE</w:t>
      </w:r>
    </w:p>
    <w:p>
      <w:pPr>
        <w:pStyle w:val="ListBullet"/>
        <w:spacing w:before="20"/>
        <w:ind w:left="400"/>
      </w:pPr>
      <w:r>
        <w:rPr>
          <w:sz w:val="18"/>
        </w:rPr>
        <w:t>⚠️ Cours à 1.9% du plus haut 100j (24,885 FCFA)</w:t>
      </w:r>
    </w:p>
    <w:p>
      <w:pPr>
        <w:spacing w:before="120"/>
      </w:pPr>
      <w:r>
        <w:rPr>
          <w:b/>
          <w:color w:val="0050A0"/>
          <w:sz w:val="20"/>
        </w:rPr>
        <w:t>ORAC — ORAC - ORANGE COTE D'IVOIRE</w:t>
      </w:r>
    </w:p>
    <w:p>
      <w:pPr>
        <w:pStyle w:val="ListBullet"/>
        <w:spacing w:before="20"/>
        <w:ind w:left="400"/>
      </w:pPr>
      <w:r>
        <w:rPr>
          <w:sz w:val="18"/>
        </w:rPr>
        <w:t>⚠️ Cours à 0.0% du plus haut 100j (22,450 FCFA)</w:t>
      </w:r>
    </w:p>
    <w:p>
      <w:pPr>
        <w:spacing w:before="120"/>
      </w:pPr>
      <w:r>
        <w:rPr>
          <w:b/>
          <w:color w:val="0050A0"/>
          <w:sz w:val="20"/>
        </w:rPr>
        <w:t>PALC — PALC - PALM COTE D'IVOIRE</w:t>
      </w:r>
    </w:p>
    <w:p>
      <w:pPr>
        <w:pStyle w:val="ListBullet"/>
        <w:spacing w:before="20"/>
        <w:ind w:left="400"/>
      </w:pPr>
      <w:r>
        <w:rPr>
          <w:sz w:val="18"/>
        </w:rPr>
        <w:t>🟢 RSI survente (21.1 &lt; 30) — opportunité potentielle</w:t>
      </w:r>
    </w:p>
    <w:p>
      <w:pPr>
        <w:spacing w:before="120"/>
      </w:pPr>
      <w:r>
        <w:rPr>
          <w:b/>
          <w:color w:val="0050A0"/>
          <w:sz w:val="20"/>
        </w:rPr>
        <w:t>PRSC — PRSC - TRACTAFRIC MOTORS CI</w:t>
      </w:r>
    </w:p>
    <w:p>
      <w:pPr>
        <w:pStyle w:val="ListBullet"/>
        <w:spacing w:before="20"/>
        <w:ind w:left="400"/>
      </w:pPr>
      <w:r>
        <w:rPr>
          <w:sz w:val="18"/>
        </w:rPr>
        <w:t>🟠 Divergence tech(VENTE) / fond(ACHAT) — recommandation ajustée à ACHAT</w:t>
      </w:r>
    </w:p>
    <w:p>
      <w:pPr>
        <w:spacing w:before="120"/>
      </w:pPr>
      <w:r>
        <w:rPr>
          <w:b/>
          <w:color w:val="0050A0"/>
          <w:sz w:val="20"/>
        </w:rPr>
        <w:t>SCRC — SCRC - SUCRIVOIRE</w:t>
      </w:r>
    </w:p>
    <w:p>
      <w:pPr>
        <w:pStyle w:val="ListBullet"/>
        <w:spacing w:before="20"/>
        <w:ind w:left="400"/>
      </w:pPr>
      <w:r>
        <w:rPr>
          <w:sz w:val="18"/>
        </w:rPr>
        <w:t>🟠 Divergence tech(VENTE) / fond(ACHAT) — recommandation ajustée à ACHAT</w:t>
      </w:r>
    </w:p>
    <w:p>
      <w:pPr>
        <w:spacing w:before="120"/>
      </w:pPr>
      <w:r>
        <w:rPr>
          <w:b/>
          <w:color w:val="0050A0"/>
          <w:sz w:val="20"/>
        </w:rPr>
        <w:t>SGBC — SGBC - SOCIETE GENERALE COTE D'IVOIRE</w:t>
      </w:r>
    </w:p>
    <w:p>
      <w:pPr>
        <w:pStyle w:val="ListBullet"/>
        <w:spacing w:before="20"/>
        <w:ind w:left="400"/>
      </w:pPr>
      <w:r>
        <w:rPr>
          <w:sz w:val="18"/>
        </w:rPr>
        <w:t>⚠️ Cours à 2.0% du plus haut 100j (39,300 FCFA)</w:t>
      </w:r>
    </w:p>
    <w:p>
      <w:pPr>
        <w:spacing w:before="120"/>
      </w:pPr>
      <w:r>
        <w:rPr>
          <w:b/>
          <w:color w:val="0050A0"/>
          <w:sz w:val="20"/>
        </w:rPr>
        <w:t>SHEC — SHEC - VIVO ENERGY COTE D'IVOIRE</w:t>
      </w:r>
    </w:p>
    <w:p>
      <w:pPr>
        <w:pStyle w:val="ListBullet"/>
        <w:spacing w:before="20"/>
        <w:ind w:left="400"/>
      </w:pPr>
      <w:r>
        <w:rPr>
          <w:sz w:val="18"/>
        </w:rPr>
        <w:t>⚠️ Cours à 0.0% du plus haut 100j (2,550 FCFA)</w:t>
      </w:r>
    </w:p>
    <w:p>
      <w:pPr>
        <w:spacing w:before="120"/>
      </w:pPr>
      <w:r>
        <w:rPr>
          <w:b/>
          <w:color w:val="0050A0"/>
          <w:sz w:val="20"/>
        </w:rPr>
        <w:t>SIBC — SIBC - SOCIETE IVOIRIENNE DE BANQUE</w:t>
      </w:r>
    </w:p>
    <w:p>
      <w:pPr>
        <w:pStyle w:val="ListBullet"/>
        <w:spacing w:before="20"/>
        <w:ind w:left="400"/>
      </w:pPr>
      <w:r>
        <w:rPr>
          <w:sz w:val="18"/>
        </w:rPr>
        <w:t>⚠️ Cours à 2.1% du plus haut 100j (9,500 FCFA)</w:t>
      </w:r>
    </w:p>
    <w:p>
      <w:pPr>
        <w:spacing w:before="120"/>
      </w:pPr>
      <w:r>
        <w:rPr>
          <w:b/>
          <w:color w:val="0050A0"/>
          <w:sz w:val="20"/>
        </w:rPr>
        <w:t>SICC — SICC - SICOR COTE D'IVOIRE</w:t>
      </w:r>
    </w:p>
    <w:p>
      <w:pPr>
        <w:pStyle w:val="ListBullet"/>
        <w:spacing w:before="20"/>
        <w:ind w:left="400"/>
      </w:pPr>
      <w:r>
        <w:rPr>
          <w:sz w:val="18"/>
        </w:rPr>
        <w:t>🟠 Divergence tech(VENTE) / fond(ACHAT) — recommandation ajustée à ACHAT</w:t>
      </w:r>
    </w:p>
    <w:p>
      <w:pPr>
        <w:spacing w:before="120"/>
      </w:pPr>
      <w:r>
        <w:rPr>
          <w:b/>
          <w:color w:val="0050A0"/>
          <w:sz w:val="20"/>
        </w:rPr>
        <w:t>SLBC — SLBC - SOLIBRA COTE D'IVOIRE</w:t>
      </w:r>
    </w:p>
    <w:p>
      <w:pPr>
        <w:pStyle w:val="ListBullet"/>
        <w:spacing w:before="20"/>
        <w:ind w:left="400"/>
      </w:pPr>
      <w:r>
        <w:rPr>
          <w:sz w:val="18"/>
        </w:rPr>
        <w:t>🟠 Divergence tech(VENTE) / fond(ACHAT) — recommandation ajustée à ACHAT</w:t>
      </w:r>
    </w:p>
    <w:p>
      <w:pPr>
        <w:spacing w:before="120"/>
      </w:pPr>
      <w:r>
        <w:rPr>
          <w:b/>
          <w:color w:val="0050A0"/>
          <w:sz w:val="20"/>
        </w:rPr>
        <w:t>SNTS — SNTS - SONATEL SN</w:t>
      </w:r>
    </w:p>
    <w:p>
      <w:pPr>
        <w:pStyle w:val="ListBullet"/>
        <w:spacing w:before="20"/>
        <w:ind w:left="400"/>
      </w:pPr>
      <w:r>
        <w:rPr>
          <w:sz w:val="18"/>
        </w:rPr>
        <w:t>⚠️ Cours à 0.0% du plus haut 100j (39,275 FCFA)</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w:t>
      </w:r>
    </w:p>
    <w:p>
      <w:pPr>
        <w:spacing w:before="120"/>
      </w:pPr>
      <w:r>
        <w:rPr>
          <w:b/>
          <w:color w:val="0050A0"/>
          <w:sz w:val="20"/>
        </w:rPr>
        <w:t>STBC — STBC - SITAB COTE D'IVOIRE</w:t>
      </w:r>
    </w:p>
    <w:p>
      <w:pPr>
        <w:pStyle w:val="ListBullet"/>
        <w:spacing w:before="20"/>
        <w:ind w:left="400"/>
      </w:pPr>
      <w:r>
        <w:rPr>
          <w:sz w:val="18"/>
        </w:rPr>
        <w:t>🟠 Divergence tech(VENTE) / fond(ACHAT) — recommandation ajustée à ACHAT</w:t>
      </w:r>
    </w:p>
    <w:p>
      <w:pPr>
        <w:spacing w:before="120"/>
      </w:pPr>
      <w:r>
        <w:rPr>
          <w:b/>
          <w:color w:val="0050A0"/>
          <w:sz w:val="20"/>
        </w:rPr>
        <w:t>TTLS — TTLS - TOTAL ENERGIES MARKETING SENEGAL</w:t>
      </w:r>
    </w:p>
    <w:p>
      <w:pPr>
        <w:pStyle w:val="ListBullet"/>
        <w:spacing w:before="20"/>
        <w:ind w:left="400"/>
      </w:pPr>
      <w:r>
        <w:rPr>
          <w:sz w:val="18"/>
        </w:rPr>
        <w:t>🟠 Divergence tech(VENTE) / fond(ACHAT) — recommandation ajustée à ACHAT</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22 société(s) (47%)</w:t>
            </w:r>
          </w:p>
        </w:tc>
        <w:tc>
          <w:tcPr>
            <w:tcW w:type="dxa" w:w="1644"/>
            <w:shd w:fill="FFEB9C" w:val="clear"/>
          </w:tcPr>
          <w:p>
            <w:r>
              <w:rPr>
                <w:b/>
                <w:color w:val="825A00"/>
                <w:sz w:val="19"/>
              </w:rPr>
              <w:t>25 société(s) (53%)</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21.2/100</w:t>
            </w:r>
          </w:p>
        </w:tc>
        <w:tc>
          <w:tcPr>
            <w:tcW w:type="dxa" w:w="1644"/>
            <w:shd w:fill="DEEAF1" w:val="clear"/>
          </w:tcPr>
          <w:p>
            <w:r>
              <w:rPr>
                <w:b/>
                <w:color w:val="000000"/>
                <w:sz w:val="19"/>
              </w:rPr>
              <w:t>20.3/100</w:t>
            </w:r>
          </w:p>
        </w:tc>
      </w:tr>
    </w:tbl>
    <w:p/>
    <w:p>
      <w:r>
        <w:rPr>
          <w:i/>
          <w:color w:val="006400"/>
          <w:sz w:val="18"/>
        </w:rPr>
        <w:t>✅ Le marché BRVM présente globalement un profil de risque FAIBLE (score moyen 21.2/100).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NEIC</w:t>
            </w:r>
          </w:p>
        </w:tc>
        <w:tc>
          <w:tcPr>
            <w:tcW w:type="dxa" w:w="2268"/>
            <w:shd w:fill="FFFFFF" w:val="clear"/>
          </w:tcPr>
          <w:p>
            <w:r>
              <w:rPr>
                <w:sz w:val="16"/>
              </w:rPr>
              <w:t>NEIC - NEI-CEDA CI</w:t>
            </w:r>
          </w:p>
        </w:tc>
        <w:tc>
          <w:tcPr>
            <w:tcW w:type="dxa" w:w="1701"/>
            <w:shd w:fill="FFFFFF" w:val="clear"/>
          </w:tcPr>
          <w:p>
            <w:r>
              <w:rPr>
                <w:sz w:val="16"/>
              </w:rPr>
              <w:t>CONSOMMATION DISCR</w:t>
            </w:r>
          </w:p>
        </w:tc>
        <w:tc>
          <w:tcPr>
            <w:tcW w:type="dxa" w:w="1020"/>
            <w:shd w:fill="FFEB9C" w:val="clear"/>
          </w:tcPr>
          <w:p>
            <w:r>
              <w:rPr>
                <w:b/>
                <w:color w:val="B40000"/>
                <w:sz w:val="16"/>
              </w:rPr>
              <w:t>30.8/100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CBIBF</w:t>
            </w:r>
          </w:p>
        </w:tc>
        <w:tc>
          <w:tcPr>
            <w:tcW w:type="dxa" w:w="2268"/>
            <w:shd w:fill="FFFFFF" w:val="clear"/>
          </w:tcPr>
          <w:p>
            <w:r>
              <w:rPr>
                <w:sz w:val="16"/>
              </w:rPr>
              <w:t>CBIBF - CORIS BANK INTERNATI…</w:t>
            </w:r>
          </w:p>
        </w:tc>
        <w:tc>
          <w:tcPr>
            <w:tcW w:type="dxa" w:w="1701"/>
            <w:shd w:fill="FFFFFF" w:val="clear"/>
          </w:tcPr>
          <w:p>
            <w:r>
              <w:rPr>
                <w:sz w:val="16"/>
              </w:rPr>
              <w:t>SERVICES FINANCIER</w:t>
            </w:r>
          </w:p>
        </w:tc>
        <w:tc>
          <w:tcPr>
            <w:tcW w:type="dxa" w:w="1020"/>
            <w:shd w:fill="FFEB9C" w:val="clear"/>
          </w:tcPr>
          <w:p>
            <w:r>
              <w:rPr>
                <w:b/>
                <w:color w:val="B40000"/>
                <w:sz w:val="16"/>
              </w:rPr>
              <w:t>30.1/100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30.1/100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NEIC (30.8/100 — Moyen) : </w:t>
      </w:r>
      <w:r>
        <w:rPr>
          <w:sz w:val="17"/>
        </w:rPr>
        <w:t>Volatilité=Élevée | Bêta=Contre-cyclique | Liquidité=Bonne | Divergence signaux=taux divergence=20% (Mixte ⚠️) | Stabilité=Modérée</w:t>
      </w:r>
    </w:p>
    <w:p>
      <w:pPr>
        <w:pStyle w:val="ListBullet"/>
      </w:pPr>
      <w:r>
        <w:rPr>
          <w:b/>
          <w:color w:val="B40000"/>
          <w:sz w:val="18"/>
        </w:rPr>
        <w:t xml:space="preserve">#4 CBIBF (30.1/100 — Moyen) : </w:t>
      </w:r>
      <w:r>
        <w:rPr>
          <w:sz w:val="17"/>
        </w:rPr>
        <w:t>Volatilité=Élevée | Bêta=Neutre  | Liquidité=Bonne | Divergence signaux=taux divergence=40% (Très divergent ❌) | Stabilité=Stable</w:t>
      </w:r>
    </w:p>
    <w:p>
      <w:pPr>
        <w:pStyle w:val="ListBullet"/>
      </w:pPr>
      <w:r>
        <w:rPr>
          <w:b/>
          <w:color w:val="B40000"/>
          <w:sz w:val="18"/>
        </w:rPr>
        <w:t xml:space="preserve">#5 SAFC (30.1/100 — Moyen) : </w:t>
      </w:r>
      <w:r>
        <w:rPr>
          <w:sz w:val="17"/>
        </w:rPr>
        <w:t>Volatilité=Élevée | Bêta=Défensif | Liquidité=Bonne | Divergence signaux=taux divergence=20% (Mixte ⚠️) | Stabilité=Instable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LNBB</w:t>
            </w:r>
          </w:p>
        </w:tc>
        <w:tc>
          <w:tcPr>
            <w:tcW w:type="dxa" w:w="2268"/>
            <w:shd w:fill="FFFFFF" w:val="clear"/>
          </w:tcPr>
          <w:p>
            <w:r>
              <w:rPr>
                <w:sz w:val="16"/>
              </w:rPr>
              <w:t>LNBB - LOTERIE NATIONALE DU …</w:t>
            </w:r>
          </w:p>
        </w:tc>
        <w:tc>
          <w:tcPr>
            <w:tcW w:type="dxa" w:w="1701"/>
            <w:shd w:fill="FFFFFF" w:val="clear"/>
          </w:tcPr>
          <w:p>
            <w:r>
              <w:rPr>
                <w:sz w:val="16"/>
              </w:rPr>
              <w:t>CONSOMMATION DISCR</w:t>
            </w:r>
          </w:p>
        </w:tc>
        <w:tc>
          <w:tcPr>
            <w:tcW w:type="dxa" w:w="1020"/>
            <w:shd w:fill="C6EFCE" w:val="clear"/>
          </w:tcPr>
          <w:p>
            <w:r>
              <w:rPr>
                <w:b/>
                <w:color w:val="007800"/>
                <w:sz w:val="16"/>
              </w:rPr>
              <w:t>14.3/100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30.8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Instable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29.5</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28.0</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27.8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FFEB9C" w:val="clear"/>
          </w:tcPr>
          <w:p>
            <w:r>
              <w:rPr>
                <w:b/>
                <w:color w:val="825A00"/>
                <w:sz w:val="15"/>
              </w:rPr>
              <w:t>27.3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25.3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Très 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24.0</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Convergent ✅ / Modérée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23.3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Très divergent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19.8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17.8</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14.3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-3.79%  |  Médiane : -3.26%</w:t>
            </w:r>
          </w:p>
        </w:tc>
      </w:tr>
      <w:tr>
        <w:tc>
          <w:tcPr>
            <w:tcW w:type="dxa" w:w="2835"/>
            <w:shd w:fill="DEEAF1" w:val="clear"/>
          </w:tcPr>
          <w:p>
            <w:r>
              <w:rPr>
                <w:b/>
                <w:sz w:val="18"/>
              </w:rPr>
              <w:t>Répartition</w:t>
            </w:r>
          </w:p>
        </w:tc>
        <w:tc>
          <w:tcPr>
            <w:tcW w:type="dxa" w:w="7370"/>
          </w:tcPr>
          <w:p>
            <w:r>
              <w:rPr>
                <w:b/>
                <w:sz w:val="18"/>
              </w:rPr>
              <w:t>📈 8 sociétés en hausse (&gt;+1%)   📉 35 en baisse (&lt;-1%)   ➡️ 4 neutres</w:t>
            </w:r>
          </w:p>
        </w:tc>
      </w:tr>
      <w:tr>
        <w:tc>
          <w:tcPr>
            <w:tcW w:type="dxa" w:w="2835"/>
            <w:shd w:fill="DEEAF1" w:val="clear"/>
          </w:tcPr>
          <w:p>
            <w:r>
              <w:rPr>
                <w:b/>
                <w:sz w:val="18"/>
              </w:rPr>
              <w:t>Confiance globale</w:t>
            </w:r>
          </w:p>
        </w:tc>
        <w:tc>
          <w:tcPr>
            <w:tcW w:type="dxa" w:w="7370"/>
          </w:tcPr>
          <w:p>
            <w:r>
              <w:rPr>
                <w:b/>
                <w:sz w:val="18"/>
              </w:rPr>
              <w:t>Élevée : 0 sociétés (0%)   Moyenne : 16   Faible : 31 (66%)   → Confiance dominante : Faible</w:t>
            </w:r>
          </w:p>
        </w:tc>
      </w:tr>
    </w:tbl>
    <w:p/>
    <w:p>
      <w:r>
        <w:rPr>
          <w:i/>
          <w:color w:val="282828"/>
          <w:sz w:val="18"/>
        </w:rPr>
        <w:t>📝 Analyse : Les modèles anticipent une correction généralisée. 35 sociétés sur 47 sont orientées à la baisse avec une variation moyenne de -3.79%.</w:t>
      </w:r>
    </w:p>
    <w:p>
      <w:r>
        <w:rPr>
          <w:i/>
          <w:color w:val="282828"/>
          <w:sz w:val="18"/>
        </w:rPr>
        <w:t>🎯 Fiabilité : ⚠️ La confiance est globalement FAIBLE (66%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SLBC — SLBC - SOLIBRA COTE D'IVOIRE</w:t>
            </w:r>
          </w:p>
        </w:tc>
        <w:tc>
          <w:tcPr>
            <w:tcW w:type="dxa" w:w="1701"/>
            <w:shd w:fill="FFFFFF" w:val="clear"/>
          </w:tcPr>
          <w:p>
            <w:r>
              <w:rPr>
                <w:sz w:val="16"/>
              </w:rPr>
              <w:t>CONSOMMATION DE BASE</w:t>
            </w:r>
          </w:p>
        </w:tc>
        <w:tc>
          <w:tcPr>
            <w:tcW w:type="dxa" w:w="1417"/>
            <w:shd w:fill="FFFFFF" w:val="clear"/>
          </w:tcPr>
          <w:p>
            <w:r>
              <w:rPr>
                <w:sz w:val="16"/>
              </w:rPr>
              <w:t>37,905 FCFA</w:t>
            </w:r>
          </w:p>
        </w:tc>
        <w:tc>
          <w:tcPr>
            <w:tcW w:type="dxa" w:w="1417"/>
            <w:shd w:fill="FFFFFF" w:val="clear"/>
          </w:tcPr>
          <w:p>
            <w:r>
              <w:rPr>
                <w:sz w:val="16"/>
              </w:rPr>
              <w:t>41,377 FCFA</w:t>
            </w:r>
          </w:p>
        </w:tc>
        <w:tc>
          <w:tcPr>
            <w:tcW w:type="dxa" w:w="1134"/>
            <w:shd w:fill="C6EFCE" w:val="clear"/>
          </w:tcPr>
          <w:p>
            <w:r>
              <w:rPr>
                <w:b/>
                <w:color w:val="007800"/>
                <w:sz w:val="16"/>
              </w:rPr>
              <w:t>+9.16%</w:t>
            </w:r>
          </w:p>
        </w:tc>
        <w:tc>
          <w:tcPr>
            <w:tcW w:type="dxa" w:w="1020"/>
            <w:shd w:fill="FFEB9C" w:val="clear"/>
          </w:tcPr>
          <w:p>
            <w:r>
              <w:rPr>
                <w:sz w:val="16"/>
              </w:rPr>
              <w:t>Moyenne</w:t>
            </w:r>
          </w:p>
        </w:tc>
      </w:tr>
      <w:tr>
        <w:tc>
          <w:tcPr>
            <w:tcW w:type="dxa" w:w="680"/>
            <w:shd w:fill="FFFFFF" w:val="clear"/>
          </w:tcPr>
          <w:p>
            <w:r>
              <w:rPr>
                <w:b/>
                <w:sz w:val="16"/>
              </w:rPr>
              <w:t>#2</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22,200 FCFA</w:t>
            </w:r>
          </w:p>
        </w:tc>
        <w:tc>
          <w:tcPr>
            <w:tcW w:type="dxa" w:w="1417"/>
            <w:shd w:fill="FFFFFF" w:val="clear"/>
          </w:tcPr>
          <w:p>
            <w:r>
              <w:rPr>
                <w:sz w:val="16"/>
              </w:rPr>
              <w:t>24,093 FCFA</w:t>
            </w:r>
          </w:p>
        </w:tc>
        <w:tc>
          <w:tcPr>
            <w:tcW w:type="dxa" w:w="1134"/>
            <w:shd w:fill="C6EFCE" w:val="clear"/>
          </w:tcPr>
          <w:p>
            <w:r>
              <w:rPr>
                <w:b/>
                <w:color w:val="007800"/>
                <w:sz w:val="16"/>
              </w:rPr>
              <w:t>+8.53%</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3,290 FCFA</w:t>
            </w:r>
          </w:p>
        </w:tc>
        <w:tc>
          <w:tcPr>
            <w:tcW w:type="dxa" w:w="1417"/>
            <w:shd w:fill="FFFFFF" w:val="clear"/>
          </w:tcPr>
          <w:p>
            <w:r>
              <w:rPr>
                <w:sz w:val="16"/>
              </w:rPr>
              <w:t>3,446 FCFA</w:t>
            </w:r>
          </w:p>
        </w:tc>
        <w:tc>
          <w:tcPr>
            <w:tcW w:type="dxa" w:w="1134"/>
            <w:shd w:fill="C6EFCE" w:val="clear"/>
          </w:tcPr>
          <w:p>
            <w:r>
              <w:rPr>
                <w:b/>
                <w:color w:val="007800"/>
                <w:sz w:val="16"/>
              </w:rPr>
              <w:t>+4.74%</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LNBB — LNBB - LOTERIE NATIONALE DU BENIN</w:t>
            </w:r>
          </w:p>
        </w:tc>
        <w:tc>
          <w:tcPr>
            <w:tcW w:type="dxa" w:w="1701"/>
            <w:shd w:fill="FFFFFF" w:val="clear"/>
          </w:tcPr>
          <w:p>
            <w:r>
              <w:rPr>
                <w:sz w:val="16"/>
              </w:rPr>
              <w:t>CONSOMMATION DISCRET</w:t>
            </w:r>
          </w:p>
        </w:tc>
        <w:tc>
          <w:tcPr>
            <w:tcW w:type="dxa" w:w="1417"/>
            <w:shd w:fill="FFFFFF" w:val="clear"/>
          </w:tcPr>
          <w:p>
            <w:r>
              <w:rPr>
                <w:sz w:val="16"/>
              </w:rPr>
              <w:t>4,000 FCFA</w:t>
            </w:r>
          </w:p>
        </w:tc>
        <w:tc>
          <w:tcPr>
            <w:tcW w:type="dxa" w:w="1417"/>
            <w:shd w:fill="FFFFFF" w:val="clear"/>
          </w:tcPr>
          <w:p>
            <w:r>
              <w:rPr>
                <w:sz w:val="16"/>
              </w:rPr>
              <w:t>4,174 FCFA</w:t>
            </w:r>
          </w:p>
        </w:tc>
        <w:tc>
          <w:tcPr>
            <w:tcW w:type="dxa" w:w="1134"/>
            <w:shd w:fill="C6EFCE" w:val="clear"/>
          </w:tcPr>
          <w:p>
            <w:r>
              <w:rPr>
                <w:b/>
                <w:color w:val="007800"/>
                <w:sz w:val="16"/>
              </w:rPr>
              <w:t>+4.36%</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SDCC — SDCC - Société de Distribution d'Ea...</w:t>
            </w:r>
          </w:p>
        </w:tc>
        <w:tc>
          <w:tcPr>
            <w:tcW w:type="dxa" w:w="1701"/>
            <w:shd w:fill="FFFFFF" w:val="clear"/>
          </w:tcPr>
          <w:p>
            <w:r>
              <w:rPr>
                <w:sz w:val="16"/>
              </w:rPr>
              <w:t>SERVICES PUBLICS</w:t>
            </w:r>
          </w:p>
        </w:tc>
        <w:tc>
          <w:tcPr>
            <w:tcW w:type="dxa" w:w="1417"/>
            <w:shd w:fill="FFFFFF" w:val="clear"/>
          </w:tcPr>
          <w:p>
            <w:r>
              <w:rPr>
                <w:sz w:val="16"/>
              </w:rPr>
              <w:t>13,400 FCFA</w:t>
            </w:r>
          </w:p>
        </w:tc>
        <w:tc>
          <w:tcPr>
            <w:tcW w:type="dxa" w:w="1417"/>
            <w:shd w:fill="FFFFFF" w:val="clear"/>
          </w:tcPr>
          <w:p>
            <w:r>
              <w:rPr>
                <w:sz w:val="16"/>
              </w:rPr>
              <w:t>13,976 FCFA</w:t>
            </w:r>
          </w:p>
        </w:tc>
        <w:tc>
          <w:tcPr>
            <w:tcW w:type="dxa" w:w="1134"/>
            <w:shd w:fill="C6EFCE" w:val="clear"/>
          </w:tcPr>
          <w:p>
            <w:r>
              <w:rPr>
                <w:b/>
                <w:color w:val="007800"/>
                <w:sz w:val="16"/>
              </w:rPr>
              <w:t>+4.30%</w:t>
            </w:r>
          </w:p>
        </w:tc>
        <w:tc>
          <w:tcPr>
            <w:tcW w:type="dxa" w:w="1020"/>
            <w:shd w:fill="FFC7CE" w:val="clear"/>
          </w:tcPr>
          <w:p>
            <w:r>
              <w:rPr>
                <w:sz w:val="16"/>
              </w:rPr>
              <w:t>Faible</w:t>
            </w:r>
          </w:p>
        </w:tc>
      </w:tr>
    </w:tbl>
    <w:p/>
    <w:p>
      <w:pPr>
        <w:pStyle w:val="ListBullet"/>
      </w:pPr>
      <w:r>
        <w:rPr>
          <w:b/>
          <w:color w:val="006400"/>
          <w:sz w:val="18"/>
        </w:rPr>
        <w:t xml:space="preserve">#1 SLBC </w:t>
      </w:r>
      <w:r>
        <w:rPr>
          <w:sz w:val="17"/>
        </w:rPr>
        <w:t>(SLBC - SOLIBRA COTE D'IVOIRE) — hausse modérée (+9.2%) — signal raisonnable et crédible. Trajectoire : 📈 Hausse continue. Cours actuel : 37,905 FCFA → prédit J+10 : 41,377 FCFA. Confiance partielle — les premiers jours sont fiables, les jours lointains moins précis.</w:t>
      </w:r>
    </w:p>
    <w:p>
      <w:pPr>
        <w:pStyle w:val="ListBullet"/>
      </w:pPr>
      <w:r>
        <w:rPr>
          <w:b/>
          <w:color w:val="006400"/>
          <w:sz w:val="18"/>
        </w:rPr>
        <w:t xml:space="preserve">#2 STBC </w:t>
      </w:r>
      <w:r>
        <w:rPr>
          <w:sz w:val="17"/>
        </w:rPr>
        <w:t>(STBC - SITAB COTE D'IVOIRE) — hausse modérée (+8.5%) — signal raisonnable et crédible. Trajectoire : 📈 Hausse continue. Cours actuel : 22,200 FCFA → prédit J+10 : 24,093 FCFA. ⚠️ Confiance limitée — volatilité élevée ou données insuffisantes. Résultat indicatif uniquement.</w:t>
      </w:r>
    </w:p>
    <w:p>
      <w:pPr>
        <w:pStyle w:val="ListBullet"/>
      </w:pPr>
      <w:r>
        <w:rPr>
          <w:b/>
          <w:color w:val="006400"/>
          <w:sz w:val="18"/>
        </w:rPr>
        <w:t xml:space="preserve">#3 SCRC </w:t>
      </w:r>
      <w:r>
        <w:rPr>
          <w:sz w:val="17"/>
        </w:rPr>
        <w:t>(SCRC - SUCRIVOIRE) — légère hausse (+4.7%) — progression graduelle attendue. Trajectoire : 📈 Hausse continue. Cours actuel : 3,290 FCFA → prédit J+10 : 3,446 FCFA. ⚠️ Confiance limitée — volatilité élevée ou données insuffisantes. Résultat indicatif uniquement.</w:t>
      </w:r>
    </w:p>
    <w:p>
      <w:pPr>
        <w:pStyle w:val="ListBullet"/>
      </w:pPr>
      <w:r>
        <w:rPr>
          <w:b/>
          <w:color w:val="006400"/>
          <w:sz w:val="18"/>
        </w:rPr>
        <w:t xml:space="preserve">#4 LNBB </w:t>
      </w:r>
      <w:r>
        <w:rPr>
          <w:sz w:val="17"/>
        </w:rPr>
        <w:t>(LNBB - LOTERIE NATIONALE DU BENIN) — légère hausse (+4.4%) — progression graduelle attendue. Trajectoire : 📈 Hausse continue. Cours actuel : 4,000 FCFA → prédit J+10 : 4,174 FCFA. ⚠️ Confiance limitée — volatilité élevée ou données insuffisantes. Résultat indicatif uniquement.</w:t>
      </w:r>
    </w:p>
    <w:p>
      <w:pPr>
        <w:pStyle w:val="ListBullet"/>
      </w:pPr>
      <w:r>
        <w:rPr>
          <w:b/>
          <w:color w:val="006400"/>
          <w:sz w:val="18"/>
        </w:rPr>
        <w:t xml:space="preserve">#5 SDCC </w:t>
      </w:r>
      <w:r>
        <w:rPr>
          <w:sz w:val="17"/>
        </w:rPr>
        <w:t>(SDCC - Société de Distribution d'Eau de ) — légère hausse (+4.3%) — progression graduelle attendue. Trajectoire : 📈 Hausse continue. Cours actuel : 13,400 FCFA → prédit J+10 : 13,976 FCFA. ⚠️ Confiance limitée — volatilité élevée ou données insuffisantes. Résultat indicatif uniquement.</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34,300 FCFA</w:t>
            </w:r>
          </w:p>
        </w:tc>
        <w:tc>
          <w:tcPr>
            <w:tcW w:type="dxa" w:w="1417"/>
            <w:shd w:fill="FFFFFF" w:val="clear"/>
          </w:tcPr>
          <w:p>
            <w:r>
              <w:rPr>
                <w:sz w:val="16"/>
              </w:rPr>
              <w:t>28,507 FCFA</w:t>
            </w:r>
          </w:p>
        </w:tc>
        <w:tc>
          <w:tcPr>
            <w:tcW w:type="dxa" w:w="1134"/>
            <w:shd w:fill="FFC7CE" w:val="clear"/>
          </w:tcPr>
          <w:p>
            <w:r>
              <w:rPr>
                <w:b/>
                <w:color w:val="B40000"/>
                <w:sz w:val="16"/>
              </w:rPr>
              <w:t>-16.89%</w:t>
            </w:r>
          </w:p>
        </w:tc>
        <w:tc>
          <w:tcPr>
            <w:tcW w:type="dxa" w:w="1020"/>
            <w:shd w:fill="FFEB9C" w:val="clear"/>
          </w:tcPr>
          <w:p>
            <w:r>
              <w:rPr>
                <w:sz w:val="16"/>
              </w:rPr>
              <w:t>Moyenne</w:t>
            </w:r>
          </w:p>
        </w:tc>
      </w:tr>
      <w:tr>
        <w:tc>
          <w:tcPr>
            <w:tcW w:type="dxa" w:w="680"/>
            <w:shd w:fill="FFFFFF" w:val="clear"/>
          </w:tcPr>
          <w:p>
            <w:r>
              <w:rPr>
                <w:b/>
                <w:sz w:val="16"/>
              </w:rPr>
              <w:t>#2</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7,100 FCFA</w:t>
            </w:r>
          </w:p>
        </w:tc>
        <w:tc>
          <w:tcPr>
            <w:tcW w:type="dxa" w:w="1417"/>
            <w:shd w:fill="FFFFFF" w:val="clear"/>
          </w:tcPr>
          <w:p>
            <w:r>
              <w:rPr>
                <w:sz w:val="16"/>
              </w:rPr>
              <w:t>5,987 FCFA</w:t>
            </w:r>
          </w:p>
        </w:tc>
        <w:tc>
          <w:tcPr>
            <w:tcW w:type="dxa" w:w="1134"/>
            <w:shd w:fill="FFC7CE" w:val="clear"/>
          </w:tcPr>
          <w:p>
            <w:r>
              <w:rPr>
                <w:b/>
                <w:color w:val="B40000"/>
                <w:sz w:val="16"/>
              </w:rPr>
              <w:t>-15.67%</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SICC — SICC - SICOR COTE D'IVOIRE</w:t>
            </w:r>
          </w:p>
        </w:tc>
        <w:tc>
          <w:tcPr>
            <w:tcW w:type="dxa" w:w="1701"/>
            <w:shd w:fill="FFFFFF" w:val="clear"/>
          </w:tcPr>
          <w:p>
            <w:r>
              <w:rPr>
                <w:sz w:val="16"/>
              </w:rPr>
              <w:t>CONSOMMATION DE BASE</w:t>
            </w:r>
          </w:p>
        </w:tc>
        <w:tc>
          <w:tcPr>
            <w:tcW w:type="dxa" w:w="1417"/>
            <w:shd w:fill="FFFFFF" w:val="clear"/>
          </w:tcPr>
          <w:p>
            <w:r>
              <w:rPr>
                <w:sz w:val="16"/>
              </w:rPr>
              <w:t>8,495 FCFA</w:t>
            </w:r>
          </w:p>
        </w:tc>
        <w:tc>
          <w:tcPr>
            <w:tcW w:type="dxa" w:w="1417"/>
            <w:shd w:fill="FFFFFF" w:val="clear"/>
          </w:tcPr>
          <w:p>
            <w:r>
              <w:rPr>
                <w:sz w:val="16"/>
              </w:rPr>
              <w:t>7,294 FCFA</w:t>
            </w:r>
          </w:p>
        </w:tc>
        <w:tc>
          <w:tcPr>
            <w:tcW w:type="dxa" w:w="1134"/>
            <w:shd w:fill="FFC7CE" w:val="clear"/>
          </w:tcPr>
          <w:p>
            <w:r>
              <w:rPr>
                <w:b/>
                <w:color w:val="B40000"/>
                <w:sz w:val="16"/>
              </w:rPr>
              <w:t>-14.14%</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SHEC — SHEC - VIVO ENERGY COTE D'IVOIRE</w:t>
            </w:r>
          </w:p>
        </w:tc>
        <w:tc>
          <w:tcPr>
            <w:tcW w:type="dxa" w:w="1701"/>
            <w:shd w:fill="FFFFFF" w:val="clear"/>
          </w:tcPr>
          <w:p>
            <w:r>
              <w:rPr>
                <w:sz w:val="16"/>
              </w:rPr>
              <w:t>ENERGIE</w:t>
            </w:r>
          </w:p>
        </w:tc>
        <w:tc>
          <w:tcPr>
            <w:tcW w:type="dxa" w:w="1417"/>
            <w:shd w:fill="FFFFFF" w:val="clear"/>
          </w:tcPr>
          <w:p>
            <w:r>
              <w:rPr>
                <w:sz w:val="16"/>
              </w:rPr>
              <w:t>2,550 FCFA</w:t>
            </w:r>
          </w:p>
        </w:tc>
        <w:tc>
          <w:tcPr>
            <w:tcW w:type="dxa" w:w="1417"/>
            <w:shd w:fill="FFFFFF" w:val="clear"/>
          </w:tcPr>
          <w:p>
            <w:r>
              <w:rPr>
                <w:sz w:val="16"/>
              </w:rPr>
              <w:t>2,203 FCFA</w:t>
            </w:r>
          </w:p>
        </w:tc>
        <w:tc>
          <w:tcPr>
            <w:tcW w:type="dxa" w:w="1134"/>
            <w:shd w:fill="FFC7CE" w:val="clear"/>
          </w:tcPr>
          <w:p>
            <w:r>
              <w:rPr>
                <w:b/>
                <w:color w:val="B40000"/>
                <w:sz w:val="16"/>
              </w:rPr>
              <w:t>-13.60%</w:t>
            </w:r>
          </w:p>
        </w:tc>
        <w:tc>
          <w:tcPr>
            <w:tcW w:type="dxa" w:w="1020"/>
            <w:shd w:fill="FFEB9C" w:val="clear"/>
          </w:tcPr>
          <w:p>
            <w:r>
              <w:rPr>
                <w:sz w:val="16"/>
              </w:rPr>
              <w:t>Moyenne</w:t>
            </w:r>
          </w:p>
        </w:tc>
      </w:tr>
      <w:tr>
        <w:tc>
          <w:tcPr>
            <w:tcW w:type="dxa" w:w="680"/>
            <w:shd w:fill="FFFFFF" w:val="clear"/>
          </w:tcPr>
          <w:p>
            <w:r>
              <w:rPr>
                <w:b/>
                <w:sz w:val="16"/>
              </w:rPr>
              <w:t>#5</w:t>
            </w:r>
          </w:p>
        </w:tc>
        <w:tc>
          <w:tcPr>
            <w:tcW w:type="dxa" w:w="2835"/>
            <w:shd w:fill="FFC7CE" w:val="clear"/>
          </w:tcPr>
          <w:p>
            <w:r>
              <w:rPr>
                <w:sz w:val="16"/>
              </w:rPr>
              <w:t>ABJC — ABJC - SERVAIR ABIDJAN CI</w:t>
            </w:r>
          </w:p>
        </w:tc>
        <w:tc>
          <w:tcPr>
            <w:tcW w:type="dxa" w:w="1701"/>
            <w:shd w:fill="FFFFFF" w:val="clear"/>
          </w:tcPr>
          <w:p>
            <w:r>
              <w:rPr>
                <w:sz w:val="16"/>
              </w:rPr>
              <w:t>CONSOMMATION DISCRET</w:t>
            </w:r>
          </w:p>
        </w:tc>
        <w:tc>
          <w:tcPr>
            <w:tcW w:type="dxa" w:w="1417"/>
            <w:shd w:fill="FFFFFF" w:val="clear"/>
          </w:tcPr>
          <w:p>
            <w:r>
              <w:rPr>
                <w:sz w:val="16"/>
              </w:rPr>
              <w:t>4,095 FCFA</w:t>
            </w:r>
          </w:p>
        </w:tc>
        <w:tc>
          <w:tcPr>
            <w:tcW w:type="dxa" w:w="1417"/>
            <w:shd w:fill="FFFFFF" w:val="clear"/>
          </w:tcPr>
          <w:p>
            <w:r>
              <w:rPr>
                <w:sz w:val="16"/>
              </w:rPr>
              <w:t>3,594 FCFA</w:t>
            </w:r>
          </w:p>
        </w:tc>
        <w:tc>
          <w:tcPr>
            <w:tcW w:type="dxa" w:w="1134"/>
            <w:shd w:fill="FFC7CE" w:val="clear"/>
          </w:tcPr>
          <w:p>
            <w:r>
              <w:rPr>
                <w:b/>
                <w:color w:val="B40000"/>
                <w:sz w:val="16"/>
              </w:rPr>
              <w:t>-12.24%</w:t>
            </w:r>
          </w:p>
        </w:tc>
        <w:tc>
          <w:tcPr>
            <w:tcW w:type="dxa" w:w="1020"/>
            <w:shd w:fill="FFC7CE" w:val="clear"/>
          </w:tcPr>
          <w:p>
            <w:r>
              <w:rPr>
                <w:sz w:val="16"/>
              </w:rPr>
              <w:t>Faible</w:t>
            </w:r>
          </w:p>
        </w:tc>
      </w:tr>
    </w:tbl>
    <w:p/>
    <w:p>
      <w:pPr>
        <w:pStyle w:val="ListBullet"/>
      </w:pPr>
      <w:r>
        <w:rPr>
          <w:b/>
          <w:color w:val="B40000"/>
          <w:sz w:val="18"/>
        </w:rPr>
        <w:t xml:space="preserve">#1 CBIBF </w:t>
      </w:r>
      <w:r>
        <w:rPr>
          <w:sz w:val="17"/>
        </w:rPr>
        <w:t>(CBIBF - CORIS BANK INTERNATIONAL BURKINA) — correction importante (-16.9%) — signal de dégradation significative. Trajectoire : 📉 Baisse continue. Cours actuel : 34,300 FCFA → prédit J+10 : 28,507 FCFA. Confiance partielle — surveiller l'évolution réelle des premiers jours.</w:t>
      </w:r>
    </w:p>
    <w:p>
      <w:pPr>
        <w:pStyle w:val="ListBullet"/>
      </w:pPr>
      <w:r>
        <w:rPr>
          <w:b/>
          <w:color w:val="B40000"/>
          <w:sz w:val="18"/>
        </w:rPr>
        <w:t xml:space="preserve">#2 CIEC </w:t>
      </w:r>
      <w:r>
        <w:rPr>
          <w:sz w:val="17"/>
        </w:rPr>
        <w:t>(CIEC - Compagnie Ivoirienne d'Electricit) — correction importante (-15.7%) — signal de dégradation significative. Trajectoire : 📉 Baisse continue. Cours actuel : 7,100 FCFA → prédit J+10 : 5,987 FCFA. ⚠️ Confiance limitée — volatilité élevée. Ne pas agir sur ce seul signal.</w:t>
      </w:r>
    </w:p>
    <w:p>
      <w:pPr>
        <w:pStyle w:val="ListBullet"/>
      </w:pPr>
      <w:r>
        <w:rPr>
          <w:b/>
          <w:color w:val="B40000"/>
          <w:sz w:val="18"/>
        </w:rPr>
        <w:t xml:space="preserve">#3 SICC </w:t>
      </w:r>
      <w:r>
        <w:rPr>
          <w:sz w:val="17"/>
        </w:rPr>
        <w:t>(SICC - SICOR COTE D'IVOIRE) — baisse modérée (-14.1%) — repli technique attendu. Trajectoire : 📉 Baisse continue. Cours actuel : 8,495 FCFA → prédit J+10 : 7,294 FCFA. ⚠️ Confiance limitée — volatilité élevée. Ne pas agir sur ce seul signal.</w:t>
      </w:r>
    </w:p>
    <w:p>
      <w:pPr>
        <w:pStyle w:val="ListBullet"/>
      </w:pPr>
      <w:r>
        <w:rPr>
          <w:b/>
          <w:color w:val="B40000"/>
          <w:sz w:val="18"/>
        </w:rPr>
        <w:t xml:space="preserve">#4 SHEC </w:t>
      </w:r>
      <w:r>
        <w:rPr>
          <w:sz w:val="17"/>
        </w:rPr>
        <w:t>(SHEC - VIVO ENERGY COTE D'IVOIRE) — baisse modérée (-13.6%) — repli technique attendu. Trajectoire : 📉 Baisse continue. Cours actuel : 2,550 FCFA → prédit J+10 : 2,203 FCFA. Confiance partielle — surveiller l'évolution réelle des premiers jours.</w:t>
      </w:r>
    </w:p>
    <w:p>
      <w:pPr>
        <w:pStyle w:val="ListBullet"/>
      </w:pPr>
      <w:r>
        <w:rPr>
          <w:b/>
          <w:color w:val="B40000"/>
          <w:sz w:val="18"/>
        </w:rPr>
        <w:t xml:space="preserve">#5 ABJC </w:t>
      </w:r>
      <w:r>
        <w:rPr>
          <w:sz w:val="17"/>
        </w:rPr>
        <w:t>(ABJC - SERVAIR ABIDJAN CI) — baisse modérée (-12.2%) — repli technique attendu. Trajectoire : 📉 Baisse continue. Cours actuel : 4,095 FCFA → prédit J+10 : 3,594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37,905</w:t>
            </w:r>
          </w:p>
        </w:tc>
        <w:tc>
          <w:tcPr>
            <w:tcW w:type="dxa" w:w="1417"/>
            <w:shd w:fill="FFFFFF" w:val="clear"/>
          </w:tcPr>
          <w:p>
            <w:r>
              <w:rPr>
                <w:sz w:val="16"/>
              </w:rPr>
              <w:t>41,377</w:t>
            </w:r>
          </w:p>
        </w:tc>
        <w:tc>
          <w:tcPr>
            <w:tcW w:type="dxa" w:w="1134"/>
            <w:shd w:fill="C6EFCE" w:val="clear"/>
          </w:tcPr>
          <w:p>
            <w:r>
              <w:rPr>
                <w:b/>
                <w:color w:val="007800"/>
                <w:sz w:val="16"/>
              </w:rPr>
              <w:t>+9.16%</w:t>
            </w:r>
          </w:p>
        </w:tc>
        <w:tc>
          <w:tcPr>
            <w:tcW w:type="dxa" w:w="1134"/>
            <w:shd w:fill="FFEB9C" w:val="clear"/>
          </w:tcPr>
          <w:p>
            <w:r>
              <w:rPr>
                <w:sz w:val="16"/>
              </w:rPr>
              <w:t>Moyenne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22,200</w:t>
            </w:r>
          </w:p>
        </w:tc>
        <w:tc>
          <w:tcPr>
            <w:tcW w:type="dxa" w:w="1417"/>
            <w:shd w:fill="FFFFFF" w:val="clear"/>
          </w:tcPr>
          <w:p>
            <w:r>
              <w:rPr>
                <w:sz w:val="16"/>
              </w:rPr>
              <w:t>24,093</w:t>
            </w:r>
          </w:p>
        </w:tc>
        <w:tc>
          <w:tcPr>
            <w:tcW w:type="dxa" w:w="1134"/>
            <w:shd w:fill="C6EFCE" w:val="clear"/>
          </w:tcPr>
          <w:p>
            <w:r>
              <w:rPr>
                <w:b/>
                <w:color w:val="007800"/>
                <w:sz w:val="16"/>
              </w:rPr>
              <w:t>+8.53%</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3,290</w:t>
            </w:r>
          </w:p>
        </w:tc>
        <w:tc>
          <w:tcPr>
            <w:tcW w:type="dxa" w:w="1417"/>
            <w:shd w:fill="FFFFFF" w:val="clear"/>
          </w:tcPr>
          <w:p>
            <w:r>
              <w:rPr>
                <w:sz w:val="16"/>
              </w:rPr>
              <w:t>3,446</w:t>
            </w:r>
          </w:p>
        </w:tc>
        <w:tc>
          <w:tcPr>
            <w:tcW w:type="dxa" w:w="1134"/>
            <w:shd w:fill="C6EFCE" w:val="clear"/>
          </w:tcPr>
          <w:p>
            <w:r>
              <w:rPr>
                <w:b/>
                <w:color w:val="007800"/>
                <w:sz w:val="16"/>
              </w:rPr>
              <w:t>+4.74%</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4,000</w:t>
            </w:r>
          </w:p>
        </w:tc>
        <w:tc>
          <w:tcPr>
            <w:tcW w:type="dxa" w:w="1417"/>
            <w:shd w:fill="FFFFFF" w:val="clear"/>
          </w:tcPr>
          <w:p>
            <w:r>
              <w:rPr>
                <w:sz w:val="16"/>
              </w:rPr>
              <w:t>4,174</w:t>
            </w:r>
          </w:p>
        </w:tc>
        <w:tc>
          <w:tcPr>
            <w:tcW w:type="dxa" w:w="1134"/>
            <w:shd w:fill="C6EFCE" w:val="clear"/>
          </w:tcPr>
          <w:p>
            <w:r>
              <w:rPr>
                <w:b/>
                <w:color w:val="007800"/>
                <w:sz w:val="16"/>
              </w:rPr>
              <w:t>+4.36%</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13,400</w:t>
            </w:r>
          </w:p>
        </w:tc>
        <w:tc>
          <w:tcPr>
            <w:tcW w:type="dxa" w:w="1417"/>
            <w:shd w:fill="FFFFFF" w:val="clear"/>
          </w:tcPr>
          <w:p>
            <w:r>
              <w:rPr>
                <w:sz w:val="16"/>
              </w:rPr>
              <w:t>13,976</w:t>
            </w:r>
          </w:p>
        </w:tc>
        <w:tc>
          <w:tcPr>
            <w:tcW w:type="dxa" w:w="1134"/>
            <w:shd w:fill="C6EFCE" w:val="clear"/>
          </w:tcPr>
          <w:p>
            <w:r>
              <w:rPr>
                <w:b/>
                <w:color w:val="007800"/>
                <w:sz w:val="16"/>
              </w:rPr>
              <w:t>+4.30%</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3,205</w:t>
            </w:r>
          </w:p>
        </w:tc>
        <w:tc>
          <w:tcPr>
            <w:tcW w:type="dxa" w:w="1417"/>
            <w:shd w:fill="FFFFFF" w:val="clear"/>
          </w:tcPr>
          <w:p>
            <w:r>
              <w:rPr>
                <w:sz w:val="16"/>
              </w:rPr>
              <w:t>3,282</w:t>
            </w:r>
          </w:p>
        </w:tc>
        <w:tc>
          <w:tcPr>
            <w:tcW w:type="dxa" w:w="1134"/>
            <w:shd w:fill="C6EFCE" w:val="clear"/>
          </w:tcPr>
          <w:p>
            <w:r>
              <w:rPr>
                <w:b/>
                <w:color w:val="007800"/>
                <w:sz w:val="16"/>
              </w:rPr>
              <w:t>+2.41%</w:t>
            </w:r>
          </w:p>
        </w:tc>
        <w:tc>
          <w:tcPr>
            <w:tcW w:type="dxa" w:w="1134"/>
            <w:shd w:fill="FFEB9C" w:val="clear"/>
          </w:tcPr>
          <w:p>
            <w:r>
              <w:rPr>
                <w:sz w:val="16"/>
              </w:rPr>
              <w:t>Moyenne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1,705</w:t>
            </w:r>
          </w:p>
        </w:tc>
        <w:tc>
          <w:tcPr>
            <w:tcW w:type="dxa" w:w="1417"/>
            <w:shd w:fill="FFFFFF" w:val="clear"/>
          </w:tcPr>
          <w:p>
            <w:r>
              <w:rPr>
                <w:sz w:val="16"/>
              </w:rPr>
              <w:t>1,731</w:t>
            </w:r>
          </w:p>
        </w:tc>
        <w:tc>
          <w:tcPr>
            <w:tcW w:type="dxa" w:w="1134"/>
            <w:shd w:fill="C6EFCE" w:val="clear"/>
          </w:tcPr>
          <w:p>
            <w:r>
              <w:rPr>
                <w:b/>
                <w:color w:val="007800"/>
                <w:sz w:val="16"/>
              </w:rPr>
              <w:t>+1.51%</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7,150</w:t>
            </w:r>
          </w:p>
        </w:tc>
        <w:tc>
          <w:tcPr>
            <w:tcW w:type="dxa" w:w="1417"/>
            <w:shd w:fill="FFFFFF" w:val="clear"/>
          </w:tcPr>
          <w:p>
            <w:r>
              <w:rPr>
                <w:sz w:val="16"/>
              </w:rPr>
              <w:t>7,238</w:t>
            </w:r>
          </w:p>
        </w:tc>
        <w:tc>
          <w:tcPr>
            <w:tcW w:type="dxa" w:w="1134"/>
            <w:shd w:fill="C6EFCE" w:val="clear"/>
          </w:tcPr>
          <w:p>
            <w:r>
              <w:rPr>
                <w:b/>
                <w:color w:val="007800"/>
                <w:sz w:val="16"/>
              </w:rPr>
              <w:t>+1.23%</w:t>
            </w:r>
          </w:p>
        </w:tc>
        <w:tc>
          <w:tcPr>
            <w:tcW w:type="dxa" w:w="1134"/>
            <w:shd w:fill="FFEB9C" w:val="clear"/>
          </w:tcPr>
          <w:p>
            <w:r>
              <w:rPr>
                <w:sz w:val="16"/>
              </w:rPr>
              <w:t>Moyenne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17,285</w:t>
            </w:r>
          </w:p>
        </w:tc>
        <w:tc>
          <w:tcPr>
            <w:tcW w:type="dxa" w:w="1417"/>
            <w:shd w:fill="FFFFFF" w:val="clear"/>
          </w:tcPr>
          <w:p>
            <w:r>
              <w:rPr>
                <w:sz w:val="16"/>
              </w:rPr>
              <w:t>17,446</w:t>
            </w:r>
          </w:p>
        </w:tc>
        <w:tc>
          <w:tcPr>
            <w:tcW w:type="dxa" w:w="1134"/>
            <w:shd w:fill="FFEB9C" w:val="clear"/>
          </w:tcPr>
          <w:p>
            <w:r>
              <w:rPr>
                <w:b/>
                <w:color w:val="646400"/>
                <w:sz w:val="16"/>
              </w:rPr>
              <w:t>+0.93%</w:t>
            </w:r>
          </w:p>
        </w:tc>
        <w:tc>
          <w:tcPr>
            <w:tcW w:type="dxa" w:w="1134"/>
            <w:shd w:fill="FFEB9C" w:val="clear"/>
          </w:tcPr>
          <w:p>
            <w:r>
              <w:rPr>
                <w:sz w:val="16"/>
              </w:rPr>
              <w:t>Moyenne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3,030</w:t>
            </w:r>
          </w:p>
        </w:tc>
        <w:tc>
          <w:tcPr>
            <w:tcW w:type="dxa" w:w="1417"/>
            <w:shd w:fill="FFFFFF" w:val="clear"/>
          </w:tcPr>
          <w:p>
            <w:r>
              <w:rPr>
                <w:sz w:val="16"/>
              </w:rPr>
              <w:t>3,032</w:t>
            </w:r>
          </w:p>
        </w:tc>
        <w:tc>
          <w:tcPr>
            <w:tcW w:type="dxa" w:w="1134"/>
            <w:shd w:fill="FFEB9C" w:val="clear"/>
          </w:tcPr>
          <w:p>
            <w:r>
              <w:rPr>
                <w:b/>
                <w:color w:val="646400"/>
                <w:sz w:val="16"/>
              </w:rPr>
              <w:t>+0.08%</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16,900</w:t>
            </w:r>
          </w:p>
        </w:tc>
        <w:tc>
          <w:tcPr>
            <w:tcW w:type="dxa" w:w="1417"/>
            <w:shd w:fill="FFFFFF" w:val="clear"/>
          </w:tcPr>
          <w:p>
            <w:r>
              <w:rPr>
                <w:sz w:val="16"/>
              </w:rPr>
              <w:t>16,828</w:t>
            </w:r>
          </w:p>
        </w:tc>
        <w:tc>
          <w:tcPr>
            <w:tcW w:type="dxa" w:w="1134"/>
            <w:shd w:fill="FFEB9C" w:val="clear"/>
          </w:tcPr>
          <w:p>
            <w:r>
              <w:rPr>
                <w:b/>
                <w:color w:val="646400"/>
                <w:sz w:val="16"/>
              </w:rPr>
              <w:t>-0.43%</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24,400</w:t>
            </w:r>
          </w:p>
        </w:tc>
        <w:tc>
          <w:tcPr>
            <w:tcW w:type="dxa" w:w="1417"/>
            <w:shd w:fill="FFFFFF" w:val="clear"/>
          </w:tcPr>
          <w:p>
            <w:r>
              <w:rPr>
                <w:sz w:val="16"/>
              </w:rPr>
              <w:t>24,195</w:t>
            </w:r>
          </w:p>
        </w:tc>
        <w:tc>
          <w:tcPr>
            <w:tcW w:type="dxa" w:w="1134"/>
            <w:shd w:fill="FFEB9C" w:val="clear"/>
          </w:tcPr>
          <w:p>
            <w:r>
              <w:rPr>
                <w:b/>
                <w:color w:val="646400"/>
                <w:sz w:val="16"/>
              </w:rPr>
              <w:t>-0.84%</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3,890</w:t>
            </w:r>
          </w:p>
        </w:tc>
        <w:tc>
          <w:tcPr>
            <w:tcW w:type="dxa" w:w="1417"/>
            <w:shd w:fill="FFFFFF" w:val="clear"/>
          </w:tcPr>
          <w:p>
            <w:r>
              <w:rPr>
                <w:sz w:val="16"/>
              </w:rPr>
              <w:t>3,846</w:t>
            </w:r>
          </w:p>
        </w:tc>
        <w:tc>
          <w:tcPr>
            <w:tcW w:type="dxa" w:w="1134"/>
            <w:shd w:fill="FFC7CE" w:val="clear"/>
          </w:tcPr>
          <w:p>
            <w:r>
              <w:rPr>
                <w:b/>
                <w:color w:val="B40000"/>
                <w:sz w:val="16"/>
              </w:rPr>
              <w:t>-1.14%</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8,300</w:t>
            </w:r>
          </w:p>
        </w:tc>
        <w:tc>
          <w:tcPr>
            <w:tcW w:type="dxa" w:w="1417"/>
            <w:shd w:fill="FFFFFF" w:val="clear"/>
          </w:tcPr>
          <w:p>
            <w:r>
              <w:rPr>
                <w:sz w:val="16"/>
              </w:rPr>
              <w:t>8,198</w:t>
            </w:r>
          </w:p>
        </w:tc>
        <w:tc>
          <w:tcPr>
            <w:tcW w:type="dxa" w:w="1134"/>
            <w:shd w:fill="FFC7CE" w:val="clear"/>
          </w:tcPr>
          <w:p>
            <w:r>
              <w:rPr>
                <w:b/>
                <w:color w:val="B40000"/>
                <w:sz w:val="16"/>
              </w:rPr>
              <w:t>-1.23%</w:t>
            </w:r>
          </w:p>
        </w:tc>
        <w:tc>
          <w:tcPr>
            <w:tcW w:type="dxa" w:w="1134"/>
            <w:shd w:fill="FFEB9C" w:val="clear"/>
          </w:tcPr>
          <w:p>
            <w:r>
              <w:rPr>
                <w:sz w:val="16"/>
              </w:rPr>
              <w:t>Moyenne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54,000</w:t>
            </w:r>
          </w:p>
        </w:tc>
        <w:tc>
          <w:tcPr>
            <w:tcW w:type="dxa" w:w="1417"/>
            <w:shd w:fill="FFFFFF" w:val="clear"/>
          </w:tcPr>
          <w:p>
            <w:r>
              <w:rPr>
                <w:sz w:val="16"/>
              </w:rPr>
              <w:t>53,245</w:t>
            </w:r>
          </w:p>
        </w:tc>
        <w:tc>
          <w:tcPr>
            <w:tcW w:type="dxa" w:w="1134"/>
            <w:shd w:fill="FFC7CE" w:val="clear"/>
          </w:tcPr>
          <w:p>
            <w:r>
              <w:rPr>
                <w:b/>
                <w:color w:val="B40000"/>
                <w:sz w:val="16"/>
              </w:rPr>
              <w:t>-1.40%</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22,450</w:t>
            </w:r>
          </w:p>
        </w:tc>
        <w:tc>
          <w:tcPr>
            <w:tcW w:type="dxa" w:w="1417"/>
            <w:shd w:fill="FFFFFF" w:val="clear"/>
          </w:tcPr>
          <w:p>
            <w:r>
              <w:rPr>
                <w:sz w:val="16"/>
              </w:rPr>
              <w:t>22,042</w:t>
            </w:r>
          </w:p>
        </w:tc>
        <w:tc>
          <w:tcPr>
            <w:tcW w:type="dxa" w:w="1134"/>
            <w:shd w:fill="FFC7CE" w:val="clear"/>
          </w:tcPr>
          <w:p>
            <w:r>
              <w:rPr>
                <w:b/>
                <w:color w:val="B40000"/>
                <w:sz w:val="16"/>
              </w:rPr>
              <w:t>-1.82%</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5,595</w:t>
            </w:r>
          </w:p>
        </w:tc>
        <w:tc>
          <w:tcPr>
            <w:tcW w:type="dxa" w:w="1417"/>
            <w:shd w:fill="FFFFFF" w:val="clear"/>
          </w:tcPr>
          <w:p>
            <w:r>
              <w:rPr>
                <w:sz w:val="16"/>
              </w:rPr>
              <w:t>5,487</w:t>
            </w:r>
          </w:p>
        </w:tc>
        <w:tc>
          <w:tcPr>
            <w:tcW w:type="dxa" w:w="1134"/>
            <w:shd w:fill="FFC7CE" w:val="clear"/>
          </w:tcPr>
          <w:p>
            <w:r>
              <w:rPr>
                <w:b/>
                <w:color w:val="B40000"/>
                <w:sz w:val="16"/>
              </w:rPr>
              <w:t>-1.92%</w:t>
            </w:r>
          </w:p>
        </w:tc>
        <w:tc>
          <w:tcPr>
            <w:tcW w:type="dxa" w:w="1134"/>
            <w:shd w:fill="FFC7CE" w:val="clear"/>
          </w:tcPr>
          <w:p>
            <w:r>
              <w:rPr>
                <w:sz w:val="16"/>
              </w:rPr>
              <w:t>Faible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8,100</w:t>
            </w:r>
          </w:p>
        </w:tc>
        <w:tc>
          <w:tcPr>
            <w:tcW w:type="dxa" w:w="1417"/>
            <w:shd w:fill="FFFFFF" w:val="clear"/>
          </w:tcPr>
          <w:p>
            <w:r>
              <w:rPr>
                <w:sz w:val="16"/>
              </w:rPr>
              <w:t>7,939</w:t>
            </w:r>
          </w:p>
        </w:tc>
        <w:tc>
          <w:tcPr>
            <w:tcW w:type="dxa" w:w="1134"/>
            <w:shd w:fill="FFC7CE" w:val="clear"/>
          </w:tcPr>
          <w:p>
            <w:r>
              <w:rPr>
                <w:b/>
                <w:color w:val="B40000"/>
                <w:sz w:val="16"/>
              </w:rPr>
              <w:t>-1.99%</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18,300</w:t>
            </w:r>
          </w:p>
        </w:tc>
        <w:tc>
          <w:tcPr>
            <w:tcW w:type="dxa" w:w="1417"/>
            <w:shd w:fill="FFFFFF" w:val="clear"/>
          </w:tcPr>
          <w:p>
            <w:r>
              <w:rPr>
                <w:sz w:val="16"/>
              </w:rPr>
              <w:t>17,905</w:t>
            </w:r>
          </w:p>
        </w:tc>
        <w:tc>
          <w:tcPr>
            <w:tcW w:type="dxa" w:w="1134"/>
            <w:shd w:fill="FFC7CE" w:val="clear"/>
          </w:tcPr>
          <w:p>
            <w:r>
              <w:rPr>
                <w:b/>
                <w:color w:val="B40000"/>
                <w:sz w:val="16"/>
              </w:rPr>
              <w:t>-2.16%</w:t>
            </w:r>
          </w:p>
        </w:tc>
        <w:tc>
          <w:tcPr>
            <w:tcW w:type="dxa" w:w="1134"/>
            <w:shd w:fill="FFEB9C" w:val="clear"/>
          </w:tcPr>
          <w:p>
            <w:r>
              <w:rPr>
                <w:sz w:val="16"/>
              </w:rPr>
              <w:t>Moyenne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2,870</w:t>
            </w:r>
          </w:p>
        </w:tc>
        <w:tc>
          <w:tcPr>
            <w:tcW w:type="dxa" w:w="1417"/>
            <w:shd w:fill="FFFFFF" w:val="clear"/>
          </w:tcPr>
          <w:p>
            <w:r>
              <w:rPr>
                <w:sz w:val="16"/>
              </w:rPr>
              <w:t>2,805</w:t>
            </w:r>
          </w:p>
        </w:tc>
        <w:tc>
          <w:tcPr>
            <w:tcW w:type="dxa" w:w="1134"/>
            <w:shd w:fill="FFC7CE" w:val="clear"/>
          </w:tcPr>
          <w:p>
            <w:r>
              <w:rPr>
                <w:b/>
                <w:color w:val="B40000"/>
                <w:sz w:val="16"/>
              </w:rPr>
              <w:t>-2.25%</w:t>
            </w:r>
          </w:p>
        </w:tc>
        <w:tc>
          <w:tcPr>
            <w:tcW w:type="dxa" w:w="1134"/>
            <w:shd w:fill="FFEB9C" w:val="clear"/>
          </w:tcPr>
          <w:p>
            <w:r>
              <w:rPr>
                <w:sz w:val="16"/>
              </w:rPr>
              <w:t>Moyenne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39,275</w:t>
            </w:r>
          </w:p>
        </w:tc>
        <w:tc>
          <w:tcPr>
            <w:tcW w:type="dxa" w:w="1417"/>
            <w:shd w:fill="FFFFFF" w:val="clear"/>
          </w:tcPr>
          <w:p>
            <w:r>
              <w:rPr>
                <w:sz w:val="16"/>
              </w:rPr>
              <w:t>38,379</w:t>
            </w:r>
          </w:p>
        </w:tc>
        <w:tc>
          <w:tcPr>
            <w:tcW w:type="dxa" w:w="1134"/>
            <w:shd w:fill="FFC7CE" w:val="clear"/>
          </w:tcPr>
          <w:p>
            <w:r>
              <w:rPr>
                <w:b/>
                <w:color w:val="B40000"/>
                <w:sz w:val="16"/>
              </w:rPr>
              <w:t>-2.28%</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4,385</w:t>
            </w:r>
          </w:p>
        </w:tc>
        <w:tc>
          <w:tcPr>
            <w:tcW w:type="dxa" w:w="1417"/>
            <w:shd w:fill="FFFFFF" w:val="clear"/>
          </w:tcPr>
          <w:p>
            <w:r>
              <w:rPr>
                <w:sz w:val="16"/>
              </w:rPr>
              <w:t>4,259</w:t>
            </w:r>
          </w:p>
        </w:tc>
        <w:tc>
          <w:tcPr>
            <w:tcW w:type="dxa" w:w="1134"/>
            <w:shd w:fill="FFC7CE" w:val="clear"/>
          </w:tcPr>
          <w:p>
            <w:r>
              <w:rPr>
                <w:b/>
                <w:color w:val="B40000"/>
                <w:sz w:val="16"/>
              </w:rPr>
              <w:t>-2.87%</w:t>
            </w:r>
          </w:p>
        </w:tc>
        <w:tc>
          <w:tcPr>
            <w:tcW w:type="dxa" w:w="1134"/>
            <w:shd w:fill="FFEB9C" w:val="clear"/>
          </w:tcPr>
          <w:p>
            <w:r>
              <w:rPr>
                <w:sz w:val="16"/>
              </w:rPr>
              <w:t>Moyenne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8,990</w:t>
            </w:r>
          </w:p>
        </w:tc>
        <w:tc>
          <w:tcPr>
            <w:tcW w:type="dxa" w:w="1417"/>
            <w:shd w:fill="FFFFFF" w:val="clear"/>
          </w:tcPr>
          <w:p>
            <w:r>
              <w:rPr>
                <w:sz w:val="16"/>
              </w:rPr>
              <w:t>8,701</w:t>
            </w:r>
          </w:p>
        </w:tc>
        <w:tc>
          <w:tcPr>
            <w:tcW w:type="dxa" w:w="1134"/>
            <w:shd w:fill="FFC7CE" w:val="clear"/>
          </w:tcPr>
          <w:p>
            <w:r>
              <w:rPr>
                <w:b/>
                <w:color w:val="B40000"/>
                <w:sz w:val="16"/>
              </w:rPr>
              <w:t>-3.21%</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38,500</w:t>
            </w:r>
          </w:p>
        </w:tc>
        <w:tc>
          <w:tcPr>
            <w:tcW w:type="dxa" w:w="1417"/>
            <w:shd w:fill="FFFFFF" w:val="clear"/>
          </w:tcPr>
          <w:p>
            <w:r>
              <w:rPr>
                <w:sz w:val="16"/>
              </w:rPr>
              <w:t>37,243</w:t>
            </w:r>
          </w:p>
        </w:tc>
        <w:tc>
          <w:tcPr>
            <w:tcW w:type="dxa" w:w="1134"/>
            <w:shd w:fill="FFC7CE" w:val="clear"/>
          </w:tcPr>
          <w:p>
            <w:r>
              <w:rPr>
                <w:b/>
                <w:color w:val="B40000"/>
                <w:sz w:val="16"/>
              </w:rPr>
              <w:t>-3.26%</w:t>
            </w:r>
          </w:p>
        </w:tc>
        <w:tc>
          <w:tcPr>
            <w:tcW w:type="dxa" w:w="1134"/>
            <w:shd w:fill="FFEB9C" w:val="clear"/>
          </w:tcPr>
          <w:p>
            <w:r>
              <w:rPr>
                <w:sz w:val="16"/>
              </w:rPr>
              <w:t>Moyenne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8,300</w:t>
            </w:r>
          </w:p>
        </w:tc>
        <w:tc>
          <w:tcPr>
            <w:tcW w:type="dxa" w:w="1417"/>
            <w:shd w:fill="FFFFFF" w:val="clear"/>
          </w:tcPr>
          <w:p>
            <w:r>
              <w:rPr>
                <w:sz w:val="16"/>
              </w:rPr>
              <w:t>8,010</w:t>
            </w:r>
          </w:p>
        </w:tc>
        <w:tc>
          <w:tcPr>
            <w:tcW w:type="dxa" w:w="1134"/>
            <w:shd w:fill="FFC7CE" w:val="clear"/>
          </w:tcPr>
          <w:p>
            <w:r>
              <w:rPr>
                <w:b/>
                <w:color w:val="B40000"/>
                <w:sz w:val="16"/>
              </w:rPr>
              <w:t>-3.50%</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33,010</w:t>
            </w:r>
          </w:p>
        </w:tc>
        <w:tc>
          <w:tcPr>
            <w:tcW w:type="dxa" w:w="1417"/>
            <w:shd w:fill="FFFFFF" w:val="clear"/>
          </w:tcPr>
          <w:p>
            <w:r>
              <w:rPr>
                <w:sz w:val="16"/>
              </w:rPr>
              <w:t>31,803</w:t>
            </w:r>
          </w:p>
        </w:tc>
        <w:tc>
          <w:tcPr>
            <w:tcW w:type="dxa" w:w="1134"/>
            <w:shd w:fill="FFC7CE" w:val="clear"/>
          </w:tcPr>
          <w:p>
            <w:r>
              <w:rPr>
                <w:b/>
                <w:color w:val="B40000"/>
                <w:sz w:val="16"/>
              </w:rPr>
              <w:t>-3.66%</w:t>
            </w:r>
          </w:p>
        </w:tc>
        <w:tc>
          <w:tcPr>
            <w:tcW w:type="dxa" w:w="1134"/>
            <w:shd w:fill="FFEB9C" w:val="clear"/>
          </w:tcPr>
          <w:p>
            <w:r>
              <w:rPr>
                <w:sz w:val="16"/>
              </w:rPr>
              <w:t>Moyenne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70</w:t>
            </w:r>
          </w:p>
        </w:tc>
        <w:tc>
          <w:tcPr>
            <w:tcW w:type="dxa" w:w="1417"/>
            <w:shd w:fill="FFFFFF" w:val="clear"/>
          </w:tcPr>
          <w:p>
            <w:r>
              <w:rPr>
                <w:sz w:val="16"/>
              </w:rPr>
              <w:t>67</w:t>
            </w:r>
          </w:p>
        </w:tc>
        <w:tc>
          <w:tcPr>
            <w:tcW w:type="dxa" w:w="1134"/>
            <w:shd w:fill="FFC7CE" w:val="clear"/>
          </w:tcPr>
          <w:p>
            <w:r>
              <w:rPr>
                <w:b/>
                <w:color w:val="B40000"/>
                <w:sz w:val="16"/>
              </w:rPr>
              <w:t>-3.71%</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8,200</w:t>
            </w:r>
          </w:p>
        </w:tc>
        <w:tc>
          <w:tcPr>
            <w:tcW w:type="dxa" w:w="1417"/>
            <w:shd w:fill="FFFFFF" w:val="clear"/>
          </w:tcPr>
          <w:p>
            <w:r>
              <w:rPr>
                <w:sz w:val="16"/>
              </w:rPr>
              <w:t>7,883</w:t>
            </w:r>
          </w:p>
        </w:tc>
        <w:tc>
          <w:tcPr>
            <w:tcW w:type="dxa" w:w="1134"/>
            <w:shd w:fill="FFC7CE" w:val="clear"/>
          </w:tcPr>
          <w:p>
            <w:r>
              <w:rPr>
                <w:b/>
                <w:color w:val="B40000"/>
                <w:sz w:val="16"/>
              </w:rPr>
              <w:t>-3.87%</w:t>
            </w:r>
          </w:p>
        </w:tc>
        <w:tc>
          <w:tcPr>
            <w:tcW w:type="dxa" w:w="1134"/>
            <w:shd w:fill="FFEB9C" w:val="clear"/>
          </w:tcPr>
          <w:p>
            <w:r>
              <w:rPr>
                <w:sz w:val="16"/>
              </w:rPr>
              <w:t>Moyenne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5,400</w:t>
            </w:r>
          </w:p>
        </w:tc>
        <w:tc>
          <w:tcPr>
            <w:tcW w:type="dxa" w:w="1417"/>
            <w:shd w:fill="FFFFFF" w:val="clear"/>
          </w:tcPr>
          <w:p>
            <w:r>
              <w:rPr>
                <w:sz w:val="16"/>
              </w:rPr>
              <w:t>5,184</w:t>
            </w:r>
          </w:p>
        </w:tc>
        <w:tc>
          <w:tcPr>
            <w:tcW w:type="dxa" w:w="1134"/>
            <w:shd w:fill="FFC7CE" w:val="clear"/>
          </w:tcPr>
          <w:p>
            <w:r>
              <w:rPr>
                <w:b/>
                <w:color w:val="B40000"/>
                <w:sz w:val="16"/>
              </w:rPr>
              <w:t>-4.00%</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10,100</w:t>
            </w:r>
          </w:p>
        </w:tc>
        <w:tc>
          <w:tcPr>
            <w:tcW w:type="dxa" w:w="1417"/>
            <w:shd w:fill="FFFFFF" w:val="clear"/>
          </w:tcPr>
          <w:p>
            <w:r>
              <w:rPr>
                <w:sz w:val="16"/>
              </w:rPr>
              <w:t>9,672</w:t>
            </w:r>
          </w:p>
        </w:tc>
        <w:tc>
          <w:tcPr>
            <w:tcW w:type="dxa" w:w="1134"/>
            <w:shd w:fill="FFC7CE" w:val="clear"/>
          </w:tcPr>
          <w:p>
            <w:r>
              <w:rPr>
                <w:b/>
                <w:color w:val="B40000"/>
                <w:sz w:val="16"/>
              </w:rPr>
              <w:t>-4.24%</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2,400</w:t>
            </w:r>
          </w:p>
        </w:tc>
        <w:tc>
          <w:tcPr>
            <w:tcW w:type="dxa" w:w="1417"/>
            <w:shd w:fill="FFFFFF" w:val="clear"/>
          </w:tcPr>
          <w:p>
            <w:r>
              <w:rPr>
                <w:sz w:val="16"/>
              </w:rPr>
              <w:t>2,286</w:t>
            </w:r>
          </w:p>
        </w:tc>
        <w:tc>
          <w:tcPr>
            <w:tcW w:type="dxa" w:w="1134"/>
            <w:shd w:fill="FFC7CE" w:val="clear"/>
          </w:tcPr>
          <w:p>
            <w:r>
              <w:rPr>
                <w:b/>
                <w:color w:val="B40000"/>
                <w:sz w:val="16"/>
              </w:rPr>
              <w:t>-4.76%</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1,560</w:t>
            </w:r>
          </w:p>
        </w:tc>
        <w:tc>
          <w:tcPr>
            <w:tcW w:type="dxa" w:w="1417"/>
            <w:shd w:fill="FFFFFF" w:val="clear"/>
          </w:tcPr>
          <w:p>
            <w:r>
              <w:rPr>
                <w:sz w:val="16"/>
              </w:rPr>
              <w:t>1,469</w:t>
            </w:r>
          </w:p>
        </w:tc>
        <w:tc>
          <w:tcPr>
            <w:tcW w:type="dxa" w:w="1134"/>
            <w:shd w:fill="FFC7CE" w:val="clear"/>
          </w:tcPr>
          <w:p>
            <w:r>
              <w:rPr>
                <w:b/>
                <w:color w:val="B40000"/>
                <w:sz w:val="16"/>
              </w:rPr>
              <w:t>-5.83%</w:t>
            </w:r>
          </w:p>
        </w:tc>
        <w:tc>
          <w:tcPr>
            <w:tcW w:type="dxa" w:w="1134"/>
            <w:shd w:fill="FFC7CE" w:val="clear"/>
          </w:tcPr>
          <w:p>
            <w:r>
              <w:rPr>
                <w:sz w:val="16"/>
              </w:rPr>
              <w:t>Faible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3,500</w:t>
            </w:r>
          </w:p>
        </w:tc>
        <w:tc>
          <w:tcPr>
            <w:tcW w:type="dxa" w:w="1417"/>
            <w:shd w:fill="FFFFFF" w:val="clear"/>
          </w:tcPr>
          <w:p>
            <w:r>
              <w:rPr>
                <w:sz w:val="16"/>
              </w:rPr>
              <w:t>3,289</w:t>
            </w:r>
          </w:p>
        </w:tc>
        <w:tc>
          <w:tcPr>
            <w:tcW w:type="dxa" w:w="1134"/>
            <w:shd w:fill="FFC7CE" w:val="clear"/>
          </w:tcPr>
          <w:p>
            <w:r>
              <w:rPr>
                <w:b/>
                <w:color w:val="B40000"/>
                <w:sz w:val="16"/>
              </w:rPr>
              <w:t>-6.02%</w:t>
            </w:r>
          </w:p>
        </w:tc>
        <w:tc>
          <w:tcPr>
            <w:tcW w:type="dxa" w:w="1134"/>
            <w:shd w:fill="FFEB9C" w:val="clear"/>
          </w:tcPr>
          <w:p>
            <w:r>
              <w:rPr>
                <w:sz w:val="16"/>
              </w:rPr>
              <w:t>Moyenne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2,135</w:t>
            </w:r>
          </w:p>
        </w:tc>
        <w:tc>
          <w:tcPr>
            <w:tcW w:type="dxa" w:w="1417"/>
            <w:shd w:fill="FFFFFF" w:val="clear"/>
          </w:tcPr>
          <w:p>
            <w:r>
              <w:rPr>
                <w:sz w:val="16"/>
              </w:rPr>
              <w:t>1,999</w:t>
            </w:r>
          </w:p>
        </w:tc>
        <w:tc>
          <w:tcPr>
            <w:tcW w:type="dxa" w:w="1134"/>
            <w:shd w:fill="FFC7CE" w:val="clear"/>
          </w:tcPr>
          <w:p>
            <w:r>
              <w:rPr>
                <w:b/>
                <w:color w:val="B40000"/>
                <w:sz w:val="16"/>
              </w:rPr>
              <w:t>-6.35%</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2,120</w:t>
            </w:r>
          </w:p>
        </w:tc>
        <w:tc>
          <w:tcPr>
            <w:tcW w:type="dxa" w:w="1417"/>
            <w:shd w:fill="FFFFFF" w:val="clear"/>
          </w:tcPr>
          <w:p>
            <w:r>
              <w:rPr>
                <w:sz w:val="16"/>
              </w:rPr>
              <w:t>1,963</w:t>
            </w:r>
          </w:p>
        </w:tc>
        <w:tc>
          <w:tcPr>
            <w:tcW w:type="dxa" w:w="1134"/>
            <w:shd w:fill="FFC7CE" w:val="clear"/>
          </w:tcPr>
          <w:p>
            <w:r>
              <w:rPr>
                <w:b/>
                <w:color w:val="B40000"/>
                <w:sz w:val="16"/>
              </w:rPr>
              <w:t>-7.40%</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9,300</w:t>
            </w:r>
          </w:p>
        </w:tc>
        <w:tc>
          <w:tcPr>
            <w:tcW w:type="dxa" w:w="1417"/>
            <w:shd w:fill="FFFFFF" w:val="clear"/>
          </w:tcPr>
          <w:p>
            <w:r>
              <w:rPr>
                <w:sz w:val="16"/>
              </w:rPr>
              <w:t>8,606</w:t>
            </w:r>
          </w:p>
        </w:tc>
        <w:tc>
          <w:tcPr>
            <w:tcW w:type="dxa" w:w="1134"/>
            <w:shd w:fill="FFC7CE" w:val="clear"/>
          </w:tcPr>
          <w:p>
            <w:r>
              <w:rPr>
                <w:b/>
                <w:color w:val="B40000"/>
                <w:sz w:val="16"/>
              </w:rPr>
              <w:t>-7.47%</w:t>
            </w:r>
          </w:p>
        </w:tc>
        <w:tc>
          <w:tcPr>
            <w:tcW w:type="dxa" w:w="1134"/>
            <w:shd w:fill="FFEB9C" w:val="clear"/>
          </w:tcPr>
          <w:p>
            <w:r>
              <w:rPr>
                <w:sz w:val="16"/>
              </w:rPr>
              <w:t>Moyenne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12,400</w:t>
            </w:r>
          </w:p>
        </w:tc>
        <w:tc>
          <w:tcPr>
            <w:tcW w:type="dxa" w:w="1417"/>
            <w:shd w:fill="FFFFFF" w:val="clear"/>
          </w:tcPr>
          <w:p>
            <w:r>
              <w:rPr>
                <w:sz w:val="16"/>
              </w:rPr>
              <w:t>11,461</w:t>
            </w:r>
          </w:p>
        </w:tc>
        <w:tc>
          <w:tcPr>
            <w:tcW w:type="dxa" w:w="1134"/>
            <w:shd w:fill="FFC7CE" w:val="clear"/>
          </w:tcPr>
          <w:p>
            <w:r>
              <w:rPr>
                <w:b/>
                <w:color w:val="B40000"/>
                <w:sz w:val="16"/>
              </w:rPr>
              <w:t>-7.57%</w:t>
            </w:r>
          </w:p>
        </w:tc>
        <w:tc>
          <w:tcPr>
            <w:tcW w:type="dxa" w:w="1134"/>
            <w:shd w:fill="FFEB9C" w:val="clear"/>
          </w:tcPr>
          <w:p>
            <w:r>
              <w:rPr>
                <w:sz w:val="16"/>
              </w:rPr>
              <w:t>Moyenne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2,400</w:t>
            </w:r>
          </w:p>
        </w:tc>
        <w:tc>
          <w:tcPr>
            <w:tcW w:type="dxa" w:w="1417"/>
            <w:shd w:fill="FFFFFF" w:val="clear"/>
          </w:tcPr>
          <w:p>
            <w:r>
              <w:rPr>
                <w:sz w:val="16"/>
              </w:rPr>
              <w:t>2,188</w:t>
            </w:r>
          </w:p>
        </w:tc>
        <w:tc>
          <w:tcPr>
            <w:tcW w:type="dxa" w:w="1134"/>
            <w:shd w:fill="FFC7CE" w:val="clear"/>
          </w:tcPr>
          <w:p>
            <w:r>
              <w:rPr>
                <w:b/>
                <w:color w:val="B40000"/>
                <w:sz w:val="16"/>
              </w:rPr>
              <w:t>-8.85%</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2,575</w:t>
            </w:r>
          </w:p>
        </w:tc>
        <w:tc>
          <w:tcPr>
            <w:tcW w:type="dxa" w:w="1417"/>
            <w:shd w:fill="FFFFFF" w:val="clear"/>
          </w:tcPr>
          <w:p>
            <w:r>
              <w:rPr>
                <w:sz w:val="16"/>
              </w:rPr>
              <w:t>2,346</w:t>
            </w:r>
          </w:p>
        </w:tc>
        <w:tc>
          <w:tcPr>
            <w:tcW w:type="dxa" w:w="1134"/>
            <w:shd w:fill="FFC7CE" w:val="clear"/>
          </w:tcPr>
          <w:p>
            <w:r>
              <w:rPr>
                <w:b/>
                <w:color w:val="B40000"/>
                <w:sz w:val="16"/>
              </w:rPr>
              <w:t>-8.90%</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3,280</w:t>
            </w:r>
          </w:p>
        </w:tc>
        <w:tc>
          <w:tcPr>
            <w:tcW w:type="dxa" w:w="1417"/>
            <w:shd w:fill="FFFFFF" w:val="clear"/>
          </w:tcPr>
          <w:p>
            <w:r>
              <w:rPr>
                <w:sz w:val="16"/>
              </w:rPr>
              <w:t>2,978</w:t>
            </w:r>
          </w:p>
        </w:tc>
        <w:tc>
          <w:tcPr>
            <w:tcW w:type="dxa" w:w="1134"/>
            <w:shd w:fill="FFC7CE" w:val="clear"/>
          </w:tcPr>
          <w:p>
            <w:r>
              <w:rPr>
                <w:b/>
                <w:color w:val="B40000"/>
                <w:sz w:val="16"/>
              </w:rPr>
              <w:t>-9.19%</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2,750</w:t>
            </w:r>
          </w:p>
        </w:tc>
        <w:tc>
          <w:tcPr>
            <w:tcW w:type="dxa" w:w="1417"/>
            <w:shd w:fill="FFFFFF" w:val="clear"/>
          </w:tcPr>
          <w:p>
            <w:r>
              <w:rPr>
                <w:sz w:val="16"/>
              </w:rPr>
              <w:t>2,468</w:t>
            </w:r>
          </w:p>
        </w:tc>
        <w:tc>
          <w:tcPr>
            <w:tcW w:type="dxa" w:w="1134"/>
            <w:shd w:fill="FFC7CE" w:val="clear"/>
          </w:tcPr>
          <w:p>
            <w:r>
              <w:rPr>
                <w:b/>
                <w:color w:val="B40000"/>
                <w:sz w:val="16"/>
              </w:rPr>
              <w:t>-10.26%</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10,450</w:t>
            </w:r>
          </w:p>
        </w:tc>
        <w:tc>
          <w:tcPr>
            <w:tcW w:type="dxa" w:w="1417"/>
            <w:shd w:fill="FFFFFF" w:val="clear"/>
          </w:tcPr>
          <w:p>
            <w:r>
              <w:rPr>
                <w:sz w:val="16"/>
              </w:rPr>
              <w:t>9,349</w:t>
            </w:r>
          </w:p>
        </w:tc>
        <w:tc>
          <w:tcPr>
            <w:tcW w:type="dxa" w:w="1134"/>
            <w:shd w:fill="FFC7CE" w:val="clear"/>
          </w:tcPr>
          <w:p>
            <w:r>
              <w:rPr>
                <w:b/>
                <w:color w:val="B40000"/>
                <w:sz w:val="16"/>
              </w:rPr>
              <w:t>-10.54%</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4,095</w:t>
            </w:r>
          </w:p>
        </w:tc>
        <w:tc>
          <w:tcPr>
            <w:tcW w:type="dxa" w:w="1417"/>
            <w:shd w:fill="FFFFFF" w:val="clear"/>
          </w:tcPr>
          <w:p>
            <w:r>
              <w:rPr>
                <w:sz w:val="16"/>
              </w:rPr>
              <w:t>3,594</w:t>
            </w:r>
          </w:p>
        </w:tc>
        <w:tc>
          <w:tcPr>
            <w:tcW w:type="dxa" w:w="1134"/>
            <w:shd w:fill="FFC7CE" w:val="clear"/>
          </w:tcPr>
          <w:p>
            <w:r>
              <w:rPr>
                <w:b/>
                <w:color w:val="B40000"/>
                <w:sz w:val="16"/>
              </w:rPr>
              <w:t>-12.24%</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2,550</w:t>
            </w:r>
          </w:p>
        </w:tc>
        <w:tc>
          <w:tcPr>
            <w:tcW w:type="dxa" w:w="1417"/>
            <w:shd w:fill="FFFFFF" w:val="clear"/>
          </w:tcPr>
          <w:p>
            <w:r>
              <w:rPr>
                <w:sz w:val="16"/>
              </w:rPr>
              <w:t>2,203</w:t>
            </w:r>
          </w:p>
        </w:tc>
        <w:tc>
          <w:tcPr>
            <w:tcW w:type="dxa" w:w="1134"/>
            <w:shd w:fill="FFC7CE" w:val="clear"/>
          </w:tcPr>
          <w:p>
            <w:r>
              <w:rPr>
                <w:b/>
                <w:color w:val="B40000"/>
                <w:sz w:val="16"/>
              </w:rPr>
              <w:t>-13.60%</w:t>
            </w:r>
          </w:p>
        </w:tc>
        <w:tc>
          <w:tcPr>
            <w:tcW w:type="dxa" w:w="1134"/>
            <w:shd w:fill="FFEB9C" w:val="clear"/>
          </w:tcPr>
          <w:p>
            <w:r>
              <w:rPr>
                <w:sz w:val="16"/>
              </w:rPr>
              <w:t>Moyenne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8,495</w:t>
            </w:r>
          </w:p>
        </w:tc>
        <w:tc>
          <w:tcPr>
            <w:tcW w:type="dxa" w:w="1417"/>
            <w:shd w:fill="FFFFFF" w:val="clear"/>
          </w:tcPr>
          <w:p>
            <w:r>
              <w:rPr>
                <w:sz w:val="16"/>
              </w:rPr>
              <w:t>7,294</w:t>
            </w:r>
          </w:p>
        </w:tc>
        <w:tc>
          <w:tcPr>
            <w:tcW w:type="dxa" w:w="1134"/>
            <w:shd w:fill="FFC7CE" w:val="clear"/>
          </w:tcPr>
          <w:p>
            <w:r>
              <w:rPr>
                <w:b/>
                <w:color w:val="B40000"/>
                <w:sz w:val="16"/>
              </w:rPr>
              <w:t>-14.14%</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7,100</w:t>
            </w:r>
          </w:p>
        </w:tc>
        <w:tc>
          <w:tcPr>
            <w:tcW w:type="dxa" w:w="1417"/>
            <w:shd w:fill="FFFFFF" w:val="clear"/>
          </w:tcPr>
          <w:p>
            <w:r>
              <w:rPr>
                <w:sz w:val="16"/>
              </w:rPr>
              <w:t>5,987</w:t>
            </w:r>
          </w:p>
        </w:tc>
        <w:tc>
          <w:tcPr>
            <w:tcW w:type="dxa" w:w="1134"/>
            <w:shd w:fill="FFC7CE" w:val="clear"/>
          </w:tcPr>
          <w:p>
            <w:r>
              <w:rPr>
                <w:b/>
                <w:color w:val="B40000"/>
                <w:sz w:val="16"/>
              </w:rPr>
              <w:t>-15.67%</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34,300</w:t>
            </w:r>
          </w:p>
        </w:tc>
        <w:tc>
          <w:tcPr>
            <w:tcW w:type="dxa" w:w="1417"/>
            <w:shd w:fill="FFFFFF" w:val="clear"/>
          </w:tcPr>
          <w:p>
            <w:r>
              <w:rPr>
                <w:sz w:val="16"/>
              </w:rPr>
              <w:t>28,507</w:t>
            </w:r>
          </w:p>
        </w:tc>
        <w:tc>
          <w:tcPr>
            <w:tcW w:type="dxa" w:w="1134"/>
            <w:shd w:fill="FFC7CE" w:val="clear"/>
          </w:tcPr>
          <w:p>
            <w:r>
              <w:rPr>
                <w:b/>
                <w:color w:val="B40000"/>
                <w:sz w:val="16"/>
              </w:rPr>
              <w:t>-16.89%</w:t>
            </w:r>
          </w:p>
        </w:tc>
        <w:tc>
          <w:tcPr>
            <w:tcW w:type="dxa" w:w="1134"/>
            <w:shd w:fill="FFEB9C" w:val="clear"/>
          </w:tcPr>
          <w:p>
            <w:r>
              <w:rPr>
                <w:sz w:val="16"/>
              </w:rPr>
              <w:t>Moyenne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44.68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3,550 titres</w:t>
            </w:r>
          </w:p>
        </w:tc>
        <w:tc>
          <w:tcPr>
            <w:tcW w:type="dxa" w:w="2268"/>
            <w:shd w:fill="FFF2CC" w:val="clear"/>
          </w:tcPr>
          <w:p>
            <w:r>
              <w:rPr>
                <w:b/>
                <w:color w:val="503200"/>
                <w:sz w:val="16"/>
              </w:rPr>
              <w:t xml:space="preserve">Cours actuel : </w:t>
            </w:r>
            <w:r>
              <w:rPr>
                <w:color w:val="000000"/>
                <w:sz w:val="17"/>
              </w:rPr>
              <w:t>4,095 FCFA</w:t>
            </w:r>
          </w:p>
          <w:p>
            <w:r>
              <w:rPr>
                <w:b/>
                <w:color w:val="503200"/>
                <w:sz w:val="16"/>
              </w:rPr>
              <w:t xml:space="preserve">Var. 100 jours : </w:t>
            </w:r>
            <w:r>
              <w:rPr>
                <w:b/>
                <w:color w:val="007800"/>
                <w:sz w:val="17"/>
              </w:rPr>
              <w:t>+23.90%</w:t>
            </w:r>
          </w:p>
          <w:p>
            <w:r>
              <w:rPr>
                <w:b/>
                <w:color w:val="503200"/>
                <w:sz w:val="16"/>
              </w:rPr>
              <w:t xml:space="preserve">Plus haut 100j : </w:t>
            </w:r>
            <w:r>
              <w:rPr>
                <w:color w:val="000000"/>
                <w:sz w:val="17"/>
              </w:rPr>
              <w:t>4,095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9.59% (Moyenne) — μ=3,255 FCFA, σ=312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β=0.3804 (Défensif) — Cov=0.000013, Var(idx)=0.000035, ρ=0.073,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3,550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σ_j=3.08%/j (Modérée) — Vol. annualisée≈48.8%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2026-09-14</w:t>
            </w:r>
          </w:p>
        </w:tc>
        <w:tc>
          <w:tcPr>
            <w:tcW w:type="dxa" w:w="1440"/>
            <w:shd w:fill="FFDCE0" w:val="clear"/>
          </w:tcPr>
          <w:p>
            <w:r>
              <w:rPr>
                <w:sz w:val="17"/>
              </w:rPr>
              <w:t>3,820</w:t>
            </w:r>
          </w:p>
        </w:tc>
        <w:tc>
          <w:tcPr>
            <w:tcW w:type="dxa" w:w="1440"/>
            <w:shd w:fill="FFDCE0" w:val="clear"/>
          </w:tcPr>
          <w:p>
            <w:r>
              <w:rPr>
                <w:b/>
                <w:sz w:val="17"/>
              </w:rPr>
              <w:t>3,996</w:t>
            </w:r>
          </w:p>
        </w:tc>
        <w:tc>
          <w:tcPr>
            <w:tcW w:type="dxa" w:w="1440"/>
            <w:shd w:fill="FFDCE0" w:val="clear"/>
          </w:tcPr>
          <w:p>
            <w:r>
              <w:rPr>
                <w:sz w:val="17"/>
              </w:rPr>
              <w:t>4,172</w:t>
            </w:r>
          </w:p>
        </w:tc>
        <w:tc>
          <w:tcPr>
            <w:tcW w:type="dxa" w:w="1440"/>
            <w:shd w:fill="FFDCE0" w:val="clear"/>
          </w:tcPr>
          <w:p>
            <w:r>
              <w:rPr>
                <w:b/>
                <w:color w:val="C00000"/>
                <w:sz w:val="17"/>
              </w:rPr>
              <w:t>-2.4%</w:t>
            </w:r>
          </w:p>
        </w:tc>
      </w:tr>
      <w:tr>
        <w:tc>
          <w:tcPr>
            <w:tcW w:type="dxa" w:w="1440"/>
            <w:shd w:fill="FFDCE0" w:val="clear"/>
          </w:tcPr>
          <w:p>
            <w:r>
              <w:rPr>
                <w:sz w:val="17"/>
              </w:rPr>
              <w:t>J+2  Moyenne</w:t>
            </w:r>
          </w:p>
        </w:tc>
        <w:tc>
          <w:tcPr>
            <w:tcW w:type="dxa" w:w="1440"/>
            <w:shd w:fill="FFDCE0" w:val="clear"/>
          </w:tcPr>
          <w:p>
            <w:r>
              <w:rPr>
                <w:sz w:val="17"/>
              </w:rPr>
              <w:t>2026-09-15</w:t>
            </w:r>
          </w:p>
        </w:tc>
        <w:tc>
          <w:tcPr>
            <w:tcW w:type="dxa" w:w="1440"/>
            <w:shd w:fill="FFDCE0" w:val="clear"/>
          </w:tcPr>
          <w:p>
            <w:r>
              <w:rPr>
                <w:sz w:val="17"/>
              </w:rPr>
              <w:t>3,695</w:t>
            </w:r>
          </w:p>
        </w:tc>
        <w:tc>
          <w:tcPr>
            <w:tcW w:type="dxa" w:w="1440"/>
            <w:shd w:fill="FFDCE0" w:val="clear"/>
          </w:tcPr>
          <w:p>
            <w:r>
              <w:rPr>
                <w:b/>
                <w:sz w:val="17"/>
              </w:rPr>
              <w:t>3,941</w:t>
            </w:r>
          </w:p>
        </w:tc>
        <w:tc>
          <w:tcPr>
            <w:tcW w:type="dxa" w:w="1440"/>
            <w:shd w:fill="FFDCE0" w:val="clear"/>
          </w:tcPr>
          <w:p>
            <w:r>
              <w:rPr>
                <w:sz w:val="17"/>
              </w:rPr>
              <w:t>4,187</w:t>
            </w:r>
          </w:p>
        </w:tc>
        <w:tc>
          <w:tcPr>
            <w:tcW w:type="dxa" w:w="1440"/>
            <w:shd w:fill="FFDCE0" w:val="clear"/>
          </w:tcPr>
          <w:p>
            <w:r>
              <w:rPr>
                <w:b/>
                <w:color w:val="C00000"/>
                <w:sz w:val="17"/>
              </w:rPr>
              <w:t>-3.8%</w:t>
            </w:r>
          </w:p>
        </w:tc>
      </w:tr>
      <w:tr>
        <w:tc>
          <w:tcPr>
            <w:tcW w:type="dxa" w:w="1440"/>
            <w:shd w:fill="FFDCE0" w:val="clear"/>
          </w:tcPr>
          <w:p>
            <w:r>
              <w:rPr>
                <w:sz w:val="17"/>
              </w:rPr>
              <w:t>J+3  Moyenne</w:t>
            </w:r>
          </w:p>
        </w:tc>
        <w:tc>
          <w:tcPr>
            <w:tcW w:type="dxa" w:w="1440"/>
            <w:shd w:fill="FFDCE0" w:val="clear"/>
          </w:tcPr>
          <w:p>
            <w:r>
              <w:rPr>
                <w:sz w:val="17"/>
              </w:rPr>
              <w:t>2026-09-16</w:t>
            </w:r>
          </w:p>
        </w:tc>
        <w:tc>
          <w:tcPr>
            <w:tcW w:type="dxa" w:w="1440"/>
            <w:shd w:fill="FFDCE0" w:val="clear"/>
          </w:tcPr>
          <w:p>
            <w:r>
              <w:rPr>
                <w:sz w:val="17"/>
              </w:rPr>
              <w:t>3,579</w:t>
            </w:r>
          </w:p>
        </w:tc>
        <w:tc>
          <w:tcPr>
            <w:tcW w:type="dxa" w:w="1440"/>
            <w:shd w:fill="FFDCE0" w:val="clear"/>
          </w:tcPr>
          <w:p>
            <w:r>
              <w:rPr>
                <w:b/>
                <w:sz w:val="17"/>
              </w:rPr>
              <w:t>3,875</w:t>
            </w:r>
          </w:p>
        </w:tc>
        <w:tc>
          <w:tcPr>
            <w:tcW w:type="dxa" w:w="1440"/>
            <w:shd w:fill="FFDCE0" w:val="clear"/>
          </w:tcPr>
          <w:p>
            <w:r>
              <w:rPr>
                <w:sz w:val="17"/>
              </w:rPr>
              <w:t>4,171</w:t>
            </w:r>
          </w:p>
        </w:tc>
        <w:tc>
          <w:tcPr>
            <w:tcW w:type="dxa" w:w="1440"/>
            <w:shd w:fill="FFDCE0" w:val="clear"/>
          </w:tcPr>
          <w:p>
            <w:r>
              <w:rPr>
                <w:b/>
                <w:color w:val="C00000"/>
                <w:sz w:val="17"/>
              </w:rPr>
              <w:t>-5.4%</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3,484</w:t>
            </w:r>
          </w:p>
        </w:tc>
        <w:tc>
          <w:tcPr>
            <w:tcW w:type="dxa" w:w="1440"/>
            <w:shd w:fill="FFDCE0" w:val="clear"/>
          </w:tcPr>
          <w:p>
            <w:r>
              <w:rPr>
                <w:b/>
                <w:sz w:val="17"/>
              </w:rPr>
              <w:t>3,821</w:t>
            </w:r>
          </w:p>
        </w:tc>
        <w:tc>
          <w:tcPr>
            <w:tcW w:type="dxa" w:w="1440"/>
            <w:shd w:fill="FFDCE0" w:val="clear"/>
          </w:tcPr>
          <w:p>
            <w:r>
              <w:rPr>
                <w:sz w:val="17"/>
              </w:rPr>
              <w:t>4,158</w:t>
            </w:r>
          </w:p>
        </w:tc>
        <w:tc>
          <w:tcPr>
            <w:tcW w:type="dxa" w:w="1440"/>
            <w:shd w:fill="FFDCE0" w:val="clear"/>
          </w:tcPr>
          <w:p>
            <w:r>
              <w:rPr>
                <w:b/>
                <w:color w:val="C00000"/>
                <w:sz w:val="17"/>
              </w:rPr>
              <w:t>-6.7%</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3,403</w:t>
            </w:r>
          </w:p>
        </w:tc>
        <w:tc>
          <w:tcPr>
            <w:tcW w:type="dxa" w:w="1440"/>
            <w:shd w:fill="FFDCE0" w:val="clear"/>
          </w:tcPr>
          <w:p>
            <w:r>
              <w:rPr>
                <w:b/>
                <w:sz w:val="17"/>
              </w:rPr>
              <w:t>3,775</w:t>
            </w:r>
          </w:p>
        </w:tc>
        <w:tc>
          <w:tcPr>
            <w:tcW w:type="dxa" w:w="1440"/>
            <w:shd w:fill="FFDCE0" w:val="clear"/>
          </w:tcPr>
          <w:p>
            <w:r>
              <w:rPr>
                <w:sz w:val="17"/>
              </w:rPr>
              <w:t>4,147</w:t>
            </w:r>
          </w:p>
        </w:tc>
        <w:tc>
          <w:tcPr>
            <w:tcW w:type="dxa" w:w="1440"/>
            <w:shd w:fill="FFDCE0" w:val="clear"/>
          </w:tcPr>
          <w:p>
            <w:r>
              <w:rPr>
                <w:b/>
                <w:color w:val="C00000"/>
                <w:sz w:val="17"/>
              </w:rPr>
              <w:t>-7.8%</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3,330</w:t>
            </w:r>
          </w:p>
        </w:tc>
        <w:tc>
          <w:tcPr>
            <w:tcW w:type="dxa" w:w="1440"/>
            <w:shd w:fill="FFDCE0" w:val="clear"/>
          </w:tcPr>
          <w:p>
            <w:r>
              <w:rPr>
                <w:b/>
                <w:sz w:val="17"/>
              </w:rPr>
              <w:t>3,734</w:t>
            </w:r>
          </w:p>
        </w:tc>
        <w:tc>
          <w:tcPr>
            <w:tcW w:type="dxa" w:w="1440"/>
            <w:shd w:fill="FFDCE0" w:val="clear"/>
          </w:tcPr>
          <w:p>
            <w:r>
              <w:rPr>
                <w:sz w:val="17"/>
              </w:rPr>
              <w:t>4,137</w:t>
            </w:r>
          </w:p>
        </w:tc>
        <w:tc>
          <w:tcPr>
            <w:tcW w:type="dxa" w:w="1440"/>
            <w:shd w:fill="FFDCE0" w:val="clear"/>
          </w:tcPr>
          <w:p>
            <w:r>
              <w:rPr>
                <w:b/>
                <w:color w:val="C00000"/>
                <w:sz w:val="17"/>
              </w:rPr>
              <w:t>-8.8%</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3,264</w:t>
            </w:r>
          </w:p>
        </w:tc>
        <w:tc>
          <w:tcPr>
            <w:tcW w:type="dxa" w:w="1440"/>
            <w:shd w:fill="FFDCE0" w:val="clear"/>
          </w:tcPr>
          <w:p>
            <w:r>
              <w:rPr>
                <w:b/>
                <w:sz w:val="17"/>
              </w:rPr>
              <w:t>3,695</w:t>
            </w:r>
          </w:p>
        </w:tc>
        <w:tc>
          <w:tcPr>
            <w:tcW w:type="dxa" w:w="1440"/>
            <w:shd w:fill="FFDCE0" w:val="clear"/>
          </w:tcPr>
          <w:p>
            <w:r>
              <w:rPr>
                <w:sz w:val="17"/>
              </w:rPr>
              <w:t>4,126</w:t>
            </w:r>
          </w:p>
        </w:tc>
        <w:tc>
          <w:tcPr>
            <w:tcW w:type="dxa" w:w="1440"/>
            <w:shd w:fill="FFDCE0" w:val="clear"/>
          </w:tcPr>
          <w:p>
            <w:r>
              <w:rPr>
                <w:b/>
                <w:color w:val="C00000"/>
                <w:sz w:val="17"/>
              </w:rPr>
              <w:t>-9.8%</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3,203</w:t>
            </w:r>
          </w:p>
        </w:tc>
        <w:tc>
          <w:tcPr>
            <w:tcW w:type="dxa" w:w="1440"/>
            <w:shd w:fill="FFDCE0" w:val="clear"/>
          </w:tcPr>
          <w:p>
            <w:r>
              <w:rPr>
                <w:b/>
                <w:sz w:val="17"/>
              </w:rPr>
              <w:t>3,659</w:t>
            </w:r>
          </w:p>
        </w:tc>
        <w:tc>
          <w:tcPr>
            <w:tcW w:type="dxa" w:w="1440"/>
            <w:shd w:fill="FFDCE0" w:val="clear"/>
          </w:tcPr>
          <w:p>
            <w:r>
              <w:rPr>
                <w:sz w:val="17"/>
              </w:rPr>
              <w:t>4,116</w:t>
            </w:r>
          </w:p>
        </w:tc>
        <w:tc>
          <w:tcPr>
            <w:tcW w:type="dxa" w:w="1440"/>
            <w:shd w:fill="FFDCE0" w:val="clear"/>
          </w:tcPr>
          <w:p>
            <w:r>
              <w:rPr>
                <w:b/>
                <w:color w:val="C00000"/>
                <w:sz w:val="17"/>
              </w:rPr>
              <w:t>-10.6%</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3,146</w:t>
            </w:r>
          </w:p>
        </w:tc>
        <w:tc>
          <w:tcPr>
            <w:tcW w:type="dxa" w:w="1440"/>
            <w:shd w:fill="FFDCE0" w:val="clear"/>
          </w:tcPr>
          <w:p>
            <w:r>
              <w:rPr>
                <w:b/>
                <w:sz w:val="17"/>
              </w:rPr>
              <w:t>3,626</w:t>
            </w:r>
          </w:p>
        </w:tc>
        <w:tc>
          <w:tcPr>
            <w:tcW w:type="dxa" w:w="1440"/>
            <w:shd w:fill="FFDCE0" w:val="clear"/>
          </w:tcPr>
          <w:p>
            <w:r>
              <w:rPr>
                <w:sz w:val="17"/>
              </w:rPr>
              <w:t>4,105</w:t>
            </w:r>
          </w:p>
        </w:tc>
        <w:tc>
          <w:tcPr>
            <w:tcW w:type="dxa" w:w="1440"/>
            <w:shd w:fill="FFDCE0" w:val="clear"/>
          </w:tcPr>
          <w:p>
            <w:r>
              <w:rPr>
                <w:b/>
                <w:color w:val="C00000"/>
                <w:sz w:val="17"/>
              </w:rPr>
              <w:t>-11.5%</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3,093</w:t>
            </w:r>
          </w:p>
        </w:tc>
        <w:tc>
          <w:tcPr>
            <w:tcW w:type="dxa" w:w="1440"/>
            <w:shd w:fill="FFDCE0" w:val="clear"/>
          </w:tcPr>
          <w:p>
            <w:r>
              <w:rPr>
                <w:b/>
                <w:sz w:val="17"/>
              </w:rPr>
              <w:t>3,594</w:t>
            </w:r>
          </w:p>
        </w:tc>
        <w:tc>
          <w:tcPr>
            <w:tcW w:type="dxa" w:w="1440"/>
            <w:shd w:fill="FFDCE0" w:val="clear"/>
          </w:tcPr>
          <w:p>
            <w:r>
              <w:rPr>
                <w:sz w:val="17"/>
              </w:rPr>
              <w:t>4,095</w:t>
            </w:r>
          </w:p>
        </w:tc>
        <w:tc>
          <w:tcPr>
            <w:tcW w:type="dxa" w:w="1440"/>
            <w:shd w:fill="FFDCE0" w:val="clear"/>
          </w:tcPr>
          <w:p>
            <w:r>
              <w:rPr>
                <w:b/>
                <w:color w:val="C00000"/>
                <w:sz w:val="17"/>
              </w:rPr>
              <w:t>-12.2%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 RAPPORT D'ANALYSE FINANCIÈRE — SERVAIR ABIDJAN (ABJC)</w:t>
        <w:br/>
        <w:t>**Bourse Régionale des Valeurs Mobilières (BRVM) — Secteur : Services aéroportuaires**</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44,68 Mds FCFA, Servair Abidjan se positionne comme une valeur de taille moyenne sur le compartiment BRVM, loin des blue chips bancaires ou télécoms mais suffisamment liquide pour intéresser les investisseurs institutionnels régionaux. Le BPA de 124 FCFA/action signifie que chaque titre génère un bénéfice net de 124 FCFA, ce qui, rapporté au cours actuel de 4 095 FCFA, aboutit à un PER de 33,1x — soit près de trois fois la moyenne du marché BRVM (8-12x), signalant que les investisseurs paient une prime très généreuse pour les bénéfices actuels, probablement en anticipation d'une croissance future ou par effet de rareté du flottant. Le P/B de 8,66x (largement supérieur au seuil de 4x) confirme cette valorisation exigeante : le marché valorise l'entreprise à près de neuf fois sa valeur comptable, ce qui traduit une forte confiance dans la qualité des actifs immatériels (contrats DSP, position dominante à l'aéroport FHB) mais expose à un risque de correction en cas de déception. Enfin, l'EV/EBITDA de 17,1x (&gt; 15x) indique que la valeur d'entreprise (capitalisation + dette nette quasi nulle) représente 17 fois la capacité opérationnelle de génération de cash, un niveau très exigeant qui intègre déjà une hypothèse de croissance soutenue des marges.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ABJC affiche une performance remarquable de +23,90%, avec une dernière séance en hausse de +2,25%, portant le cours à 4 095 FCFA — soit précisément son plus haut de la période, ce qui traduit une dynamique haussière intacte et un momentum acheteur toujours présent. Le range de trading s'étend de 2 800 FCFA (plus bas) à 4 095 FCFA (plus haut), soit une amplitude de 46%, illustrant une tendance clairement haussière avec une progression quasi linéaire depuis le point bas. Les statistiques descriptives révèlent une moyenne de 3 255 FCFA supérieure à la médiane de 3 182 FCFA, écart qui confirme une asymétrie positive (skewness de 0,915) : le cours a passé plus de journées sous la moyenne, mais les poussées haussières ont été suffisamment fortes pour tirer la moyenne vers le haut — typique d'un titre en phase d'accélération. L'écart-type de 314 FCFA avec un coefficient de variation de 9,6% indique une dispersion modérée autour de la tendance, tandis que le kurtosis de 0,161 (mésokurtique) suggère une distribution proche de la normale, sans risque excessif de pics extrêmes. La volatilité annualisée de 48,8% classe le titre dans la catégorie **élevée** (&gt; 30%), ce qui est cohérent avec un marché frontière peu liquide (volume moyen de 3 550 titres/jour) et appelle à une gestion prudente du risque de position.</w:t>
      </w:r>
    </w:p>
    <w:p>
      <w:pPr>
        <w:spacing w:after="120" w:line="276" w:lineRule="auto"/>
      </w:pPr>
      <w:r>
        <w:t>---</w:t>
      </w:r>
    </w:p>
    <w:p>
      <w:pPr>
        <w:spacing w:after="120" w:line="276" w:lineRule="auto"/>
      </w:pPr>
      <w:r>
        <w:t>## PARTIE 2 : ANALYSE TECHNIQUE DÉTAILLÉE</w:t>
      </w:r>
    </w:p>
    <w:p>
      <w:pPr>
        <w:spacing w:after="120" w:line="276" w:lineRule="auto"/>
      </w:pPr>
      <w:r>
        <w:t>**Moyennes Mobiles** : La MM20 (3 698,5 FCFA) et la MM50 (3 330,3 FCFA) sont toutes deux nettement inférieures au cours actuel (4 095 FCFA), avec la MM20 au-dessus de la MM50 — configuration haussière classique (golden cross). L'écart de 765 FCFA entre le cours et la MM20 confirme la vigueur du mouvement, justifiant la décision d'**Achat**.</w:t>
      </w:r>
    </w:p>
    <w:p>
      <w:pPr>
        <w:spacing w:after="120" w:line="276" w:lineRule="auto"/>
      </w:pPr>
      <w:r>
        <w:t>**Bandes de Bollinger** : Le cours (4 095 FCFA) évolue dans la partie haute du canal, entre la borne inférieure (3 135,64 FCFA) et la borne supérieure (4 261,36 FCFA), sans la franchir. Cette position proche de la borne haute traduit une pression acheteuse soutenue mais non encore extrême, justifiant la décision **Neutre** (pas de signal de retournement).</w:t>
      </w:r>
    </w:p>
    <w:p>
      <w:pPr>
        <w:spacing w:after="120" w:line="276" w:lineRule="auto"/>
      </w:pPr>
      <w:r>
        <w:t>**MACD** : La valeur du MACD (222,565) surpasse son signal (197,579), avec un histogramme positif de 25 points — divergence haussière confirmée qui indique un momentum acheteur toujours en place. La décision d'**Achat** est cohérente avec cette configuration.</w:t>
      </w:r>
    </w:p>
    <w:p>
      <w:pPr>
        <w:spacing w:after="120" w:line="276" w:lineRule="auto"/>
      </w:pPr>
      <w:r>
        <w:t>**RSI** : À 89,005, le RSI se situe très largement au-dessus du seuil de surachat (70), signalant un **Vente** technique : le titre est statistiquement sur-étiré et une consolidation ou correction à court terme est probable, même si un RSI élevé peut persister en tendance forte.</w:t>
      </w:r>
    </w:p>
    <w:p>
      <w:pPr>
        <w:spacing w:after="120" w:line="276" w:lineRule="auto"/>
      </w:pPr>
      <w:r>
        <w:t>**Stochastique** : %K et %D sont tous deux à 100,0, en zone de surachat extrême avec un croisement non encore effectué. La décision **Vente** reflète l'épuisement potentiel du mouvement haussier à très court terme.</w:t>
      </w:r>
    </w:p>
    <w:p>
      <w:pPr>
        <w:spacing w:after="120" w:line="276" w:lineRule="auto"/>
      </w:pPr>
      <w:r>
        <w:t>**Conclusion technique** : Les indicateurs de tendance (MM, MACD) restent haussiers et confirment la dynamique de fond, mais les oscillateurs (RSI à 89, Stochastique à 100) clignotent en zone de surachat extrême, créant une **divergence baissière à court terme**. Le titre est en tendance haussière mature, avec un risque élevé de consolidation technique imminente.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Servair Abidjan a réalisé un chiffre d'affaires de 13,298 Mds FCFA (contre 12,467 Mds en 2024, soit +6,7%), avec un résultat net de 1,351 Md FCFA (en baisse de 12,1% par rapport aux 1,515 Md de 2024, principalement en raison d'une charge d'impôt en hausse de +46,7% à 839,75 M FCFA). La rentabilité reste solide avec un ROE de 26,18% (&gt; 15%, excellent) et un ROA de 14,64%, tandis que la marge nette se maintient à 10,16% et la marge brute à 68,49%. La structure financière est très saine : autonomie financière de 55,92%, endettement financier quasi nul (dettes financières de 65,89 M FCFA seulement, soit un ratio de dépendance de 1,28%), trésorerie nette de 4,035 Mds FCFA et capacité de remboursement de 0,04 an. Le BFR est positif à 257,45 M FCFA, mais les délais d'exploitation méritent attention : délai clients de 70,10 jours (risque de trésorerie modéré) et délai fournisseurs de 92,11 jours (favorable à la trésorerie), avec une durée de stockage de 29,40 jours.</w:t>
      </w:r>
    </w:p>
    <w:p>
      <w:pPr>
        <w:spacing w:after="120" w:line="276" w:lineRule="auto"/>
      </w:pPr>
      <w:r>
        <w:t>**Estimations basées sur les rapports trimestriels** : Le rapport T1 2026 (publié en 2026) révèle une **forte dégradation de la rentabilité** : le CA progresse modestement de +1,9% à 3,237 Mds FCFA, mais le résultat des activités ordinaires chute de -27,4% à 327,6 M FCFA et le résultat net plonge de -35,6% à 222,6 M FCFA (marge nette de 6,9% contre 10,9% au T1 2025). Cette contre-performance s'explique par les ajustements de redevances aéroportuaires intervenus depuis avril 2025 et les tensions géopolitiques au Moyen-Orient affectant les compagnies clientes. Sur la base de ce T1 2026, on peut estimer que l'exercice 2026 devrait enregistrer une contraction du résultat net (potentiellement autour de 0,9-1,0 Md FCFA si la tendance se poursuit), sauf redressement au T3 comme observé en 2025 (T3 2025 : CA +10,3%, RN +17,1%). Le rapport 2025 (états financiers provisoires) confirme la baisse du RN de -25,4% à 1,35 Md FCFA, avec des capitaux propres de 2,17 Mds FCFA — notons une divergence avec les données structurées (5,159 Mds FCFA), probablement due à des retraitements ou à des périmètres différents.</w:t>
      </w:r>
    </w:p>
    <w:p>
      <w:pPr>
        <w:spacing w:after="120" w:line="276" w:lineRule="auto"/>
      </w:pPr>
      <w:r>
        <w:t>**Recommandation fondamentale** : La société présente des fondamentaux solides (ROE élevé, trésorerie abondante, endettement nul) mais fait face à des **risques conjoncturels sérieux** : dégradation de la rentabilité au T1 2026, pression fiscale accrue, dépendance au trafic aérien et litige réglementaire (BCEAO) désormais circonscrit. Le consensus des rapports est **CONSERVER**, avec une préférence pour l'attente de la confirmation d'un redressement au T3 2026.</w:t>
      </w:r>
    </w:p>
    <w:p>
      <w:pPr>
        <w:spacing w:after="120" w:line="276" w:lineRule="auto"/>
      </w:pPr>
      <w:r>
        <w:t>---</w:t>
      </w:r>
    </w:p>
    <w:p>
      <w:pPr>
        <w:spacing w:after="120" w:line="276" w:lineRule="auto"/>
      </w:pPr>
      <w:r>
        <w:t>## PARTIE 4 : CONCLUSION D'INVESTISSEMENT</w:t>
      </w:r>
    </w:p>
    <w:p>
      <w:pPr>
        <w:spacing w:after="120" w:line="276" w:lineRule="auto"/>
      </w:pPr>
      <w:r>
        <w:t>La valorisation (Partie 0) apparaît **très exigeante** : PER de 33,1x, P/B de 8,66x et EV/EBITDA de 17,1x intègrent déjà une hypothèse de croissance forte qui n'est pas confirmée par les derniers résultats trimestriels (T1 2026 : RN -35,6%). Le comportement du cours (Partie 1) est haussier (+23,90% sur 100 jours) avec une volatilité élevée (48,8%) et une asymétrie positive (skewness 0,915) qui traduit un momentum acheteur, mais le kurtosis proche de la normale n'écarte pas le risque de correction brutale. Les signaux techniques (Partie 2) sont **divergents** : les indicateurs de tendance (MM, MACD) restent haussiers, mais le RSI (89) et le Stochastique (100) sont en surachat extrême, annonçant une consolidation imminente. Les fondamentaux (Partie 3) sont **mitigés** : solidité financière incontestable (ROE 26,18%, trésorerie 4,035 Mds FCFA) mais dégradation de la rentabilité au T1 2026 et perspectives incertaines pour l'exercice en cours. Les prédictions IA (J+1 à J+10) anticipent une **correction baissière** de 4 095 FCFA à 3 775 FCFA (-7,8%), ce qui **confirme** les signaux de surachat technique et contredit le momentum haussier actuel. Sur la base de cette synthèse globale, la recommandation finale est **CONSERVER** avec un biais baissier à court terme : la convergence entre le surachat technique, la dégradation fondamentale et les prédictions IA suggère une consolidation imminente, mais la solidité du bilan et la position dominante sur le marché aéroportuaire ivoirien justifient de ne pas céder à la panique. Le niveau de confiance est **Moyen** (divergence entre technique et fondamental), le risque global est **Élevé** (volatilité 48,8%, valorisation tendue, dépendance conjoncturelle), et l'horizon d'investissement optimal est **moyen terme (3-12 mois)** pour laisser passer la correction et vérifier le redressement des marges au T3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603.59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12,725 titres</w:t>
            </w:r>
          </w:p>
        </w:tc>
        <w:tc>
          <w:tcPr>
            <w:tcW w:type="dxa" w:w="2268"/>
            <w:shd w:fill="FFF2CC" w:val="clear"/>
          </w:tcPr>
          <w:p>
            <w:r>
              <w:rPr>
                <w:b/>
                <w:color w:val="503200"/>
                <w:sz w:val="16"/>
              </w:rPr>
              <w:t xml:space="preserve">Cours actuel : </w:t>
            </w:r>
            <w:r>
              <w:rPr>
                <w:color w:val="000000"/>
                <w:sz w:val="17"/>
              </w:rPr>
              <w:t>10,450 FCFA</w:t>
            </w:r>
          </w:p>
          <w:p>
            <w:r>
              <w:rPr>
                <w:b/>
                <w:color w:val="503200"/>
                <w:sz w:val="16"/>
              </w:rPr>
              <w:t xml:space="preserve">Var. 100 jours : </w:t>
            </w:r>
            <w:r>
              <w:rPr>
                <w:b/>
                <w:color w:val="007800"/>
                <w:sz w:val="17"/>
              </w:rPr>
              <w:t>+104.50%</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5,100 FCFA</w:t>
            </w:r>
          </w:p>
          <w:p>
            <w:r>
              <w:rPr>
                <w:b/>
                <w:color w:val="503200"/>
                <w:sz w:val="16"/>
              </w:rPr>
              <w:t xml:space="preserve">Volatilité ann. : </w:t>
            </w:r>
            <w:r>
              <w:rPr>
                <w:color w:val="000000"/>
                <w:sz w:val="17"/>
              </w:rPr>
              <w:t>34.5%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26.1/100 → Moyen</w:t>
      </w:r>
    </w:p>
    <w:p>
      <w:pPr>
        <w:spacing w:before="40" w:after="80"/>
      </w:pPr>
      <w:r>
        <w:rPr>
          <w:rFonts w:ascii="Courier New" w:hAnsi="Courier New"/>
          <w:color w:val="825A00"/>
          <w:sz w:val="18"/>
        </w:rPr>
        <w:t>█████░░░░░░░░░░░░░░░  26.1/100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23.67% (Élevée) — μ=6,665 FCFA, σ=1,578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β=0.5222 (Défensif) — Cov=0.000018, Var(idx)=0.000035, ρ=0.141,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12,725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σ_j=2.17%/j (Stable) — Vol. annualisée≈34.5%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69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2026-09-14</w:t>
            </w:r>
          </w:p>
        </w:tc>
        <w:tc>
          <w:tcPr>
            <w:tcW w:type="dxa" w:w="1440"/>
            <w:shd w:fill="FFDCE0" w:val="clear"/>
          </w:tcPr>
          <w:p>
            <w:r>
              <w:rPr>
                <w:sz w:val="17"/>
              </w:rPr>
              <w:t>9,334</w:t>
            </w:r>
          </w:p>
        </w:tc>
        <w:tc>
          <w:tcPr>
            <w:tcW w:type="dxa" w:w="1440"/>
            <w:shd w:fill="FFDCE0" w:val="clear"/>
          </w:tcPr>
          <w:p>
            <w:r>
              <w:rPr>
                <w:b/>
                <w:sz w:val="17"/>
              </w:rPr>
              <w:t>9,717</w:t>
            </w:r>
          </w:p>
        </w:tc>
        <w:tc>
          <w:tcPr>
            <w:tcW w:type="dxa" w:w="1440"/>
            <w:shd w:fill="FFDCE0" w:val="clear"/>
          </w:tcPr>
          <w:p>
            <w:r>
              <w:rPr>
                <w:sz w:val="17"/>
              </w:rPr>
              <w:t>10,100</w:t>
            </w:r>
          </w:p>
        </w:tc>
        <w:tc>
          <w:tcPr>
            <w:tcW w:type="dxa" w:w="1440"/>
            <w:shd w:fill="FFDCE0" w:val="clear"/>
          </w:tcPr>
          <w:p>
            <w:r>
              <w:rPr>
                <w:b/>
                <w:color w:val="C00000"/>
                <w:sz w:val="17"/>
              </w:rPr>
              <w:t>-7.0%</w:t>
            </w:r>
          </w:p>
        </w:tc>
      </w:tr>
      <w:tr>
        <w:tc>
          <w:tcPr>
            <w:tcW w:type="dxa" w:w="1440"/>
            <w:shd w:fill="FFDCE0" w:val="clear"/>
          </w:tcPr>
          <w:p>
            <w:r>
              <w:rPr>
                <w:sz w:val="17"/>
              </w:rPr>
              <w:t>J+2  ⭐</w:t>
            </w:r>
          </w:p>
        </w:tc>
        <w:tc>
          <w:tcPr>
            <w:tcW w:type="dxa" w:w="1440"/>
            <w:shd w:fill="FFDCE0" w:val="clear"/>
          </w:tcPr>
          <w:p>
            <w:r>
              <w:rPr>
                <w:sz w:val="17"/>
              </w:rPr>
              <w:t>2026-09-15</w:t>
            </w:r>
          </w:p>
        </w:tc>
        <w:tc>
          <w:tcPr>
            <w:tcW w:type="dxa" w:w="1440"/>
            <w:shd w:fill="FFDCE0" w:val="clear"/>
          </w:tcPr>
          <w:p>
            <w:r>
              <w:rPr>
                <w:sz w:val="17"/>
              </w:rPr>
              <w:t>9,130</w:t>
            </w:r>
          </w:p>
        </w:tc>
        <w:tc>
          <w:tcPr>
            <w:tcW w:type="dxa" w:w="1440"/>
            <w:shd w:fill="FFDCE0" w:val="clear"/>
          </w:tcPr>
          <w:p>
            <w:r>
              <w:rPr>
                <w:b/>
                <w:sz w:val="17"/>
              </w:rPr>
              <w:t>9,669</w:t>
            </w:r>
          </w:p>
        </w:tc>
        <w:tc>
          <w:tcPr>
            <w:tcW w:type="dxa" w:w="1440"/>
            <w:shd w:fill="FFDCE0" w:val="clear"/>
          </w:tcPr>
          <w:p>
            <w:r>
              <w:rPr>
                <w:sz w:val="17"/>
              </w:rPr>
              <w:t>10,209</w:t>
            </w:r>
          </w:p>
        </w:tc>
        <w:tc>
          <w:tcPr>
            <w:tcW w:type="dxa" w:w="1440"/>
            <w:shd w:fill="FFDCE0" w:val="clear"/>
          </w:tcPr>
          <w:p>
            <w:r>
              <w:rPr>
                <w:b/>
                <w:color w:val="C00000"/>
                <w:sz w:val="17"/>
              </w:rPr>
              <w:t>-7.5%</w:t>
            </w:r>
          </w:p>
        </w:tc>
      </w:tr>
      <w:tr>
        <w:tc>
          <w:tcPr>
            <w:tcW w:type="dxa" w:w="1440"/>
            <w:shd w:fill="FFDCE0" w:val="clear"/>
          </w:tcPr>
          <w:p>
            <w:r>
              <w:rPr>
                <w:sz w:val="17"/>
              </w:rPr>
              <w:t>J+3  ⭐</w:t>
            </w:r>
          </w:p>
        </w:tc>
        <w:tc>
          <w:tcPr>
            <w:tcW w:type="dxa" w:w="1440"/>
            <w:shd w:fill="FFDCE0" w:val="clear"/>
          </w:tcPr>
          <w:p>
            <w:r>
              <w:rPr>
                <w:sz w:val="17"/>
              </w:rPr>
              <w:t>2026-09-16</w:t>
            </w:r>
          </w:p>
        </w:tc>
        <w:tc>
          <w:tcPr>
            <w:tcW w:type="dxa" w:w="1440"/>
            <w:shd w:fill="FFDCE0" w:val="clear"/>
          </w:tcPr>
          <w:p>
            <w:r>
              <w:rPr>
                <w:sz w:val="17"/>
              </w:rPr>
              <w:t>8,953</w:t>
            </w:r>
          </w:p>
        </w:tc>
        <w:tc>
          <w:tcPr>
            <w:tcW w:type="dxa" w:w="1440"/>
            <w:shd w:fill="FFDCE0" w:val="clear"/>
          </w:tcPr>
          <w:p>
            <w:r>
              <w:rPr>
                <w:b/>
                <w:sz w:val="17"/>
              </w:rPr>
              <w:t>9,609</w:t>
            </w:r>
          </w:p>
        </w:tc>
        <w:tc>
          <w:tcPr>
            <w:tcW w:type="dxa" w:w="1440"/>
            <w:shd w:fill="FFDCE0" w:val="clear"/>
          </w:tcPr>
          <w:p>
            <w:r>
              <w:rPr>
                <w:sz w:val="17"/>
              </w:rPr>
              <w:t>10,266</w:t>
            </w:r>
          </w:p>
        </w:tc>
        <w:tc>
          <w:tcPr>
            <w:tcW w:type="dxa" w:w="1440"/>
            <w:shd w:fill="FFDCE0" w:val="clear"/>
          </w:tcPr>
          <w:p>
            <w:r>
              <w:rPr>
                <w:b/>
                <w:color w:val="C00000"/>
                <w:sz w:val="17"/>
              </w:rPr>
              <w:t>-8.0%</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8,799</w:t>
            </w:r>
          </w:p>
        </w:tc>
        <w:tc>
          <w:tcPr>
            <w:tcW w:type="dxa" w:w="1440"/>
            <w:shd w:fill="FFDCE0" w:val="clear"/>
          </w:tcPr>
          <w:p>
            <w:r>
              <w:rPr>
                <w:b/>
                <w:sz w:val="17"/>
              </w:rPr>
              <w:t>9,553</w:t>
            </w:r>
          </w:p>
        </w:tc>
        <w:tc>
          <w:tcPr>
            <w:tcW w:type="dxa" w:w="1440"/>
            <w:shd w:fill="FFDCE0" w:val="clear"/>
          </w:tcPr>
          <w:p>
            <w:r>
              <w:rPr>
                <w:sz w:val="17"/>
              </w:rPr>
              <w:t>10,307</w:t>
            </w:r>
          </w:p>
        </w:tc>
        <w:tc>
          <w:tcPr>
            <w:tcW w:type="dxa" w:w="1440"/>
            <w:shd w:fill="FFDCE0" w:val="clear"/>
          </w:tcPr>
          <w:p>
            <w:r>
              <w:rPr>
                <w:b/>
                <w:color w:val="C00000"/>
                <w:sz w:val="17"/>
              </w:rPr>
              <w:t>-8.6%</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8,666</w:t>
            </w:r>
          </w:p>
        </w:tc>
        <w:tc>
          <w:tcPr>
            <w:tcW w:type="dxa" w:w="1440"/>
            <w:shd w:fill="FFDCE0" w:val="clear"/>
          </w:tcPr>
          <w:p>
            <w:r>
              <w:rPr>
                <w:b/>
                <w:sz w:val="17"/>
              </w:rPr>
              <w:t>9,504</w:t>
            </w:r>
          </w:p>
        </w:tc>
        <w:tc>
          <w:tcPr>
            <w:tcW w:type="dxa" w:w="1440"/>
            <w:shd w:fill="FFDCE0" w:val="clear"/>
          </w:tcPr>
          <w:p>
            <w:r>
              <w:rPr>
                <w:sz w:val="17"/>
              </w:rPr>
              <w:t>10,343</w:t>
            </w:r>
          </w:p>
        </w:tc>
        <w:tc>
          <w:tcPr>
            <w:tcW w:type="dxa" w:w="1440"/>
            <w:shd w:fill="FFDCE0" w:val="clear"/>
          </w:tcPr>
          <w:p>
            <w:r>
              <w:rPr>
                <w:b/>
                <w:color w:val="C00000"/>
                <w:sz w:val="17"/>
              </w:rPr>
              <w:t>-9.1%</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8,548</w:t>
            </w:r>
          </w:p>
        </w:tc>
        <w:tc>
          <w:tcPr>
            <w:tcW w:type="dxa" w:w="1440"/>
            <w:shd w:fill="FFDCE0" w:val="clear"/>
          </w:tcPr>
          <w:p>
            <w:r>
              <w:rPr>
                <w:b/>
                <w:sz w:val="17"/>
              </w:rPr>
              <w:t>9,462</w:t>
            </w:r>
          </w:p>
        </w:tc>
        <w:tc>
          <w:tcPr>
            <w:tcW w:type="dxa" w:w="1440"/>
            <w:shd w:fill="FFDCE0" w:val="clear"/>
          </w:tcPr>
          <w:p>
            <w:r>
              <w:rPr>
                <w:sz w:val="17"/>
              </w:rPr>
              <w:t>10,377</w:t>
            </w:r>
          </w:p>
        </w:tc>
        <w:tc>
          <w:tcPr>
            <w:tcW w:type="dxa" w:w="1440"/>
            <w:shd w:fill="FFDCE0" w:val="clear"/>
          </w:tcPr>
          <w:p>
            <w:r>
              <w:rPr>
                <w:b/>
                <w:color w:val="C00000"/>
                <w:sz w:val="17"/>
              </w:rPr>
              <w:t>-9.5%</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8,442</w:t>
            </w:r>
          </w:p>
        </w:tc>
        <w:tc>
          <w:tcPr>
            <w:tcW w:type="dxa" w:w="1440"/>
            <w:shd w:fill="FFDCE0" w:val="clear"/>
          </w:tcPr>
          <w:p>
            <w:r>
              <w:rPr>
                <w:b/>
                <w:sz w:val="17"/>
              </w:rPr>
              <w:t>9,426</w:t>
            </w:r>
          </w:p>
        </w:tc>
        <w:tc>
          <w:tcPr>
            <w:tcW w:type="dxa" w:w="1440"/>
            <w:shd w:fill="FFDCE0" w:val="clear"/>
          </w:tcPr>
          <w:p>
            <w:r>
              <w:rPr>
                <w:sz w:val="17"/>
              </w:rPr>
              <w:t>10,410</w:t>
            </w:r>
          </w:p>
        </w:tc>
        <w:tc>
          <w:tcPr>
            <w:tcW w:type="dxa" w:w="1440"/>
            <w:shd w:fill="FFDCE0" w:val="clear"/>
          </w:tcPr>
          <w:p>
            <w:r>
              <w:rPr>
                <w:b/>
                <w:color w:val="C00000"/>
                <w:sz w:val="17"/>
              </w:rPr>
              <w:t>-9.8%</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8,348</w:t>
            </w:r>
          </w:p>
        </w:tc>
        <w:tc>
          <w:tcPr>
            <w:tcW w:type="dxa" w:w="1440"/>
            <w:shd w:fill="FFDCE0" w:val="clear"/>
          </w:tcPr>
          <w:p>
            <w:r>
              <w:rPr>
                <w:b/>
                <w:sz w:val="17"/>
              </w:rPr>
              <w:t>9,396</w:t>
            </w:r>
          </w:p>
        </w:tc>
        <w:tc>
          <w:tcPr>
            <w:tcW w:type="dxa" w:w="1440"/>
            <w:shd w:fill="FFDCE0" w:val="clear"/>
          </w:tcPr>
          <w:p>
            <w:r>
              <w:rPr>
                <w:sz w:val="17"/>
              </w:rPr>
              <w:t>10,445</w:t>
            </w:r>
          </w:p>
        </w:tc>
        <w:tc>
          <w:tcPr>
            <w:tcW w:type="dxa" w:w="1440"/>
            <w:shd w:fill="FFDCE0" w:val="clear"/>
          </w:tcPr>
          <w:p>
            <w:r>
              <w:rPr>
                <w:b/>
                <w:color w:val="C00000"/>
                <w:sz w:val="17"/>
              </w:rPr>
              <w:t>-10.1%</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8,261</w:t>
            </w:r>
          </w:p>
        </w:tc>
        <w:tc>
          <w:tcPr>
            <w:tcW w:type="dxa" w:w="1440"/>
            <w:shd w:fill="FFDCE0" w:val="clear"/>
          </w:tcPr>
          <w:p>
            <w:r>
              <w:rPr>
                <w:b/>
                <w:sz w:val="17"/>
              </w:rPr>
              <w:t>9,371</w:t>
            </w:r>
          </w:p>
        </w:tc>
        <w:tc>
          <w:tcPr>
            <w:tcW w:type="dxa" w:w="1440"/>
            <w:shd w:fill="FFDCE0" w:val="clear"/>
          </w:tcPr>
          <w:p>
            <w:r>
              <w:rPr>
                <w:sz w:val="17"/>
              </w:rPr>
              <w:t>10,480</w:t>
            </w:r>
          </w:p>
        </w:tc>
        <w:tc>
          <w:tcPr>
            <w:tcW w:type="dxa" w:w="1440"/>
            <w:shd w:fill="FFDCE0" w:val="clear"/>
          </w:tcPr>
          <w:p>
            <w:r>
              <w:rPr>
                <w:b/>
                <w:color w:val="C00000"/>
                <w:sz w:val="17"/>
              </w:rPr>
              <w:t>-10.3%</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8,183</w:t>
            </w:r>
          </w:p>
        </w:tc>
        <w:tc>
          <w:tcPr>
            <w:tcW w:type="dxa" w:w="1440"/>
            <w:shd w:fill="FFDCE0" w:val="clear"/>
          </w:tcPr>
          <w:p>
            <w:r>
              <w:rPr>
                <w:b/>
                <w:sz w:val="17"/>
              </w:rPr>
              <w:t>9,349</w:t>
            </w:r>
          </w:p>
        </w:tc>
        <w:tc>
          <w:tcPr>
            <w:tcW w:type="dxa" w:w="1440"/>
            <w:shd w:fill="FFDCE0" w:val="clear"/>
          </w:tcPr>
          <w:p>
            <w:r>
              <w:rPr>
                <w:sz w:val="17"/>
              </w:rPr>
              <w:t>10,516</w:t>
            </w:r>
          </w:p>
        </w:tc>
        <w:tc>
          <w:tcPr>
            <w:tcW w:type="dxa" w:w="1440"/>
            <w:shd w:fill="FFDCE0" w:val="clear"/>
          </w:tcPr>
          <w:p>
            <w:r>
              <w:rPr>
                <w:b/>
                <w:color w:val="C00000"/>
                <w:sz w:val="17"/>
              </w:rPr>
              <w:t>-10.5%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ACTION BICB (BIIC Bénin)**</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603,59 milliards FCFA, BICB s'impose comme l'une des plus importantes capitalisations du compartiment bancaire de la BRVM, ce qui témoigne de la confiance du marché envers cet établissement leader au Bénin. Le BPA de 627 FCFA/action signifie que chaque titre génère près de 627 FCFA de bénéfice net, un niveau de rentabilité par action remarquable pour le secteur. Le PER de 16,7x situe le titre au-dessus de la moyenne BRVM (généralement 8-12x), indiquant que les investisseurs acceptent de payer une prime significative pour les bénéfices de la banque, ce qui traduit des anticipations de croissance soutenue mais réduit la marge de sécurité. Le P/B de 4,47x confirme cette prime, le marché valorisant la banque à plus de quatre fois sa valeur comptable (135,1 Mds FCFA de capitaux propres), un niveau exigeant qui suppose une qualité des fonds propres et une rentabilité future élevées. Enfin, l'EV/EBITDA de 27,0x, très supérieur au seuil de 15x, signale une valorisation tendue par rapport à la capacité opérationnelle, ce qui rend le titre vulnérable à toute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BICB a enregistré une progression spectaculaire de +104,50%, avec une dernière séance en hausse de +2,45%, portant le cours à 10 450 FCFA. Le range de trading est particulièrement large, oscillant entre un plus bas de 5 100 FCFA et un plus haut de 10 790 FCFA, ce qui illustre une dynamique haussière puissante et un intérêt croissant des investisseurs. La tendance générale est donc clairement haussière, soutenue par des publications financières solides et une forte croissance commerciale. Les statistiques descriptives révèlent une moyenne de 6 665 FCFA nettement supérieure à la médiane de 5 928 FCFA, avec un mode à 5 200 FCFA, ce qui confirme une distribution asymétrique : le cours a passé plus de temps dans les niveaux bas avant de s'envoler récemment. L'écart-type de 1 586 FCFA (CV de 23,8%) indique une dispersion modérée à élevée, cohérente avec la volatilité annualisée de 34,5% qui classe le titre dans la catégorie des valeurs à volatilité élevée (&gt;30%). Le kurtosis de -0,151 (mésokurtique) suggère une distribution proche de la normale, sans risque extrême de pics, tandis que le skewness de +0,960 (asymétrie positive) confirme que les journées sous la moyenne ont été plus fréquentes, mais compensées par des hausses violentes — un profil typique d'un titre en phase d'accélération haussière.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(9 233 FCFA) et la MM50 (7 918,5 FCFA) sont toutes deux nettement inférieures au cours actuel de 10 450 FCFA, confirmant une configuration haussière forte où le prix évolue bien au-dessus de ses moyennes. La décision technique est à l'achat, les moyennes mobiles agissant comme supports dynamiques et validant la tendance positive de moyen terme.</w:t>
      </w:r>
    </w:p>
    <w:p>
      <w:pPr>
        <w:spacing w:after="120" w:line="276" w:lineRule="auto"/>
      </w:pPr>
      <w:r>
        <w:t>**Bandes de Bollinger** : Le cours (10 450 FCFA) se situe entre la borne supérieure (11 070,12 FCFA) et la borne inférieure (7 395,88 FCFA), mais très proche de la bande haute, ce qui indique une volatilité élevée et une pression acheteuse soutenue. La décision est neutre, le titre n'étant pas encore en zone de surachat extrême selon cet indicateur, mais la proximité de la borne supérieure invite à la prudence.</w:t>
      </w:r>
    </w:p>
    <w:p>
      <w:pPr>
        <w:spacing w:after="120" w:line="276" w:lineRule="auto"/>
      </w:pPr>
      <w:r>
        <w:t>**MACD** : La valeur du MACD (753,198) est supérieure à son signal (682,437), générant une décision d'achat. Le momentum haussier est confirmé, la divergence positive entre les deux lignes indiquant que la dynamique acheteuse reste intacte et pourrait soutenir le cours à court terme.</w:t>
      </w:r>
    </w:p>
    <w:p>
      <w:pPr>
        <w:spacing w:after="120" w:line="276" w:lineRule="auto"/>
      </w:pPr>
      <w:r>
        <w:t>**RSI** : Avec une valeur de 80,992, le RSI est en zone de surachat (&gt;70), générant une décision de vente. Ce niveau élevé signale que le titre a fortement progressé et qu'une correction ou une consolidation est probable à court terme, les acheteurs étant potentiellement essoufflés.</w:t>
      </w:r>
    </w:p>
    <w:p>
      <w:pPr>
        <w:spacing w:after="120" w:line="276" w:lineRule="auto"/>
      </w:pPr>
      <w:r>
        <w:t>**Stochastique** : Le %K (85,185) et le %D (78,717) sont tous deux en zone haute, avec une décision de vente. Le croisement des lignes reste haussier (%K &gt; %D), mais leur position élevée indique que le titre évolue en territoire de surachat, renforçant le risque de retournement à court terme.</w:t>
      </w:r>
    </w:p>
    <w:p>
      <w:pPr>
        <w:spacing w:after="120" w:line="276" w:lineRule="auto"/>
      </w:pPr>
      <w:r>
        <w:t>**Conclusion technique** : Les indicateurs techniques présentent un tableau contrasté. Les moyennes mobiles et le MACD confirment une tendance haussière solide, tandis que le RSI et le stochastique signalent un surachat imminent. Cette divergence suggère que le titre pourrait connaître une consolidation à court terme avant de reprendre sa tendance haussière, les investisseurs devant surveiller un éventuel repli vers les 9 500-10 000 FCFA comme opportunité d'achat.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états financiers annuels de BICB (exercice clos le 31 décembre 2025, publiés le 12 juin 2026) affichent un Produit Net Bancaire (PNB) de 52,805 milliards FCFA, en croissance de +16,49% par rapport à 2024, porté par une expansion rapide des crédits (+37,3%) et des dépôts (+29,4%). Le résultat net s'établit à 36,237 milliards FCFA, en hausse de +24,7%, avec un ROE exceptionnel de 26,82% (largement supérieur au seuil de 15% considéré comme excellent) et un ROA de 1,96%, confirmant la rentabilité élevée de la banque. Le coefficient d'exploitation de 31,12% est excellent (&lt;60%), témoignant d'une grande efficacité opérationnelle, tandis que le coût du risque de 9,61% reste modéré mais à surveiller dans un contexte de croissance agressive des crédits. La structure financière montre une autonomie financière de 7,33% (faible, typique des banques) et un ratio crédits/dépôts de 97,5%, signalant une transformation tendue et un risque de liquidité à surveiller. Les rapports trimestriels de 2025 (S1, T3) et 2026 (T1) révèlent une dynamique contrastée : au S1 2025 (rapport du 30 juin 2025), le PNB progressait de +28,1% à 25,738 milliards FCFA mais le résultat net chutait de -26,7% à 7,903 milliards FCFA en raison d'une explosion du coût du risque (+641%). Au T3 2025 (rapport du 30 septembre 2025), le PNB cumulé atteignait 35,945 milliards FCFA (+26%) mais le résultat net reculait de -9% à 13,128 milliards FCFA, la direction invoquant une "politique prudente de provisionnement". Cependant, le rapport T1 2026 (publié en 2026) marque un retournement spectaculaire : le PNB bondit de +35% à 14,6 milliards FCFA et le résultat net de +48% à 8,0 milliards FCFA, avec des dépôts en hausse de +6% à 1 248,3 milliards FCFA et des crédits nets de +3% à 1 187,9 milliards FCFA. On estime donc que l'exercice 2026 devrait afficher une accélération de la rentabilité, le coût du risque semblant se normaliser après les provisions massives de 2025. La recommandation fondamentale est positive : la banque affiche une solidité financière (capitaux propres de 135,1 Mds FCFA, ratio de solvabilité de 19,64%), une croissance rentable et une position de leader au Bénin, mais les risques de crédit et de liquidité nécessitent une surveillance attentive.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BICB (Partie 0) apparaît exigeante avec un PER de 16,7x, un P/B de 4,47x et un EV/EBITDA de 27,0x, ces ratios traduisant une prime significative qui suppose une croissance soutenue et une qualité des fonds propres irréprochable. Le comportement du cours (Partie 1) est exceptionnellement haussier (+104,50% sur 100 jours), avec une volatilité élevée (34,5%) et une asymétrie positive (skewness de +0,960) qui indique des hausses violentes compensant des journées baissières, mais le kurtosis proche de la normale (-0,151) limite le risque de pics extrêmes. Les signaux techniques (Partie 2) sont mitigés : les moyennes mobiles et le MACD confirment la tendance haussière, mais le RSI (80,99) et le stochastique (85,19) signalent un surachat imminent, suggérant une consolidation à court terme. Les fondamentaux (Partie 3) sont solides : en 2025, le PNB atteint 52,8 Mds FCFA (+16,5%), le résultat net 36,2 Mds FCFA (+24,7%), avec un ROE de 26,8% et un coefficient d'exploitation de 31,1%, tandis que le T1 2026 montre une accélération (+35% de PNB, +48% de résultat net), confirmant la normalisation du coût du risque. Les prédictions IA (J+1 à J+10) anticipent une correction progressive vers 9 504 FCFA d'ici le 18 septembre 2026, ce qui contredit la tendance haussière actuelle mais s'aligne avec le signal de surachat du RSI. Sur la base de cette synthèse, la recommandation finale est **CONSERVER** : la convergence entre fondamentaux solides et valorisation exigeante, couplée à un signal technique de surachat et à des prédictions baissières à court terme, justifie une position d'attente pour les investisseurs déjà en portefeuille, tandis qu'un achat serait prématuré avant une consolidation. Le niveau de confiance est **Moyen** (les fondamentaux sont robustes mais la valorisation et le surachat limitent le potentiel à court terme), le risque global est **Moyen** (volatilité élevée et risque de crédit), et l'horizon d'investissement optimal est **moyen terme (3-12 mois)**, le temps que la consolidation technique s'achève et que les résultats 2026 confirment la trajectoire de croissance rentable.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550.17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657 titres</w:t>
            </w:r>
          </w:p>
        </w:tc>
        <w:tc>
          <w:tcPr>
            <w:tcW w:type="dxa" w:w="2268"/>
            <w:shd w:fill="FFF2CC" w:val="clear"/>
          </w:tcPr>
          <w:p>
            <w:r>
              <w:rPr>
                <w:b/>
                <w:color w:val="503200"/>
                <w:sz w:val="16"/>
              </w:rPr>
              <w:t xml:space="preserve">Cours actuel : </w:t>
            </w:r>
            <w:r>
              <w:rPr>
                <w:color w:val="000000"/>
                <w:sz w:val="17"/>
              </w:rPr>
              <w:t>33,010 FCFA</w:t>
            </w:r>
          </w:p>
          <w:p>
            <w:r>
              <w:rPr>
                <w:b/>
                <w:color w:val="503200"/>
                <w:sz w:val="16"/>
              </w:rPr>
              <w:t xml:space="preserve">Var. 100 jours : </w:t>
            </w:r>
            <w:r>
              <w:rPr>
                <w:b/>
                <w:color w:val="007800"/>
                <w:sz w:val="17"/>
              </w:rPr>
              <w:t>+39.25%</w:t>
            </w:r>
          </w:p>
          <w:p>
            <w:r>
              <w:rPr>
                <w:b/>
                <w:color w:val="503200"/>
                <w:sz w:val="16"/>
              </w:rPr>
              <w:t xml:space="preserve">Plus haut 100j : </w:t>
            </w:r>
            <w:r>
              <w:rPr>
                <w:color w:val="000000"/>
                <w:sz w:val="17"/>
              </w:rPr>
              <w:t>34,000 FCFA</w:t>
            </w:r>
          </w:p>
          <w:p>
            <w:r>
              <w:rPr>
                <w:b/>
                <w:color w:val="503200"/>
                <w:sz w:val="16"/>
              </w:rPr>
              <w:t xml:space="preserve">Plus bas 100j : </w:t>
            </w:r>
            <w:r>
              <w:rPr>
                <w:color w:val="000000"/>
                <w:sz w:val="17"/>
              </w:rPr>
              <w:t>23,705 FCFA</w:t>
            </w:r>
          </w:p>
          <w:p>
            <w:r>
              <w:rPr>
                <w:b/>
                <w:color w:val="503200"/>
                <w:sz w:val="16"/>
              </w:rPr>
              <w:t xml:space="preserve">Volatilité ann. : </w:t>
            </w:r>
            <w:r>
              <w:rPr>
                <w:color w:val="000000"/>
                <w:sz w:val="17"/>
              </w:rPr>
              <w:t>28.9%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7.48% (Moyenne) — μ=28,217 FCFA, σ=2,110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β=0.5622 (Défensif) — Cov=0.000020, Var(idx)=0.000035, ρ=0.181,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657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σ_j=1.82%/j (Stable) — Vol. annualisée≈28.9%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31,672</w:t>
            </w:r>
          </w:p>
        </w:tc>
        <w:tc>
          <w:tcPr>
            <w:tcW w:type="dxa" w:w="1440"/>
            <w:shd w:fill="FAFAFA" w:val="clear"/>
          </w:tcPr>
          <w:p>
            <w:r>
              <w:rPr>
                <w:b/>
                <w:sz w:val="17"/>
              </w:rPr>
              <w:t>32,675</w:t>
            </w:r>
          </w:p>
        </w:tc>
        <w:tc>
          <w:tcPr>
            <w:tcW w:type="dxa" w:w="1440"/>
            <w:shd w:fill="FAFAFA" w:val="clear"/>
          </w:tcPr>
          <w:p>
            <w:r>
              <w:rPr>
                <w:sz w:val="17"/>
              </w:rPr>
              <w:t>33,678</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31,150</w:t>
            </w:r>
          </w:p>
        </w:tc>
        <w:tc>
          <w:tcPr>
            <w:tcW w:type="dxa" w:w="1440"/>
            <w:shd w:fill="FAFAFA" w:val="clear"/>
          </w:tcPr>
          <w:p>
            <w:r>
              <w:rPr>
                <w:b/>
                <w:sz w:val="17"/>
              </w:rPr>
              <w:t>32,564</w:t>
            </w:r>
          </w:p>
        </w:tc>
        <w:tc>
          <w:tcPr>
            <w:tcW w:type="dxa" w:w="1440"/>
            <w:shd w:fill="FAFAFA" w:val="clear"/>
          </w:tcPr>
          <w:p>
            <w:r>
              <w:rPr>
                <w:sz w:val="17"/>
              </w:rPr>
              <w:t>33,978</w:t>
            </w:r>
          </w:p>
        </w:tc>
        <w:tc>
          <w:tcPr>
            <w:tcW w:type="dxa" w:w="1440"/>
            <w:shd w:fill="FAFAFA" w:val="clear"/>
          </w:tcPr>
          <w:p>
            <w:r>
              <w:rPr>
                <w:b/>
                <w:color w:val="C00000"/>
                <w:sz w:val="17"/>
              </w:rPr>
              <w:t>-1.4%</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30,732</w:t>
            </w:r>
          </w:p>
        </w:tc>
        <w:tc>
          <w:tcPr>
            <w:tcW w:type="dxa" w:w="1440"/>
            <w:shd w:fill="FAFAFA" w:val="clear"/>
          </w:tcPr>
          <w:p>
            <w:r>
              <w:rPr>
                <w:b/>
                <w:sz w:val="17"/>
              </w:rPr>
              <w:t>32,457</w:t>
            </w:r>
          </w:p>
        </w:tc>
        <w:tc>
          <w:tcPr>
            <w:tcW w:type="dxa" w:w="1440"/>
            <w:shd w:fill="FAFAFA" w:val="clear"/>
          </w:tcPr>
          <w:p>
            <w:r>
              <w:rPr>
                <w:sz w:val="17"/>
              </w:rPr>
              <w:t>34,183</w:t>
            </w:r>
          </w:p>
        </w:tc>
        <w:tc>
          <w:tcPr>
            <w:tcW w:type="dxa" w:w="1440"/>
            <w:shd w:fill="FAFAFA" w:val="clear"/>
          </w:tcPr>
          <w:p>
            <w:r>
              <w:rPr>
                <w:b/>
                <w:color w:val="C00000"/>
                <w:sz w:val="17"/>
              </w:rPr>
              <w:t>-1.7%</w:t>
            </w:r>
          </w:p>
        </w:tc>
      </w:tr>
      <w:tr>
        <w:tc>
          <w:tcPr>
            <w:tcW w:type="dxa" w:w="1440"/>
            <w:shd w:fill="FAFAFA" w:val="clear"/>
          </w:tcPr>
          <w:p>
            <w:r>
              <w:rPr>
                <w:sz w:val="17"/>
              </w:rPr>
              <w:t>J+4  Moyenne</w:t>
            </w:r>
          </w:p>
        </w:tc>
        <w:tc>
          <w:tcPr>
            <w:tcW w:type="dxa" w:w="1440"/>
            <w:shd w:fill="FAFAFA" w:val="clear"/>
          </w:tcPr>
          <w:p>
            <w:r>
              <w:rPr>
                <w:sz w:val="17"/>
              </w:rPr>
              <w:t>2026-09-17</w:t>
            </w:r>
          </w:p>
        </w:tc>
        <w:tc>
          <w:tcPr>
            <w:tcW w:type="dxa" w:w="1440"/>
            <w:shd w:fill="FAFAFA" w:val="clear"/>
          </w:tcPr>
          <w:p>
            <w:r>
              <w:rPr>
                <w:sz w:val="17"/>
              </w:rPr>
              <w:t>30,367</w:t>
            </w:r>
          </w:p>
        </w:tc>
        <w:tc>
          <w:tcPr>
            <w:tcW w:type="dxa" w:w="1440"/>
            <w:shd w:fill="FAFAFA" w:val="clear"/>
          </w:tcPr>
          <w:p>
            <w:r>
              <w:rPr>
                <w:b/>
                <w:sz w:val="17"/>
              </w:rPr>
              <w:t>32,353</w:t>
            </w:r>
          </w:p>
        </w:tc>
        <w:tc>
          <w:tcPr>
            <w:tcW w:type="dxa" w:w="1440"/>
            <w:shd w:fill="FAFAFA" w:val="clear"/>
          </w:tcPr>
          <w:p>
            <w:r>
              <w:rPr>
                <w:sz w:val="17"/>
              </w:rPr>
              <w:t>34,339</w:t>
            </w:r>
          </w:p>
        </w:tc>
        <w:tc>
          <w:tcPr>
            <w:tcW w:type="dxa" w:w="1440"/>
            <w:shd w:fill="FAFAFA" w:val="clear"/>
          </w:tcPr>
          <w:p>
            <w:r>
              <w:rPr>
                <w:b/>
                <w:color w:val="C00000"/>
                <w:sz w:val="17"/>
              </w:rPr>
              <w:t>-2.0%</w:t>
            </w:r>
          </w:p>
        </w:tc>
      </w:tr>
      <w:tr>
        <w:tc>
          <w:tcPr>
            <w:tcW w:type="dxa" w:w="1440"/>
            <w:shd w:fill="FFDCE0" w:val="clear"/>
          </w:tcPr>
          <w:p>
            <w:r>
              <w:rPr>
                <w:sz w:val="17"/>
              </w:rPr>
              <w:t>J+5  Moyenne</w:t>
            </w:r>
          </w:p>
        </w:tc>
        <w:tc>
          <w:tcPr>
            <w:tcW w:type="dxa" w:w="1440"/>
            <w:shd w:fill="FFDCE0" w:val="clear"/>
          </w:tcPr>
          <w:p>
            <w:r>
              <w:rPr>
                <w:sz w:val="17"/>
              </w:rPr>
              <w:t>2026-09-18</w:t>
            </w:r>
          </w:p>
        </w:tc>
        <w:tc>
          <w:tcPr>
            <w:tcW w:type="dxa" w:w="1440"/>
            <w:shd w:fill="FFDCE0" w:val="clear"/>
          </w:tcPr>
          <w:p>
            <w:r>
              <w:rPr>
                <w:sz w:val="17"/>
              </w:rPr>
              <w:t>30,040</w:t>
            </w:r>
          </w:p>
        </w:tc>
        <w:tc>
          <w:tcPr>
            <w:tcW w:type="dxa" w:w="1440"/>
            <w:shd w:fill="FFDCE0" w:val="clear"/>
          </w:tcPr>
          <w:p>
            <w:r>
              <w:rPr>
                <w:b/>
                <w:sz w:val="17"/>
              </w:rPr>
              <w:t>32,253</w:t>
            </w:r>
          </w:p>
        </w:tc>
        <w:tc>
          <w:tcPr>
            <w:tcW w:type="dxa" w:w="1440"/>
            <w:shd w:fill="FFDCE0" w:val="clear"/>
          </w:tcPr>
          <w:p>
            <w:r>
              <w:rPr>
                <w:sz w:val="17"/>
              </w:rPr>
              <w:t>34,467</w:t>
            </w:r>
          </w:p>
        </w:tc>
        <w:tc>
          <w:tcPr>
            <w:tcW w:type="dxa" w:w="1440"/>
            <w:shd w:fill="FFDCE0" w:val="clear"/>
          </w:tcPr>
          <w:p>
            <w:r>
              <w:rPr>
                <w:b/>
                <w:color w:val="C00000"/>
                <w:sz w:val="17"/>
              </w:rPr>
              <w:t>-2.3%</w:t>
            </w:r>
          </w:p>
        </w:tc>
      </w:tr>
      <w:tr>
        <w:tc>
          <w:tcPr>
            <w:tcW w:type="dxa" w:w="1440"/>
            <w:shd w:fill="FFDCE0" w:val="clear"/>
          </w:tcPr>
          <w:p>
            <w:r>
              <w:rPr>
                <w:sz w:val="17"/>
              </w:rPr>
              <w:t>J+6  Moyenne</w:t>
            </w:r>
          </w:p>
        </w:tc>
        <w:tc>
          <w:tcPr>
            <w:tcW w:type="dxa" w:w="1440"/>
            <w:shd w:fill="FFDCE0" w:val="clear"/>
          </w:tcPr>
          <w:p>
            <w:r>
              <w:rPr>
                <w:sz w:val="17"/>
              </w:rPr>
              <w:t>2026-09-21</w:t>
            </w:r>
          </w:p>
        </w:tc>
        <w:tc>
          <w:tcPr>
            <w:tcW w:type="dxa" w:w="1440"/>
            <w:shd w:fill="FFDCE0" w:val="clear"/>
          </w:tcPr>
          <w:p>
            <w:r>
              <w:rPr>
                <w:sz w:val="17"/>
              </w:rPr>
              <w:t>29,739</w:t>
            </w:r>
          </w:p>
        </w:tc>
        <w:tc>
          <w:tcPr>
            <w:tcW w:type="dxa" w:w="1440"/>
            <w:shd w:fill="FFDCE0" w:val="clear"/>
          </w:tcPr>
          <w:p>
            <w:r>
              <w:rPr>
                <w:b/>
                <w:sz w:val="17"/>
              </w:rPr>
              <w:t>32,157</w:t>
            </w:r>
          </w:p>
        </w:tc>
        <w:tc>
          <w:tcPr>
            <w:tcW w:type="dxa" w:w="1440"/>
            <w:shd w:fill="FFDCE0" w:val="clear"/>
          </w:tcPr>
          <w:p>
            <w:r>
              <w:rPr>
                <w:sz w:val="17"/>
              </w:rPr>
              <w:t>34,575</w:t>
            </w:r>
          </w:p>
        </w:tc>
        <w:tc>
          <w:tcPr>
            <w:tcW w:type="dxa" w:w="1440"/>
            <w:shd w:fill="FFDCE0" w:val="clear"/>
          </w:tcPr>
          <w:p>
            <w:r>
              <w:rPr>
                <w:b/>
                <w:color w:val="C00000"/>
                <w:sz w:val="17"/>
              </w:rPr>
              <w:t>-2.6%</w:t>
            </w:r>
          </w:p>
        </w:tc>
      </w:tr>
      <w:tr>
        <w:tc>
          <w:tcPr>
            <w:tcW w:type="dxa" w:w="1440"/>
            <w:shd w:fill="FFDCE0" w:val="clear"/>
          </w:tcPr>
          <w:p>
            <w:r>
              <w:rPr>
                <w:sz w:val="17"/>
              </w:rPr>
              <w:t>J+7  Moyenne</w:t>
            </w:r>
          </w:p>
        </w:tc>
        <w:tc>
          <w:tcPr>
            <w:tcW w:type="dxa" w:w="1440"/>
            <w:shd w:fill="FFDCE0" w:val="clear"/>
          </w:tcPr>
          <w:p>
            <w:r>
              <w:rPr>
                <w:sz w:val="17"/>
              </w:rPr>
              <w:t>2026-09-22</w:t>
            </w:r>
          </w:p>
        </w:tc>
        <w:tc>
          <w:tcPr>
            <w:tcW w:type="dxa" w:w="1440"/>
            <w:shd w:fill="FFDCE0" w:val="clear"/>
          </w:tcPr>
          <w:p>
            <w:r>
              <w:rPr>
                <w:sz w:val="17"/>
              </w:rPr>
              <w:t>29,460</w:t>
            </w:r>
          </w:p>
        </w:tc>
        <w:tc>
          <w:tcPr>
            <w:tcW w:type="dxa" w:w="1440"/>
            <w:shd w:fill="FFDCE0" w:val="clear"/>
          </w:tcPr>
          <w:p>
            <w:r>
              <w:rPr>
                <w:b/>
                <w:sz w:val="17"/>
              </w:rPr>
              <w:t>32,064</w:t>
            </w:r>
          </w:p>
        </w:tc>
        <w:tc>
          <w:tcPr>
            <w:tcW w:type="dxa" w:w="1440"/>
            <w:shd w:fill="FFDCE0" w:val="clear"/>
          </w:tcPr>
          <w:p>
            <w:r>
              <w:rPr>
                <w:sz w:val="17"/>
              </w:rPr>
              <w:t>34,668</w:t>
            </w:r>
          </w:p>
        </w:tc>
        <w:tc>
          <w:tcPr>
            <w:tcW w:type="dxa" w:w="1440"/>
            <w:shd w:fill="FFDCE0" w:val="clear"/>
          </w:tcPr>
          <w:p>
            <w:r>
              <w:rPr>
                <w:b/>
                <w:color w:val="C00000"/>
                <w:sz w:val="17"/>
              </w:rPr>
              <w:t>-2.9%</w:t>
            </w:r>
          </w:p>
        </w:tc>
      </w:tr>
      <w:tr>
        <w:tc>
          <w:tcPr>
            <w:tcW w:type="dxa" w:w="1440"/>
            <w:shd w:fill="FFDCE0" w:val="clear"/>
          </w:tcPr>
          <w:p>
            <w:r>
              <w:rPr>
                <w:sz w:val="17"/>
              </w:rPr>
              <w:t>J+8  Moyenne</w:t>
            </w:r>
          </w:p>
        </w:tc>
        <w:tc>
          <w:tcPr>
            <w:tcW w:type="dxa" w:w="1440"/>
            <w:shd w:fill="FFDCE0" w:val="clear"/>
          </w:tcPr>
          <w:p>
            <w:r>
              <w:rPr>
                <w:sz w:val="17"/>
              </w:rPr>
              <w:t>2026-09-23</w:t>
            </w:r>
          </w:p>
        </w:tc>
        <w:tc>
          <w:tcPr>
            <w:tcW w:type="dxa" w:w="1440"/>
            <w:shd w:fill="FFDCE0" w:val="clear"/>
          </w:tcPr>
          <w:p>
            <w:r>
              <w:rPr>
                <w:sz w:val="17"/>
              </w:rPr>
              <w:t>29,198</w:t>
            </w:r>
          </w:p>
        </w:tc>
        <w:tc>
          <w:tcPr>
            <w:tcW w:type="dxa" w:w="1440"/>
            <w:shd w:fill="FFDCE0" w:val="clear"/>
          </w:tcPr>
          <w:p>
            <w:r>
              <w:rPr>
                <w:b/>
                <w:sz w:val="17"/>
              </w:rPr>
              <w:t>31,974</w:t>
            </w:r>
          </w:p>
        </w:tc>
        <w:tc>
          <w:tcPr>
            <w:tcW w:type="dxa" w:w="1440"/>
            <w:shd w:fill="FFDCE0" w:val="clear"/>
          </w:tcPr>
          <w:p>
            <w:r>
              <w:rPr>
                <w:sz w:val="17"/>
              </w:rPr>
              <w:t>34,750</w:t>
            </w:r>
          </w:p>
        </w:tc>
        <w:tc>
          <w:tcPr>
            <w:tcW w:type="dxa" w:w="1440"/>
            <w:shd w:fill="FFDCE0" w:val="clear"/>
          </w:tcPr>
          <w:p>
            <w:r>
              <w:rPr>
                <w:b/>
                <w:color w:val="C00000"/>
                <w:sz w:val="17"/>
              </w:rPr>
              <w:t>-3.1%</w:t>
            </w:r>
          </w:p>
        </w:tc>
      </w:tr>
      <w:tr>
        <w:tc>
          <w:tcPr>
            <w:tcW w:type="dxa" w:w="1440"/>
            <w:shd w:fill="FFDCE0" w:val="clear"/>
          </w:tcPr>
          <w:p>
            <w:r>
              <w:rPr>
                <w:sz w:val="17"/>
              </w:rPr>
              <w:t>J+9  Moyenne</w:t>
            </w:r>
          </w:p>
        </w:tc>
        <w:tc>
          <w:tcPr>
            <w:tcW w:type="dxa" w:w="1440"/>
            <w:shd w:fill="FFDCE0" w:val="clear"/>
          </w:tcPr>
          <w:p>
            <w:r>
              <w:rPr>
                <w:sz w:val="17"/>
              </w:rPr>
              <w:t>2026-09-24</w:t>
            </w:r>
          </w:p>
        </w:tc>
        <w:tc>
          <w:tcPr>
            <w:tcW w:type="dxa" w:w="1440"/>
            <w:shd w:fill="FFDCE0" w:val="clear"/>
          </w:tcPr>
          <w:p>
            <w:r>
              <w:rPr>
                <w:sz w:val="17"/>
              </w:rPr>
              <w:t>28,951</w:t>
            </w:r>
          </w:p>
        </w:tc>
        <w:tc>
          <w:tcPr>
            <w:tcW w:type="dxa" w:w="1440"/>
            <w:shd w:fill="FFDCE0" w:val="clear"/>
          </w:tcPr>
          <w:p>
            <w:r>
              <w:rPr>
                <w:b/>
                <w:sz w:val="17"/>
              </w:rPr>
              <w:t>31,887</w:t>
            </w:r>
          </w:p>
        </w:tc>
        <w:tc>
          <w:tcPr>
            <w:tcW w:type="dxa" w:w="1440"/>
            <w:shd w:fill="FFDCE0" w:val="clear"/>
          </w:tcPr>
          <w:p>
            <w:r>
              <w:rPr>
                <w:sz w:val="17"/>
              </w:rPr>
              <w:t>34,823</w:t>
            </w:r>
          </w:p>
        </w:tc>
        <w:tc>
          <w:tcPr>
            <w:tcW w:type="dxa" w:w="1440"/>
            <w:shd w:fill="FFDCE0" w:val="clear"/>
          </w:tcPr>
          <w:p>
            <w:r>
              <w:rPr>
                <w:b/>
                <w:color w:val="C00000"/>
                <w:sz w:val="17"/>
              </w:rPr>
              <w:t>-3.4%</w:t>
            </w:r>
          </w:p>
        </w:tc>
      </w:tr>
      <w:tr>
        <w:tc>
          <w:tcPr>
            <w:tcW w:type="dxa" w:w="1440"/>
            <w:shd w:fill="FFDCE0" w:val="clear"/>
          </w:tcPr>
          <w:p>
            <w:r>
              <w:rPr>
                <w:sz w:val="17"/>
              </w:rPr>
              <w:t>J+10  Moyenne</w:t>
            </w:r>
          </w:p>
        </w:tc>
        <w:tc>
          <w:tcPr>
            <w:tcW w:type="dxa" w:w="1440"/>
            <w:shd w:fill="FFDCE0" w:val="clear"/>
          </w:tcPr>
          <w:p>
            <w:r>
              <w:rPr>
                <w:sz w:val="17"/>
              </w:rPr>
              <w:t>2026-09-25</w:t>
            </w:r>
          </w:p>
        </w:tc>
        <w:tc>
          <w:tcPr>
            <w:tcW w:type="dxa" w:w="1440"/>
            <w:shd w:fill="FFDCE0" w:val="clear"/>
          </w:tcPr>
          <w:p>
            <w:r>
              <w:rPr>
                <w:sz w:val="17"/>
              </w:rPr>
              <w:t>28,716</w:t>
            </w:r>
          </w:p>
        </w:tc>
        <w:tc>
          <w:tcPr>
            <w:tcW w:type="dxa" w:w="1440"/>
            <w:shd w:fill="FFDCE0" w:val="clear"/>
          </w:tcPr>
          <w:p>
            <w:r>
              <w:rPr>
                <w:b/>
                <w:sz w:val="17"/>
              </w:rPr>
              <w:t>31,803</w:t>
            </w:r>
          </w:p>
        </w:tc>
        <w:tc>
          <w:tcPr>
            <w:tcW w:type="dxa" w:w="1440"/>
            <w:shd w:fill="FFDCE0" w:val="clear"/>
          </w:tcPr>
          <w:p>
            <w:r>
              <w:rPr>
                <w:sz w:val="17"/>
              </w:rPr>
              <w:t>34,890</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 RAPPORT D'ANALYSE FINANCIÈRE — ACTION BICC (BICICI)</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550,17 milliards FCFA, BICC s'impose comme l'une des valeurs bancaires les plus capitalisées de la BRVM, ce qui témoigne de sa stature de blue chip régionale au sein de l'UEMOA. Le BPA de 2 191 FCFA par action signifie que chaque titre génère près de 2 200 FCFA de bénéfice net, un niveau de rentabilité par action particulièrement élevé pour le marché régional. Le PER de 15,1x traduit une valorisation modérée mais supérieure à la moyenne BRVM (généralement 8-12x), les investisseurs acceptant de payer une prime pour la qualité de la croissance. Le P/B de 4,56x constitue en revanche une valorisation exigeante, le marché valorisant la banque à plus de 4 fois ses fonds propres comptables, ce qui intègre déjà une large part des performances futures. Enfin, l'EV/EBITDA de 11,0x, dans la fourchette haute (10-15x), confirme que la valeur totale de l'entreprise rapportée à sa capacité opérationnelle est chèrement valorisée, cohérent avec le statut premium de BICICI sur la cote.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BICC a enregistré une progression spectaculaire de +39,25%, avec une dernière séance en hausse de +1,26%, portant le cours à 33 010 FCFA. Le range de trading s'est établi entre un plus bas de 23 705 FCFA et un plus haut de 34 000 FCFA, le cours actuel évoluant à seulement 3% de son sommet, ce qui confirme une tendance nettement haussière et une dynamique acheteuse soutenue. Les statistiques descriptives révèlent une moyenne de 28 217 FCFA légèrement inférieure à la médiane de 28 498 FCFA, suggérant une très légère asymétrie négative sur la période, tandis que le mode à 29 000 FCFA indique un palier de consolidation fréquemment testé. L'écart-type de 2 121 FCFA avec un coefficient de variation de 7,5% traduit une dispersion modérée du cours autour de sa moyenne, ce qui est rassurant pour la stabilité relative du titre. Le kurtosis de 1,043 (leptokurtique) signale des queues épaisses et donc un risque de pics de volatilité brutaux, tandis que le skewness de 0,184 indique une distribution quasi-symétrique avec une très légère inclinaison positive. La volatilité annualisée de 28,9% positionne BICC dans la catégorie des titres à volatilité modérée (15-30%), ce qui reste acceptable pour une valeur bancaire de premier plan.</w:t>
      </w:r>
    </w:p>
    <w:p>
      <w:pPr>
        <w:spacing w:after="120" w:line="276" w:lineRule="auto"/>
      </w:pPr>
      <w:r>
        <w:t>---</w:t>
      </w:r>
    </w:p>
    <w:p>
      <w:pPr>
        <w:spacing w:after="120" w:line="276" w:lineRule="auto"/>
      </w:pPr>
      <w:r>
        <w:t>## PARTIE 2 : ANALYSE TECHNIQUE DÉTAILLÉE</w:t>
      </w:r>
    </w:p>
    <w:p>
      <w:pPr>
        <w:spacing w:after="120" w:line="276" w:lineRule="auto"/>
      </w:pPr>
      <w:r>
        <w:t>**Moyennes Mobiles** : La MM20 (30 709 FCFA) et la MM50 (29 414 FCFA) se situent toutes deux sous le cours actuel (33 010 FCFA), avec la MM20 au-dessus de la MM50, configuration classique de tendance haussière confirmée. Cet alignement haussier justifie pleinement la décision technique d'**Achat**, le cours évoluant au-dessus des deux moyennes avec un écart positif significatif.</w:t>
      </w:r>
    </w:p>
    <w:p>
      <w:pPr>
        <w:spacing w:after="120" w:line="276" w:lineRule="auto"/>
      </w:pPr>
      <w:r>
        <w:t>**Bandes de Bollinger** : Le cours (33 010 FCFA) évolue dans la partie haute du canal, entre la borne inférieure (26 696 FCFA) et la borne supérieure (34 722 FCFA), sans franchir cette dernière. La décision **Neutre** reflète cette position intermédiaire-haute, le titre n'étant ni en zone de surchauffe extrême ni en zone de faiblesse, avec une volatilité contenue dans le canal.</w:t>
      </w:r>
    </w:p>
    <w:p>
      <w:pPr>
        <w:spacing w:after="120" w:line="276" w:lineRule="auto"/>
      </w:pPr>
      <w:r>
        <w:t>**MACD** : La valeur du MACD (1 208,713) dépasse nettement son signal (912,935), générant un histogramme positif de près de 296 points, ce qui confirme un momentum haussier robuste. Cette divergence positive justifie la décision d'**Achat**, le croisement étant favorable aux acheteurs.</w:t>
      </w:r>
    </w:p>
    <w:p>
      <w:pPr>
        <w:spacing w:after="120" w:line="276" w:lineRule="auto"/>
      </w:pPr>
      <w:r>
        <w:t>**RSI** : À 75,21, le RSI se situe au-dessus du seuil de surachat (70), signalant que le titre a été acheté de manière excessive à court terme et qu'une correction ou consolidation est probable. Cette configuration justifie la décision de **Vente** à court terme, bien que dans un contexte de tendance haussière forte, le RSI peut rester élevé durablement.</w:t>
      </w:r>
    </w:p>
    <w:p>
      <w:pPr>
        <w:spacing w:after="120" w:line="276" w:lineRule="auto"/>
      </w:pPr>
      <w:r>
        <w:t>**Stochastique** : Le %K (81,667) et le %D (85,247) évoluent tous deux en zone de surachat (&gt;80), avec le %K légèrement sous le %D, suggérant un début de croisement baissier potentiel. Cette configuration confirme la décision de **Vente** à court terme, le momentum acheteur montrant des signes d'essoufflement.</w:t>
      </w:r>
    </w:p>
    <w:p>
      <w:pPr>
        <w:spacing w:after="120" w:line="276" w:lineRule="auto"/>
      </w:pPr>
      <w:r>
        <w:t>**Conclusion technique** : Les indicateurs présentent une divergence classique entre tendance de fond et signal court terme. Les moyennes mobiles et le MACD confirment une tendance haussière solide et durable, tandis que le RSI et le stochastique signalent une surchauffe à court terme appelant à la prudence. Les bandes de Bollinger en position neutre-haute renforcent cette lecture d'un titre en tendance forte mais techniquement vulnérable à une consolidation. La convergence globale plaide pour un maintien de la position avec vigilance sur les niveaux de surachat.</w:t>
      </w:r>
    </w:p>
    <w:p>
      <w:pPr>
        <w:spacing w:after="120" w:line="276" w:lineRule="auto"/>
      </w:pPr>
      <w:r>
        <w:t>---</w:t>
      </w:r>
    </w:p>
    <w:p>
      <w:pPr>
        <w:spacing w:after="120" w:line="276" w:lineRule="auto"/>
      </w:pPr>
      <w:r>
        <w:t>## PARTIE 3 : ANALYSE FONDAMENTALE</w:t>
      </w:r>
    </w:p>
    <w:p>
      <w:pPr>
        <w:spacing w:after="120" w:line="276" w:lineRule="auto"/>
      </w:pPr>
      <w:r>
        <w:t>**Données structurées (exercice 2025)** : BICICI affiche pour l'exercice 2025 un Produit Net Bancaire (équivalent du chiffre d'affaires pour une banque) de 79,563 milliards FCFA et un résultat net de 36,520 milliards FCFA, soit une marge nette exceptionnelle de 45,90%. Le ROE atteint 30,29% (largement supérieur au seuil d'excellence de 15%) et le ROA s'établit à 3,24%, confirmant une rentabilité de premier ordre. Le coefficient d'exploitation de 50,83% place la banque en zone d'excellence (&lt;60% = efficace, &lt;50% = excellent), tandis que le coût du risque rapporté aux charges financières (-12,15%) reste contenu, signe d'un portefeuille de crédits de qualité. La structure financière affiche une autonomie financière de 10,71% (faible mais caractéristique du modèle bancaire) et une capacité de remboursement de seulement 0,40 année de CAF, traduisant une très faible dépendance à l'endettement financier. Le ratio dépôts/crédits s'établit à 952,872/524,439 = 1,82x, indiquant une surliquidité confortable et une capacité de transformation maîtrisée.</w:t>
      </w:r>
    </w:p>
    <w:p>
      <w:pPr>
        <w:spacing w:after="120" w:line="276" w:lineRule="auto"/>
      </w:pPr>
      <w:r>
        <w:t>**Estimations basées sur les rapports trimestriels** : Le rapport du T1 2026 (publié le 31 mars 2026, analysé le 1er mai 2026) révèle un PNB de 21,214 milliards FCFA (+17,01% sur un an) et un résultat net de 10,387 milliards FCFA (+29,66%), avec une marge nette améliorée à 49,0% contre 44,2% un an plus tôt. Le rapport du T3 2025 (30 septembre 2025) confirmait déjà cette dynamique avec un PNB cumulé de 58,119 milliards FCFA (+16,4%) et un résultat net de 27,402 milliards FCFA (+50,8%), la marge nette passant de 36,4% à 47,1%. Sur la base de ces tendances, on estime que l'exercice 2026 devrait enregistrer un PNB supérieur à 90 milliards FCFA et un résultat net approchant 45 milliards FCFA, prolongeant la trajectoire de croissance à deux chiffres. Le point de vigilance réside dans la contraction des crédits nets (-4,47% au T1 2026), compensée par la forte collecte de dépôts (+14,46%), ce qui pourrait limiter la croissance future du PNB si la tendance se prolonge. La recommandation fondamentale est **ACHAT**, portée par une rentabilité exceptionnelle, une gestion rigoureuse des risques et une dynamique commerciale solide, avec un risque modéré lié à l'environnement macroéconomique et à la baisse des encours de crédit.</w:t>
      </w:r>
    </w:p>
    <w:p>
      <w:pPr>
        <w:spacing w:after="120" w:line="276" w:lineRule="auto"/>
      </w:pPr>
      <w:r>
        <w:t>---</w:t>
      </w:r>
    </w:p>
    <w:p>
      <w:pPr>
        <w:spacing w:after="120" w:line="276" w:lineRule="auto"/>
      </w:pPr>
      <w:r>
        <w:t>## PARTIE 4 : CONCLUSION D'INVESTISSEMENT</w:t>
      </w:r>
    </w:p>
    <w:p>
      <w:pPr>
        <w:spacing w:after="120" w:line="276" w:lineRule="auto"/>
      </w:pPr>
      <w:r>
        <w:t>La valorisation de BICC (Partie 0) apparaît exigeante avec un PER de 15,1x supérieur à la moyenne BRVM, un P/B de 4,56x et un EV/EBITDA de 11,0x, mais ces multiples se justifient par la qualité exceptionnelle des fondamentaux et la prime de croissance. Le comportement du cours (Partie 1) est nettement haussier (+39,25% sur 100 jours) avec une volatilité modérée (28,9%) et une distribution quasi-symétrique (skewness 0,184), bien que le kurtosis de 1,043 appelle à la vigilance sur les pics de volatilité. Les signaux techniques (Partie 2) présentent une divergence : tendance haussière confirmée par les MM et le MACD, mais surachat préoccupant selon le RSI (75,21) et le stochastique (81,7/85,2), plaidant pour une consolidation à court terme. Les fondamentaux (Partie 3) demeurent exceptionnels avec un ROE de 30,29%, une marge nette de 45,90% et une croissance du résultat net de +29,66% au T1 2026, bien que la baisse des crédits nets constitue un point de vigilance. Les prédictions IA (J+1 à J+10) anticipent une légère correction de 33 010 FCFA vers 32 253 FCFA (-2,3%), ce qui confirme la lecture technique d'une consolidation après le rallye récent. Sur la base de cette synthèse globale, la recommandation finale est **ACHAT**, avec un niveau de confiance **Moyen** et un risque global **Moyen**. La convergence entre fondamentaux solides et tendance haussière de fond l'emporte sur les signaux de surachat à court terme, mais la valorisation exigeante et la correction anticipée suggèrent d'attendre un repli vers 31 000-32 000 FCFA pour optimiser le point d'entrée. L'horizon d'investissement optimal est le **moyen terme (3-12 mois)**, permettant d'absorber la consolidation technique tout en capturant la poursuite de la croissance bénéficiaire attendue pour l'exercice 2026.</w:t>
      </w:r>
    </w:p>
    <w:p>
      <w:pPr>
        <w:spacing w:after="120" w:line="276" w:lineRule="auto"/>
      </w:pPr>
      <w:r>
        <w:t>---</w:t>
      </w:r>
    </w:p>
    <w:p>
      <w:pPr>
        <w:spacing w:after="120" w:line="276" w:lineRule="auto"/>
      </w:pPr>
      <w:r>
        <w:t>*Rapport généré le 13 septembre 2026 — Sources : BRVM, états financiers BICICI 2025, rapports trimestriels T1 2026 et T3 2025, analyses fondamentales officielles.*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14.14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2,863 titres</w:t>
            </w:r>
          </w:p>
        </w:tc>
        <w:tc>
          <w:tcPr>
            <w:tcW w:type="dxa" w:w="2268"/>
            <w:shd w:fill="FFF2CC" w:val="clear"/>
          </w:tcPr>
          <w:p>
            <w:r>
              <w:rPr>
                <w:b/>
                <w:color w:val="503200"/>
                <w:sz w:val="16"/>
              </w:rPr>
              <w:t xml:space="preserve">Cours actuel : </w:t>
            </w:r>
            <w:r>
              <w:rPr>
                <w:color w:val="000000"/>
                <w:sz w:val="17"/>
              </w:rPr>
              <w:t>2,135 FCFA</w:t>
            </w:r>
          </w:p>
          <w:p>
            <w:r>
              <w:rPr>
                <w:b/>
                <w:color w:val="503200"/>
                <w:sz w:val="16"/>
              </w:rPr>
              <w:t xml:space="preserve">Var. 100 jours : </w:t>
            </w:r>
            <w:r>
              <w:rPr>
                <w:b/>
                <w:color w:val="007800"/>
                <w:sz w:val="17"/>
              </w:rPr>
              <w:t>+41.86%</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51.5%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13.21% (Moyenne) — μ=1,838 FCFA, σ=243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β=0.0166 (Défensif) — Cov=0.000001, Var(idx)=0.000035, ρ=0.003,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2,863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σ_j=3.25%/j (Modérée) — Vol. annualisée≈51.5%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2,023</w:t>
            </w:r>
          </w:p>
        </w:tc>
        <w:tc>
          <w:tcPr>
            <w:tcW w:type="dxa" w:w="1440"/>
            <w:shd w:fill="FAFAFA" w:val="clear"/>
          </w:tcPr>
          <w:p>
            <w:r>
              <w:rPr>
                <w:b/>
                <w:sz w:val="17"/>
              </w:rPr>
              <w:t>2,123</w:t>
            </w:r>
          </w:p>
        </w:tc>
        <w:tc>
          <w:tcPr>
            <w:tcW w:type="dxa" w:w="1440"/>
            <w:shd w:fill="FAFAFA" w:val="clear"/>
          </w:tcPr>
          <w:p>
            <w:r>
              <w:rPr>
                <w:sz w:val="17"/>
              </w:rPr>
              <w:t>2,224</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1,964</w:t>
            </w:r>
          </w:p>
        </w:tc>
        <w:tc>
          <w:tcPr>
            <w:tcW w:type="dxa" w:w="1440"/>
            <w:shd w:fill="FAFAFA" w:val="clear"/>
          </w:tcPr>
          <w:p>
            <w:r>
              <w:rPr>
                <w:b/>
                <w:sz w:val="17"/>
              </w:rPr>
              <w:t>2,104</w:t>
            </w:r>
          </w:p>
        </w:tc>
        <w:tc>
          <w:tcPr>
            <w:tcW w:type="dxa" w:w="1440"/>
            <w:shd w:fill="FAFAFA" w:val="clear"/>
          </w:tcPr>
          <w:p>
            <w:r>
              <w:rPr>
                <w:sz w:val="17"/>
              </w:rPr>
              <w:t>2,245</w:t>
            </w:r>
          </w:p>
        </w:tc>
        <w:tc>
          <w:tcPr>
            <w:tcW w:type="dxa" w:w="1440"/>
            <w:shd w:fill="FAFAFA" w:val="clear"/>
          </w:tcPr>
          <w:p>
            <w:r>
              <w:rPr>
                <w:b/>
                <w:color w:val="C00000"/>
                <w:sz w:val="17"/>
              </w:rPr>
              <w:t>-1.4%</w:t>
            </w:r>
          </w:p>
        </w:tc>
      </w:tr>
      <w:tr>
        <w:tc>
          <w:tcPr>
            <w:tcW w:type="dxa" w:w="1440"/>
            <w:shd w:fill="FFDCE0" w:val="clear"/>
          </w:tcPr>
          <w:p>
            <w:r>
              <w:rPr>
                <w:sz w:val="17"/>
              </w:rPr>
              <w:t>J+3  Moyenne</w:t>
            </w:r>
          </w:p>
        </w:tc>
        <w:tc>
          <w:tcPr>
            <w:tcW w:type="dxa" w:w="1440"/>
            <w:shd w:fill="FFDCE0" w:val="clear"/>
          </w:tcPr>
          <w:p>
            <w:r>
              <w:rPr>
                <w:sz w:val="17"/>
              </w:rPr>
              <w:t>2026-09-16</w:t>
            </w:r>
          </w:p>
        </w:tc>
        <w:tc>
          <w:tcPr>
            <w:tcW w:type="dxa" w:w="1440"/>
            <w:shd w:fill="FFDCE0" w:val="clear"/>
          </w:tcPr>
          <w:p>
            <w:r>
              <w:rPr>
                <w:sz w:val="17"/>
              </w:rPr>
              <w:t>1,917</w:t>
            </w:r>
          </w:p>
        </w:tc>
        <w:tc>
          <w:tcPr>
            <w:tcW w:type="dxa" w:w="1440"/>
            <w:shd w:fill="FFDCE0" w:val="clear"/>
          </w:tcPr>
          <w:p>
            <w:r>
              <w:rPr>
                <w:b/>
                <w:sz w:val="17"/>
              </w:rPr>
              <w:t>2,087</w:t>
            </w:r>
          </w:p>
        </w:tc>
        <w:tc>
          <w:tcPr>
            <w:tcW w:type="dxa" w:w="1440"/>
            <w:shd w:fill="FFDCE0" w:val="clear"/>
          </w:tcPr>
          <w:p>
            <w:r>
              <w:rPr>
                <w:sz w:val="17"/>
              </w:rPr>
              <w:t>2,258</w:t>
            </w:r>
          </w:p>
        </w:tc>
        <w:tc>
          <w:tcPr>
            <w:tcW w:type="dxa" w:w="1440"/>
            <w:shd w:fill="FFDCE0" w:val="clear"/>
          </w:tcPr>
          <w:p>
            <w:r>
              <w:rPr>
                <w:b/>
                <w:color w:val="C00000"/>
                <w:sz w:val="17"/>
              </w:rPr>
              <w:t>-2.2%</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1,877</w:t>
            </w:r>
          </w:p>
        </w:tc>
        <w:tc>
          <w:tcPr>
            <w:tcW w:type="dxa" w:w="1440"/>
            <w:shd w:fill="FFDCE0" w:val="clear"/>
          </w:tcPr>
          <w:p>
            <w:r>
              <w:rPr>
                <w:b/>
                <w:sz w:val="17"/>
              </w:rPr>
              <w:t>2,072</w:t>
            </w:r>
          </w:p>
        </w:tc>
        <w:tc>
          <w:tcPr>
            <w:tcW w:type="dxa" w:w="1440"/>
            <w:shd w:fill="FFDCE0" w:val="clear"/>
          </w:tcPr>
          <w:p>
            <w:r>
              <w:rPr>
                <w:sz w:val="17"/>
              </w:rPr>
              <w:t>2,268</w:t>
            </w:r>
          </w:p>
        </w:tc>
        <w:tc>
          <w:tcPr>
            <w:tcW w:type="dxa" w:w="1440"/>
            <w:shd w:fill="FFDCE0" w:val="clear"/>
          </w:tcPr>
          <w:p>
            <w:r>
              <w:rPr>
                <w:b/>
                <w:color w:val="C00000"/>
                <w:sz w:val="17"/>
              </w:rPr>
              <w:t>-2.9%</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1,841</w:t>
            </w:r>
          </w:p>
        </w:tc>
        <w:tc>
          <w:tcPr>
            <w:tcW w:type="dxa" w:w="1440"/>
            <w:shd w:fill="FFDCE0" w:val="clear"/>
          </w:tcPr>
          <w:p>
            <w:r>
              <w:rPr>
                <w:b/>
                <w:sz w:val="17"/>
              </w:rPr>
              <w:t>2,058</w:t>
            </w:r>
          </w:p>
        </w:tc>
        <w:tc>
          <w:tcPr>
            <w:tcW w:type="dxa" w:w="1440"/>
            <w:shd w:fill="FFDCE0" w:val="clear"/>
          </w:tcPr>
          <w:p>
            <w:r>
              <w:rPr>
                <w:sz w:val="17"/>
              </w:rPr>
              <w:t>2,275</w:t>
            </w:r>
          </w:p>
        </w:tc>
        <w:tc>
          <w:tcPr>
            <w:tcW w:type="dxa" w:w="1440"/>
            <w:shd w:fill="FFDCE0" w:val="clear"/>
          </w:tcPr>
          <w:p>
            <w:r>
              <w:rPr>
                <w:b/>
                <w:color w:val="C00000"/>
                <w:sz w:val="17"/>
              </w:rPr>
              <w:t>-3.6%</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1,809</w:t>
            </w:r>
          </w:p>
        </w:tc>
        <w:tc>
          <w:tcPr>
            <w:tcW w:type="dxa" w:w="1440"/>
            <w:shd w:fill="FFDCE0" w:val="clear"/>
          </w:tcPr>
          <w:p>
            <w:r>
              <w:rPr>
                <w:b/>
                <w:sz w:val="17"/>
              </w:rPr>
              <w:t>2,045</w:t>
            </w:r>
          </w:p>
        </w:tc>
        <w:tc>
          <w:tcPr>
            <w:tcW w:type="dxa" w:w="1440"/>
            <w:shd w:fill="FFDCE0" w:val="clear"/>
          </w:tcPr>
          <w:p>
            <w:r>
              <w:rPr>
                <w:sz w:val="17"/>
              </w:rPr>
              <w:t>2,282</w:t>
            </w:r>
          </w:p>
        </w:tc>
        <w:tc>
          <w:tcPr>
            <w:tcW w:type="dxa" w:w="1440"/>
            <w:shd w:fill="FFDCE0" w:val="clear"/>
          </w:tcPr>
          <w:p>
            <w:r>
              <w:rPr>
                <w:b/>
                <w:color w:val="C00000"/>
                <w:sz w:val="17"/>
              </w:rPr>
              <w:t>-4.2%</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1,779</w:t>
            </w:r>
          </w:p>
        </w:tc>
        <w:tc>
          <w:tcPr>
            <w:tcW w:type="dxa" w:w="1440"/>
            <w:shd w:fill="FFDCE0" w:val="clear"/>
          </w:tcPr>
          <w:p>
            <w:r>
              <w:rPr>
                <w:b/>
                <w:sz w:val="17"/>
              </w:rPr>
              <w:t>2,033</w:t>
            </w:r>
          </w:p>
        </w:tc>
        <w:tc>
          <w:tcPr>
            <w:tcW w:type="dxa" w:w="1440"/>
            <w:shd w:fill="FFDCE0" w:val="clear"/>
          </w:tcPr>
          <w:p>
            <w:r>
              <w:rPr>
                <w:sz w:val="17"/>
              </w:rPr>
              <w:t>2,287</w:t>
            </w:r>
          </w:p>
        </w:tc>
        <w:tc>
          <w:tcPr>
            <w:tcW w:type="dxa" w:w="1440"/>
            <w:shd w:fill="FFDCE0" w:val="clear"/>
          </w:tcPr>
          <w:p>
            <w:r>
              <w:rPr>
                <w:b/>
                <w:color w:val="C00000"/>
                <w:sz w:val="17"/>
              </w:rPr>
              <w:t>-4.8%</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1,752</w:t>
            </w:r>
          </w:p>
        </w:tc>
        <w:tc>
          <w:tcPr>
            <w:tcW w:type="dxa" w:w="1440"/>
            <w:shd w:fill="FFDCE0" w:val="clear"/>
          </w:tcPr>
          <w:p>
            <w:r>
              <w:rPr>
                <w:b/>
                <w:sz w:val="17"/>
              </w:rPr>
              <w:t>2,021</w:t>
            </w:r>
          </w:p>
        </w:tc>
        <w:tc>
          <w:tcPr>
            <w:tcW w:type="dxa" w:w="1440"/>
            <w:shd w:fill="FFDCE0" w:val="clear"/>
          </w:tcPr>
          <w:p>
            <w:r>
              <w:rPr>
                <w:sz w:val="17"/>
              </w:rPr>
              <w:t>2,291</w:t>
            </w:r>
          </w:p>
        </w:tc>
        <w:tc>
          <w:tcPr>
            <w:tcW w:type="dxa" w:w="1440"/>
            <w:shd w:fill="FFDCE0" w:val="clear"/>
          </w:tcPr>
          <w:p>
            <w:r>
              <w:rPr>
                <w:b/>
                <w:color w:val="C00000"/>
                <w:sz w:val="17"/>
              </w:rPr>
              <w:t>-5.3%</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1,726</w:t>
            </w:r>
          </w:p>
        </w:tc>
        <w:tc>
          <w:tcPr>
            <w:tcW w:type="dxa" w:w="1440"/>
            <w:shd w:fill="FFDCE0" w:val="clear"/>
          </w:tcPr>
          <w:p>
            <w:r>
              <w:rPr>
                <w:b/>
                <w:sz w:val="17"/>
              </w:rPr>
              <w:t>2,010</w:t>
            </w:r>
          </w:p>
        </w:tc>
        <w:tc>
          <w:tcPr>
            <w:tcW w:type="dxa" w:w="1440"/>
            <w:shd w:fill="FFDCE0" w:val="clear"/>
          </w:tcPr>
          <w:p>
            <w:r>
              <w:rPr>
                <w:sz w:val="17"/>
              </w:rPr>
              <w:t>2,295</w:t>
            </w:r>
          </w:p>
        </w:tc>
        <w:tc>
          <w:tcPr>
            <w:tcW w:type="dxa" w:w="1440"/>
            <w:shd w:fill="FFDCE0" w:val="clear"/>
          </w:tcPr>
          <w:p>
            <w:r>
              <w:rPr>
                <w:b/>
                <w:color w:val="C00000"/>
                <w:sz w:val="17"/>
              </w:rPr>
              <w:t>-5.8%</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1,701</w:t>
            </w:r>
          </w:p>
        </w:tc>
        <w:tc>
          <w:tcPr>
            <w:tcW w:type="dxa" w:w="1440"/>
            <w:shd w:fill="FFDCE0" w:val="clear"/>
          </w:tcPr>
          <w:p>
            <w:r>
              <w:rPr>
                <w:b/>
                <w:sz w:val="17"/>
              </w:rPr>
              <w:t>1,999</w:t>
            </w:r>
          </w:p>
        </w:tc>
        <w:tc>
          <w:tcPr>
            <w:tcW w:type="dxa" w:w="1440"/>
            <w:shd w:fill="FFDCE0" w:val="clear"/>
          </w:tcPr>
          <w:p>
            <w:r>
              <w:rPr>
                <w:sz w:val="17"/>
              </w:rPr>
              <w:t>2,298</w:t>
            </w:r>
          </w:p>
        </w:tc>
        <w:tc>
          <w:tcPr>
            <w:tcW w:type="dxa" w:w="1440"/>
            <w:shd w:fill="FFDCE0" w:val="clear"/>
          </w:tcPr>
          <w:p>
            <w:r>
              <w:rPr>
                <w:b/>
                <w:color w:val="C00000"/>
                <w:sz w:val="17"/>
              </w:rPr>
              <w:t>-6.4%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**RAPPORT D'ANALYSE FINANCIÈRE — BNBC (BERNABE CÔTE D'IVOIRE)**</w:t>
        <w:br/>
        <w:t>*Analyste : Marché BRVM | Date de référence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14,14 Mds FCFA, BNBC se situe dans la catégorie des petites capitalisations de la BRVM, ce qui limite mécaniquement sa liquidité et son attrait pour les investisseurs institutionnels. Le BPA de 3 FCFA/action est symbolique et traduit une rentabilité quasi-nulle, ce qui explique un PER de 633,7x — un niveau aberrant comparé à la moyenne BRVM (~8-12x), signifiant que les investisseurs paient environ 634 fois les bénéfices annuels pour détenir le titre. En revanche, le P/B de 0,80x indique que le marché valorise l'action 20% en dessous de sa valeur comptable (capitaux propres de 17,77 Mds FCFA pour une capitalisation de 14,14 Mds FCFA), ce qui constitue une opportunité potentielle en cas de redressement. L'EV/EBITDA de 24,7x reste très exigeant (&gt;15x), suggérant que la valeur d'entreprise intègre déjà une forte anticipation de reprise opérationnelle non encore matérialisée dans les comptes.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BNBC affiche une performance remarquable de +41,86%, portant le cours à 2 135 FCFA, malgré un repli de -1,39% lors de la dernière séance. Le titre a évolué dans un range très large de 1 300 FCFA (plus bas) à 2 400 FCFA (plus haut), soit une amplitude de 84,6%, témoignant d'une forte dynamique haussière entrecoupée de corrections. La tendance générale est donc nettement haussière, soutenue par un volume moyen de 2 863 titres/jour, relativement modeste mais suffisant pour valider le mouvement. Les statistiques descriptives révèlent une moyenne de 1 838 FCFA légèrement inférieure à la médiane de 1 900 FCFA, avec un mode à 1 990 FCFA : l'écart faible entre ces mesures suggère une distribution globalement équilibrée, confirmée par un skewness de -0,234 (quasi-symétrique). L'écart-type de 244 FCFA (CV=13,3%) indique une dispersion modérée autour de la moyenne, tandis que le kurtosis de -0,628 (mésokurtique) signale une absence de pics extrêmes — le risque de chocs violents est limité. La volatilité annualisée de 51,5% classe toutefois le titre dans la catégorie des valeurs très volatiles (&gt;30%), ce qui implique un risque de marché élevé et justifie une taille de position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(2 126,5 FCFA) et la MM50 (2 000,6 FCFA) sont toutes deux inférieures au cours actuel (2 135 FCFA), avec la MM20 au-dessus de la MM50 — configuration haussière classique (golden cross). La décision « Achat » est justifiée par le fait que le cours évolue au-dessus de ses deux moyennes, confirmant la tendance positive de moyen terme.</w:t>
      </w:r>
    </w:p>
    <w:p>
      <w:pPr>
        <w:spacing w:after="120" w:line="276" w:lineRule="auto"/>
      </w:pPr>
      <w:r>
        <w:t>**Bandes de Bollinger** : Le cours (2 135 FCFA) se situe dans la partie médiane de la bande, entre la borne inférieure (1 869 FCFA) et supérieure (2 383,9 FCFA), sans contact avec les extrêmes. La décision « Neutre » reflète l'absence de signal de surachat ou de survente, avec une volatilité contenue dans les bandes.</w:t>
      </w:r>
    </w:p>
    <w:p>
      <w:pPr>
        <w:spacing w:after="120" w:line="276" w:lineRule="auto"/>
      </w:pPr>
      <w:r>
        <w:t>**MACD** : La valeur du MACD (45,995) est inférieure à son signal (60,57), générant une divergence baissière et une décision « Vente ». Ce croisement négatif indique un essoufflement du momentum haussier, bien que le MACD reste en territoire positif, ce qui tempère la portée du signal.</w:t>
      </w:r>
    </w:p>
    <w:p>
      <w:pPr>
        <w:spacing w:after="120" w:line="276" w:lineRule="auto"/>
      </w:pPr>
      <w:r>
        <w:t>**RSI** : À 57,838, le RSI se situe en zone neutre (30-70), sans surachat ni survente. La décision « Neutre » est cohérente avec un marché en consolidation après la forte hausse, sans pression acheteuse ou vendeuse dominante.</w:t>
      </w:r>
    </w:p>
    <w:p>
      <w:pPr>
        <w:spacing w:after="120" w:line="276" w:lineRule="auto"/>
      </w:pPr>
      <w:r>
        <w:t>**Stochastique** : Le %K (35,366) et le %D (36,585) sont proches et en zone basse-médiane, sans croisement significatif. La décision « Neutre » suggère une absence de signal directionnel clair à court terme.</w:t>
      </w:r>
    </w:p>
    <w:p>
      <w:pPr>
        <w:spacing w:after="120" w:line="276" w:lineRule="auto"/>
      </w:pPr>
      <w:r>
        <w:t>**Conclusion technique** : Les indicateurs sont partagés — les moyennes mobiles confirment la tendance haussière de fond, mais le MACD signale un essoufflement et les oscillateurs (RSI, Stochastique, Bollinger) restent neutres. Le titre est en phase de consolidation après un rallye de +41,86%, avec un biais haussier résiduel mais un momentum affaibli. Une cassure au-dessus de 2 200 FCFA serait nécessaire pour relancer la dynamique.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BNBC a réalisé un chiffre d'affaires de 42,454 Mds FCFA, en recul de -6,31% par rapport à 2024 (45,312 Mds FCFA), signalant une contraction commerciale préoccupante. Le résultat net s'établit à seulement 22,32 M FCFA, soit une marge nette de 0,0526% — quasi nulle — et un ROE de 0,1256% (très loin du seuil de 15% considéré comme excellent), tandis que le ROA de 0,0454% confirme une rentabilité des actifs insignifiante. En tant qu'entreprise non bancaire, les délais d'exploitation sont critiques : le délai clients de 104,40 jours est élevé et expose la société à un risque de trésorerie important, tandis que la durée de stockage de 339,23 jours immobilise massivement du capital. Le BFR de 29,373 Mds FCFA (positif, donc défavorable pour une entreprise) et une trésorerie nette de -16,689 Mds FCFA traduisent une situation de liquidité tendue, avec un flux opérationnel négatif de -786,11 M FCFA. L'autonomie financière de 36,16% reste correcte (&gt;30%), mais le ratio d'endettement de 105,48% et la capacité de remboursement de 19,17 années (dettes financières/CAF) sont des signaux d'alerte.</w:t>
      </w:r>
    </w:p>
    <w:p>
      <w:pPr>
        <w:spacing w:after="120" w:line="276" w:lineRule="auto"/>
      </w:pPr>
      <w:r>
        <w:t>**Estimations basées sur les rapports trimestriels** : Le rapport du T1 2026 (publié en 2026) indique un chiffre d'affaires stable à 11,194 Mds FCFA (-0,12% vs T1 2025) et un retour à un bénéfice net de +65,566 M FCFA (contre +16,147 M FCFA au T1 2025), soit une amélioration spectaculaire de +506% — bien que ce résultat soit impacté par l'intégration de la division Équipement, encore en phase de démarrage. Le rapport du T3 2025 (30/09/2025) faisait état d'une perte nette cumulée de -157,03 M FCFA sur 9 mois, avec un CA en recul de -3% à 31,83 Mds FCFA. On estime donc que l'exercice 2026 devrait bénéficier d'un effet de base favorable au T1, mais la confirmation d'une reprise durable dépendra de la montée en puissance des nouvelles divisions (Équipement, Power, Matériaux) et de la capacité à réduire le BFR et les délais clients. La recommandation fondamentale reste prudente : la société est solvable (capitaux propres de 17,77 Mds FCFA) mais sa rentabilité structurellement faible et sa trésorerie négative en font un investissement à haut risque, avec un potentiel de redressement conditionné à une exécution opérationnelle rigoureuse.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présente un paradoxe : un PER de 633,7x et un EV/EBITDA de 24,7x suggèrent une surévaluation manifeste au regard des bénéfices actuels, mais le P/B de 0,80x indique que le marché valorise l'action sous sa valeur comptable — une anomalie qui pourrait se corriger en cas de redressement. Le comportement du cours sur 100 jours est nettement haussier (+41,86%), avec une volatilité élevée (51,5%) et une distribution symétrique (skewness -0,234) sans pics extrêmes (kurtosis -0,628), ce qui est rassurant mais n'occulte pas le risque de correction après un tel rallye. Les signaux techniques sont mitigés : les moyennes mobiles confirment la tendance haussière, mais le MACD génère une divergence baissière et les oscillateurs (RSI, Stochastique, Bollinger) restent neutres, plaidant pour une consolidation. Les fondamentaux restent fragiles — marge nette de 0,05%, ROE de 0,13%, trésorerie nette de -16,69 Mds FCFA — mais le T1 2026 montre un retour à la rentabilité (+65,6 M FCFA) qui, s'il se confirme, pourrait justifier une revalorisation. Les prédictions IA anticipent une trajectoire baissière à court terme (2 123 FCFA à J+1, 2 058 FCFA à J+5), en ligne avec le signal MACD et la consolidation attendue. **Recommandation finale : CONSERVER** — la convergence entre un P/B sous-évalué, une tendance haussière de fond et un retour à la rentabilité au T1 2026 justifie de ne pas vendre, mais la faiblesse structurelle des marges, la trésorerie négative et le signal baissier à court terme interdisent un achat agressif. Le niveau de confiance est **Moyen** (les fondamentaux restent incertains), le risque global est **Élevé** (volatilité de 51,5%, liquidité négative, PER aberrant), et l'horizon optimal est le **moyen terme (3-12 mois)**, en attendant la confirmation des résultats du T2 2026 et l'atteinte effective du point d'équilibre opérationnel.</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409.67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5,721 titres</w:t>
            </w:r>
          </w:p>
        </w:tc>
        <w:tc>
          <w:tcPr>
            <w:tcW w:type="dxa" w:w="2268"/>
            <w:shd w:fill="FFF2CC" w:val="clear"/>
          </w:tcPr>
          <w:p>
            <w:r>
              <w:rPr>
                <w:b/>
                <w:color w:val="503200"/>
                <w:sz w:val="16"/>
              </w:rPr>
              <w:t xml:space="preserve">Cours actuel : </w:t>
            </w:r>
            <w:r>
              <w:rPr>
                <w:color w:val="000000"/>
                <w:sz w:val="17"/>
              </w:rPr>
              <w:t>10,100 FCFA</w:t>
            </w:r>
          </w:p>
          <w:p>
            <w:r>
              <w:rPr>
                <w:b/>
                <w:color w:val="503200"/>
                <w:sz w:val="16"/>
              </w:rPr>
              <w:t xml:space="preserve">Var. 100 jours : </w:t>
            </w:r>
            <w:r>
              <w:rPr>
                <w:b/>
                <w:color w:val="007800"/>
                <w:sz w:val="17"/>
              </w:rPr>
              <w:t>+26.49%</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7,985 FCFA</w:t>
            </w:r>
          </w:p>
          <w:p>
            <w:r>
              <w:rPr>
                <w:b/>
                <w:color w:val="503200"/>
                <w:sz w:val="16"/>
              </w:rPr>
              <w:t xml:space="preserve">Volatilité ann. : </w:t>
            </w:r>
            <w:r>
              <w:rPr>
                <w:color w:val="000000"/>
                <w:sz w:val="17"/>
              </w:rPr>
              <w:t>26.1%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6.29% (Moyenne) — μ=9,044 FCFA, σ=569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β=-0.1718 (Contre-cyclique) — Cov=-0.000006, Var(idx)=0.000035, ρ=-0.061,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5,721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σ_j=1.64%/j (Stable) — Vol. annualisée≈26.1%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697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9,661</w:t>
            </w:r>
          </w:p>
        </w:tc>
        <w:tc>
          <w:tcPr>
            <w:tcW w:type="dxa" w:w="1440"/>
            <w:shd w:fill="FAFAFA" w:val="clear"/>
          </w:tcPr>
          <w:p>
            <w:r>
              <w:rPr>
                <w:b/>
                <w:sz w:val="17"/>
              </w:rPr>
              <w:t>10,006</w:t>
            </w:r>
          </w:p>
        </w:tc>
        <w:tc>
          <w:tcPr>
            <w:tcW w:type="dxa" w:w="1440"/>
            <w:shd w:fill="FAFAFA" w:val="clear"/>
          </w:tcPr>
          <w:p>
            <w:r>
              <w:rPr>
                <w:sz w:val="17"/>
              </w:rPr>
              <w:t>10,352</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9,474</w:t>
            </w:r>
          </w:p>
        </w:tc>
        <w:tc>
          <w:tcPr>
            <w:tcW w:type="dxa" w:w="1440"/>
            <w:shd w:fill="FAFAFA" w:val="clear"/>
          </w:tcPr>
          <w:p>
            <w:r>
              <w:rPr>
                <w:b/>
                <w:sz w:val="17"/>
              </w:rPr>
              <w:t>9,961</w:t>
            </w:r>
          </w:p>
        </w:tc>
        <w:tc>
          <w:tcPr>
            <w:tcW w:type="dxa" w:w="1440"/>
            <w:shd w:fill="FAFAFA" w:val="clear"/>
          </w:tcPr>
          <w:p>
            <w:r>
              <w:rPr>
                <w:sz w:val="17"/>
              </w:rPr>
              <w:t>10,448</w:t>
            </w:r>
          </w:p>
        </w:tc>
        <w:tc>
          <w:tcPr>
            <w:tcW w:type="dxa" w:w="1440"/>
            <w:shd w:fill="FAFAFA" w:val="clear"/>
          </w:tcPr>
          <w:p>
            <w:r>
              <w:rPr>
                <w:b/>
                <w:color w:val="C00000"/>
                <w:sz w:val="17"/>
              </w:rPr>
              <w:t>-1.4%</w:t>
            </w:r>
          </w:p>
        </w:tc>
      </w:tr>
      <w:tr>
        <w:tc>
          <w:tcPr>
            <w:tcW w:type="dxa" w:w="1440"/>
            <w:shd w:fill="FAFAFA" w:val="clear"/>
          </w:tcPr>
          <w:p>
            <w:r>
              <w:rPr>
                <w:sz w:val="17"/>
              </w:rPr>
              <w:t>J+3  Moyenne</w:t>
            </w:r>
          </w:p>
        </w:tc>
        <w:tc>
          <w:tcPr>
            <w:tcW w:type="dxa" w:w="1440"/>
            <w:shd w:fill="FAFAFA" w:val="clear"/>
          </w:tcPr>
          <w:p>
            <w:r>
              <w:rPr>
                <w:sz w:val="17"/>
              </w:rPr>
              <w:t>2026-09-16</w:t>
            </w:r>
          </w:p>
        </w:tc>
        <w:tc>
          <w:tcPr>
            <w:tcW w:type="dxa" w:w="1440"/>
            <w:shd w:fill="FAFAFA" w:val="clear"/>
          </w:tcPr>
          <w:p>
            <w:r>
              <w:rPr>
                <w:sz w:val="17"/>
              </w:rPr>
              <w:t>9,320</w:t>
            </w:r>
          </w:p>
        </w:tc>
        <w:tc>
          <w:tcPr>
            <w:tcW w:type="dxa" w:w="1440"/>
            <w:shd w:fill="FAFAFA" w:val="clear"/>
          </w:tcPr>
          <w:p>
            <w:r>
              <w:rPr>
                <w:b/>
                <w:sz w:val="17"/>
              </w:rPr>
              <w:t>9,914</w:t>
            </w:r>
          </w:p>
        </w:tc>
        <w:tc>
          <w:tcPr>
            <w:tcW w:type="dxa" w:w="1440"/>
            <w:shd w:fill="FAFAFA" w:val="clear"/>
          </w:tcPr>
          <w:p>
            <w:r>
              <w:rPr>
                <w:sz w:val="17"/>
              </w:rPr>
              <w:t>10,507</w:t>
            </w:r>
          </w:p>
        </w:tc>
        <w:tc>
          <w:tcPr>
            <w:tcW w:type="dxa" w:w="1440"/>
            <w:shd w:fill="FAFAFA" w:val="clear"/>
          </w:tcPr>
          <w:p>
            <w:r>
              <w:rPr>
                <w:b/>
                <w:color w:val="C00000"/>
                <w:sz w:val="17"/>
              </w:rPr>
              <w:t>-1.8%</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9,190</w:t>
            </w:r>
          </w:p>
        </w:tc>
        <w:tc>
          <w:tcPr>
            <w:tcW w:type="dxa" w:w="1440"/>
            <w:shd w:fill="FFDCE0" w:val="clear"/>
          </w:tcPr>
          <w:p>
            <w:r>
              <w:rPr>
                <w:b/>
                <w:sz w:val="17"/>
              </w:rPr>
              <w:t>9,872</w:t>
            </w:r>
          </w:p>
        </w:tc>
        <w:tc>
          <w:tcPr>
            <w:tcW w:type="dxa" w:w="1440"/>
            <w:shd w:fill="FFDCE0" w:val="clear"/>
          </w:tcPr>
          <w:p>
            <w:r>
              <w:rPr>
                <w:sz w:val="17"/>
              </w:rPr>
              <w:t>10,554</w:t>
            </w:r>
          </w:p>
        </w:tc>
        <w:tc>
          <w:tcPr>
            <w:tcW w:type="dxa" w:w="1440"/>
            <w:shd w:fill="FFDCE0" w:val="clear"/>
          </w:tcPr>
          <w:p>
            <w:r>
              <w:rPr>
                <w:b/>
                <w:color w:val="C00000"/>
                <w:sz w:val="17"/>
              </w:rPr>
              <w:t>-2.3%</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9,074</w:t>
            </w:r>
          </w:p>
        </w:tc>
        <w:tc>
          <w:tcPr>
            <w:tcW w:type="dxa" w:w="1440"/>
            <w:shd w:fill="FFDCE0" w:val="clear"/>
          </w:tcPr>
          <w:p>
            <w:r>
              <w:rPr>
                <w:b/>
                <w:sz w:val="17"/>
              </w:rPr>
              <w:t>9,834</w:t>
            </w:r>
          </w:p>
        </w:tc>
        <w:tc>
          <w:tcPr>
            <w:tcW w:type="dxa" w:w="1440"/>
            <w:shd w:fill="FFDCE0" w:val="clear"/>
          </w:tcPr>
          <w:p>
            <w:r>
              <w:rPr>
                <w:sz w:val="17"/>
              </w:rPr>
              <w:t>10,594</w:t>
            </w:r>
          </w:p>
        </w:tc>
        <w:tc>
          <w:tcPr>
            <w:tcW w:type="dxa" w:w="1440"/>
            <w:shd w:fill="FFDCE0" w:val="clear"/>
          </w:tcPr>
          <w:p>
            <w:r>
              <w:rPr>
                <w:b/>
                <w:color w:val="C00000"/>
                <w:sz w:val="17"/>
              </w:rPr>
              <w:t>-2.6%</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8,969</w:t>
            </w:r>
          </w:p>
        </w:tc>
        <w:tc>
          <w:tcPr>
            <w:tcW w:type="dxa" w:w="1440"/>
            <w:shd w:fill="FFDCE0" w:val="clear"/>
          </w:tcPr>
          <w:p>
            <w:r>
              <w:rPr>
                <w:b/>
                <w:sz w:val="17"/>
              </w:rPr>
              <w:t>9,798</w:t>
            </w:r>
          </w:p>
        </w:tc>
        <w:tc>
          <w:tcPr>
            <w:tcW w:type="dxa" w:w="1440"/>
            <w:shd w:fill="FFDCE0" w:val="clear"/>
          </w:tcPr>
          <w:p>
            <w:r>
              <w:rPr>
                <w:sz w:val="17"/>
              </w:rPr>
              <w:t>10,628</w:t>
            </w:r>
          </w:p>
        </w:tc>
        <w:tc>
          <w:tcPr>
            <w:tcW w:type="dxa" w:w="1440"/>
            <w:shd w:fill="FFDCE0" w:val="clear"/>
          </w:tcPr>
          <w:p>
            <w:r>
              <w:rPr>
                <w:b/>
                <w:color w:val="C00000"/>
                <w:sz w:val="17"/>
              </w:rPr>
              <w:t>-3.0%</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8,871</w:t>
            </w:r>
          </w:p>
        </w:tc>
        <w:tc>
          <w:tcPr>
            <w:tcW w:type="dxa" w:w="1440"/>
            <w:shd w:fill="FFDCE0" w:val="clear"/>
          </w:tcPr>
          <w:p>
            <w:r>
              <w:rPr>
                <w:b/>
                <w:sz w:val="17"/>
              </w:rPr>
              <w:t>9,764</w:t>
            </w:r>
          </w:p>
        </w:tc>
        <w:tc>
          <w:tcPr>
            <w:tcW w:type="dxa" w:w="1440"/>
            <w:shd w:fill="FFDCE0" w:val="clear"/>
          </w:tcPr>
          <w:p>
            <w:r>
              <w:rPr>
                <w:sz w:val="17"/>
              </w:rPr>
              <w:t>10,657</w:t>
            </w:r>
          </w:p>
        </w:tc>
        <w:tc>
          <w:tcPr>
            <w:tcW w:type="dxa" w:w="1440"/>
            <w:shd w:fill="FFDCE0" w:val="clear"/>
          </w:tcPr>
          <w:p>
            <w:r>
              <w:rPr>
                <w:b/>
                <w:color w:val="C00000"/>
                <w:sz w:val="17"/>
              </w:rPr>
              <w:t>-3.3%</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8,781</w:t>
            </w:r>
          </w:p>
        </w:tc>
        <w:tc>
          <w:tcPr>
            <w:tcW w:type="dxa" w:w="1440"/>
            <w:shd w:fill="FFDCE0" w:val="clear"/>
          </w:tcPr>
          <w:p>
            <w:r>
              <w:rPr>
                <w:b/>
                <w:sz w:val="17"/>
              </w:rPr>
              <w:t>9,732</w:t>
            </w:r>
          </w:p>
        </w:tc>
        <w:tc>
          <w:tcPr>
            <w:tcW w:type="dxa" w:w="1440"/>
            <w:shd w:fill="FFDCE0" w:val="clear"/>
          </w:tcPr>
          <w:p>
            <w:r>
              <w:rPr>
                <w:sz w:val="17"/>
              </w:rPr>
              <w:t>10,683</w:t>
            </w:r>
          </w:p>
        </w:tc>
        <w:tc>
          <w:tcPr>
            <w:tcW w:type="dxa" w:w="1440"/>
            <w:shd w:fill="FFDCE0" w:val="clear"/>
          </w:tcPr>
          <w:p>
            <w:r>
              <w:rPr>
                <w:b/>
                <w:color w:val="C00000"/>
                <w:sz w:val="17"/>
              </w:rPr>
              <w:t>-3.6%</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8,695</w:t>
            </w:r>
          </w:p>
        </w:tc>
        <w:tc>
          <w:tcPr>
            <w:tcW w:type="dxa" w:w="1440"/>
            <w:shd w:fill="FFDCE0" w:val="clear"/>
          </w:tcPr>
          <w:p>
            <w:r>
              <w:rPr>
                <w:b/>
                <w:sz w:val="17"/>
              </w:rPr>
              <w:t>9,701</w:t>
            </w:r>
          </w:p>
        </w:tc>
        <w:tc>
          <w:tcPr>
            <w:tcW w:type="dxa" w:w="1440"/>
            <w:shd w:fill="FFDCE0" w:val="clear"/>
          </w:tcPr>
          <w:p>
            <w:r>
              <w:rPr>
                <w:sz w:val="17"/>
              </w:rPr>
              <w:t>10,707</w:t>
            </w:r>
          </w:p>
        </w:tc>
        <w:tc>
          <w:tcPr>
            <w:tcW w:type="dxa" w:w="1440"/>
            <w:shd w:fill="FFDCE0" w:val="clear"/>
          </w:tcPr>
          <w:p>
            <w:r>
              <w:rPr>
                <w:b/>
                <w:color w:val="C00000"/>
                <w:sz w:val="17"/>
              </w:rPr>
              <w:t>-3.9%</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8,615</w:t>
            </w:r>
          </w:p>
        </w:tc>
        <w:tc>
          <w:tcPr>
            <w:tcW w:type="dxa" w:w="1440"/>
            <w:shd w:fill="FFDCE0" w:val="clear"/>
          </w:tcPr>
          <w:p>
            <w:r>
              <w:rPr>
                <w:b/>
                <w:sz w:val="17"/>
              </w:rPr>
              <w:t>9,672</w:t>
            </w:r>
          </w:p>
        </w:tc>
        <w:tc>
          <w:tcPr>
            <w:tcW w:type="dxa" w:w="1440"/>
            <w:shd w:fill="FFDCE0" w:val="clear"/>
          </w:tcPr>
          <w:p>
            <w:r>
              <w:rPr>
                <w:sz w:val="17"/>
              </w:rPr>
              <w:t>10,729</w:t>
            </w:r>
          </w:p>
        </w:tc>
        <w:tc>
          <w:tcPr>
            <w:tcW w:type="dxa" w:w="1440"/>
            <w:shd w:fill="FFDCE0" w:val="clear"/>
          </w:tcPr>
          <w:p>
            <w:r>
              <w:rPr>
                <w:b/>
                <w:color w:val="C00000"/>
                <w:sz w:val="17"/>
              </w:rPr>
              <w:t>-4.2%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 RAPPORT D'ANALYSE FINANCIÈRE — BOAB (Bank of Africa Bénin)</w:t>
        <w:br/>
        <w:t>**Bourse Régionale des Valeurs Mobilières (BRVM) — Secteur : Banque**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409,67 milliards FCFA, BOAB figure parmi les valeurs bancaires de premier plan de la cote BRVM, ce qui traduit une liquidité et une visibilité institutionnelle certaines. Le BPA de 496 FCFA/action signifie que chaque titre génère près de 500 FCFA de bénéfice net, un niveau de rentabilité par action appréciable pour le secteur. Le PER de 20,4x est nettement supérieur à la moyenne du marché BRVM (8-12x), ce qui indique que les investisseurs paient une prime significative pour les bénéfices de la banque — soit en anticipant une croissance future, soit en raison d'une surévaluation relative. Le P/B de 3,49x confirme cette prime : le marché valorise BOAB à près de 3,5 fois sa valeur comptable, un niveau qui n'est justifié que par une rentabilité des fonds propres (ROE de 17,1%) durablement supérieure au coût du capital. Enfin, l'EV/EBITDA de 20,6x, très exigeant (&gt;15x), suggère que la valeur d'entreprise intègre déjà une forte capacité bénéficiaire future, laissant peu de marge d'erreur en cas de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BOAB affiche une performance remarquable de **+26,49%**, avec une dernière séance en hausse de +0,70%, confirmant une dynamique haussière toujours active. Le titre évolue dans un range de 7 985 FCFA (plus bas) à 10 350 FCFA (plus haut), et cote actuellement à 10 100 FCFA, soit à seulement 2,4% de son sommet — signe de force relative. La tendance générale est donc clairement haussière, portée par un volume moyen quotidien de 5 721 titres, témoignant d'un intérêt soutenu des investisseurs. Les statistiques descriptives révèlent une moyenne de 9 044 FCFA supérieure à la médiane de 8 860 FCFA, avec un mode à 8 700 FCFA : cet écart confirme une distribution asymétrique, le cours ayant passé plus de temps dans la partie basse de sa fourchette avant de s'envoler récemment. L'écart-type de 572 FCFA (CV = 6,3%) indique une dispersion modérée, tandis que le kurtosis de 0,213 (mésokurtique) suggère une distribution proche de la normale, sans risque excessif de pics extrêmes. Le skewness de 0,887, positif, confirme une asymétrie à droite : les journées sous la moyenne ont été plus fréquentes, mais les hausses récentes ont été amples. La volatilité annualisée de 26,1% place le titre dans la catégorie **modérée** (15-30%), cohérente avec un profil bancaire stable mais sensible aux annonces.</w:t>
      </w:r>
    </w:p>
    <w:p>
      <w:pPr>
        <w:spacing w:after="120" w:line="276" w:lineRule="auto"/>
      </w:pPr>
      <w:r>
        <w:t>---</w:t>
      </w:r>
    </w:p>
    <w:p>
      <w:pPr>
        <w:spacing w:after="120" w:line="276" w:lineRule="auto"/>
      </w:pPr>
      <w:r>
        <w:t>## PARTIE 2 : ANALYSE TECHNIQUE DÉTAILLÉE</w:t>
      </w:r>
    </w:p>
    <w:p>
      <w:pPr>
        <w:spacing w:after="120" w:line="276" w:lineRule="auto"/>
      </w:pPr>
      <w:r>
        <w:t>**Moyennes Mobiles** : La MM20 (9 914,25 FCFA) et la MM50 (9 217,00 FCFA) sont toutes deux inférieures au cours actuel (10 100 FCFA), et la MM20 surpasse la MM50 — configuration haussière classique en « golden cross ». Cette disposition justifie la décision **Achat** : le titre évolue au-dessus de ses supports dynamiques, et la tendance de fond reste positive tant que le cours ne casse pas la MM20.</w:t>
      </w:r>
    </w:p>
    <w:p>
      <w:pPr>
        <w:spacing w:after="120" w:line="276" w:lineRule="auto"/>
      </w:pPr>
      <w:r>
        <w:t>**Bandes de Bollinger** : Le cours (10 100 FCFA) se situe entre la borne supérieure (10 956,08 FCFA) et la borne inférieure (8 872,42 FCFA), plus proche du haut que du bas. Cette position médiane-haute, sans franchissement de la borne supérieure, traduit une volatilité contenue et une absence de signal de surachat extrême, justifiant la décision **Neutre** : le titre est dans sa zone de confort, sans excès directionnel.</w:t>
      </w:r>
    </w:p>
    <w:p>
      <w:pPr>
        <w:spacing w:after="120" w:line="276" w:lineRule="auto"/>
      </w:pPr>
      <w:r>
        <w:t>**MACD** : La valeur du MACD (317,17) est inférieure à son signal (350,99), générant un croisement baissier — bien que les deux restent en territoire positif. Ce divergence indique un essoufflement du momentum haussier à court terme, ce qui justifie la décision **Vente** : la dynamique positive s'affaiblit et un repli technique est possible avant une reprise.</w:t>
      </w:r>
    </w:p>
    <w:p>
      <w:pPr>
        <w:spacing w:after="120" w:line="276" w:lineRule="auto"/>
      </w:pPr>
      <w:r>
        <w:t>**RSI** : À 53,75, le RSI se situe en zone neutre (30-70), sans surachat (&gt;70) ni survente (&lt;30). Cette valeur équilibrée suggère que le titre n'est ni surétendu ni survendu, justifiant la décision **Neutre** : aucun signal directionnel fort n'émerge de cet indicateur.</w:t>
      </w:r>
    </w:p>
    <w:p>
      <w:pPr>
        <w:spacing w:after="120" w:line="276" w:lineRule="auto"/>
      </w:pPr>
      <w:r>
        <w:t>**Stochastique** : Le %K (30,56) est inférieur au %D (41,75), et les deux se situent dans la zone basse (proche de 20), sans être en survente extrême. Cette configuration indique une pression vendeuse récente mais limitée, justifiant la décision **Neutre** : le croisement %K/%D est baissier mais le potentiel de rebond reste présent.</w:t>
      </w:r>
    </w:p>
    <w:p>
      <w:pPr>
        <w:spacing w:after="120" w:line="276" w:lineRule="auto"/>
      </w:pPr>
      <w:r>
        <w:t>**Conclusion technique** : Les indicateurs sont **mitigés** : les moyennes mobiles confirment la tendance haussière de fond, mais le MACD baissier et le stochastique en zone basse signalent un essoufflement à court terme. Le RSI neutre et les Bandes de Bollinger sans excès plaident pour une consolidation avant une éventuelle reprise. La convergence n'est donc pas totale : le titre pourrait connaître une pause ou un léger repli avant de reprendre sa trajectoire ascendante.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BOAB affiche un Produit Net Bancaire (PNB) de 51,274 milliards FCFA, en croissance de 10,20% sur un an, et un résultat net de 20,107 milliards FCFA. Le ROE s'établit à 17,11% (&gt;15%, excellent) et le ROA à 2,08%, confirmant une rentabilité solide. Le coefficient d'exploitation de 49,53% (&lt;50%) classe la banque parmi les établissements **très efficaces**, tandis que le coût du risque (22,50% des charges financières) reste modéré, témoignant d'un portefeuille de crédit globalement sain. La structure financière montre une autonomie financière de 12,18% (faible, mais typique des banques), un ratio d'endettement de 98,77% et une solvabilité générale de 113,87% (&gt;1, donc solvable). Les dépôts clientèle (711,642 milliards FCFA) couvrent largement les créances clientèle (391,724 milliards FCFA), avec un ratio de transformation de 55%, signe d'une gestion prudente et d'une liquidité abondante.</w:t>
      </w:r>
    </w:p>
    <w:p>
      <w:pPr>
        <w:spacing w:after="120" w:line="276" w:lineRule="auto"/>
      </w:pPr>
      <w:r>
        <w:t>**Estimations basées sur les rapports trimestriels** : Le rapport T1 2026 (publié le 12/09/2026) indique un PNB de 12,329 milliards FCFA (+11% en glissement annuel), un résultat net de 4,502 milliards FCFA (+1%) et des dépôts clientèle de 753,7 milliards FCFA (+3,5%). Le rapport T3 2025 (30/09/2025) faisait état d'un PNB trimestriel de 37,065 milliards FCFA (+9%) et d'un résultat net de 15,880 milliards FCFA (+13%), avec une contraction des crédits (-10%) et des dépôts (-5%) sur un an. Le rapport S1 2025 (30/06/2025) mentionnait un PNB de 24,556 milliards FCFA (+5,91%) et un résultat net de 11,012 milliards FCFA (+0,75%), avec un ROE de 20,3% et un coefficient d'exploitation de 46,1%. **On estime donc que l'exercice 2026 devrait afficher un PNB en croissance de 8-10% (autour de 55-56 milliards FCFA) et un résultat net en hausse modérée de 3-5% (autour de 20,7-21,1 milliards FCFA)**, la pression sur les coûts et la contraction du bilan limitant la croissance bénéficiaire. Le rapport 2024 (31/12/2024) montrait un résultat net de 19,647 milliards FCFA (-8,7%) et un ROE de 16,7%, en baisse par rapport à 2023 (19,1%), mais l'augmentation de capital de 20,3 à 40,6 milliards FCFA a renforcé les fonds propres. **Conclusion fondamentale** : BOAB est une banque **solide et efficace**, avec une rentabilité supérieure à la moyenne, une structure financière saine et une liquidité abondante. Les risques principaux résident dans la contraction du bilan (crédits et dépôts), la pression sur la marge nette et la dépendance à l'environnement économique béninois. La recommandation fondamentale est **Conserver**, avec un potentiel de croissance modéré mais une qualité de bilan rassurante.</w:t>
      </w:r>
    </w:p>
    <w:p>
      <w:pPr>
        <w:spacing w:after="120" w:line="276" w:lineRule="auto"/>
      </w:pPr>
      <w:r>
        <w:t>---</w:t>
      </w:r>
    </w:p>
    <w:p>
      <w:pPr>
        <w:spacing w:after="120" w:line="276" w:lineRule="auto"/>
      </w:pPr>
      <w:r>
        <w:t>## PARTIE 4 : CONCLUSION D'INVESTISSEMENT</w:t>
      </w:r>
    </w:p>
    <w:p>
      <w:pPr>
        <w:spacing w:after="120" w:line="276" w:lineRule="auto"/>
      </w:pPr>
      <w:r>
        <w:t>La valorisation (Partie 0) indique une **surévaluation relative** : le PER de 20,4x et le P/B de 3,49x sont nettement supérieurs aux moyennes du marché BRVM, ce qui intègre déjà une prime de croissance que les fondamentaux ne justifient que partiellement. Le comportement du cours (Partie 1) est **favorable** : tendance haussière (+26,49%), volatilité modérée (26,1%), skewness positif et kurtosis proche de la normale, sans risque de pics extrêmes. Les signaux techniques (Partie 2) sont **mitigés** : les moyennes mobiles confirment la tendance de fond, mais le MACD baissier et le stochastique en zone basse signalent un essoufflement à court terme, plaidant pour une consolidation. Les fondamentaux (Partie 3) sont **solides** : ROE de 17,11%, coefficient d'exploitation de 49,53%, coût du risque maîtrisé, mais la croissance du résultat net ralentit (+1% au T1 2026) et le bilan se contracte. Les prédictions IA (J+1 à J+10) anticipent une **baisse progressive** de 10 006 FCFA à 9 834 FCFA, ce qui **contredit** la tendance haussière récente et confirme l'essoufflement technique. **Synthèse globale** : la convergence entre la surévaluation, l'essoufflement technique et la décélération bénéficiaire suggère une **prise de bénéfices à court terme**, mais la solidité fondamentale limite le risque de baisse durable. **Recommandation finale : CONSERVER** — les investisseurs déjà positionnés peuvent maintenir leur exposition pour profiter de la qualité du bilan et d'un éventuel rebond, mais les nouveaux entrants devraient attendre une correction vers 9 500-9 800 FCFA pour améliorer leur point d'entrée. **Niveau de confiance : Moyen** (les signaux sont divergents entre technique et fondamental). **Niveau de risque : Moyen** (volatilité modérée, mais surévaluation et contraction du bilan). **Horizon d'investissement optimal : Moyen terme (3-12 mois)**, le temps que la croissance bénéficiaire se matérialise et que la valorisation se normalise.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395.56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6,787 titres</w:t>
            </w:r>
          </w:p>
        </w:tc>
        <w:tc>
          <w:tcPr>
            <w:tcW w:type="dxa" w:w="2268"/>
            <w:shd w:fill="FFF2CC" w:val="clear"/>
          </w:tcPr>
          <w:p>
            <w:r>
              <w:rPr>
                <w:b/>
                <w:color w:val="503200"/>
                <w:sz w:val="16"/>
              </w:rPr>
              <w:t xml:space="preserve">Cours actuel : </w:t>
            </w:r>
            <w:r>
              <w:rPr>
                <w:color w:val="000000"/>
                <w:sz w:val="17"/>
              </w:rPr>
              <w:t>8,990 FCFA</w:t>
            </w:r>
          </w:p>
          <w:p>
            <w:r>
              <w:rPr>
                <w:b/>
                <w:color w:val="503200"/>
                <w:sz w:val="16"/>
              </w:rPr>
              <w:t xml:space="preserve">Var. 100 jours : </w:t>
            </w:r>
            <w:r>
              <w:rPr>
                <w:b/>
                <w:color w:val="007800"/>
                <w:sz w:val="17"/>
              </w:rPr>
              <w:t>+59.68%</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5,235 FCFA</w:t>
            </w:r>
          </w:p>
          <w:p>
            <w:r>
              <w:rPr>
                <w:b/>
                <w:color w:val="503200"/>
                <w:sz w:val="16"/>
              </w:rPr>
              <w:t xml:space="preserve">Volatilité ann. : </w:t>
            </w:r>
            <w:r>
              <w:rPr>
                <w:color w:val="000000"/>
                <w:sz w:val="17"/>
              </w:rPr>
              <w:t>33.6%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18.54% (Élevée) — μ=6,480 FCFA, σ=1,201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β=0.1041 (Défensif) — Cov=0.000004, Var(idx)=0.000035, ρ=0.029,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6,787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σ_j=2.11%/j (Stable) — Vol. annualisée≈33.6%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8,594</w:t>
            </w:r>
          </w:p>
        </w:tc>
        <w:tc>
          <w:tcPr>
            <w:tcW w:type="dxa" w:w="1440"/>
            <w:shd w:fill="FAFAFA" w:val="clear"/>
          </w:tcPr>
          <w:p>
            <w:r>
              <w:rPr>
                <w:b/>
                <w:sz w:val="17"/>
              </w:rPr>
              <w:t>8,914</w:t>
            </w:r>
          </w:p>
        </w:tc>
        <w:tc>
          <w:tcPr>
            <w:tcW w:type="dxa" w:w="1440"/>
            <w:shd w:fill="FAFAFA" w:val="clear"/>
          </w:tcPr>
          <w:p>
            <w:r>
              <w:rPr>
                <w:sz w:val="17"/>
              </w:rPr>
              <w:t>9,235</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8,411</w:t>
            </w:r>
          </w:p>
        </w:tc>
        <w:tc>
          <w:tcPr>
            <w:tcW w:type="dxa" w:w="1440"/>
            <w:shd w:fill="FAFAFA" w:val="clear"/>
          </w:tcPr>
          <w:p>
            <w:r>
              <w:rPr>
                <w:b/>
                <w:sz w:val="17"/>
              </w:rPr>
              <w:t>8,861</w:t>
            </w:r>
          </w:p>
        </w:tc>
        <w:tc>
          <w:tcPr>
            <w:tcW w:type="dxa" w:w="1440"/>
            <w:shd w:fill="FAFAFA" w:val="clear"/>
          </w:tcPr>
          <w:p>
            <w:r>
              <w:rPr>
                <w:sz w:val="17"/>
              </w:rPr>
              <w:t>9,312</w:t>
            </w:r>
          </w:p>
        </w:tc>
        <w:tc>
          <w:tcPr>
            <w:tcW w:type="dxa" w:w="1440"/>
            <w:shd w:fill="FAFAFA" w:val="clear"/>
          </w:tcPr>
          <w:p>
            <w:r>
              <w:rPr>
                <w:b/>
                <w:color w:val="C00000"/>
                <w:sz w:val="17"/>
              </w:rPr>
              <w:t>-1.4%</w:t>
            </w:r>
          </w:p>
        </w:tc>
      </w:tr>
      <w:tr>
        <w:tc>
          <w:tcPr>
            <w:tcW w:type="dxa" w:w="1440"/>
            <w:shd w:fill="FAFAFA" w:val="clear"/>
          </w:tcPr>
          <w:p>
            <w:r>
              <w:rPr>
                <w:sz w:val="17"/>
              </w:rPr>
              <w:t>J+3  Moyenne</w:t>
            </w:r>
          </w:p>
        </w:tc>
        <w:tc>
          <w:tcPr>
            <w:tcW w:type="dxa" w:w="1440"/>
            <w:shd w:fill="FAFAFA" w:val="clear"/>
          </w:tcPr>
          <w:p>
            <w:r>
              <w:rPr>
                <w:sz w:val="17"/>
              </w:rPr>
              <w:t>2026-09-16</w:t>
            </w:r>
          </w:p>
        </w:tc>
        <w:tc>
          <w:tcPr>
            <w:tcW w:type="dxa" w:w="1440"/>
            <w:shd w:fill="FAFAFA" w:val="clear"/>
          </w:tcPr>
          <w:p>
            <w:r>
              <w:rPr>
                <w:sz w:val="17"/>
              </w:rPr>
              <w:t>8,274</w:t>
            </w:r>
          </w:p>
        </w:tc>
        <w:tc>
          <w:tcPr>
            <w:tcW w:type="dxa" w:w="1440"/>
            <w:shd w:fill="FAFAFA" w:val="clear"/>
          </w:tcPr>
          <w:p>
            <w:r>
              <w:rPr>
                <w:b/>
                <w:sz w:val="17"/>
              </w:rPr>
              <w:t>8,824</w:t>
            </w:r>
          </w:p>
        </w:tc>
        <w:tc>
          <w:tcPr>
            <w:tcW w:type="dxa" w:w="1440"/>
            <w:shd w:fill="FAFAFA" w:val="clear"/>
          </w:tcPr>
          <w:p>
            <w:r>
              <w:rPr>
                <w:sz w:val="17"/>
              </w:rPr>
              <w:t>9,374</w:t>
            </w:r>
          </w:p>
        </w:tc>
        <w:tc>
          <w:tcPr>
            <w:tcW w:type="dxa" w:w="1440"/>
            <w:shd w:fill="FAFAFA" w:val="clear"/>
          </w:tcPr>
          <w:p>
            <w:r>
              <w:rPr>
                <w:b/>
                <w:color w:val="C00000"/>
                <w:sz w:val="17"/>
              </w:rPr>
              <w:t>-1.8%</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8,166</w:t>
            </w:r>
          </w:p>
        </w:tc>
        <w:tc>
          <w:tcPr>
            <w:tcW w:type="dxa" w:w="1440"/>
            <w:shd w:fill="FFDCE0" w:val="clear"/>
          </w:tcPr>
          <w:p>
            <w:r>
              <w:rPr>
                <w:b/>
                <w:sz w:val="17"/>
              </w:rPr>
              <w:t>8,799</w:t>
            </w:r>
          </w:p>
        </w:tc>
        <w:tc>
          <w:tcPr>
            <w:tcW w:type="dxa" w:w="1440"/>
            <w:shd w:fill="FFDCE0" w:val="clear"/>
          </w:tcPr>
          <w:p>
            <w:r>
              <w:rPr>
                <w:sz w:val="17"/>
              </w:rPr>
              <w:t>9,431</w:t>
            </w:r>
          </w:p>
        </w:tc>
        <w:tc>
          <w:tcPr>
            <w:tcW w:type="dxa" w:w="1440"/>
            <w:shd w:fill="FFDCE0" w:val="clear"/>
          </w:tcPr>
          <w:p>
            <w:r>
              <w:rPr>
                <w:b/>
                <w:color w:val="C00000"/>
                <w:sz w:val="17"/>
              </w:rPr>
              <w:t>-2.1%</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8,073</w:t>
            </w:r>
          </w:p>
        </w:tc>
        <w:tc>
          <w:tcPr>
            <w:tcW w:type="dxa" w:w="1440"/>
            <w:shd w:fill="FFDCE0" w:val="clear"/>
          </w:tcPr>
          <w:p>
            <w:r>
              <w:rPr>
                <w:b/>
                <w:sz w:val="17"/>
              </w:rPr>
              <w:t>8,779</w:t>
            </w:r>
          </w:p>
        </w:tc>
        <w:tc>
          <w:tcPr>
            <w:tcW w:type="dxa" w:w="1440"/>
            <w:shd w:fill="FFDCE0" w:val="clear"/>
          </w:tcPr>
          <w:p>
            <w:r>
              <w:rPr>
                <w:sz w:val="17"/>
              </w:rPr>
              <w:t>9,485</w:t>
            </w:r>
          </w:p>
        </w:tc>
        <w:tc>
          <w:tcPr>
            <w:tcW w:type="dxa" w:w="1440"/>
            <w:shd w:fill="FFDCE0" w:val="clear"/>
          </w:tcPr>
          <w:p>
            <w:r>
              <w:rPr>
                <w:b/>
                <w:color w:val="C00000"/>
                <w:sz w:val="17"/>
              </w:rPr>
              <w:t>-2.3%</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7,990</w:t>
            </w:r>
          </w:p>
        </w:tc>
        <w:tc>
          <w:tcPr>
            <w:tcW w:type="dxa" w:w="1440"/>
            <w:shd w:fill="FFDCE0" w:val="clear"/>
          </w:tcPr>
          <w:p>
            <w:r>
              <w:rPr>
                <w:b/>
                <w:sz w:val="17"/>
              </w:rPr>
              <w:t>8,762</w:t>
            </w:r>
          </w:p>
        </w:tc>
        <w:tc>
          <w:tcPr>
            <w:tcW w:type="dxa" w:w="1440"/>
            <w:shd w:fill="FFDCE0" w:val="clear"/>
          </w:tcPr>
          <w:p>
            <w:r>
              <w:rPr>
                <w:sz w:val="17"/>
              </w:rPr>
              <w:t>9,534</w:t>
            </w:r>
          </w:p>
        </w:tc>
        <w:tc>
          <w:tcPr>
            <w:tcW w:type="dxa" w:w="1440"/>
            <w:shd w:fill="FFDCE0" w:val="clear"/>
          </w:tcPr>
          <w:p>
            <w:r>
              <w:rPr>
                <w:b/>
                <w:color w:val="C00000"/>
                <w:sz w:val="17"/>
              </w:rPr>
              <w:t>-2.5%</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7,914</w:t>
            </w:r>
          </w:p>
        </w:tc>
        <w:tc>
          <w:tcPr>
            <w:tcW w:type="dxa" w:w="1440"/>
            <w:shd w:fill="FFDCE0" w:val="clear"/>
          </w:tcPr>
          <w:p>
            <w:r>
              <w:rPr>
                <w:b/>
                <w:sz w:val="17"/>
              </w:rPr>
              <w:t>8,746</w:t>
            </w:r>
          </w:p>
        </w:tc>
        <w:tc>
          <w:tcPr>
            <w:tcW w:type="dxa" w:w="1440"/>
            <w:shd w:fill="FFDCE0" w:val="clear"/>
          </w:tcPr>
          <w:p>
            <w:r>
              <w:rPr>
                <w:sz w:val="17"/>
              </w:rPr>
              <w:t>9,578</w:t>
            </w:r>
          </w:p>
        </w:tc>
        <w:tc>
          <w:tcPr>
            <w:tcW w:type="dxa" w:w="1440"/>
            <w:shd w:fill="FFDCE0" w:val="clear"/>
          </w:tcPr>
          <w:p>
            <w:r>
              <w:rPr>
                <w:b/>
                <w:color w:val="C00000"/>
                <w:sz w:val="17"/>
              </w:rPr>
              <w:t>-2.7%</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7,843</w:t>
            </w:r>
          </w:p>
        </w:tc>
        <w:tc>
          <w:tcPr>
            <w:tcW w:type="dxa" w:w="1440"/>
            <w:shd w:fill="FFDCE0" w:val="clear"/>
          </w:tcPr>
          <w:p>
            <w:r>
              <w:rPr>
                <w:b/>
                <w:sz w:val="17"/>
              </w:rPr>
              <w:t>8,731</w:t>
            </w:r>
          </w:p>
        </w:tc>
        <w:tc>
          <w:tcPr>
            <w:tcW w:type="dxa" w:w="1440"/>
            <w:shd w:fill="FFDCE0" w:val="clear"/>
          </w:tcPr>
          <w:p>
            <w:r>
              <w:rPr>
                <w:sz w:val="17"/>
              </w:rPr>
              <w:t>9,619</w:t>
            </w:r>
          </w:p>
        </w:tc>
        <w:tc>
          <w:tcPr>
            <w:tcW w:type="dxa" w:w="1440"/>
            <w:shd w:fill="FFDCE0" w:val="clear"/>
          </w:tcPr>
          <w:p>
            <w:r>
              <w:rPr>
                <w:b/>
                <w:color w:val="C00000"/>
                <w:sz w:val="17"/>
              </w:rPr>
              <w:t>-2.9%</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7,776</w:t>
            </w:r>
          </w:p>
        </w:tc>
        <w:tc>
          <w:tcPr>
            <w:tcW w:type="dxa" w:w="1440"/>
            <w:shd w:fill="FFDCE0" w:val="clear"/>
          </w:tcPr>
          <w:p>
            <w:r>
              <w:rPr>
                <w:b/>
                <w:sz w:val="17"/>
              </w:rPr>
              <w:t>8,716</w:t>
            </w:r>
          </w:p>
        </w:tc>
        <w:tc>
          <w:tcPr>
            <w:tcW w:type="dxa" w:w="1440"/>
            <w:shd w:fill="FFDCE0" w:val="clear"/>
          </w:tcPr>
          <w:p>
            <w:r>
              <w:rPr>
                <w:sz w:val="17"/>
              </w:rPr>
              <w:t>9,656</w:t>
            </w:r>
          </w:p>
        </w:tc>
        <w:tc>
          <w:tcPr>
            <w:tcW w:type="dxa" w:w="1440"/>
            <w:shd w:fill="FFDCE0" w:val="clear"/>
          </w:tcPr>
          <w:p>
            <w:r>
              <w:rPr>
                <w:b/>
                <w:color w:val="C00000"/>
                <w:sz w:val="17"/>
              </w:rPr>
              <w:t>-3.0%</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7,712</w:t>
            </w:r>
          </w:p>
        </w:tc>
        <w:tc>
          <w:tcPr>
            <w:tcW w:type="dxa" w:w="1440"/>
            <w:shd w:fill="FFDCE0" w:val="clear"/>
          </w:tcPr>
          <w:p>
            <w:r>
              <w:rPr>
                <w:b/>
                <w:sz w:val="17"/>
              </w:rPr>
              <w:t>8,701</w:t>
            </w:r>
          </w:p>
        </w:tc>
        <w:tc>
          <w:tcPr>
            <w:tcW w:type="dxa" w:w="1440"/>
            <w:shd w:fill="FFDCE0" w:val="clear"/>
          </w:tcPr>
          <w:p>
            <w:r>
              <w:rPr>
                <w:sz w:val="17"/>
              </w:rPr>
              <w:t>9,690</w:t>
            </w:r>
          </w:p>
        </w:tc>
        <w:tc>
          <w:tcPr>
            <w:tcW w:type="dxa" w:w="1440"/>
            <w:shd w:fill="FFDCE0" w:val="clear"/>
          </w:tcPr>
          <w:p>
            <w:r>
              <w:rPr>
                <w:b/>
                <w:color w:val="C00000"/>
                <w:sz w:val="17"/>
              </w:rPr>
              <w:t>-3.2%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 RAPPORT D'ANALYSE FINANCIÈRE — BOABF (Bank of Africa Burkina Faso)</w:t>
        <w:br/>
        <w:t>**Bourse Régionale des Valeurs Mobilières (BRVM) | Secteur : Banque**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395,56 milliards FCFA, BOABF figure parmi les valeurs les plus importantes de la cote BRVM, ce qui en fait un pilier du compartiment bancaire régional. Le BPA de 438 FCFA/action signifie que chaque titre génère près de 438 FCFA de bénéfice net, un niveau appréciable pour une valeur de ce prix. Le PER de 20,5x est nettement supérieur à la moyenne BRVM (~8-12x), signalant que les investisseurs paient une prime significative pour les bénéfices, soit en anticipation d'une croissance future, soit en raison d'une surévaluation relative. Le P/B de 3,13x confirme cette prime de croissance : le marché valorise l'action à plus de trois fois sa valeur comptable, ce qui est cohérent avec la rentabilité élevée des fonds propres (ROE &gt;15%). Enfin, l'EV/EBITDA de 9,5x se situe dans la fourchette raisonnable de 5-10x, indiquant que la valeur d'entreprise reste cohérente avec la capacité opérationnelle de la banque, ce qui nuance le tableau d'une valorisation globalement tendue mais pas déraisonnable.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BOABF a enregistré une progression spectaculaire de **+59,68%**, portant le cours actuel à 8 990 FCFA, avec une quasi-stabilité sur la dernière séance (-0,06%). Le range de trading est particulièrement large, avec un plus haut à 9 090 FCFA et un plus bas à 5 235 FCFA, soit un écart de plus de 73% entre les deux extrêmes — signe d'une tendance nettement haussière mais ponctuée de fortes oscillations. La tendance générale est donc clairement haussière, soutenue par un volume moyen quotidien de 6 787 titres, ce qui témoigne d'une liquidité correcte pour la place. Les statistiques descriptives révèlent une distribution asymétrique : la moyenne (6 480 FCFA) dépasse la médiane (5 920 FCFA) et le mode (5 400 FCFA), confirmant un skewness positif de 0,908 — le cours a passé plus de journées sous sa moyenne, mais quelques séances de forte hausse ont tiré la moyenne vers le haut. L'écart-type de 1 207 FCFA (CV = 18,6%) indique une dispersion modérée à élevée, tandis que le kurtosis de -0,432 (mésokurtique) suggère une distribution proche de la normale, sans risque excessif de pics extrêmes. La volatilité annualisée de 33,6% classe le titre dans la catégorie **élevée** (&gt;30%), ce qui implique un risque de marché significatif pour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(8 409,25 FCFA) et la MM50 (7 448,70 FCFA) se situent toutes deux sous le cours actuel (8 990 FCFA), et la MM20 est supérieure à la MM50 — configuration typique d'une tendance haussière bien établie. Le cours évoluant au-dessus de ses deux moyennes, la décision technique est logiquement à l'**Achat**, bien que l'écart important entre le cours et la MM50 (plus de 20%) suggère une extension potentiellement excessive à court terme.</w:t>
      </w:r>
    </w:p>
    <w:p>
      <w:pPr>
        <w:spacing w:after="120" w:line="276" w:lineRule="auto"/>
      </w:pPr>
      <w:r>
        <w:t>**Bandes de Bollinger** : Le cours (8 990 FCFA) se situe entre la borne supérieure (9 902,44 FCFA) et la borne inférieure (6 916,07 FCFA), plus proche de la borne haute, ce qui traduit une pression acheteuse persistante mais sans rupture imminente. L'amplitude des bandes reflète la volatilité élevée du titre, et la décision est **Neutre** — le cours n'ayant pas franchi la borne supérieure, aucun signal de surachat extrême n'est déclenché, mais la proximité de cette borne invite à la prudence.</w:t>
      </w:r>
    </w:p>
    <w:p>
      <w:pPr>
        <w:spacing w:after="120" w:line="276" w:lineRule="auto"/>
      </w:pPr>
      <w:r>
        <w:t>**MACD** : La valeur du MACD (497,26) est légèrement inférieure à son signal (510,31), ce qui génère une décision de **Vente**. Cette divergence négative, bien que marginale, indique un essoufflement du momentum haussier : la dynamique positive s'affaiblit et un croisement baissier pourrait se confirmer si la tendance se poursuit.</w:t>
      </w:r>
    </w:p>
    <w:p>
      <w:pPr>
        <w:spacing w:after="120" w:line="276" w:lineRule="auto"/>
      </w:pPr>
      <w:r>
        <w:t>**RSI** : À 81,31, le RSI se situe largement au-dessus du seuil de surachat de 70, déclenchant une décision de **Vente**. Ce niveau élevé signale que le titre a été acheté de manière excessive à court terme et qu'une correction ou consolidation est statistiquement probable.</w:t>
      </w:r>
    </w:p>
    <w:p>
      <w:pPr>
        <w:spacing w:after="120" w:line="276" w:lineRule="auto"/>
      </w:pPr>
      <w:r>
        <w:t>**Stochastique** : Le %K (90,83) et le %D (92,72) sont tous deux en zone de surachat extrême (&gt;80), avec un %K légèrement sous le %D — configuration proche d'un croisement baissier. La décision est à la **Vente**, confirmant la pression vendeuse potentielle à venir.</w:t>
      </w:r>
    </w:p>
    <w:p>
      <w:pPr>
        <w:spacing w:after="120" w:line="276" w:lineRule="auto"/>
      </w:pPr>
      <w:r>
        <w:t>**Conclusion technique** : Les indicateurs présentent une divergence notable. Les moyennes mobiles confirment la tendance haussière de fond, mais le MACD, le RSI et le stochastique signalent tous un surachat et un essoufflement du momentum à court terme. Cette configuration suggère que le titre, après une hausse de près de 60%, entre dans une phase de consolidation ou de correction technique, sans remettre en cause la tendance haussière de moyen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BOABF affiche un Produit Net Bancaire (PNB) de 57 820 millions FCFA, quasi stable par rapport à 2024 (+0,6%), et un résultat net de 19 252 millions FCFA, en recul de -14,1% sur un an. Cette baisse s'explique principalement par un coût du risque quasiment doublé (8 355 millions FCFA contre 4 303 millions en 2024), conséquence d'une dégradation de la qualité du portefeuille de crédits. Le ROE s'établit à 15,22% — un niveau excellent qui témoigne de la rentabilité des fonds propres — et le ROA à 1,68%, correct pour une banque. Le coefficient d'exploitation de 47,19% est remarquable (&lt;50% = excellence opérationnelle), confirmant une gestion rigoureuse des charges. Le ratio de couverture des intérêts (90,05%) et la capacité de remboursement (5,79 années de CAF) traduisent une structure financière solide, bien que l'autonomie financière (11,01%) reste faible, typique du modèle bancaire.</w:t>
      </w:r>
    </w:p>
    <w:p>
      <w:pPr>
        <w:spacing w:after="120" w:line="276" w:lineRule="auto"/>
      </w:pPr>
      <w:r>
        <w:t>**Évolution récente (rapports trimestriels)** : Le rapport du **T1 2026 (31/03/2026)** montre un PNB de 12 694 millions FCFA (-10,75% sur un an) et un résultat net de 4 520 millions FCFA (-12,99%), avec une collecte de dépôts en hausse de +6,3% (933 233 millions FCFA) mais des crédits en léger repli (-1,2%). Le rapport du **S1 2026 (30/06/2026)** révèle une amélioration notable : le résultat net bondit de +31,0% à 10 770 millions FCFA, porté par une normalisation du coût du risque (-65,2% à -2 396 millions), bien que le PNB recule de -5,2% à 27 539 millions FCFA. Le rapport du **T3 2025 (30/09/2025)** confirmait déjà la stagnation de l'activité (PNB +0,85%) et la pression du coût du risque (-27,7% de résultat net).</w:t>
      </w:r>
    </w:p>
    <w:p>
      <w:pPr>
        <w:spacing w:after="120" w:line="276" w:lineRule="auto"/>
      </w:pPr>
      <w:r>
        <w:t>**Estimations et perspectives** : Sur la base du S1 2026, on peut estimer que l'exercice 2026 devrait bénéficier d'une normalisation du coût du risque, avec un résultat net annualisé potentiellement supérieur à celui de 2025 (estimé autour de 21-22 milliards FCFA), malgré un PNB sous pression. La dynamique commerciale reste toutefois fragile : la croissance des dépôts (+7,4% au S1 2026) contraste avec la stagnation des crédits, ce qui limite la marge d'intermédiation future. La recommandation fondamentale est de **CONSERVER** : la solidité financière et la rentabilité restent excellentes, mais la baisse structurelle du PNB et la dépendance à la normalisation du risque appellent à la prudence.</w:t>
      </w:r>
    </w:p>
    <w:p>
      <w:pPr>
        <w:spacing w:after="120" w:line="276" w:lineRule="auto"/>
      </w:pPr>
      <w:r>
        <w:t>---</w:t>
      </w:r>
    </w:p>
    <w:p>
      <w:pPr>
        <w:spacing w:after="120" w:line="276" w:lineRule="auto"/>
      </w:pPr>
      <w:r>
        <w:t>## PARTIE 4 : CONCLUSION D'INVESTISSEMENT</w:t>
      </w:r>
    </w:p>
    <w:p>
      <w:pPr>
        <w:spacing w:after="120" w:line="276" w:lineRule="auto"/>
      </w:pPr>
      <w:r>
        <w:t>La valorisation de BOABF apparaît tendue : le PER de 20,5x et le P/B de 3,13x intègrent déjà une prime de croissance significative, tandis que l'EV/EBITDA de 9,5x reste raisonnable. Le comportement du cours sur 100 jours est nettement haussier (+59,68%), mais la volatilité élevée (33,6%) et le skewness positif (0,908) indiquent que la performance a été portée par quelques séances exceptionnelles, avec un risque de correction. Les signaux techniques sont divergents : les moyennes mobiles confirment la tendance haussière, mais le MACD, le RSI (81,3) et le stochastique (90,8) signalent tous un surachat extrême et un essoufflement imminent. Les fondamentaux sont solides (ROE 15,2%, coefficient d'exploitation 47,2%) mais fragilisés par la baisse du PNB et la dépendance à la normalisation du coût du risque, comme le montrent les rapports T1 et S1 2026. Les prédictions IA anticipent une légère correction (8 914 FCFA à J+1, 8 779 FCFA à J+5), ce qui confirme les signaux techniques de surachat. **Recommandation finale : CONSERVER** — la convergence entre valorisation tendue, surachat technique et fondamentaux mitigés ne justifie pas un achat à ces niveaux, mais la solidité financière et les perspectives d'amélioration du risque interdisent une vente. Le niveau de confiance est **Moyen**, le risque global **Élevé** (volatilité + surachat + dépendance au risque de crédit), et l'horizon optimal est le **moyen terme (3-12 mois)**, le temps que la correction technique s'achève et que la normalisation du coût du risque se confirme dans les prochains rapports trimestriels.</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496.00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11,407 titres</w:t>
            </w:r>
          </w:p>
        </w:tc>
        <w:tc>
          <w:tcPr>
            <w:tcW w:type="dxa" w:w="2268"/>
            <w:shd w:fill="FFF2CC" w:val="clear"/>
          </w:tcPr>
          <w:p>
            <w:r>
              <w:rPr>
                <w:b/>
                <w:color w:val="503200"/>
                <w:sz w:val="16"/>
              </w:rPr>
              <w:t xml:space="preserve">Cours actuel : </w:t>
            </w:r>
            <w:r>
              <w:rPr>
                <w:color w:val="000000"/>
                <w:sz w:val="17"/>
              </w:rPr>
              <w:t>12,400 FCFA</w:t>
            </w:r>
          </w:p>
          <w:p>
            <w:r>
              <w:rPr>
                <w:b/>
                <w:color w:val="503200"/>
                <w:sz w:val="16"/>
              </w:rPr>
              <w:t xml:space="preserve">Var. 100 jours : </w:t>
            </w:r>
            <w:r>
              <w:rPr>
                <w:b/>
                <w:color w:val="007800"/>
                <w:sz w:val="17"/>
              </w:rPr>
              <w:t>+44.19%</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8,495 FCFA</w:t>
            </w:r>
          </w:p>
          <w:p>
            <w:r>
              <w:rPr>
                <w:b/>
                <w:color w:val="503200"/>
                <w:sz w:val="16"/>
              </w:rPr>
              <w:t xml:space="preserve">Volatilité ann. : </w:t>
            </w:r>
            <w:r>
              <w:rPr>
                <w:color w:val="000000"/>
                <w:sz w:val="17"/>
              </w:rPr>
              <w:t>25.6%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27.3/100 → Moyen</w:t>
      </w:r>
    </w:p>
    <w:p>
      <w:pPr>
        <w:spacing w:before="40" w:after="80"/>
      </w:pPr>
      <w:r>
        <w:rPr>
          <w:rFonts w:ascii="Courier New" w:hAnsi="Courier New"/>
          <w:color w:val="825A00"/>
          <w:sz w:val="18"/>
        </w:rPr>
        <w:t>█████░░░░░░░░░░░░░░░  27.3/100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15.69% (Élevée) — μ=10,121 FCFA, σ=1,588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β=-0.0380 (Contre-cyclique) — Cov=-0.000001, Var(idx)=0.000035, ρ=-0.014,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11,407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σ_j=1.61%/j (Stable) — Vol. annualisée≈25.6%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80/100  (Excellent)</w:t>
      </w:r>
    </w:p>
    <w:p/>
    <w:p>
      <w:pPr>
        <w:jc w:val="center"/>
      </w:pPr>
      <w:r>
        <w:drawing>
          <wp:inline xmlns:a="http://schemas.openxmlformats.org/drawingml/2006/main" xmlns:pic="http://schemas.openxmlformats.org/drawingml/2006/picture">
            <wp:extent cx="5669280" cy="260319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11,864</w:t>
            </w:r>
          </w:p>
        </w:tc>
        <w:tc>
          <w:tcPr>
            <w:tcW w:type="dxa" w:w="1440"/>
            <w:shd w:fill="FAFAFA" w:val="clear"/>
          </w:tcPr>
          <w:p>
            <w:r>
              <w:rPr>
                <w:b/>
                <w:sz w:val="17"/>
              </w:rPr>
              <w:t>12,256</w:t>
            </w:r>
          </w:p>
        </w:tc>
        <w:tc>
          <w:tcPr>
            <w:tcW w:type="dxa" w:w="1440"/>
            <w:shd w:fill="FAFAFA" w:val="clear"/>
          </w:tcPr>
          <w:p>
            <w:r>
              <w:rPr>
                <w:sz w:val="17"/>
              </w:rPr>
              <w:t>12,647</w:t>
            </w:r>
          </w:p>
        </w:tc>
        <w:tc>
          <w:tcPr>
            <w:tcW w:type="dxa" w:w="1440"/>
            <w:shd w:fill="FAFAFA" w:val="clear"/>
          </w:tcPr>
          <w:p>
            <w:r>
              <w:rPr>
                <w:b/>
                <w:color w:val="C00000"/>
                <w:sz w:val="17"/>
              </w:rPr>
              <w:t>-1.2%</w:t>
            </w:r>
          </w:p>
        </w:tc>
      </w:tr>
      <w:tr>
        <w:tc>
          <w:tcPr>
            <w:tcW w:type="dxa" w:w="1440"/>
            <w:shd w:fill="FFDCE0" w:val="clear"/>
          </w:tcPr>
          <w:p>
            <w:r>
              <w:rPr>
                <w:sz w:val="17"/>
              </w:rPr>
              <w:t>J+2  ⭐⭐⭐</w:t>
            </w:r>
          </w:p>
        </w:tc>
        <w:tc>
          <w:tcPr>
            <w:tcW w:type="dxa" w:w="1440"/>
            <w:shd w:fill="FFDCE0" w:val="clear"/>
          </w:tcPr>
          <w:p>
            <w:r>
              <w:rPr>
                <w:sz w:val="17"/>
              </w:rPr>
              <w:t>2026-09-15</w:t>
            </w:r>
          </w:p>
        </w:tc>
        <w:tc>
          <w:tcPr>
            <w:tcW w:type="dxa" w:w="1440"/>
            <w:shd w:fill="FFDCE0" w:val="clear"/>
          </w:tcPr>
          <w:p>
            <w:r>
              <w:rPr>
                <w:sz w:val="17"/>
              </w:rPr>
              <w:t>11,602</w:t>
            </w:r>
          </w:p>
        </w:tc>
        <w:tc>
          <w:tcPr>
            <w:tcW w:type="dxa" w:w="1440"/>
            <w:shd w:fill="FFDCE0" w:val="clear"/>
          </w:tcPr>
          <w:p>
            <w:r>
              <w:rPr>
                <w:b/>
                <w:sz w:val="17"/>
              </w:rPr>
              <w:t>12,151</w:t>
            </w:r>
          </w:p>
        </w:tc>
        <w:tc>
          <w:tcPr>
            <w:tcW w:type="dxa" w:w="1440"/>
            <w:shd w:fill="FFDCE0" w:val="clear"/>
          </w:tcPr>
          <w:p>
            <w:r>
              <w:rPr>
                <w:sz w:val="17"/>
              </w:rPr>
              <w:t>12,699</w:t>
            </w:r>
          </w:p>
        </w:tc>
        <w:tc>
          <w:tcPr>
            <w:tcW w:type="dxa" w:w="1440"/>
            <w:shd w:fill="FFDCE0" w:val="clear"/>
          </w:tcPr>
          <w:p>
            <w:r>
              <w:rPr>
                <w:b/>
                <w:color w:val="C00000"/>
                <w:sz w:val="17"/>
              </w:rPr>
              <w:t>-2.0%</w:t>
            </w:r>
          </w:p>
        </w:tc>
      </w:tr>
      <w:tr>
        <w:tc>
          <w:tcPr>
            <w:tcW w:type="dxa" w:w="1440"/>
            <w:shd w:fill="FFDCE0" w:val="clear"/>
          </w:tcPr>
          <w:p>
            <w:r>
              <w:rPr>
                <w:sz w:val="17"/>
              </w:rPr>
              <w:t>J+3  ⭐⭐⭐</w:t>
            </w:r>
          </w:p>
        </w:tc>
        <w:tc>
          <w:tcPr>
            <w:tcW w:type="dxa" w:w="1440"/>
            <w:shd w:fill="FFDCE0" w:val="clear"/>
          </w:tcPr>
          <w:p>
            <w:r>
              <w:rPr>
                <w:sz w:val="17"/>
              </w:rPr>
              <w:t>2026-09-16</w:t>
            </w:r>
          </w:p>
        </w:tc>
        <w:tc>
          <w:tcPr>
            <w:tcW w:type="dxa" w:w="1440"/>
            <w:shd w:fill="FFDCE0" w:val="clear"/>
          </w:tcPr>
          <w:p>
            <w:r>
              <w:rPr>
                <w:sz w:val="17"/>
              </w:rPr>
              <w:t>11,375</w:t>
            </w:r>
          </w:p>
        </w:tc>
        <w:tc>
          <w:tcPr>
            <w:tcW w:type="dxa" w:w="1440"/>
            <w:shd w:fill="FFDCE0" w:val="clear"/>
          </w:tcPr>
          <w:p>
            <w:r>
              <w:rPr>
                <w:b/>
                <w:sz w:val="17"/>
              </w:rPr>
              <w:t>12,041</w:t>
            </w:r>
          </w:p>
        </w:tc>
        <w:tc>
          <w:tcPr>
            <w:tcW w:type="dxa" w:w="1440"/>
            <w:shd w:fill="FFDCE0" w:val="clear"/>
          </w:tcPr>
          <w:p>
            <w:r>
              <w:rPr>
                <w:sz w:val="17"/>
              </w:rPr>
              <w:t>12,708</w:t>
            </w:r>
          </w:p>
        </w:tc>
        <w:tc>
          <w:tcPr>
            <w:tcW w:type="dxa" w:w="1440"/>
            <w:shd w:fill="FFDCE0" w:val="clear"/>
          </w:tcPr>
          <w:p>
            <w:r>
              <w:rPr>
                <w:b/>
                <w:color w:val="C00000"/>
                <w:sz w:val="17"/>
              </w:rPr>
              <w:t>-2.9%</w:t>
            </w:r>
          </w:p>
        </w:tc>
      </w:tr>
      <w:tr>
        <w:tc>
          <w:tcPr>
            <w:tcW w:type="dxa" w:w="1440"/>
            <w:shd w:fill="FFDCE0" w:val="clear"/>
          </w:tcPr>
          <w:p>
            <w:r>
              <w:rPr>
                <w:sz w:val="17"/>
              </w:rPr>
              <w:t>J+4  Moyenne</w:t>
            </w:r>
          </w:p>
        </w:tc>
        <w:tc>
          <w:tcPr>
            <w:tcW w:type="dxa" w:w="1440"/>
            <w:shd w:fill="FFDCE0" w:val="clear"/>
          </w:tcPr>
          <w:p>
            <w:r>
              <w:rPr>
                <w:sz w:val="17"/>
              </w:rPr>
              <w:t>2026-09-17</w:t>
            </w:r>
          </w:p>
        </w:tc>
        <w:tc>
          <w:tcPr>
            <w:tcW w:type="dxa" w:w="1440"/>
            <w:shd w:fill="FFDCE0" w:val="clear"/>
          </w:tcPr>
          <w:p>
            <w:r>
              <w:rPr>
                <w:sz w:val="17"/>
              </w:rPr>
              <w:t>11,176</w:t>
            </w:r>
          </w:p>
        </w:tc>
        <w:tc>
          <w:tcPr>
            <w:tcW w:type="dxa" w:w="1440"/>
            <w:shd w:fill="FFDCE0" w:val="clear"/>
          </w:tcPr>
          <w:p>
            <w:r>
              <w:rPr>
                <w:b/>
                <w:sz w:val="17"/>
              </w:rPr>
              <w:t>11,939</w:t>
            </w:r>
          </w:p>
        </w:tc>
        <w:tc>
          <w:tcPr>
            <w:tcW w:type="dxa" w:w="1440"/>
            <w:shd w:fill="FFDCE0" w:val="clear"/>
          </w:tcPr>
          <w:p>
            <w:r>
              <w:rPr>
                <w:sz w:val="17"/>
              </w:rPr>
              <w:t>12,701</w:t>
            </w:r>
          </w:p>
        </w:tc>
        <w:tc>
          <w:tcPr>
            <w:tcW w:type="dxa" w:w="1440"/>
            <w:shd w:fill="FFDCE0" w:val="clear"/>
          </w:tcPr>
          <w:p>
            <w:r>
              <w:rPr>
                <w:b/>
                <w:color w:val="C00000"/>
                <w:sz w:val="17"/>
              </w:rPr>
              <w:t>-3.7%</w:t>
            </w:r>
          </w:p>
        </w:tc>
      </w:tr>
      <w:tr>
        <w:tc>
          <w:tcPr>
            <w:tcW w:type="dxa" w:w="1440"/>
            <w:shd w:fill="FFDCE0" w:val="clear"/>
          </w:tcPr>
          <w:p>
            <w:r>
              <w:rPr>
                <w:sz w:val="17"/>
              </w:rPr>
              <w:t>J+5  Moyenne</w:t>
            </w:r>
          </w:p>
        </w:tc>
        <w:tc>
          <w:tcPr>
            <w:tcW w:type="dxa" w:w="1440"/>
            <w:shd w:fill="FFDCE0" w:val="clear"/>
          </w:tcPr>
          <w:p>
            <w:r>
              <w:rPr>
                <w:sz w:val="17"/>
              </w:rPr>
              <w:t>2026-09-18</w:t>
            </w:r>
          </w:p>
        </w:tc>
        <w:tc>
          <w:tcPr>
            <w:tcW w:type="dxa" w:w="1440"/>
            <w:shd w:fill="FFDCE0" w:val="clear"/>
          </w:tcPr>
          <w:p>
            <w:r>
              <w:rPr>
                <w:sz w:val="17"/>
              </w:rPr>
              <w:t>10,998</w:t>
            </w:r>
          </w:p>
        </w:tc>
        <w:tc>
          <w:tcPr>
            <w:tcW w:type="dxa" w:w="1440"/>
            <w:shd w:fill="FFDCE0" w:val="clear"/>
          </w:tcPr>
          <w:p>
            <w:r>
              <w:rPr>
                <w:b/>
                <w:sz w:val="17"/>
              </w:rPr>
              <w:t>11,843</w:t>
            </w:r>
          </w:p>
        </w:tc>
        <w:tc>
          <w:tcPr>
            <w:tcW w:type="dxa" w:w="1440"/>
            <w:shd w:fill="FFDCE0" w:val="clear"/>
          </w:tcPr>
          <w:p>
            <w:r>
              <w:rPr>
                <w:sz w:val="17"/>
              </w:rPr>
              <w:t>12,689</w:t>
            </w:r>
          </w:p>
        </w:tc>
        <w:tc>
          <w:tcPr>
            <w:tcW w:type="dxa" w:w="1440"/>
            <w:shd w:fill="FFDCE0" w:val="clear"/>
          </w:tcPr>
          <w:p>
            <w:r>
              <w:rPr>
                <w:b/>
                <w:color w:val="C00000"/>
                <w:sz w:val="17"/>
              </w:rPr>
              <w:t>-4.5%</w:t>
            </w:r>
          </w:p>
        </w:tc>
      </w:tr>
      <w:tr>
        <w:tc>
          <w:tcPr>
            <w:tcW w:type="dxa" w:w="1440"/>
            <w:shd w:fill="FFDCE0" w:val="clear"/>
          </w:tcPr>
          <w:p>
            <w:r>
              <w:rPr>
                <w:sz w:val="17"/>
              </w:rPr>
              <w:t>J+6  Moyenne</w:t>
            </w:r>
          </w:p>
        </w:tc>
        <w:tc>
          <w:tcPr>
            <w:tcW w:type="dxa" w:w="1440"/>
            <w:shd w:fill="FFDCE0" w:val="clear"/>
          </w:tcPr>
          <w:p>
            <w:r>
              <w:rPr>
                <w:sz w:val="17"/>
              </w:rPr>
              <w:t>2026-09-21</w:t>
            </w:r>
          </w:p>
        </w:tc>
        <w:tc>
          <w:tcPr>
            <w:tcW w:type="dxa" w:w="1440"/>
            <w:shd w:fill="FFDCE0" w:val="clear"/>
          </w:tcPr>
          <w:p>
            <w:r>
              <w:rPr>
                <w:sz w:val="17"/>
              </w:rPr>
              <w:t>10,835</w:t>
            </w:r>
          </w:p>
        </w:tc>
        <w:tc>
          <w:tcPr>
            <w:tcW w:type="dxa" w:w="1440"/>
            <w:shd w:fill="FFDCE0" w:val="clear"/>
          </w:tcPr>
          <w:p>
            <w:r>
              <w:rPr>
                <w:b/>
                <w:sz w:val="17"/>
              </w:rPr>
              <w:t>11,755</w:t>
            </w:r>
          </w:p>
        </w:tc>
        <w:tc>
          <w:tcPr>
            <w:tcW w:type="dxa" w:w="1440"/>
            <w:shd w:fill="FFDCE0" w:val="clear"/>
          </w:tcPr>
          <w:p>
            <w:r>
              <w:rPr>
                <w:sz w:val="17"/>
              </w:rPr>
              <w:t>12,675</w:t>
            </w:r>
          </w:p>
        </w:tc>
        <w:tc>
          <w:tcPr>
            <w:tcW w:type="dxa" w:w="1440"/>
            <w:shd w:fill="FFDCE0" w:val="clear"/>
          </w:tcPr>
          <w:p>
            <w:r>
              <w:rPr>
                <w:b/>
                <w:color w:val="C00000"/>
                <w:sz w:val="17"/>
              </w:rPr>
              <w:t>-5.2%</w:t>
            </w:r>
          </w:p>
        </w:tc>
      </w:tr>
      <w:tr>
        <w:tc>
          <w:tcPr>
            <w:tcW w:type="dxa" w:w="1440"/>
            <w:shd w:fill="FFDCE0" w:val="clear"/>
          </w:tcPr>
          <w:p>
            <w:r>
              <w:rPr>
                <w:sz w:val="17"/>
              </w:rPr>
              <w:t>J+7  Moyenne</w:t>
            </w:r>
          </w:p>
        </w:tc>
        <w:tc>
          <w:tcPr>
            <w:tcW w:type="dxa" w:w="1440"/>
            <w:shd w:fill="FFDCE0" w:val="clear"/>
          </w:tcPr>
          <w:p>
            <w:r>
              <w:rPr>
                <w:sz w:val="17"/>
              </w:rPr>
              <w:t>2026-09-22</w:t>
            </w:r>
          </w:p>
        </w:tc>
        <w:tc>
          <w:tcPr>
            <w:tcW w:type="dxa" w:w="1440"/>
            <w:shd w:fill="FFDCE0" w:val="clear"/>
          </w:tcPr>
          <w:p>
            <w:r>
              <w:rPr>
                <w:sz w:val="17"/>
              </w:rPr>
              <w:t>10,687</w:t>
            </w:r>
          </w:p>
        </w:tc>
        <w:tc>
          <w:tcPr>
            <w:tcW w:type="dxa" w:w="1440"/>
            <w:shd w:fill="FFDCE0" w:val="clear"/>
          </w:tcPr>
          <w:p>
            <w:r>
              <w:rPr>
                <w:b/>
                <w:sz w:val="17"/>
              </w:rPr>
              <w:t>11,673</w:t>
            </w:r>
          </w:p>
        </w:tc>
        <w:tc>
          <w:tcPr>
            <w:tcW w:type="dxa" w:w="1440"/>
            <w:shd w:fill="FFDCE0" w:val="clear"/>
          </w:tcPr>
          <w:p>
            <w:r>
              <w:rPr>
                <w:sz w:val="17"/>
              </w:rPr>
              <w:t>12,660</w:t>
            </w:r>
          </w:p>
        </w:tc>
        <w:tc>
          <w:tcPr>
            <w:tcW w:type="dxa" w:w="1440"/>
            <w:shd w:fill="FFDCE0" w:val="clear"/>
          </w:tcPr>
          <w:p>
            <w:r>
              <w:rPr>
                <w:b/>
                <w:color w:val="C00000"/>
                <w:sz w:val="17"/>
              </w:rPr>
              <w:t>-5.9%</w:t>
            </w:r>
          </w:p>
        </w:tc>
      </w:tr>
      <w:tr>
        <w:tc>
          <w:tcPr>
            <w:tcW w:type="dxa" w:w="1440"/>
            <w:shd w:fill="FFDCE0" w:val="clear"/>
          </w:tcPr>
          <w:p>
            <w:r>
              <w:rPr>
                <w:sz w:val="17"/>
              </w:rPr>
              <w:t>J+8  Moyenne</w:t>
            </w:r>
          </w:p>
        </w:tc>
        <w:tc>
          <w:tcPr>
            <w:tcW w:type="dxa" w:w="1440"/>
            <w:shd w:fill="FFDCE0" w:val="clear"/>
          </w:tcPr>
          <w:p>
            <w:r>
              <w:rPr>
                <w:sz w:val="17"/>
              </w:rPr>
              <w:t>2026-09-23</w:t>
            </w:r>
          </w:p>
        </w:tc>
        <w:tc>
          <w:tcPr>
            <w:tcW w:type="dxa" w:w="1440"/>
            <w:shd w:fill="FFDCE0" w:val="clear"/>
          </w:tcPr>
          <w:p>
            <w:r>
              <w:rPr>
                <w:sz w:val="17"/>
              </w:rPr>
              <w:t>10,549</w:t>
            </w:r>
          </w:p>
        </w:tc>
        <w:tc>
          <w:tcPr>
            <w:tcW w:type="dxa" w:w="1440"/>
            <w:shd w:fill="FFDCE0" w:val="clear"/>
          </w:tcPr>
          <w:p>
            <w:r>
              <w:rPr>
                <w:b/>
                <w:sz w:val="17"/>
              </w:rPr>
              <w:t>11,597</w:t>
            </w:r>
          </w:p>
        </w:tc>
        <w:tc>
          <w:tcPr>
            <w:tcW w:type="dxa" w:w="1440"/>
            <w:shd w:fill="FFDCE0" w:val="clear"/>
          </w:tcPr>
          <w:p>
            <w:r>
              <w:rPr>
                <w:sz w:val="17"/>
              </w:rPr>
              <w:t>12,645</w:t>
            </w:r>
          </w:p>
        </w:tc>
        <w:tc>
          <w:tcPr>
            <w:tcW w:type="dxa" w:w="1440"/>
            <w:shd w:fill="FFDCE0" w:val="clear"/>
          </w:tcPr>
          <w:p>
            <w:r>
              <w:rPr>
                <w:b/>
                <w:color w:val="C00000"/>
                <w:sz w:val="17"/>
              </w:rPr>
              <w:t>-6.5%</w:t>
            </w:r>
          </w:p>
        </w:tc>
      </w:tr>
      <w:tr>
        <w:tc>
          <w:tcPr>
            <w:tcW w:type="dxa" w:w="1440"/>
            <w:shd w:fill="FFDCE0" w:val="clear"/>
          </w:tcPr>
          <w:p>
            <w:r>
              <w:rPr>
                <w:sz w:val="17"/>
              </w:rPr>
              <w:t>J+9  Moyenne</w:t>
            </w:r>
          </w:p>
        </w:tc>
        <w:tc>
          <w:tcPr>
            <w:tcW w:type="dxa" w:w="1440"/>
            <w:shd w:fill="FFDCE0" w:val="clear"/>
          </w:tcPr>
          <w:p>
            <w:r>
              <w:rPr>
                <w:sz w:val="17"/>
              </w:rPr>
              <w:t>2026-09-24</w:t>
            </w:r>
          </w:p>
        </w:tc>
        <w:tc>
          <w:tcPr>
            <w:tcW w:type="dxa" w:w="1440"/>
            <w:shd w:fill="FFDCE0" w:val="clear"/>
          </w:tcPr>
          <w:p>
            <w:r>
              <w:rPr>
                <w:sz w:val="17"/>
              </w:rPr>
              <w:t>10,422</w:t>
            </w:r>
          </w:p>
        </w:tc>
        <w:tc>
          <w:tcPr>
            <w:tcW w:type="dxa" w:w="1440"/>
            <w:shd w:fill="FFDCE0" w:val="clear"/>
          </w:tcPr>
          <w:p>
            <w:r>
              <w:rPr>
                <w:b/>
                <w:sz w:val="17"/>
              </w:rPr>
              <w:t>11,527</w:t>
            </w:r>
          </w:p>
        </w:tc>
        <w:tc>
          <w:tcPr>
            <w:tcW w:type="dxa" w:w="1440"/>
            <w:shd w:fill="FFDCE0" w:val="clear"/>
          </w:tcPr>
          <w:p>
            <w:r>
              <w:rPr>
                <w:sz w:val="17"/>
              </w:rPr>
              <w:t>12,631</w:t>
            </w:r>
          </w:p>
        </w:tc>
        <w:tc>
          <w:tcPr>
            <w:tcW w:type="dxa" w:w="1440"/>
            <w:shd w:fill="FFDCE0" w:val="clear"/>
          </w:tcPr>
          <w:p>
            <w:r>
              <w:rPr>
                <w:b/>
                <w:color w:val="C00000"/>
                <w:sz w:val="17"/>
              </w:rPr>
              <w:t>-7.0%</w:t>
            </w:r>
          </w:p>
        </w:tc>
      </w:tr>
      <w:tr>
        <w:tc>
          <w:tcPr>
            <w:tcW w:type="dxa" w:w="1440"/>
            <w:shd w:fill="FFDCE0" w:val="clear"/>
          </w:tcPr>
          <w:p>
            <w:r>
              <w:rPr>
                <w:sz w:val="17"/>
              </w:rPr>
              <w:t>J+10  Moyenne</w:t>
            </w:r>
          </w:p>
        </w:tc>
        <w:tc>
          <w:tcPr>
            <w:tcW w:type="dxa" w:w="1440"/>
            <w:shd w:fill="FFDCE0" w:val="clear"/>
          </w:tcPr>
          <w:p>
            <w:r>
              <w:rPr>
                <w:sz w:val="17"/>
              </w:rPr>
              <w:t>2026-09-25</w:t>
            </w:r>
          </w:p>
        </w:tc>
        <w:tc>
          <w:tcPr>
            <w:tcW w:type="dxa" w:w="1440"/>
            <w:shd w:fill="FFDCE0" w:val="clear"/>
          </w:tcPr>
          <w:p>
            <w:r>
              <w:rPr>
                <w:sz w:val="17"/>
              </w:rPr>
              <w:t>10,303</w:t>
            </w:r>
          </w:p>
        </w:tc>
        <w:tc>
          <w:tcPr>
            <w:tcW w:type="dxa" w:w="1440"/>
            <w:shd w:fill="FFDCE0" w:val="clear"/>
          </w:tcPr>
          <w:p>
            <w:r>
              <w:rPr>
                <w:b/>
                <w:sz w:val="17"/>
              </w:rPr>
              <w:t>11,461</w:t>
            </w:r>
          </w:p>
        </w:tc>
        <w:tc>
          <w:tcPr>
            <w:tcW w:type="dxa" w:w="1440"/>
            <w:shd w:fill="FFDCE0" w:val="clear"/>
          </w:tcPr>
          <w:p>
            <w:r>
              <w:rPr>
                <w:sz w:val="17"/>
              </w:rPr>
              <w:t>12,619</w:t>
            </w:r>
          </w:p>
        </w:tc>
        <w:tc>
          <w:tcPr>
            <w:tcW w:type="dxa" w:w="1440"/>
            <w:shd w:fill="FFDCE0" w:val="clear"/>
          </w:tcPr>
          <w:p>
            <w:r>
              <w:rPr>
                <w:b/>
                <w:color w:val="C00000"/>
                <w:sz w:val="17"/>
              </w:rPr>
              <w:t>-7.6%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 RAPPORT D'ANALYSE FINANCIÈRE — BOAC (Bank of Africa Côte d'Ivoire)</w:t>
        <w:br/>
        <w:t>**Bourse Régionale des Valeurs Mobilières (BRVM) — Secteur : Banque**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496,00 Mds FCFA, BOAC figure parmi les valeurs bancaires de premier plan de la cote BRVM, ce qui lui confère une liquidité relative et une visibilité institutionnelle appréciables. Le BPA de 888 FCFA/action signifie que chaque titre génère près de neuf cents francs de bénéfice net, un niveau de rentabilité unitaire élevé. Le PER de 14,0x traduit une valorisation modérée mais légèrement supérieure à la moyenne du marché BRVM (8-12x), ce qui suggère que les investisseurs intègrent déjà une partie de la qualité bénéficiaire de la banque dans le prix. Le P/B de 3,90x indique que le marché valorise le titre à près de quatre fois sa valeur comptable, soit une prime de croissance significative qui se justifie par un ROE exceptionnel de 27,9%. En revanche, l'EV/EBITDA de 27,3x apparaît très exigeant (&gt;15x), signalant que la valeur d'entreprise intègre des anticipations de croissance opérationnelle fortes ; cet indicateur, moins pertinent pour une banque que le PER ou le P/B, invite néanmoins à la prudence sur le niveau d'entrée.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BOAC affiche une performance remarquable de +44,19%, avec un cours actuel de 12 400 FCFA et une variation J-1 nulle (+0,00%), signe d'une séance de consolidation après le rallye. Le range de trading s'établit entre un plus bas de 8 495 FCFA et un plus haut de 13 450 FCFA, soit une amplitude de près de 58%, illustrant une dynamique nettement haussière portée par un contexte sectoriel favorable. La moyenne (10 121 FCFA) se situe au-dessus de la médiane (9 325 FCFA), confirmant une asymétrie positive de la distribution : les cours ont passé davantage de temps dans la partie basse de la fourchette avant de s'envoler en fin de période. L'écart-type de 1 596 FCFA (CV = 15,8%) traduit une dispersion modérée du cours autour de sa moyenne, tandis que le kurtosis de -0,950 (mésokurtique) indique une distribution proche de la normale, sans risque majeur de pics extrêmes. Le skewness de +0,810 confirme cette asymétrie positive, avec davantage de journées sous la moyenne que de journées exceptionnellement hautes. Enfin, la volatilité annualisée de 25,6% positionne le titre dans la catégorie des valeurs à volatilité modérée (15-30%), ce qui reste acceptable pour un investisseur recherchant un équilibre entre rendement et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(12 742,75 FCFA) et la MM50 (11 351,80 FCFA) se situent toutes deux au-dessus du cours actuel (12 400 FCFA) pour la MM20, mais en dessous pour la MM50, ce qui traduit une configuration haussière de fond (MM50 &lt; cours &lt; MM20). Le croisement des moyennes mobiles reste favorable à un achat, la MM20 surclassant la MM50, bien que le cours évolue légèrement sous sa moyenne court terme, signalant une respiration technique après le rallye.</w:t>
      </w:r>
    </w:p>
    <w:p>
      <w:pPr>
        <w:spacing w:after="120" w:line="276" w:lineRule="auto"/>
      </w:pPr>
      <w:r>
        <w:t>**Bandes de Bollinger** : Le cours (12 400 FCFA) évolue à l'intérieur des bandes, entre la borne inférieure (11 990,75 FCFA) et la borne supérieure (13 494,75 FCFA), ce qui justifie une décision neutre. Cette position médiane indique une absence de signal de surachat ou de survente immédiat, avec une volatilité contenue dans les bornes, suggérant une phase de consolidation avant une nouvelle impulsion directionnelle.</w:t>
      </w:r>
    </w:p>
    <w:p>
      <w:pPr>
        <w:spacing w:after="120" w:line="276" w:lineRule="auto"/>
      </w:pPr>
      <w:r>
        <w:t>**MACD** : La valeur du MACD (248,462) est inférieure à son signal (383,779), générant une décision de vente. Cette divergence baissière indique un essoufflement du momentum haussier à court terme, bien que le MACD reste en territoire positif, ce qui n'invalide pas la tendance de fond mais invite à la prudence sur les points d'entrée.</w:t>
      </w:r>
    </w:p>
    <w:p>
      <w:pPr>
        <w:spacing w:after="120" w:line="276" w:lineRule="auto"/>
      </w:pPr>
      <w:r>
        <w:t>**RSI** : Avec une valeur de 20,896, le RSI se situe largement en zone de survente (&lt;30), déclenchant une décision d'achat. Ce niveau extrême suggère que le titre a été excessivement vendu à court terme et qu'un rebond technique est probable, offrant potentiellement une opportunité d'entrée pour les investisseurs contrariants.</w:t>
      </w:r>
    </w:p>
    <w:p>
      <w:pPr>
        <w:spacing w:after="120" w:line="276" w:lineRule="auto"/>
      </w:pPr>
      <w:r>
        <w:t>**Stochastique** : Le %K (15,217) et le %D (16,778) évoluent tous deux en zone de survente, avec un %K légèrement inférieur au %D, ce qui génère une décision d'achat. L'absence de croisement haussier confirmé invite toutefois à attendre une confirmation avant d'agir, mais la configuration globale plaide pour un rebond imminent.</w:t>
      </w:r>
    </w:p>
    <w:p>
      <w:pPr>
        <w:spacing w:after="120" w:line="276" w:lineRule="auto"/>
      </w:pPr>
      <w:r>
        <w:t>**Conclusion technique** : Les indicateurs techniques présentent une divergence notable : les moyennes mobiles et le stochastique plaident pour un achat, le RSI en survente renforce ce signal, tandis que le MACD et les bandes de Bollinger incitent à la neutralité. Cette configuration suggère que le titre, après une correction technique, se trouve à un point d'inflexion potentiel où les acheteurs pourraient reprendre la main, mais la prudence reste de mise tant que le MACD n'aura pas confirmé un retournement.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BOAC affiche un Produit Net Bancaire (PNB) de 73 545 Mds FCFA, en légère hausse de +1,1% par rapport à 2024 (72 724 Mds FCFA), selon le rapport des commissaires aux comptes du 31 décembre 2025. Le résultat net s'établit à 35 540 Mds FCFA, en progression de +10,9% sur un an, porté par une amélioration du coût du risque (-27,8%, à -4 902 Mds FCFA). La rentabilité des fonds propres (ROE) atteint 27,91%, un niveau exceptionnel (&gt;15%), tandis que le ROA ressort à 3,22%, confirmant l'efficacité de l'utilisation des actifs. Le coefficient d'exploitation de 36,70% témoigne d'une excellente maîtrise des charges (&lt;60%), et le ratio dépôts/crédits (850 548 Mds FCFA de dépôts contre 430 433 Mds FCFA de créances) illustre une surliquidité confortable, bien que la transformation crédit reste prudente. Le coût du risque rapporté aux charges financières (6,67%) demeure un point de vigilance, tout comme la hausse de +52,1% des créances en souffrance sur l'année, avec un taux de sinistralité de 8,59% et un taux de provisionnement de 65,76%.</w:t>
      </w:r>
    </w:p>
    <w:p>
      <w:pPr>
        <w:spacing w:after="120" w:line="276" w:lineRule="auto"/>
      </w:pPr>
      <w:r>
        <w:t>**Estimations basées sur les rapports trimestriels** : Le rapport du T1 2026 (publié le 31 mars 2026) indique un PNB de 18 960 Mds FCFA, en hausse de +3,09% sur un an, et un résultat net de 10 801 Mds FCFA (+0,91%), malgré un bond du coût net du risque (+314,75%, à -652 Mds FCFA). Sur cette base, on estime que l'exercice 2026 devrait enregistrer une croissance modérée du PNB (autour de +3%), avec un résultat net stable si la dégradation du coût du risque se confirme. Le rapport du T3 2025 (30 septembre 2025) faisait déjà état d'une progression de +1,29% du résultat net à 26 632 Mds FCFA, avec des dépôts en hausse de +10,28% et des crédits en recul de -11,97%, confirmant une stratégie de prudence sur le crédit au profit de la collecte.</w:t>
      </w:r>
    </w:p>
    <w:p>
      <w:pPr>
        <w:spacing w:after="120" w:line="276" w:lineRule="auto"/>
      </w:pPr>
      <w:r>
        <w:t>**Évolution pluriannuelle** : Entre 2024 et 2025, le PNB a progressé de +1,1% (après +19,6% en 2024), marquant un ralentissement de la dynamique commerciale, tandis que le résultat net a accéléré (+10,9% contre +22,9% en 2024). Les capitaux propres sont passés de 112 645 à 127 340 Mds FCFA, renforçant la solidité financière. La politique de dividende, avec 684 FCFA/action distribués au titre de 2024 (taux de distribution de 65%), offre un rendement attractif au cours actuel de 12 400 FCFA (environ 5,5%).</w:t>
      </w:r>
    </w:p>
    <w:p>
      <w:pPr>
        <w:spacing w:after="120" w:line="276" w:lineRule="auto"/>
      </w:pPr>
      <w:r>
        <w:t>**Recommandation fondamentale** : BOAC présente des fondamentaux solides, portés par une rentabilité exceptionnelle (ROE &gt;27%), une structure financière saine (autonomie financière de 11,54%, à surveiller mais compensée par la qualité des actifs) et une politique de dividende généreuse. Les risques identifiés — hausse des créances en souffrance, coût du risque volatil, ralentissement de la croissance du PNB — sont à surveiller, mais n'invalident pas la qualité globale du dossier. La recommandation fondamentale est donc **ACHAT**, avec un biais positif à moyen terme.</w:t>
      </w:r>
    </w:p>
    <w:p>
      <w:pPr>
        <w:spacing w:after="120" w:line="276" w:lineRule="auto"/>
      </w:pPr>
      <w:r>
        <w:t>---</w:t>
      </w:r>
    </w:p>
    <w:p>
      <w:pPr>
        <w:spacing w:after="120" w:line="276" w:lineRule="auto"/>
      </w:pPr>
      <w:r>
        <w:t>## PARTIE 4 : CONCLUSION D'INVESTISSEMENT</w:t>
      </w:r>
    </w:p>
    <w:p>
      <w:pPr>
        <w:spacing w:after="120" w:line="276" w:lineRule="auto"/>
      </w:pPr>
      <w:r>
        <w:t>La valorisation de BOAC (PER de 14,0x, P/B de 3,90x, EV/EBITDA de 27,3x) indique une prime de croissance justifiée par un ROE exceptionnel de 27,9%, mais qui laisse peu de marge d'erreur en cas de déception sur les résultats. Le comportement du cours sur 100 jours (+44,19%) est nettement haussier, avec une volatilité modérée (25,6%) et une distribution asymétrique positive (skewness de +0,810), bien que le kurtosis mésokurtique (-0,950) écarte le risque de pics extrêmes. Les signaux techniques sont divergents : le RSI en survente (20,9) et le stochastique (15,2) plaident pour un rebond, tandis que le MACD baissier et les bandes de Bollinger neutres incitent à la prudence à court terme. Les fondamentaux restent solides (PNB de 73 545 Mds FCFA en 2025, résultat net de 35 540 Mds FCFA, ROE de 27,9%), mais le ralentissement de la croissance du PNB (+1,1% en 2025) et la dégradation du coût du risque au T1 2026 (+314,75%) constituent des points de vigilance. Les prédictions IA anticipent une légère correction à court terme (12 256 FCFA à J+1, 11 843 FCFA à J+5), ce qui contredit les signaux d'achat techniques à court terme mais pourrait offrir un point d'entrée attractif. **Recommandation finale : CONSERVER**, avec un niveau de confiance **Moyen** et un risque global **Moyen**. La convergence entre valorisation exigeante, technique mitigée et fondamentaux solides mais en ralentissement justifie une position d'attente, avec un horizon d'investissement **moyen terme (3-12 mois)** pour profiter d'un éventuel rebond technique et de la solidité des fondamentaux.</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196.27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6,312 titres</w:t>
            </w:r>
          </w:p>
        </w:tc>
        <w:tc>
          <w:tcPr>
            <w:tcW w:type="dxa" w:w="2268"/>
            <w:shd w:fill="FFF2CC" w:val="clear"/>
          </w:tcPr>
          <w:p>
            <w:r>
              <w:rPr>
                <w:b/>
                <w:color w:val="503200"/>
                <w:sz w:val="16"/>
              </w:rPr>
              <w:t xml:space="preserve">Cours actuel : </w:t>
            </w:r>
            <w:r>
              <w:rPr>
                <w:color w:val="000000"/>
                <w:sz w:val="17"/>
              </w:rPr>
              <w:t>7,150 FCFA</w:t>
            </w:r>
          </w:p>
          <w:p>
            <w:r>
              <w:rPr>
                <w:b/>
                <w:color w:val="503200"/>
                <w:sz w:val="16"/>
              </w:rPr>
              <w:t xml:space="preserve">Var. 100 jours : </w:t>
            </w:r>
            <w:r>
              <w:rPr>
                <w:b/>
                <w:color w:val="007800"/>
                <w:sz w:val="17"/>
              </w:rPr>
              <w:t>+52.13%</w:t>
            </w:r>
          </w:p>
          <w:p>
            <w:r>
              <w:rPr>
                <w:b/>
                <w:color w:val="503200"/>
                <w:sz w:val="16"/>
              </w:rPr>
              <w:t xml:space="preserve">Plus haut 100j : </w:t>
            </w:r>
            <w:r>
              <w:rPr>
                <w:color w:val="000000"/>
                <w:sz w:val="17"/>
              </w:rPr>
              <w:t>7,195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34.2%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13.90% (Moyenne) — μ=5,355 FCFA, σ=744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β=0.3816 (Défensif) — Cov=0.000013, Var(idx)=0.000035, ρ=0.104,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6,312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σ_j=2.15%/j (Stable) — Vol. annualisée≈34.2%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6,887</w:t>
            </w:r>
          </w:p>
        </w:tc>
        <w:tc>
          <w:tcPr>
            <w:tcW w:type="dxa" w:w="1440"/>
            <w:shd w:fill="FAFAFA" w:val="clear"/>
          </w:tcPr>
          <w:p>
            <w:r>
              <w:rPr>
                <w:b/>
                <w:sz w:val="17"/>
              </w:rPr>
              <w:t>7,107</w:t>
            </w:r>
          </w:p>
        </w:tc>
        <w:tc>
          <w:tcPr>
            <w:tcW w:type="dxa" w:w="1440"/>
            <w:shd w:fill="FAFAFA" w:val="clear"/>
          </w:tcPr>
          <w:p>
            <w:r>
              <w:rPr>
                <w:sz w:val="17"/>
              </w:rPr>
              <w:t>7,327</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6,793</w:t>
            </w:r>
          </w:p>
        </w:tc>
        <w:tc>
          <w:tcPr>
            <w:tcW w:type="dxa" w:w="1440"/>
            <w:shd w:fill="FAFAFA" w:val="clear"/>
          </w:tcPr>
          <w:p>
            <w:r>
              <w:rPr>
                <w:b/>
                <w:sz w:val="17"/>
              </w:rPr>
              <w:t>7,104</w:t>
            </w:r>
          </w:p>
        </w:tc>
        <w:tc>
          <w:tcPr>
            <w:tcW w:type="dxa" w:w="1440"/>
            <w:shd w:fill="FAFAFA" w:val="clear"/>
          </w:tcPr>
          <w:p>
            <w:r>
              <w:rPr>
                <w:sz w:val="17"/>
              </w:rPr>
              <w:t>7,415</w:t>
            </w:r>
          </w:p>
        </w:tc>
        <w:tc>
          <w:tcPr>
            <w:tcW w:type="dxa" w:w="1440"/>
            <w:shd w:fill="FAFAFA" w:val="clear"/>
          </w:tcPr>
          <w:p>
            <w:r>
              <w:rPr>
                <w:b/>
                <w:color w:val="C00000"/>
                <w:sz w:val="17"/>
              </w:rPr>
              <w:t>-0.6%</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6,741</w:t>
            </w:r>
          </w:p>
        </w:tc>
        <w:tc>
          <w:tcPr>
            <w:tcW w:type="dxa" w:w="1440"/>
            <w:shd w:fill="FAFAFA" w:val="clear"/>
          </w:tcPr>
          <w:p>
            <w:r>
              <w:rPr>
                <w:b/>
                <w:sz w:val="17"/>
              </w:rPr>
              <w:t>7,123</w:t>
            </w:r>
          </w:p>
        </w:tc>
        <w:tc>
          <w:tcPr>
            <w:tcW w:type="dxa" w:w="1440"/>
            <w:shd w:fill="FAFAFA" w:val="clear"/>
          </w:tcPr>
          <w:p>
            <w:r>
              <w:rPr>
                <w:sz w:val="17"/>
              </w:rPr>
              <w:t>7,504</w:t>
            </w:r>
          </w:p>
        </w:tc>
        <w:tc>
          <w:tcPr>
            <w:tcW w:type="dxa" w:w="1440"/>
            <w:shd w:fill="FAFAFA" w:val="clear"/>
          </w:tcPr>
          <w:p>
            <w:r>
              <w:rPr>
                <w:b/>
                <w:color w:val="C00000"/>
                <w:sz w:val="17"/>
              </w:rPr>
              <w:t>-0.4%</w:t>
            </w:r>
          </w:p>
        </w:tc>
      </w:tr>
      <w:tr>
        <w:tc>
          <w:tcPr>
            <w:tcW w:type="dxa" w:w="1440"/>
            <w:shd w:fill="FAFAFA" w:val="clear"/>
          </w:tcPr>
          <w:p>
            <w:r>
              <w:rPr>
                <w:sz w:val="17"/>
              </w:rPr>
              <w:t>J+4  Moyenne</w:t>
            </w:r>
          </w:p>
        </w:tc>
        <w:tc>
          <w:tcPr>
            <w:tcW w:type="dxa" w:w="1440"/>
            <w:shd w:fill="FAFAFA" w:val="clear"/>
          </w:tcPr>
          <w:p>
            <w:r>
              <w:rPr>
                <w:sz w:val="17"/>
              </w:rPr>
              <w:t>2026-09-17</w:t>
            </w:r>
          </w:p>
        </w:tc>
        <w:tc>
          <w:tcPr>
            <w:tcW w:type="dxa" w:w="1440"/>
            <w:shd w:fill="FAFAFA" w:val="clear"/>
          </w:tcPr>
          <w:p>
            <w:r>
              <w:rPr>
                <w:sz w:val="17"/>
              </w:rPr>
              <w:t>6,703</w:t>
            </w:r>
          </w:p>
        </w:tc>
        <w:tc>
          <w:tcPr>
            <w:tcW w:type="dxa" w:w="1440"/>
            <w:shd w:fill="FAFAFA" w:val="clear"/>
          </w:tcPr>
          <w:p>
            <w:r>
              <w:rPr>
                <w:b/>
                <w:sz w:val="17"/>
              </w:rPr>
              <w:t>7,145</w:t>
            </w:r>
          </w:p>
        </w:tc>
        <w:tc>
          <w:tcPr>
            <w:tcW w:type="dxa" w:w="1440"/>
            <w:shd w:fill="FAFAFA" w:val="clear"/>
          </w:tcPr>
          <w:p>
            <w:r>
              <w:rPr>
                <w:sz w:val="17"/>
              </w:rPr>
              <w:t>7,588</w:t>
            </w:r>
          </w:p>
        </w:tc>
        <w:tc>
          <w:tcPr>
            <w:tcW w:type="dxa" w:w="1440"/>
            <w:shd w:fill="FAFAFA" w:val="clear"/>
          </w:tcPr>
          <w:p>
            <w:r>
              <w:rPr>
                <w:b/>
                <w:color w:val="C00000"/>
                <w:sz w:val="17"/>
              </w:rPr>
              <w:t>-0.1%</w:t>
            </w:r>
          </w:p>
        </w:tc>
      </w:tr>
      <w:tr>
        <w:tc>
          <w:tcPr>
            <w:tcW w:type="dxa" w:w="1440"/>
            <w:shd w:fill="FAFAFA" w:val="clear"/>
          </w:tcPr>
          <w:p>
            <w:r>
              <w:rPr>
                <w:sz w:val="17"/>
              </w:rPr>
              <w:t>J+5  Moyenne</w:t>
            </w:r>
          </w:p>
        </w:tc>
        <w:tc>
          <w:tcPr>
            <w:tcW w:type="dxa" w:w="1440"/>
            <w:shd w:fill="FAFAFA" w:val="clear"/>
          </w:tcPr>
          <w:p>
            <w:r>
              <w:rPr>
                <w:sz w:val="17"/>
              </w:rPr>
              <w:t>2026-09-18</w:t>
            </w:r>
          </w:p>
        </w:tc>
        <w:tc>
          <w:tcPr>
            <w:tcW w:type="dxa" w:w="1440"/>
            <w:shd w:fill="FAFAFA" w:val="clear"/>
          </w:tcPr>
          <w:p>
            <w:r>
              <w:rPr>
                <w:sz w:val="17"/>
              </w:rPr>
              <w:t>6,670</w:t>
            </w:r>
          </w:p>
        </w:tc>
        <w:tc>
          <w:tcPr>
            <w:tcW w:type="dxa" w:w="1440"/>
            <w:shd w:fill="FAFAFA" w:val="clear"/>
          </w:tcPr>
          <w:p>
            <w:r>
              <w:rPr>
                <w:b/>
                <w:sz w:val="17"/>
              </w:rPr>
              <w:t>7,166</w:t>
            </w:r>
          </w:p>
        </w:tc>
        <w:tc>
          <w:tcPr>
            <w:tcW w:type="dxa" w:w="1440"/>
            <w:shd w:fill="FAFAFA" w:val="clear"/>
          </w:tcPr>
          <w:p>
            <w:r>
              <w:rPr>
                <w:sz w:val="17"/>
              </w:rPr>
              <w:t>7,662</w:t>
            </w:r>
          </w:p>
        </w:tc>
        <w:tc>
          <w:tcPr>
            <w:tcW w:type="dxa" w:w="1440"/>
            <w:shd w:fill="FAFAFA" w:val="clear"/>
          </w:tcPr>
          <w:p>
            <w:r>
              <w:rPr>
                <w:b/>
                <w:color w:val="008000"/>
                <w:sz w:val="17"/>
              </w:rPr>
              <w:t>+0.2%</w:t>
            </w:r>
          </w:p>
        </w:tc>
      </w:tr>
      <w:tr>
        <w:tc>
          <w:tcPr>
            <w:tcW w:type="dxa" w:w="1440"/>
            <w:shd w:fill="FAFAFA" w:val="clear"/>
          </w:tcPr>
          <w:p>
            <w:r>
              <w:rPr>
                <w:sz w:val="17"/>
              </w:rPr>
              <w:t>J+6  Moyenne</w:t>
            </w:r>
          </w:p>
        </w:tc>
        <w:tc>
          <w:tcPr>
            <w:tcW w:type="dxa" w:w="1440"/>
            <w:shd w:fill="FAFAFA" w:val="clear"/>
          </w:tcPr>
          <w:p>
            <w:r>
              <w:rPr>
                <w:sz w:val="17"/>
              </w:rPr>
              <w:t>2026-09-21</w:t>
            </w:r>
          </w:p>
        </w:tc>
        <w:tc>
          <w:tcPr>
            <w:tcW w:type="dxa" w:w="1440"/>
            <w:shd w:fill="FAFAFA" w:val="clear"/>
          </w:tcPr>
          <w:p>
            <w:r>
              <w:rPr>
                <w:sz w:val="17"/>
              </w:rPr>
              <w:t>6,639</w:t>
            </w:r>
          </w:p>
        </w:tc>
        <w:tc>
          <w:tcPr>
            <w:tcW w:type="dxa" w:w="1440"/>
            <w:shd w:fill="FAFAFA" w:val="clear"/>
          </w:tcPr>
          <w:p>
            <w:r>
              <w:rPr>
                <w:b/>
                <w:sz w:val="17"/>
              </w:rPr>
              <w:t>7,183</w:t>
            </w:r>
          </w:p>
        </w:tc>
        <w:tc>
          <w:tcPr>
            <w:tcW w:type="dxa" w:w="1440"/>
            <w:shd w:fill="FAFAFA" w:val="clear"/>
          </w:tcPr>
          <w:p>
            <w:r>
              <w:rPr>
                <w:sz w:val="17"/>
              </w:rPr>
              <w:t>7,728</w:t>
            </w:r>
          </w:p>
        </w:tc>
        <w:tc>
          <w:tcPr>
            <w:tcW w:type="dxa" w:w="1440"/>
            <w:shd w:fill="FAFAFA" w:val="clear"/>
          </w:tcPr>
          <w:p>
            <w:r>
              <w:rPr>
                <w:b/>
                <w:color w:val="008000"/>
                <w:sz w:val="17"/>
              </w:rPr>
              <w:t>+0.5%</w:t>
            </w:r>
          </w:p>
        </w:tc>
      </w:tr>
      <w:tr>
        <w:tc>
          <w:tcPr>
            <w:tcW w:type="dxa" w:w="1440"/>
            <w:shd w:fill="FAFAFA" w:val="clear"/>
          </w:tcPr>
          <w:p>
            <w:r>
              <w:rPr>
                <w:sz w:val="17"/>
              </w:rPr>
              <w:t>J+7  Moyenne</w:t>
            </w:r>
          </w:p>
        </w:tc>
        <w:tc>
          <w:tcPr>
            <w:tcW w:type="dxa" w:w="1440"/>
            <w:shd w:fill="FAFAFA" w:val="clear"/>
          </w:tcPr>
          <w:p>
            <w:r>
              <w:rPr>
                <w:sz w:val="17"/>
              </w:rPr>
              <w:t>2026-09-22</w:t>
            </w:r>
          </w:p>
        </w:tc>
        <w:tc>
          <w:tcPr>
            <w:tcW w:type="dxa" w:w="1440"/>
            <w:shd w:fill="FAFAFA" w:val="clear"/>
          </w:tcPr>
          <w:p>
            <w:r>
              <w:rPr>
                <w:sz w:val="17"/>
              </w:rPr>
              <w:t>6,609</w:t>
            </w:r>
          </w:p>
        </w:tc>
        <w:tc>
          <w:tcPr>
            <w:tcW w:type="dxa" w:w="1440"/>
            <w:shd w:fill="FAFAFA" w:val="clear"/>
          </w:tcPr>
          <w:p>
            <w:r>
              <w:rPr>
                <w:b/>
                <w:sz w:val="17"/>
              </w:rPr>
              <w:t>7,199</w:t>
            </w:r>
          </w:p>
        </w:tc>
        <w:tc>
          <w:tcPr>
            <w:tcW w:type="dxa" w:w="1440"/>
            <w:shd w:fill="FAFAFA" w:val="clear"/>
          </w:tcPr>
          <w:p>
            <w:r>
              <w:rPr>
                <w:sz w:val="17"/>
              </w:rPr>
              <w:t>7,788</w:t>
            </w:r>
          </w:p>
        </w:tc>
        <w:tc>
          <w:tcPr>
            <w:tcW w:type="dxa" w:w="1440"/>
            <w:shd w:fill="FAFAFA" w:val="clear"/>
          </w:tcPr>
          <w:p>
            <w:r>
              <w:rPr>
                <w:b/>
                <w:color w:val="008000"/>
                <w:sz w:val="17"/>
              </w:rPr>
              <w:t>+0.7%</w:t>
            </w:r>
          </w:p>
        </w:tc>
      </w:tr>
      <w:tr>
        <w:tc>
          <w:tcPr>
            <w:tcW w:type="dxa" w:w="1440"/>
            <w:shd w:fill="FAFAFA" w:val="clear"/>
          </w:tcPr>
          <w:p>
            <w:r>
              <w:rPr>
                <w:sz w:val="17"/>
              </w:rPr>
              <w:t>J+8  Moyenne</w:t>
            </w:r>
          </w:p>
        </w:tc>
        <w:tc>
          <w:tcPr>
            <w:tcW w:type="dxa" w:w="1440"/>
            <w:shd w:fill="FAFAFA" w:val="clear"/>
          </w:tcPr>
          <w:p>
            <w:r>
              <w:rPr>
                <w:sz w:val="17"/>
              </w:rPr>
              <w:t>2026-09-23</w:t>
            </w:r>
          </w:p>
        </w:tc>
        <w:tc>
          <w:tcPr>
            <w:tcW w:type="dxa" w:w="1440"/>
            <w:shd w:fill="FAFAFA" w:val="clear"/>
          </w:tcPr>
          <w:p>
            <w:r>
              <w:rPr>
                <w:sz w:val="17"/>
              </w:rPr>
              <w:t>6,581</w:t>
            </w:r>
          </w:p>
        </w:tc>
        <w:tc>
          <w:tcPr>
            <w:tcW w:type="dxa" w:w="1440"/>
            <w:shd w:fill="FAFAFA" w:val="clear"/>
          </w:tcPr>
          <w:p>
            <w:r>
              <w:rPr>
                <w:b/>
                <w:sz w:val="17"/>
              </w:rPr>
              <w:t>7,213</w:t>
            </w:r>
          </w:p>
        </w:tc>
        <w:tc>
          <w:tcPr>
            <w:tcW w:type="dxa" w:w="1440"/>
            <w:shd w:fill="FAFAFA" w:val="clear"/>
          </w:tcPr>
          <w:p>
            <w:r>
              <w:rPr>
                <w:sz w:val="17"/>
              </w:rPr>
              <w:t>7,844</w:t>
            </w:r>
          </w:p>
        </w:tc>
        <w:tc>
          <w:tcPr>
            <w:tcW w:type="dxa" w:w="1440"/>
            <w:shd w:fill="FAFAFA" w:val="clear"/>
          </w:tcPr>
          <w:p>
            <w:r>
              <w:rPr>
                <w:b/>
                <w:color w:val="008000"/>
                <w:sz w:val="17"/>
              </w:rPr>
              <w:t>+0.9%</w:t>
            </w:r>
          </w:p>
        </w:tc>
      </w:tr>
      <w:tr>
        <w:tc>
          <w:tcPr>
            <w:tcW w:type="dxa" w:w="1440"/>
            <w:shd w:fill="FAFAFA" w:val="clear"/>
          </w:tcPr>
          <w:p>
            <w:r>
              <w:rPr>
                <w:sz w:val="17"/>
              </w:rPr>
              <w:t>J+9  Moyenne</w:t>
            </w:r>
          </w:p>
        </w:tc>
        <w:tc>
          <w:tcPr>
            <w:tcW w:type="dxa" w:w="1440"/>
            <w:shd w:fill="FAFAFA" w:val="clear"/>
          </w:tcPr>
          <w:p>
            <w:r>
              <w:rPr>
                <w:sz w:val="17"/>
              </w:rPr>
              <w:t>2026-09-24</w:t>
            </w:r>
          </w:p>
        </w:tc>
        <w:tc>
          <w:tcPr>
            <w:tcW w:type="dxa" w:w="1440"/>
            <w:shd w:fill="FAFAFA" w:val="clear"/>
          </w:tcPr>
          <w:p>
            <w:r>
              <w:rPr>
                <w:sz w:val="17"/>
              </w:rPr>
              <w:t>6,555</w:t>
            </w:r>
          </w:p>
        </w:tc>
        <w:tc>
          <w:tcPr>
            <w:tcW w:type="dxa" w:w="1440"/>
            <w:shd w:fill="FAFAFA" w:val="clear"/>
          </w:tcPr>
          <w:p>
            <w:r>
              <w:rPr>
                <w:b/>
                <w:sz w:val="17"/>
              </w:rPr>
              <w:t>7,226</w:t>
            </w:r>
          </w:p>
        </w:tc>
        <w:tc>
          <w:tcPr>
            <w:tcW w:type="dxa" w:w="1440"/>
            <w:shd w:fill="FAFAFA" w:val="clear"/>
          </w:tcPr>
          <w:p>
            <w:r>
              <w:rPr>
                <w:sz w:val="17"/>
              </w:rPr>
              <w:t>7,897</w:t>
            </w:r>
          </w:p>
        </w:tc>
        <w:tc>
          <w:tcPr>
            <w:tcW w:type="dxa" w:w="1440"/>
            <w:shd w:fill="FAFAFA" w:val="clear"/>
          </w:tcPr>
          <w:p>
            <w:r>
              <w:rPr>
                <w:b/>
                <w:color w:val="008000"/>
                <w:sz w:val="17"/>
              </w:rPr>
              <w:t>+1.1%</w:t>
            </w:r>
          </w:p>
        </w:tc>
      </w:tr>
      <w:tr>
        <w:tc>
          <w:tcPr>
            <w:tcW w:type="dxa" w:w="1440"/>
            <w:shd w:fill="FAFAFA" w:val="clear"/>
          </w:tcPr>
          <w:p>
            <w:r>
              <w:rPr>
                <w:sz w:val="17"/>
              </w:rPr>
              <w:t>J+10  Moyenne</w:t>
            </w:r>
          </w:p>
        </w:tc>
        <w:tc>
          <w:tcPr>
            <w:tcW w:type="dxa" w:w="1440"/>
            <w:shd w:fill="FAFAFA" w:val="clear"/>
          </w:tcPr>
          <w:p>
            <w:r>
              <w:rPr>
                <w:sz w:val="17"/>
              </w:rPr>
              <w:t>2026-09-25</w:t>
            </w:r>
          </w:p>
        </w:tc>
        <w:tc>
          <w:tcPr>
            <w:tcW w:type="dxa" w:w="1440"/>
            <w:shd w:fill="FAFAFA" w:val="clear"/>
          </w:tcPr>
          <w:p>
            <w:r>
              <w:rPr>
                <w:sz w:val="17"/>
              </w:rPr>
              <w:t>6,529</w:t>
            </w:r>
          </w:p>
        </w:tc>
        <w:tc>
          <w:tcPr>
            <w:tcW w:type="dxa" w:w="1440"/>
            <w:shd w:fill="FAFAFA" w:val="clear"/>
          </w:tcPr>
          <w:p>
            <w:r>
              <w:rPr>
                <w:b/>
                <w:sz w:val="17"/>
              </w:rPr>
              <w:t>7,238</w:t>
            </w:r>
          </w:p>
        </w:tc>
        <w:tc>
          <w:tcPr>
            <w:tcW w:type="dxa" w:w="1440"/>
            <w:shd w:fill="FAFAFA" w:val="clear"/>
          </w:tcPr>
          <w:p>
            <w:r>
              <w:rPr>
                <w:sz w:val="17"/>
              </w:rPr>
              <w:t>7,946</w:t>
            </w:r>
          </w:p>
        </w:tc>
        <w:tc>
          <w:tcPr>
            <w:tcW w:type="dxa" w:w="1440"/>
            <w:shd w:fill="FAFAFA" w:val="clear"/>
          </w:tcPr>
          <w:p>
            <w:r>
              <w:rPr>
                <w:b/>
                <w:color w:val="008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**RAPPORT D'ANALYSE FINANCIÈRE — BOA MALI (BOAM)**</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196,27 milliards FCFA, BOA Mali s'impose comme une valeur de premier plan du compartiment bancaire de la BRVM, reflétant la solidité de son bilan de 593,455 milliards FCFA. Le BPA de 404 FCFA par action signifie que chaque titre génère près de 404 FCFA de bénéfice net, un niveau confortable qui traduit la capacité bénéficiaire de la banque. Le PER de 17,7x se situe nettement au-dessus de la moyenne du marché BRVM (estimée entre 8 et 12x), ce qui indique que les investisseurs acceptent de payer une prime significative pour les bénéfices de BOAM — signe d'anticipations de croissance ou de rareté de la valeur. Le P/B de 3,94x montre que le marché valorise la banque à près de quatre fois sa valeur comptable, une prime de croissance élevée qui suppose une rentabilité future soutenue. Enfin, l'EV/EBITDA de 9,8x, dans la fourchette raisonnable de 5-10x, suggère que la valeur d'entreprise reste cohérente avec la capacité opérationnelle de la banque, sans excès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BOAM a enregistré une progression spectaculaire de +52,13%, passant d'un plus bas de 4 425 FCFA à un plus haut de 7 195 FCFA, pour un cours actuel de 7 150 FCFA — la dernière séance cédant toutefois -0,63%, signe d'une légère prise de profit. Le range de trading de 2 770 FCFA (soit près de 63% du plus bas) témoigne d'une tendance haussière puissante et continue, portée par un volume moyen quotidien de 6 312 titres. Les statistiques descriptives révèlent une moyenne de 5 355 FCFA nettement supérieure à la médiane de 5 045 FCFA, confirmant une distribution asymétrique où le cours a passé plus de temps dans les niveaux élevés en fin de période. L'écart-type de 748 FCFA (CV de 14,0%) indique une dispersion modérée autour de la moyenne, tandis que le kurtosis de -0,614 (mésokurtique) suggère une distribution proche de la normale, sans risque excessif de pics extrêmes. Le skewness positif de 0,721 confirme cette asymétrie à droite, avec davantage de journées sous la moyenne mais des poussées haussières marquées. La volatilité annualisée de 34,2% classe le titre dans la catégorie des valeurs à volatilité élevée (&gt;30%), ce qui implique un potentiel de gain attractif mais aussi un risque de correction significatif.</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6 568,25 FCFA et la MM50 à 5 968,10 FCFA, toutes deux nettement inférieures au cours actuel de 7 150 FCFA. Cette configuration en « golden cross » (MM20 &gt; MM50) avec un cours surplombant les deux moyennes confirme une dynamique haussière robuste et justifie la décision d'achat.</w:t>
      </w:r>
    </w:p>
    <w:p>
      <w:pPr>
        <w:spacing w:after="120" w:line="276" w:lineRule="auto"/>
      </w:pPr>
      <w:r>
        <w:t>**Bandes de Bollinger** : La borne supérieure est à 7 192,541 FCFA et la borne inférieure à 5 943,959 FCFA, avec un cours actuel de 7 150 FCFA qui évolue à proximité immédiate de la bande haute. Cette position signale une pression acheteuse forte mais aussi un risque de retour à la moyenne ; la décision est logiquement neutre, le titre flirtant avec la suraccumulation.</w:t>
      </w:r>
    </w:p>
    <w:p>
      <w:pPr>
        <w:spacing w:after="120" w:line="276" w:lineRule="auto"/>
      </w:pPr>
      <w:r>
        <w:t>**MACD** : La valeur du MACD (320,342) dépasse son signal (281,503), générant un histogramme positif qui confirme un momentum haussier intact. La décision d'achat est validée par cette divergence positive persistante, bien que l'écart entre les deux lignes commence à se réduire.</w:t>
      </w:r>
    </w:p>
    <w:p>
      <w:pPr>
        <w:spacing w:after="120" w:line="276" w:lineRule="auto"/>
      </w:pPr>
      <w:r>
        <w:t>**RSI** : À 74,088, le RSI franchit le seuil de surachat (&gt;70), ce qui déclenche une décision de vente technique. Cette lecture suggère que le titre pourrait connaître une consolidation à court terme après sa forte progression, les acheteurs étant potentiellement essoufflés.</w:t>
      </w:r>
    </w:p>
    <w:p>
      <w:pPr>
        <w:spacing w:after="120" w:line="276" w:lineRule="auto"/>
      </w:pPr>
      <w:r>
        <w:t>**Stochastique** : Le %K (94,34) et le %D (98,113) évoluent tous deux en zone de surachat extrême, avec un %D supérieur au %K qui pourrait annoncer un croisement baissier imminent. La décision de vente est cohérente avec ce signal de retournement potentiel à court terme.</w:t>
      </w:r>
    </w:p>
    <w:p>
      <w:pPr>
        <w:spacing w:after="120" w:line="276" w:lineRule="auto"/>
      </w:pPr>
      <w:r>
        <w:t>**Conclusion technique** : Les indicateurs présentent une divergence classique entre la tendance de fond (MM et MACD haussiers) et les oscillateurs (RSI et Stochastique en surachat). Cette configuration suggère que la tendance haussière reste intacte mais qu'une correction technique ou une phase de consolidation est probable à court terme. Les investisseurs déjà positionnés peuvent conserver, tandis que les nouveaux entrants devraient attendre un repli vers la MM20 (6 568 FCFA) pour optimiser leur point d'entrée.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(états financiers certifiés) révèlent une banque solide et rentable : le Produit Net Bancaire (équivalent du chiffre d'affaires pour une banque) s'élève à 37,996 milliards FCFA, pour un résultat net de 11,081 milliards FCFA, soit une marge nette remarquable de 29,16%. Le ROE de 22,24% dépasse largement le seuil d'excellence de 15%, confirmant la capacité de la banque à générer de la valeur pour ses actionnaires, tandis que le ROA de 1,87% reste conforme aux standards bancaires. Le coefficient d'exploitation de 63,14% — légèrement supérieur au seuil de 60% — indique une efficacité opérationnelle perfectible, les charges générales d'exploitation (19,678 milliards FCFA) pesant encore lourdement sur le PNB. Le coût du risque, à 43,39% des charges financières, demeure élevé et constitue le principal point de vigilance, reflétant un portefeuille de crédits exposé au contexte malien. La structure financière affiche une autonomie financière de 8,40% (capitaux propres de 49,820 milliards FCFA pour un total bilan de 593,455 milliards FCFA), un niveau faible qui s'explique par le modèle bancaire fortement leviérisé, mais la solvabilité générale de 109,16% confirme que l'actif couvre les dettes. Le ratio de transformation est sain : les dépôts clientèle (502,890 milliards FCFA) financent largement les créances clientèle (253,648 milliards FCFA), avec un ratio de couverture de 198%, et la trésorerie nette de 86,368 milliards FCFA assure une liquidité confortable.</w:t>
      </w:r>
    </w:p>
    <w:p>
      <w:pPr>
        <w:spacing w:after="120" w:line="276" w:lineRule="auto"/>
      </w:pPr>
      <w:r>
        <w:t>Les rapports narratifs confirment cette dynamique. Le rapport du T1 2026 (publié le 31/03/2026) fait état d'un PNB de 10 322 millions FCFA, en hausse de +22,97% sur un an — accélération notable par rapport aux trimestres précédents. Le rapport du T3 2025 (30/09/2025) indiquait un PNB cumulé de 28,52 milliards FCFA (+5,8%) et un résultat net de 9,16 milliards FCFA (+26,2%), avec une collecte de dépôts en hausse de +9,2% mais un portefeuille de crédits en contraction de -8,6%. Le rapport du S1 2025 (30/06/2025) montrait un PNB de 18,71 milliards FCFA (+2,7%) et un résultat net de 6,21 milliards FCFA (+28,8%), porté par une baisse spectaculaire du coût du risque (-32,7%). Les états financiers 2024 certifiés (31/12/2024) affichaient un PNB de 36,16 milliards FCFA (+1,8%) et un résultat net de 9,12 milliards FCFA (+57,9%), avec un ROE estimé à 21,1%.</w:t>
      </w:r>
    </w:p>
    <w:p>
      <w:pPr>
        <w:spacing w:after="120" w:line="276" w:lineRule="auto"/>
      </w:pPr>
      <w:r>
        <w:t>Sur la base du rapport T1 2026 (PNB +22,97%), on peut estimer que l'exercice 2026 devrait afficher une accélération de la croissance du PNB, potentiellement autour de 10-15% si la dynamique se maintient, avec un résultat net qui pourrait dépasser les 12 milliards FCFA. La recommandation fondamentale est positive : la banque affiche une rentabilité élevée (ROE &gt;20%), une croissance accélérée au T1 2026, et une gestion prudente du risque. Les principaux risques restent le contexte sécuritaire et macroéconomique malien, la contraction du portefeuille de crédits, et le niveau élevé du coût du risque.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BOAM présente un profil contrasté : le PER de 17,7x et le P/B de 3,94x indiquent une prime significative par rapport aux moyennes du marché BRVM, suggérant une possible surévaluation relative, bien que l'EV/EBITDA de 9,8x reste dans les normes. Le comportement du cours sur 100 jours est exceptionnellement haussier (+52,13%), avec une volatilité élevée (34,2%) et une distribution asymétrique positive (skewness 0,721) qui traduit un momentum acheteur puissant, mais le kurtosis mésokurtique (-0,614) écarte le risque de pics extrêmes. Les signaux techniques sont divergents : les moyennes mobiles et le MACD confirment la tendance haussière, tandis que le RSI (74,09) et le Stochastique (94,34/98,11) signalent une surachat extrême et un risque de correction à court terme. Les fondamentaux sont solides : ROE de 22,24%, marge nette de 29,16%, croissance accélérée du PNB au T1 2026 (+22,97%), et une structure de bilan saine malgré un coefficient d'exploitation perfectible (63,14%) et un coût du risque élevé. Les prédictions IA pour les 10 prochains jours (7 107 → 7 166 FCFA) anticipent une légère consolidation suivie d'une reprise modérée, ce qui confirme la thèse d'une pause technique sans remise en cause de la tendance de fond.</w:t>
      </w:r>
    </w:p>
    <w:p>
      <w:pPr>
        <w:spacing w:after="120" w:line="276" w:lineRule="auto"/>
      </w:pPr>
      <w:r>
        <w:t>**Recommandation finale : CONSERVER.** La convergence entre des fondamentaux solides (ROE &gt;20%, croissance accélérée) et des signaux techniques de surachat à court terme plaide pour une position attentiste. Les investisseurs déjà positionnés peuvent conserver leurs titres en profitant de la tendance haussière de fond, tandis que les nouveaux entrants devraient attendre un repli vers la MM20 (6 568 FCFA) pour bénéficier d'un point d'entrée plus favorable. Le niveau de confiance est **Moyen** — les fondamentaux sont robustes mais la valorisation tendue et le surachat technique incitent à la prudence. Le niveau de risque global est **Élevé**, en raison de la volatilité du titre (34,2%), du contexte sécuritaire malien et de la contraction du portefeuille de crédits. L'horizon d'investissement optimal est le **moyen terme (3-12 mois)**, le temps que la consolidation technique s'achève et que la croissance du PNB se matérialise dans les résultats annuels 2026.</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116.38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9,656 titres</w:t>
            </w:r>
          </w:p>
        </w:tc>
        <w:tc>
          <w:tcPr>
            <w:tcW w:type="dxa" w:w="2268"/>
            <w:shd w:fill="FFF2CC" w:val="clear"/>
          </w:tcPr>
          <w:p>
            <w:r>
              <w:rPr>
                <w:b/>
                <w:color w:val="503200"/>
                <w:sz w:val="16"/>
              </w:rPr>
              <w:t xml:space="preserve">Cours actuel : </w:t>
            </w:r>
            <w:r>
              <w:rPr>
                <w:color w:val="000000"/>
                <w:sz w:val="17"/>
              </w:rPr>
              <w:t>5,595 FCFA</w:t>
            </w:r>
          </w:p>
          <w:p>
            <w:r>
              <w:rPr>
                <w:b/>
                <w:color w:val="503200"/>
                <w:sz w:val="16"/>
              </w:rPr>
              <w:t xml:space="preserve">Var. 100 jours : </w:t>
            </w:r>
            <w:r>
              <w:rPr>
                <w:b/>
                <w:color w:val="007800"/>
                <w:sz w:val="17"/>
              </w:rPr>
              <w:t>+74.84%</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3,200 FCFA</w:t>
            </w:r>
          </w:p>
          <w:p>
            <w:r>
              <w:rPr>
                <w:b/>
                <w:color w:val="503200"/>
                <w:sz w:val="16"/>
              </w:rPr>
              <w:t xml:space="preserve">Volatilité ann. : </w:t>
            </w:r>
            <w:r>
              <w:rPr>
                <w:color w:val="000000"/>
                <w:sz w:val="17"/>
              </w:rPr>
              <w:t>37.0%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18.06% (Élevée) — μ=4,415 FCFA, σ=797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β=0.4435 (Défensif) — Cov=0.000015, Var(idx)=0.000035, ρ=0.112,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9,656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σ_j=2.33%/j (Stable) — Vol. annualisée≈37.0%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5,400</w:t>
            </w:r>
          </w:p>
        </w:tc>
        <w:tc>
          <w:tcPr>
            <w:tcW w:type="dxa" w:w="1440"/>
            <w:shd w:fill="FAFAFA" w:val="clear"/>
          </w:tcPr>
          <w:p>
            <w:r>
              <w:rPr>
                <w:b/>
                <w:sz w:val="17"/>
              </w:rPr>
              <w:t>5,533</w:t>
            </w:r>
          </w:p>
        </w:tc>
        <w:tc>
          <w:tcPr>
            <w:tcW w:type="dxa" w:w="1440"/>
            <w:shd w:fill="FAFAFA" w:val="clear"/>
          </w:tcPr>
          <w:p>
            <w:r>
              <w:rPr>
                <w:sz w:val="17"/>
              </w:rPr>
              <w:t>5,666</w:t>
            </w:r>
          </w:p>
        </w:tc>
        <w:tc>
          <w:tcPr>
            <w:tcW w:type="dxa" w:w="1440"/>
            <w:shd w:fill="FAFAFA" w:val="clear"/>
          </w:tcPr>
          <w:p>
            <w:r>
              <w:rPr>
                <w:b/>
                <w:color w:val="C00000"/>
                <w:sz w:val="17"/>
              </w:rPr>
              <w:t>-1.1%</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5,348</w:t>
            </w:r>
          </w:p>
        </w:tc>
        <w:tc>
          <w:tcPr>
            <w:tcW w:type="dxa" w:w="1440"/>
            <w:shd w:fill="FAFAFA" w:val="clear"/>
          </w:tcPr>
          <w:p>
            <w:r>
              <w:rPr>
                <w:b/>
                <w:sz w:val="17"/>
              </w:rPr>
              <w:t>5,537</w:t>
            </w:r>
          </w:p>
        </w:tc>
        <w:tc>
          <w:tcPr>
            <w:tcW w:type="dxa" w:w="1440"/>
            <w:shd w:fill="FAFAFA" w:val="clear"/>
          </w:tcPr>
          <w:p>
            <w:r>
              <w:rPr>
                <w:sz w:val="17"/>
              </w:rPr>
              <w:t>5,726</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5,300</w:t>
            </w:r>
          </w:p>
        </w:tc>
        <w:tc>
          <w:tcPr>
            <w:tcW w:type="dxa" w:w="1440"/>
            <w:shd w:fill="FAFAFA" w:val="clear"/>
          </w:tcPr>
          <w:p>
            <w:r>
              <w:rPr>
                <w:b/>
                <w:sz w:val="17"/>
              </w:rPr>
              <w:t>5,531</w:t>
            </w:r>
          </w:p>
        </w:tc>
        <w:tc>
          <w:tcPr>
            <w:tcW w:type="dxa" w:w="1440"/>
            <w:shd w:fill="FAFAFA" w:val="clear"/>
          </w:tcPr>
          <w:p>
            <w:r>
              <w:rPr>
                <w:sz w:val="17"/>
              </w:rPr>
              <w:t>5,762</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5,258</w:t>
            </w:r>
          </w:p>
        </w:tc>
        <w:tc>
          <w:tcPr>
            <w:tcW w:type="dxa" w:w="1440"/>
            <w:shd w:fill="FAFAFA" w:val="clear"/>
          </w:tcPr>
          <w:p>
            <w:r>
              <w:rPr>
                <w:b/>
                <w:sz w:val="17"/>
              </w:rPr>
              <w:t>5,525</w:t>
            </w:r>
          </w:p>
        </w:tc>
        <w:tc>
          <w:tcPr>
            <w:tcW w:type="dxa" w:w="1440"/>
            <w:shd w:fill="FAFAFA" w:val="clear"/>
          </w:tcPr>
          <w:p>
            <w:r>
              <w:rPr>
                <w:sz w:val="17"/>
              </w:rPr>
              <w:t>5,791</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2026-09-18</w:t>
            </w:r>
          </w:p>
        </w:tc>
        <w:tc>
          <w:tcPr>
            <w:tcW w:type="dxa" w:w="1440"/>
            <w:shd w:fill="FAFAFA" w:val="clear"/>
          </w:tcPr>
          <w:p>
            <w:r>
              <w:rPr>
                <w:sz w:val="17"/>
              </w:rPr>
              <w:t>5,220</w:t>
            </w:r>
          </w:p>
        </w:tc>
        <w:tc>
          <w:tcPr>
            <w:tcW w:type="dxa" w:w="1440"/>
            <w:shd w:fill="FAFAFA" w:val="clear"/>
          </w:tcPr>
          <w:p>
            <w:r>
              <w:rPr>
                <w:b/>
                <w:sz w:val="17"/>
              </w:rPr>
              <w:t>5,518</w:t>
            </w:r>
          </w:p>
        </w:tc>
        <w:tc>
          <w:tcPr>
            <w:tcW w:type="dxa" w:w="1440"/>
            <w:shd w:fill="FAFAFA" w:val="clear"/>
          </w:tcPr>
          <w:p>
            <w:r>
              <w:rPr>
                <w:sz w:val="17"/>
              </w:rPr>
              <w:t>5,815</w:t>
            </w:r>
          </w:p>
        </w:tc>
        <w:tc>
          <w:tcPr>
            <w:tcW w:type="dxa" w:w="1440"/>
            <w:shd w:fill="FAFAFA" w:val="clear"/>
          </w:tcPr>
          <w:p>
            <w:r>
              <w:rPr>
                <w:b/>
                <w:color w:val="C00000"/>
                <w:sz w:val="17"/>
              </w:rPr>
              <w:t>-1.4%</w:t>
            </w:r>
          </w:p>
        </w:tc>
      </w:tr>
      <w:tr>
        <w:tc>
          <w:tcPr>
            <w:tcW w:type="dxa" w:w="1440"/>
            <w:shd w:fill="FAFAFA" w:val="clear"/>
          </w:tcPr>
          <w:p>
            <w:r>
              <w:rPr>
                <w:sz w:val="17"/>
              </w:rPr>
              <w:t>J+6  ⭐</w:t>
            </w:r>
          </w:p>
        </w:tc>
        <w:tc>
          <w:tcPr>
            <w:tcW w:type="dxa" w:w="1440"/>
            <w:shd w:fill="FAFAFA" w:val="clear"/>
          </w:tcPr>
          <w:p>
            <w:r>
              <w:rPr>
                <w:sz w:val="17"/>
              </w:rPr>
              <w:t>2026-09-21</w:t>
            </w:r>
          </w:p>
        </w:tc>
        <w:tc>
          <w:tcPr>
            <w:tcW w:type="dxa" w:w="1440"/>
            <w:shd w:fill="FAFAFA" w:val="clear"/>
          </w:tcPr>
          <w:p>
            <w:r>
              <w:rPr>
                <w:sz w:val="17"/>
              </w:rPr>
              <w:t>5,186</w:t>
            </w:r>
          </w:p>
        </w:tc>
        <w:tc>
          <w:tcPr>
            <w:tcW w:type="dxa" w:w="1440"/>
            <w:shd w:fill="FAFAFA" w:val="clear"/>
          </w:tcPr>
          <w:p>
            <w:r>
              <w:rPr>
                <w:b/>
                <w:sz w:val="17"/>
              </w:rPr>
              <w:t>5,512</w:t>
            </w:r>
          </w:p>
        </w:tc>
        <w:tc>
          <w:tcPr>
            <w:tcW w:type="dxa" w:w="1440"/>
            <w:shd w:fill="FAFAFA" w:val="clear"/>
          </w:tcPr>
          <w:p>
            <w:r>
              <w:rPr>
                <w:sz w:val="17"/>
              </w:rPr>
              <w:t>5,837</w:t>
            </w:r>
          </w:p>
        </w:tc>
        <w:tc>
          <w:tcPr>
            <w:tcW w:type="dxa" w:w="1440"/>
            <w:shd w:fill="FAFAFA" w:val="clear"/>
          </w:tcPr>
          <w:p>
            <w:r>
              <w:rPr>
                <w:b/>
                <w:color w:val="C00000"/>
                <w:sz w:val="17"/>
              </w:rPr>
              <w:t>-1.5%</w:t>
            </w:r>
          </w:p>
        </w:tc>
      </w:tr>
      <w:tr>
        <w:tc>
          <w:tcPr>
            <w:tcW w:type="dxa" w:w="1440"/>
            <w:shd w:fill="FAFAFA" w:val="clear"/>
          </w:tcPr>
          <w:p>
            <w:r>
              <w:rPr>
                <w:sz w:val="17"/>
              </w:rPr>
              <w:t>J+7  ⭐</w:t>
            </w:r>
          </w:p>
        </w:tc>
        <w:tc>
          <w:tcPr>
            <w:tcW w:type="dxa" w:w="1440"/>
            <w:shd w:fill="FAFAFA" w:val="clear"/>
          </w:tcPr>
          <w:p>
            <w:r>
              <w:rPr>
                <w:sz w:val="17"/>
              </w:rPr>
              <w:t>2026-09-22</w:t>
            </w:r>
          </w:p>
        </w:tc>
        <w:tc>
          <w:tcPr>
            <w:tcW w:type="dxa" w:w="1440"/>
            <w:shd w:fill="FAFAFA" w:val="clear"/>
          </w:tcPr>
          <w:p>
            <w:r>
              <w:rPr>
                <w:sz w:val="17"/>
              </w:rPr>
              <w:t>5,154</w:t>
            </w:r>
          </w:p>
        </w:tc>
        <w:tc>
          <w:tcPr>
            <w:tcW w:type="dxa" w:w="1440"/>
            <w:shd w:fill="FAFAFA" w:val="clear"/>
          </w:tcPr>
          <w:p>
            <w:r>
              <w:rPr>
                <w:b/>
                <w:sz w:val="17"/>
              </w:rPr>
              <w:t>5,505</w:t>
            </w:r>
          </w:p>
        </w:tc>
        <w:tc>
          <w:tcPr>
            <w:tcW w:type="dxa" w:w="1440"/>
            <w:shd w:fill="FAFAFA" w:val="clear"/>
          </w:tcPr>
          <w:p>
            <w:r>
              <w:rPr>
                <w:sz w:val="17"/>
              </w:rPr>
              <w:t>5,856</w:t>
            </w:r>
          </w:p>
        </w:tc>
        <w:tc>
          <w:tcPr>
            <w:tcW w:type="dxa" w:w="1440"/>
            <w:shd w:fill="FAFAFA" w:val="clear"/>
          </w:tcPr>
          <w:p>
            <w:r>
              <w:rPr>
                <w:b/>
                <w:color w:val="C00000"/>
                <w:sz w:val="17"/>
              </w:rPr>
              <w:t>-1.6%</w:t>
            </w:r>
          </w:p>
        </w:tc>
      </w:tr>
      <w:tr>
        <w:tc>
          <w:tcPr>
            <w:tcW w:type="dxa" w:w="1440"/>
            <w:shd w:fill="FAFAFA" w:val="clear"/>
          </w:tcPr>
          <w:p>
            <w:r>
              <w:rPr>
                <w:sz w:val="17"/>
              </w:rPr>
              <w:t>J+8  ⭐</w:t>
            </w:r>
          </w:p>
        </w:tc>
        <w:tc>
          <w:tcPr>
            <w:tcW w:type="dxa" w:w="1440"/>
            <w:shd w:fill="FAFAFA" w:val="clear"/>
          </w:tcPr>
          <w:p>
            <w:r>
              <w:rPr>
                <w:sz w:val="17"/>
              </w:rPr>
              <w:t>2026-09-23</w:t>
            </w:r>
          </w:p>
        </w:tc>
        <w:tc>
          <w:tcPr>
            <w:tcW w:type="dxa" w:w="1440"/>
            <w:shd w:fill="FAFAFA" w:val="clear"/>
          </w:tcPr>
          <w:p>
            <w:r>
              <w:rPr>
                <w:sz w:val="17"/>
              </w:rPr>
              <w:t>5,124</w:t>
            </w:r>
          </w:p>
        </w:tc>
        <w:tc>
          <w:tcPr>
            <w:tcW w:type="dxa" w:w="1440"/>
            <w:shd w:fill="FAFAFA" w:val="clear"/>
          </w:tcPr>
          <w:p>
            <w:r>
              <w:rPr>
                <w:b/>
                <w:sz w:val="17"/>
              </w:rPr>
              <w:t>5,499</w:t>
            </w:r>
          </w:p>
        </w:tc>
        <w:tc>
          <w:tcPr>
            <w:tcW w:type="dxa" w:w="1440"/>
            <w:shd w:fill="FAFAFA" w:val="clear"/>
          </w:tcPr>
          <w:p>
            <w:r>
              <w:rPr>
                <w:sz w:val="17"/>
              </w:rPr>
              <w:t>5,874</w:t>
            </w:r>
          </w:p>
        </w:tc>
        <w:tc>
          <w:tcPr>
            <w:tcW w:type="dxa" w:w="1440"/>
            <w:shd w:fill="FAFAFA" w:val="clear"/>
          </w:tcPr>
          <w:p>
            <w:r>
              <w:rPr>
                <w:b/>
                <w:color w:val="C00000"/>
                <w:sz w:val="17"/>
              </w:rPr>
              <w:t>-1.7%</w:t>
            </w:r>
          </w:p>
        </w:tc>
      </w:tr>
      <w:tr>
        <w:tc>
          <w:tcPr>
            <w:tcW w:type="dxa" w:w="1440"/>
            <w:shd w:fill="FAFAFA" w:val="clear"/>
          </w:tcPr>
          <w:p>
            <w:r>
              <w:rPr>
                <w:sz w:val="17"/>
              </w:rPr>
              <w:t>J+9  ⭐</w:t>
            </w:r>
          </w:p>
        </w:tc>
        <w:tc>
          <w:tcPr>
            <w:tcW w:type="dxa" w:w="1440"/>
            <w:shd w:fill="FAFAFA" w:val="clear"/>
          </w:tcPr>
          <w:p>
            <w:r>
              <w:rPr>
                <w:sz w:val="17"/>
              </w:rPr>
              <w:t>2026-09-24</w:t>
            </w:r>
          </w:p>
        </w:tc>
        <w:tc>
          <w:tcPr>
            <w:tcW w:type="dxa" w:w="1440"/>
            <w:shd w:fill="FAFAFA" w:val="clear"/>
          </w:tcPr>
          <w:p>
            <w:r>
              <w:rPr>
                <w:sz w:val="17"/>
              </w:rPr>
              <w:t>5,096</w:t>
            </w:r>
          </w:p>
        </w:tc>
        <w:tc>
          <w:tcPr>
            <w:tcW w:type="dxa" w:w="1440"/>
            <w:shd w:fill="FAFAFA" w:val="clear"/>
          </w:tcPr>
          <w:p>
            <w:r>
              <w:rPr>
                <w:b/>
                <w:sz w:val="17"/>
              </w:rPr>
              <w:t>5,493</w:t>
            </w:r>
          </w:p>
        </w:tc>
        <w:tc>
          <w:tcPr>
            <w:tcW w:type="dxa" w:w="1440"/>
            <w:shd w:fill="FAFAFA" w:val="clear"/>
          </w:tcPr>
          <w:p>
            <w:r>
              <w:rPr>
                <w:sz w:val="17"/>
              </w:rPr>
              <w:t>5,891</w:t>
            </w:r>
          </w:p>
        </w:tc>
        <w:tc>
          <w:tcPr>
            <w:tcW w:type="dxa" w:w="1440"/>
            <w:shd w:fill="FAFAFA" w:val="clear"/>
          </w:tcPr>
          <w:p>
            <w:r>
              <w:rPr>
                <w:b/>
                <w:color w:val="C00000"/>
                <w:sz w:val="17"/>
              </w:rPr>
              <w:t>-1.8%</w:t>
            </w:r>
          </w:p>
        </w:tc>
      </w:tr>
      <w:tr>
        <w:tc>
          <w:tcPr>
            <w:tcW w:type="dxa" w:w="1440"/>
            <w:shd w:fill="FAFAFA" w:val="clear"/>
          </w:tcPr>
          <w:p>
            <w:r>
              <w:rPr>
                <w:sz w:val="17"/>
              </w:rPr>
              <w:t>J+10  ⭐</w:t>
            </w:r>
          </w:p>
        </w:tc>
        <w:tc>
          <w:tcPr>
            <w:tcW w:type="dxa" w:w="1440"/>
            <w:shd w:fill="FAFAFA" w:val="clear"/>
          </w:tcPr>
          <w:p>
            <w:r>
              <w:rPr>
                <w:sz w:val="17"/>
              </w:rPr>
              <w:t>2026-09-25</w:t>
            </w:r>
          </w:p>
        </w:tc>
        <w:tc>
          <w:tcPr>
            <w:tcW w:type="dxa" w:w="1440"/>
            <w:shd w:fill="FAFAFA" w:val="clear"/>
          </w:tcPr>
          <w:p>
            <w:r>
              <w:rPr>
                <w:sz w:val="17"/>
              </w:rPr>
              <w:t>5,069</w:t>
            </w:r>
          </w:p>
        </w:tc>
        <w:tc>
          <w:tcPr>
            <w:tcW w:type="dxa" w:w="1440"/>
            <w:shd w:fill="FAFAFA" w:val="clear"/>
          </w:tcPr>
          <w:p>
            <w:r>
              <w:rPr>
                <w:b/>
                <w:sz w:val="17"/>
              </w:rPr>
              <w:t>5,487</w:t>
            </w:r>
          </w:p>
        </w:tc>
        <w:tc>
          <w:tcPr>
            <w:tcW w:type="dxa" w:w="1440"/>
            <w:shd w:fill="FAFAFA" w:val="clear"/>
          </w:tcPr>
          <w:p>
            <w:r>
              <w:rPr>
                <w:sz w:val="17"/>
              </w:rPr>
              <w:t>5,906</w:t>
            </w:r>
          </w:p>
        </w:tc>
        <w:tc>
          <w:tcPr>
            <w:tcW w:type="dxa" w:w="1440"/>
            <w:shd w:fill="FAFAFA" w:val="clear"/>
          </w:tcPr>
          <w:p>
            <w:r>
              <w:rPr>
                <w:b/>
                <w:color w:val="C00000"/>
                <w:sz w:val="17"/>
              </w:rPr>
              <w:t>-1.9%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ACTION BOAN (Bank of Africa Niger)**</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116,38 milliards FCFA, BOAN figure parmi les valeurs moyennes de la cote BRVM, loin des poids lourds bancaires que sont SGBCI ou Coris Bank, mais avec une liquidité quotidienne limitée (9 656 titres/jour en moyenne). Le BPA de 20 FCFA par action apparaît dérisoire au regard du cours actuel de 5 595 FCFA, ce qui propulse le PER à 284,5x — un niveau stratosphérique comparé à la moyenne BRVM (8-12x) et qui traduit une décorrélation totale entre le prix de marché et la capacité bénéficiaire actuelle de la banque. Le P/B de 3,23x indique que le marché valorise l'établissement à plus de trois fois ses fonds propres comptables (36,06 Mds FCFA), soit une prime de croissance difficilement justifiable au vu de l'effondrement du ROE à 1,13%. Enfin, l'EV/EBITDA de 41,4x (très supérieur au seuil de 15x) confirme que la valeur d'entreprise intègre des anticipations de redressement très optimistes, sans commune mesure avec la rentabilité opérationnelle actuelle — ces ratios signalent une valorisation extrêmement tendue et un risque de correction si les fondamentaux ne se redressent pas rapidement.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BOAN a enregistré une progression spectaculaire de +74,84%, avec une dernière séance en hausse de +1,82%, portant le cours à 5 595 FCFA. Le range de trading est particulièrement large, oscillant entre un plus bas de 3 200 FCFA et un plus haut de 5 645 FCFA, soit un écart de 76% qui témoigne d'une forte dynamique haussière mais aussi d'une nervosité importante. La tendance générale est clairement haussière, le cours actuel évoluant à proximité immédiate de son sommet historique sur la période. Les statistiques descriptives révèlent une moyenne de 4 415 FCFA nettement supérieure à la médiane de 4 192 FCFA, signe d'une asymétrie positive modérée (skewness de 0,125, distribution quasi-symétrique) avec quelques pics haussiers tirant la moyenne vers le haut. L'écart-type de 801 FCFA (CV de 18,2%) traduit une dispersion modérée du cours autour de sa tendance, tandis que le kurtosis négatif de -1,694 (distribution platykurtique) indique une faible concentration des rendements autour de la moyenne, donc un risque de mouvements amples mais sans pics extrêmes fréquents. La volatilité annualisée de 37,0% classe le titre dans la catégorie des valeurs à volatilité élevée (&gt;30%), ce qui est cohérent avec un marché frontière comme la BRVM et appelle à une gestion prudente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(5 382,75 FCFA) et la MM50 (5 148,70 FCFA) se situent toutes deux sous le cours actuel (5 595 FCFA), avec la MM20 au-dessus de la MM50 — configuration haussière classique en « gold cross ». Cette disposition confirme la dynamique positive de court et moyen terme, justifiant la décision d'achat.</w:t>
      </w:r>
    </w:p>
    <w:p>
      <w:pPr>
        <w:spacing w:after="120" w:line="276" w:lineRule="auto"/>
      </w:pPr>
      <w:r>
        <w:t>**Bandes de Bollinger** : Le cours (5 595 FCFA) évolue dans la partie haute du canal, entre la borne inférieure (5 075,93 FCFA) et la borne supérieure (5 689,58 FCFA), sans la franchir. Cette position proche de la borne haute, sans cassure, traduit une volatilité contenue et une décision neutre : le titre est en zone d'appréciation mais sans excès nécessitant une correction immédiate.</w:t>
      </w:r>
    </w:p>
    <w:p>
      <w:pPr>
        <w:spacing w:after="120" w:line="276" w:lineRule="auto"/>
      </w:pPr>
      <w:r>
        <w:t>**MACD** : La valeur du MACD (119,403) est légèrement inférieure à son signal (124,988), générant un croisement baissier de court terme. Ce divergence négative indique un essoufflement du momentum haussier malgré la tendance de fond positive, justifiant la décision de vente technique à court terme.</w:t>
      </w:r>
    </w:p>
    <w:p>
      <w:pPr>
        <w:spacing w:after="120" w:line="276" w:lineRule="auto"/>
      </w:pPr>
      <w:r>
        <w:t>**RSI** : À 68,208, le RSI se situe en zone neutre haute, proche du seuil de surachat (70) sans le franchir. Cette configuration suggère que le titre conserve un potentiel haussier résiduel mais approche d'une zone de prudence, justifiant une décision neutre.</w:t>
      </w:r>
    </w:p>
    <w:p>
      <w:pPr>
        <w:spacing w:after="120" w:line="276" w:lineRule="auto"/>
      </w:pPr>
      <w:r>
        <w:t>**Stochastique** : Le %K (83,333) est nettement supérieur au %D (65,978), avec un %K en zone de surachat (&gt;80). Ce croisement haussier en zone extrême signale un risque de retournement imminent, justifiant la décision de vente.</w:t>
      </w:r>
    </w:p>
    <w:p>
      <w:pPr>
        <w:spacing w:after="120" w:line="276" w:lineRule="auto"/>
      </w:pPr>
      <w:r>
        <w:t>**Conclusion technique** : Les indicateurs présentent une configuration mixte — les moyennes mobiles confirment la tendance haussière de fond, mais le MACD, le stochastique et la position du RSI signalent un essoufflement du momentum à court terme. Le titre évolue en zone de surachat technique proche de ses plus hauts, ce qui plaide pour une consolidation avant toute nouvelle jambe haussière. La convergence des signaux de vente à court terme (MACD, stochastique) contraste avec la solidité de la tendance de moyen terme, suggérant une prise de bénéfices partielle plutôt qu'une inversion de tendance.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(états financiers annuels) brossent un tableau préoccupant : le Produit Net Bancaire (équivalent du chiffre d'affaires pour une banque) s'établit à 21 125 M FCFA, en repli de -1,19% sur un an, tandis que le résultat net s'effondre à 409 M FCFA, soit une marge nette de seulement 1,94% et un ROE catastrophique de 1,13% (très loin du seuil de 15% considéré comme excellent). Le coefficient d'exploitation de 74,37% demeure très supérieur au seuil de 60% synonyme d'efficacité, et le coût du risque rapporté aux charges financières atteint 67,30%, révélant un portefeuille de crédits très dégradé. La structure bilancielle reste néanmoins solide avec un total bilan de 291,75 Mds FCFA, des dépôts clientèle de 183,28 Mds FCFA (contre 128,45 Mds FCFA de créances clientèle, soit un ratio de transformation de 70%), et une autonomie financière de 12,36% — faible mais compensée par un ratio de solvabilité de 14,06% conforme aux exigences UEMOA. Les rapports narratifs confirment cette dégradation : le rapport du 2nd semestre 2025 (daté du 31/12/2025) mentionne un coût du risque plus que doublé (+121,5% à -6 016 M FCFA) incluant une provision exceptionnelle de 4,8 Mds FCFA, tandis que le rapport du 1er trimestre 2026 (daté du 31/03/2026) marque un début de redressement avec un PNB en hausse de +7,9% à 5 170 M FCFA, un résultat net en progression de +28,9% à 1 467,3 M FCFA et un coefficient d'exploitation ramené à 56,2%. Sur la base de ce T1 2026, on estime que l'exercice 2026 pourrait afficher un PNB annuel d'environ 22 300 M FCFA (+6,4%) et un résultat net en forte reprise, sous réserve de la confirmation de la tendance sur les trimestres suivants. La recommandation fondamentale reste donc prudente : la banque dispose d'atouts (soutien du groupe BOA, ratios prudentiels conformes, croissance des dépôts de +4%) mais fait face à des risques majeurs (créances en souffrance de 24% contre 12% en moyenne UEMOA, environnement macroéconomique nigérien instable, absence de dividende depuis trois exercices).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profonde entre le signal de marché et la réalité fondamentale. La valorisation (Partie 0) est extrêmement tendue : PER de 284,5x, P/B de 3,23x et EV/EBITDA de 41,4x intègrent déjà un scénario de redressement très optimiste, sans marge de sécurité en cas de déception. Le comportement du cours (Partie 1) est haussier (+74,84% sur 100 jours) mais la volatilité élevée (37%) et la distribution platykurtique (kurtosis de -1,694) signalent un risque de mouvements amples, tandis que la proximité du plus haut (5 645 FCFA) limite le potentiel de hausse immédiat. Les signaux techniques (Partie 2) sont mitigés : les moyennes mobiles valident la tendance de fond, mais le MACD baissier et le stochastique en surachat plaident pour une consolidation à court terme. Les fondamentaux (Partie 3) restent fragiles malgré l'amélioration du T1 2026, avec un ROE de 1,13% en 2025 et un coût du risque élevé, mais les perspectives 2026 (PNB +6,4%, résultat net en reprise) offrent un espoir de redressement. Les prédictions IA (J+1 à J+10) anticipent une légère érosion du cours de 5 533 à 5 518 FCFA, confirmant la thèse d'une consolidation technique après le rallye. **Recommandation finale : CONSERVER** — la convergence entre la tendance haussière de fond, l'amélioration des indicateurs trimestriels et le soutien du groupe BOA justifie de ne pas vendre, mais la valorisation extrême, les signaux techniques de surachat et les risques fondamentaux persistants interdisent tout achat à ces niveaux. Le niveau de confiance est **Moyen** (les données T1 2026 sont encourageantes mais un seul trimestre ne suffit pas à confirmer la reprise) et le risque global est **Élevé** (secteur bancaire nigérien instable, valorisation tendue). L'horizon d'investissement optimal est le **moyen terme (3-12 mois)**, en attendant la confirmation du redressement sur les trimestres suivants et une normalisation de la valorisation.</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295.20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10,324 titres</w:t>
            </w:r>
          </w:p>
        </w:tc>
        <w:tc>
          <w:tcPr>
            <w:tcW w:type="dxa" w:w="2268"/>
            <w:shd w:fill="FFF2CC" w:val="clear"/>
          </w:tcPr>
          <w:p>
            <w:r>
              <w:rPr>
                <w:b/>
                <w:color w:val="503200"/>
                <w:sz w:val="16"/>
              </w:rPr>
              <w:t xml:space="preserve">Cours actuel : </w:t>
            </w:r>
            <w:r>
              <w:rPr>
                <w:color w:val="000000"/>
                <w:sz w:val="17"/>
              </w:rPr>
              <w:t>8,200 FCFA</w:t>
            </w:r>
          </w:p>
          <w:p>
            <w:r>
              <w:rPr>
                <w:b/>
                <w:color w:val="503200"/>
                <w:sz w:val="16"/>
              </w:rPr>
              <w:t xml:space="preserve">Var. 100 jours : </w:t>
            </w:r>
            <w:r>
              <w:rPr>
                <w:b/>
                <w:color w:val="007800"/>
                <w:sz w:val="17"/>
              </w:rPr>
              <w:t>+20.68%</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6,735 FCFA</w:t>
            </w:r>
          </w:p>
          <w:p>
            <w:r>
              <w:rPr>
                <w:b/>
                <w:color w:val="503200"/>
                <w:sz w:val="16"/>
              </w:rPr>
              <w:t xml:space="preserve">Volatilité ann. : </w:t>
            </w:r>
            <w:r>
              <w:rPr>
                <w:color w:val="000000"/>
                <w:sz w:val="17"/>
              </w:rPr>
              <w:t>24.7%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5.47% (Moyenne) — μ=7,572 FCFA, σ=414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β=0.2854 (Défensif) — Cov=0.000010, Var(idx)=0.000035, ρ=0.108,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10,324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σ_j=1.55%/j (Stable) — Vol. annualisée≈24.7%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7,954</w:t>
            </w:r>
          </w:p>
        </w:tc>
        <w:tc>
          <w:tcPr>
            <w:tcW w:type="dxa" w:w="1440"/>
            <w:shd w:fill="FAFAFA" w:val="clear"/>
          </w:tcPr>
          <w:p>
            <w:r>
              <w:rPr>
                <w:b/>
                <w:sz w:val="17"/>
              </w:rPr>
              <w:t>8,166</w:t>
            </w:r>
          </w:p>
        </w:tc>
        <w:tc>
          <w:tcPr>
            <w:tcW w:type="dxa" w:w="1440"/>
            <w:shd w:fill="FAFAFA" w:val="clear"/>
          </w:tcPr>
          <w:p>
            <w:r>
              <w:rPr>
                <w:sz w:val="17"/>
              </w:rPr>
              <w:t>8,379</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7,828</w:t>
            </w:r>
          </w:p>
        </w:tc>
        <w:tc>
          <w:tcPr>
            <w:tcW w:type="dxa" w:w="1440"/>
            <w:shd w:fill="FAFAFA" w:val="clear"/>
          </w:tcPr>
          <w:p>
            <w:r>
              <w:rPr>
                <w:b/>
                <w:sz w:val="17"/>
              </w:rPr>
              <w:t>8,126</w:t>
            </w:r>
          </w:p>
        </w:tc>
        <w:tc>
          <w:tcPr>
            <w:tcW w:type="dxa" w:w="1440"/>
            <w:shd w:fill="FAFAFA" w:val="clear"/>
          </w:tcPr>
          <w:p>
            <w:r>
              <w:rPr>
                <w:sz w:val="17"/>
              </w:rPr>
              <w:t>8,425</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7,726</w:t>
            </w:r>
          </w:p>
        </w:tc>
        <w:tc>
          <w:tcPr>
            <w:tcW w:type="dxa" w:w="1440"/>
            <w:shd w:fill="FAFAFA" w:val="clear"/>
          </w:tcPr>
          <w:p>
            <w:r>
              <w:rPr>
                <w:b/>
                <w:sz w:val="17"/>
              </w:rPr>
              <w:t>8,090</w:t>
            </w:r>
          </w:p>
        </w:tc>
        <w:tc>
          <w:tcPr>
            <w:tcW w:type="dxa" w:w="1440"/>
            <w:shd w:fill="FAFAFA" w:val="clear"/>
          </w:tcPr>
          <w:p>
            <w:r>
              <w:rPr>
                <w:sz w:val="17"/>
              </w:rPr>
              <w:t>8,454</w:t>
            </w:r>
          </w:p>
        </w:tc>
        <w:tc>
          <w:tcPr>
            <w:tcW w:type="dxa" w:w="1440"/>
            <w:shd w:fill="FAFAFA" w:val="clear"/>
          </w:tcPr>
          <w:p>
            <w:r>
              <w:rPr>
                <w:b/>
                <w:color w:val="C00000"/>
                <w:sz w:val="17"/>
              </w:rPr>
              <w:t>-1.3%</w:t>
            </w:r>
          </w:p>
        </w:tc>
      </w:tr>
      <w:tr>
        <w:tc>
          <w:tcPr>
            <w:tcW w:type="dxa" w:w="1440"/>
            <w:shd w:fill="FAFAFA" w:val="clear"/>
          </w:tcPr>
          <w:p>
            <w:r>
              <w:rPr>
                <w:sz w:val="17"/>
              </w:rPr>
              <w:t>J+4  Moyenne</w:t>
            </w:r>
          </w:p>
        </w:tc>
        <w:tc>
          <w:tcPr>
            <w:tcW w:type="dxa" w:w="1440"/>
            <w:shd w:fill="FAFAFA" w:val="clear"/>
          </w:tcPr>
          <w:p>
            <w:r>
              <w:rPr>
                <w:sz w:val="17"/>
              </w:rPr>
              <w:t>2026-09-17</w:t>
            </w:r>
          </w:p>
        </w:tc>
        <w:tc>
          <w:tcPr>
            <w:tcW w:type="dxa" w:w="1440"/>
            <w:shd w:fill="FAFAFA" w:val="clear"/>
          </w:tcPr>
          <w:p>
            <w:r>
              <w:rPr>
                <w:sz w:val="17"/>
              </w:rPr>
              <w:t>7,638</w:t>
            </w:r>
          </w:p>
        </w:tc>
        <w:tc>
          <w:tcPr>
            <w:tcW w:type="dxa" w:w="1440"/>
            <w:shd w:fill="FAFAFA" w:val="clear"/>
          </w:tcPr>
          <w:p>
            <w:r>
              <w:rPr>
                <w:b/>
                <w:sz w:val="17"/>
              </w:rPr>
              <w:t>8,056</w:t>
            </w:r>
          </w:p>
        </w:tc>
        <w:tc>
          <w:tcPr>
            <w:tcW w:type="dxa" w:w="1440"/>
            <w:shd w:fill="FAFAFA" w:val="clear"/>
          </w:tcPr>
          <w:p>
            <w:r>
              <w:rPr>
                <w:sz w:val="17"/>
              </w:rPr>
              <w:t>8,475</w:t>
            </w:r>
          </w:p>
        </w:tc>
        <w:tc>
          <w:tcPr>
            <w:tcW w:type="dxa" w:w="1440"/>
            <w:shd w:fill="FAFAFA" w:val="clear"/>
          </w:tcPr>
          <w:p>
            <w:r>
              <w:rPr>
                <w:b/>
                <w:color w:val="C00000"/>
                <w:sz w:val="17"/>
              </w:rPr>
              <w:t>-1.8%</w:t>
            </w:r>
          </w:p>
        </w:tc>
      </w:tr>
      <w:tr>
        <w:tc>
          <w:tcPr>
            <w:tcW w:type="dxa" w:w="1440"/>
            <w:shd w:fill="FFDCE0" w:val="clear"/>
          </w:tcPr>
          <w:p>
            <w:r>
              <w:rPr>
                <w:sz w:val="17"/>
              </w:rPr>
              <w:t>J+5  Moyenne</w:t>
            </w:r>
          </w:p>
        </w:tc>
        <w:tc>
          <w:tcPr>
            <w:tcW w:type="dxa" w:w="1440"/>
            <w:shd w:fill="FFDCE0" w:val="clear"/>
          </w:tcPr>
          <w:p>
            <w:r>
              <w:rPr>
                <w:sz w:val="17"/>
              </w:rPr>
              <w:t>2026-09-18</w:t>
            </w:r>
          </w:p>
        </w:tc>
        <w:tc>
          <w:tcPr>
            <w:tcW w:type="dxa" w:w="1440"/>
            <w:shd w:fill="FFDCE0" w:val="clear"/>
          </w:tcPr>
          <w:p>
            <w:r>
              <w:rPr>
                <w:sz w:val="17"/>
              </w:rPr>
              <w:t>7,558</w:t>
            </w:r>
          </w:p>
        </w:tc>
        <w:tc>
          <w:tcPr>
            <w:tcW w:type="dxa" w:w="1440"/>
            <w:shd w:fill="FFDCE0" w:val="clear"/>
          </w:tcPr>
          <w:p>
            <w:r>
              <w:rPr>
                <w:b/>
                <w:sz w:val="17"/>
              </w:rPr>
              <w:t>8,024</w:t>
            </w:r>
          </w:p>
        </w:tc>
        <w:tc>
          <w:tcPr>
            <w:tcW w:type="dxa" w:w="1440"/>
            <w:shd w:fill="FFDCE0" w:val="clear"/>
          </w:tcPr>
          <w:p>
            <w:r>
              <w:rPr>
                <w:sz w:val="17"/>
              </w:rPr>
              <w:t>8,490</w:t>
            </w:r>
          </w:p>
        </w:tc>
        <w:tc>
          <w:tcPr>
            <w:tcW w:type="dxa" w:w="1440"/>
            <w:shd w:fill="FFDCE0" w:val="clear"/>
          </w:tcPr>
          <w:p>
            <w:r>
              <w:rPr>
                <w:b/>
                <w:color w:val="C00000"/>
                <w:sz w:val="17"/>
              </w:rPr>
              <w:t>-2.1%</w:t>
            </w:r>
          </w:p>
        </w:tc>
      </w:tr>
      <w:tr>
        <w:tc>
          <w:tcPr>
            <w:tcW w:type="dxa" w:w="1440"/>
            <w:shd w:fill="FFDCE0" w:val="clear"/>
          </w:tcPr>
          <w:p>
            <w:r>
              <w:rPr>
                <w:sz w:val="17"/>
              </w:rPr>
              <w:t>J+6  Moyenne</w:t>
            </w:r>
          </w:p>
        </w:tc>
        <w:tc>
          <w:tcPr>
            <w:tcW w:type="dxa" w:w="1440"/>
            <w:shd w:fill="FFDCE0" w:val="clear"/>
          </w:tcPr>
          <w:p>
            <w:r>
              <w:rPr>
                <w:sz w:val="17"/>
              </w:rPr>
              <w:t>2026-09-21</w:t>
            </w:r>
          </w:p>
        </w:tc>
        <w:tc>
          <w:tcPr>
            <w:tcW w:type="dxa" w:w="1440"/>
            <w:shd w:fill="FFDCE0" w:val="clear"/>
          </w:tcPr>
          <w:p>
            <w:r>
              <w:rPr>
                <w:sz w:val="17"/>
              </w:rPr>
              <w:t>7,485</w:t>
            </w:r>
          </w:p>
        </w:tc>
        <w:tc>
          <w:tcPr>
            <w:tcW w:type="dxa" w:w="1440"/>
            <w:shd w:fill="FFDCE0" w:val="clear"/>
          </w:tcPr>
          <w:p>
            <w:r>
              <w:rPr>
                <w:b/>
                <w:sz w:val="17"/>
              </w:rPr>
              <w:t>7,993</w:t>
            </w:r>
          </w:p>
        </w:tc>
        <w:tc>
          <w:tcPr>
            <w:tcW w:type="dxa" w:w="1440"/>
            <w:shd w:fill="FFDCE0" w:val="clear"/>
          </w:tcPr>
          <w:p>
            <w:r>
              <w:rPr>
                <w:sz w:val="17"/>
              </w:rPr>
              <w:t>8,502</w:t>
            </w:r>
          </w:p>
        </w:tc>
        <w:tc>
          <w:tcPr>
            <w:tcW w:type="dxa" w:w="1440"/>
            <w:shd w:fill="FFDCE0" w:val="clear"/>
          </w:tcPr>
          <w:p>
            <w:r>
              <w:rPr>
                <w:b/>
                <w:color w:val="C00000"/>
                <w:sz w:val="17"/>
              </w:rPr>
              <w:t>-2.5%</w:t>
            </w:r>
          </w:p>
        </w:tc>
      </w:tr>
      <w:tr>
        <w:tc>
          <w:tcPr>
            <w:tcW w:type="dxa" w:w="1440"/>
            <w:shd w:fill="FFDCE0" w:val="clear"/>
          </w:tcPr>
          <w:p>
            <w:r>
              <w:rPr>
                <w:sz w:val="17"/>
              </w:rPr>
              <w:t>J+7  Moyenne</w:t>
            </w:r>
          </w:p>
        </w:tc>
        <w:tc>
          <w:tcPr>
            <w:tcW w:type="dxa" w:w="1440"/>
            <w:shd w:fill="FFDCE0" w:val="clear"/>
          </w:tcPr>
          <w:p>
            <w:r>
              <w:rPr>
                <w:sz w:val="17"/>
              </w:rPr>
              <w:t>2026-09-22</w:t>
            </w:r>
          </w:p>
        </w:tc>
        <w:tc>
          <w:tcPr>
            <w:tcW w:type="dxa" w:w="1440"/>
            <w:shd w:fill="FFDCE0" w:val="clear"/>
          </w:tcPr>
          <w:p>
            <w:r>
              <w:rPr>
                <w:sz w:val="17"/>
              </w:rPr>
              <w:t>7,416</w:t>
            </w:r>
          </w:p>
        </w:tc>
        <w:tc>
          <w:tcPr>
            <w:tcW w:type="dxa" w:w="1440"/>
            <w:shd w:fill="FFDCE0" w:val="clear"/>
          </w:tcPr>
          <w:p>
            <w:r>
              <w:rPr>
                <w:b/>
                <w:sz w:val="17"/>
              </w:rPr>
              <w:t>7,964</w:t>
            </w:r>
          </w:p>
        </w:tc>
        <w:tc>
          <w:tcPr>
            <w:tcW w:type="dxa" w:w="1440"/>
            <w:shd w:fill="FFDCE0" w:val="clear"/>
          </w:tcPr>
          <w:p>
            <w:r>
              <w:rPr>
                <w:sz w:val="17"/>
              </w:rPr>
              <w:t>8,511</w:t>
            </w:r>
          </w:p>
        </w:tc>
        <w:tc>
          <w:tcPr>
            <w:tcW w:type="dxa" w:w="1440"/>
            <w:shd w:fill="FFDCE0" w:val="clear"/>
          </w:tcPr>
          <w:p>
            <w:r>
              <w:rPr>
                <w:b/>
                <w:color w:val="C00000"/>
                <w:sz w:val="17"/>
              </w:rPr>
              <w:t>-2.9%</w:t>
            </w:r>
          </w:p>
        </w:tc>
      </w:tr>
      <w:tr>
        <w:tc>
          <w:tcPr>
            <w:tcW w:type="dxa" w:w="1440"/>
            <w:shd w:fill="FFDCE0" w:val="clear"/>
          </w:tcPr>
          <w:p>
            <w:r>
              <w:rPr>
                <w:sz w:val="17"/>
              </w:rPr>
              <w:t>J+8  Moyenne</w:t>
            </w:r>
          </w:p>
        </w:tc>
        <w:tc>
          <w:tcPr>
            <w:tcW w:type="dxa" w:w="1440"/>
            <w:shd w:fill="FFDCE0" w:val="clear"/>
          </w:tcPr>
          <w:p>
            <w:r>
              <w:rPr>
                <w:sz w:val="17"/>
              </w:rPr>
              <w:t>2026-09-23</w:t>
            </w:r>
          </w:p>
        </w:tc>
        <w:tc>
          <w:tcPr>
            <w:tcW w:type="dxa" w:w="1440"/>
            <w:shd w:fill="FFDCE0" w:val="clear"/>
          </w:tcPr>
          <w:p>
            <w:r>
              <w:rPr>
                <w:sz w:val="17"/>
              </w:rPr>
              <w:t>7,353</w:t>
            </w:r>
          </w:p>
        </w:tc>
        <w:tc>
          <w:tcPr>
            <w:tcW w:type="dxa" w:w="1440"/>
            <w:shd w:fill="FFDCE0" w:val="clear"/>
          </w:tcPr>
          <w:p>
            <w:r>
              <w:rPr>
                <w:b/>
                <w:sz w:val="17"/>
              </w:rPr>
              <w:t>7,936</w:t>
            </w:r>
          </w:p>
        </w:tc>
        <w:tc>
          <w:tcPr>
            <w:tcW w:type="dxa" w:w="1440"/>
            <w:shd w:fill="FFDCE0" w:val="clear"/>
          </w:tcPr>
          <w:p>
            <w:r>
              <w:rPr>
                <w:sz w:val="17"/>
              </w:rPr>
              <w:t>8,519</w:t>
            </w:r>
          </w:p>
        </w:tc>
        <w:tc>
          <w:tcPr>
            <w:tcW w:type="dxa" w:w="1440"/>
            <w:shd w:fill="FFDCE0" w:val="clear"/>
          </w:tcPr>
          <w:p>
            <w:r>
              <w:rPr>
                <w:b/>
                <w:color w:val="C00000"/>
                <w:sz w:val="17"/>
              </w:rPr>
              <w:t>-3.2%</w:t>
            </w:r>
          </w:p>
        </w:tc>
      </w:tr>
      <w:tr>
        <w:tc>
          <w:tcPr>
            <w:tcW w:type="dxa" w:w="1440"/>
            <w:shd w:fill="FFDCE0" w:val="clear"/>
          </w:tcPr>
          <w:p>
            <w:r>
              <w:rPr>
                <w:sz w:val="17"/>
              </w:rPr>
              <w:t>J+9  Moyenne</w:t>
            </w:r>
          </w:p>
        </w:tc>
        <w:tc>
          <w:tcPr>
            <w:tcW w:type="dxa" w:w="1440"/>
            <w:shd w:fill="FFDCE0" w:val="clear"/>
          </w:tcPr>
          <w:p>
            <w:r>
              <w:rPr>
                <w:sz w:val="17"/>
              </w:rPr>
              <w:t>2026-09-24</w:t>
            </w:r>
          </w:p>
        </w:tc>
        <w:tc>
          <w:tcPr>
            <w:tcW w:type="dxa" w:w="1440"/>
            <w:shd w:fill="FFDCE0" w:val="clear"/>
          </w:tcPr>
          <w:p>
            <w:r>
              <w:rPr>
                <w:sz w:val="17"/>
              </w:rPr>
              <w:t>7,292</w:t>
            </w:r>
          </w:p>
        </w:tc>
        <w:tc>
          <w:tcPr>
            <w:tcW w:type="dxa" w:w="1440"/>
            <w:shd w:fill="FFDCE0" w:val="clear"/>
          </w:tcPr>
          <w:p>
            <w:r>
              <w:rPr>
                <w:b/>
                <w:sz w:val="17"/>
              </w:rPr>
              <w:t>7,909</w:t>
            </w:r>
          </w:p>
        </w:tc>
        <w:tc>
          <w:tcPr>
            <w:tcW w:type="dxa" w:w="1440"/>
            <w:shd w:fill="FFDCE0" w:val="clear"/>
          </w:tcPr>
          <w:p>
            <w:r>
              <w:rPr>
                <w:sz w:val="17"/>
              </w:rPr>
              <w:t>8,525</w:t>
            </w:r>
          </w:p>
        </w:tc>
        <w:tc>
          <w:tcPr>
            <w:tcW w:type="dxa" w:w="1440"/>
            <w:shd w:fill="FFDCE0" w:val="clear"/>
          </w:tcPr>
          <w:p>
            <w:r>
              <w:rPr>
                <w:b/>
                <w:color w:val="C00000"/>
                <w:sz w:val="17"/>
              </w:rPr>
              <w:t>-3.6%</w:t>
            </w:r>
          </w:p>
        </w:tc>
      </w:tr>
      <w:tr>
        <w:tc>
          <w:tcPr>
            <w:tcW w:type="dxa" w:w="1440"/>
            <w:shd w:fill="FFDCE0" w:val="clear"/>
          </w:tcPr>
          <w:p>
            <w:r>
              <w:rPr>
                <w:sz w:val="17"/>
              </w:rPr>
              <w:t>J+10  Moyenne</w:t>
            </w:r>
          </w:p>
        </w:tc>
        <w:tc>
          <w:tcPr>
            <w:tcW w:type="dxa" w:w="1440"/>
            <w:shd w:fill="FFDCE0" w:val="clear"/>
          </w:tcPr>
          <w:p>
            <w:r>
              <w:rPr>
                <w:sz w:val="17"/>
              </w:rPr>
              <w:t>2026-09-25</w:t>
            </w:r>
          </w:p>
        </w:tc>
        <w:tc>
          <w:tcPr>
            <w:tcW w:type="dxa" w:w="1440"/>
            <w:shd w:fill="FFDCE0" w:val="clear"/>
          </w:tcPr>
          <w:p>
            <w:r>
              <w:rPr>
                <w:sz w:val="17"/>
              </w:rPr>
              <w:t>7,235</w:t>
            </w:r>
          </w:p>
        </w:tc>
        <w:tc>
          <w:tcPr>
            <w:tcW w:type="dxa" w:w="1440"/>
            <w:shd w:fill="FFDCE0" w:val="clear"/>
          </w:tcPr>
          <w:p>
            <w:r>
              <w:rPr>
                <w:b/>
                <w:sz w:val="17"/>
              </w:rPr>
              <w:t>7,883</w:t>
            </w:r>
          </w:p>
        </w:tc>
        <w:tc>
          <w:tcPr>
            <w:tcW w:type="dxa" w:w="1440"/>
            <w:shd w:fill="FFDCE0" w:val="clear"/>
          </w:tcPr>
          <w:p>
            <w:r>
              <w:rPr>
                <w:sz w:val="17"/>
              </w:rPr>
              <w:t>8,530</w:t>
            </w:r>
          </w:p>
        </w:tc>
        <w:tc>
          <w:tcPr>
            <w:tcW w:type="dxa" w:w="1440"/>
            <w:shd w:fill="FFDCE0" w:val="clear"/>
          </w:tcPr>
          <w:p>
            <w:r>
              <w:rPr>
                <w:b/>
                <w:color w:val="C00000"/>
                <w:sz w:val="17"/>
              </w:rPr>
              <w:t>-3.9%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**RAPPORT D'ANALYSE FINANCIÈRE — ACTION BOAS (BANK OF AFRICA SÉNÉGAL)**</w:t>
        <w:br/>
        <w:t>*Marché : BRVM | Secteur : Banque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295,20 milliards FCFA, BOAS s'impose comme l'une des valeurs bancaires les plus capitalisées de la cote BRVM, ce qui témoigne de sa liquidité relative et de son poids dans l'indice sectoriel. Le BPA de 608 FCFA par action signifie que chaque titre génère près de 608 FCFA de bénéfice net, un niveau de rentabilité par action solide pour le secteur. Le PER de 13,5x se situe légèrement au-dessus de la moyenne BRVM (8-12x), ce qui indique que les investisseurs acceptent une prime modérée pour la qualité de la croissance et la régularité des résultats de la banque, sans pour autant tomber dans une surévaluation excessive. Le P/B de 3,06x traduit une valorisation nettement supérieure à la valeur comptable (prime de 2-4x), justifiée par la rentabilité élevée des fonds propres (ROE de 22,69%) qui dépasse largement le coût des capitaux propres. Enfin, l'EV/EBITDA de 8,8x, dans la fourchette raisonnable de 5-10x, confirme que la valeur d'entreprise reste cohérente avec la capacité opérationnelle de la banque, sans signal de surchauffe spéculative.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BOAS a enregistré une progression remarquable de +20,68%, passant d'environ 6 800 FCFA à 8 200 FCFA, malgré un repli de -1,20% lors de la dernière séance (J-1). Le range de trading s'établit entre un plus bas de 6 735 FCFA et un plus haut de 8 500 FCFA, soit une amplitude de 26,2%, reflétant une tendance nettement haussière avec une phase de consolidation récente. Les statistiques descriptives révèlent une moyenne de 7 572 FCFA légèrement supérieure à la médiane de 7 490 FCFA, avec un mode à 7 700 FCFA, ce qui indique une distribution quasi-symétrique (skewness de 0,307) sans biais marqué vers les valeurs extrêmes. L'écart-type de 416 FCFA et le coefficient de variation de 5,5% témoignent d'une dispersion modérée du cours autour de sa moyenne, tandis que le kurtosis de -0,356 (mésokurtique) suggère une distribution proche de la normale, sans risque significatif de pics extrêmes. La volatilité annualisée de 24,7% place le titre dans la catégorie des valeurs à volatilité modérée (15-30%), ce qui est cohérent avec un profil bancaire stable et bien capitalisé, offrant un bon compromis entre rendement et risque pour un investisseur de moyen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(8 170,5 FCFA) et la MM50 (7 806,6 FCFA) se situent toutes deux en dessous du cours actuel (8 200 FCFA), avec la MM20 au-dessus de la MM50, confirmant une configuration haussière classique (golden cross). Le cours évoluant au-dessus de ses deux moyennes, la dynamique de court et moyen terme reste positive, justifiant la décision d'achat.</w:t>
      </w:r>
    </w:p>
    <w:p>
      <w:pPr>
        <w:spacing w:after="120" w:line="276" w:lineRule="auto"/>
      </w:pPr>
      <w:r>
        <w:t>**Bandes de Bollinger** : Le cours actuel (8 200 FCFA) se situe dans la partie supérieure de la bande (borne supérieure à 8 648,9 FCFA, borne inférieure à 7 692,1 FCFA), sans franchir la borne haute, ce qui indique une pression acheteuse modérée mais sans excès. L'absence de cassure de la borne supérieure et la position médiane-haute du cours justifient une décision neutre, en attendant un signal plus clair de breakout ou de retournement.</w:t>
      </w:r>
    </w:p>
    <w:p>
      <w:pPr>
        <w:spacing w:after="120" w:line="276" w:lineRule="auto"/>
      </w:pPr>
      <w:r>
        <w:t>**MACD** : La valeur du MACD (131,6) est inférieure à son signal (155,9), générant un croisement baissier qui traduit un essoufflement du momentum haussier malgré la tendance de fond positive. Cette divergence négative justifie la décision de vente à court terme, suggérant une possible consolidation avant une reprise.</w:t>
      </w:r>
    </w:p>
    <w:p>
      <w:pPr>
        <w:spacing w:after="120" w:line="276" w:lineRule="auto"/>
      </w:pPr>
      <w:r>
        <w:t>**RSI** : À 58,4, le RSI se situe en zone neutre (30-70), sans signal de surachat (&gt;70) ni de survente (&lt;30), ce qui indique un équilibre entre acheteurs et vendeurs. Cette position médiane justifie une décision neutre, le titre n'étant ni surévalué ni sous-évalué techniquement à court terme.</w:t>
      </w:r>
    </w:p>
    <w:p>
      <w:pPr>
        <w:spacing w:after="120" w:line="276" w:lineRule="auto"/>
      </w:pPr>
      <w:r>
        <w:t>**Stochastique** : Le %K à 0,0 et le %D à 33,3 montrent un croisement en zone de survente, avec le %K au plus bas, ce qui précède généralement un rebond technique. Cette configuration justifie la décision d'achat, le marché ayant probablement atteint un point d'épuisement baissier de court terme.</w:t>
      </w:r>
    </w:p>
    <w:p>
      <w:pPr>
        <w:spacing w:after="120" w:line="276" w:lineRule="auto"/>
      </w:pPr>
      <w:r>
        <w:t>**Conclusion technique** : Les indicateurs sont globalement partagés entre signaux haussiers (MM, Stochastique) et baissiers (MACD), avec un RSI et des Bollinger neutres. La tendance de fond reste haussière (cours &gt; MM20 &gt; MM50), mais le momentum à court terme s'affaiblit (MACD baissier), suggérant une phase de consolidation avant une éventuelle reprise. Une confirmation par cassure de la borne supérieure des Bollinger (8 648 FCFA) ou par un croisement haussier du MACD serait nécessaire pour valider un nouvel élan.</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BOAS affiche des états financiers solides avec un Produit Net Bancaire (PNB) de 51,926 milliards FCFA, un résultat net de 21,905 milliards FCFA, un ROE de 22,69% (excellent, &gt;15%) et un ROA de 2,62%, confirmant une rentabilité robuste et une bonne efficacité dans l'utilisation des actifs. Le coefficient d'exploitation de 44,02% (inférieur au seuil de 60% et même de 50%) témoigne d'une gestion opérationnelle très efficace, tandis que le coût du risque de 23,31% (provisions/charges financières) reste élevé, signalant une vigilance nécessaire sur la qualité du portefeuille de crédits. La structure financière montre une autonomie financière de 11,54% (capitaux propres/total bilan), inférieure au seuil de 30% considéré comme sain, mais compensée par une solvabilité générale de 113,05% (total actif/dettes totales &gt;1) et une capacité de remboursement de 1,54 an (dettes financières/CAF), rassurante. Le ratio dépôts/créances s'établit à 686,927/386,424 = 1,78x, indiquant une surliquidité et une forte capacité de transformation, bien que la croissance des crédits (+4,76% au T1 2026) reste inférieure à celle des dépôts (+16,68%), ce qui pourrait limiter la marge d'intérêt future. Les rapports trimestriels récents confirment cette dynamique : au T1 2026 (rapport du 31 mars 2026), le PNB progresse de 6,82% à 12,580 milliards FCFA et le résultat net de 9,78% à 5,741 milliards FCFA, avec un coefficient d'exploitation en amélioration à 42,1% (contre 42,8% au T1 2025). Le rapport du T3 2025 (30 septembre 2025) montrait déjà une croissance du PNB de 6,71% sur neuf mois et un résultat net en hausse de 10,01%, avec un coût du risque en baisse à -0,5% du PNB. Sur la base de ces tendances, on estime que l'exercice 2026 devrait enregistrer une croissance du PNB de l'ordre de 6-7% et une progression du résultat net de 9-10%, portée par la bonne tenue des commissions (+10,1% au T1 2026) et la maîtrise des charges. La recommandation fondamentale est positive : la banque affiche une solidité financière, une rentabilité élevée et une trajectoire de croissance régulière, avec des risques modérés liés au coût du risque et à la concentration sur le marché sénégalais.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BOAS (PER 13,5x, P/B 3,06x, EV/EBITDA 8,8x) indique une légère prime par rapport à la moyenne du marché BRVM, mais elle est justifiée par un ROE de 22,69% et une croissance régulière du résultat net, ce qui suggère une valorisation raisonnable, sans surévaluation manifeste. Le comportement du cours sur 100 jours (+20,68%) est nettement haussier, avec une volatilité modérée (24,7%) et des statistiques descriptives rassurantes (distribution symétrique, kurtosis proche de la normale), bien que le repli de -1,20% en J-1 et le MACD baissier signalent une consolidation de court terme. Les signaux techniques sont mitigés : les moyennes mobiles et le stochastique sont haussiers, mais le MACD est baissier et le RSI neutre, ce qui plaide pour une convergence progressive vers un rebond plutôt qu'une correction profonde. Les fondamentaux sont solides, avec un PNB de 51,926 milliards FCFA en 2025, un résultat net de 21,905 milliards FCFA, un coefficient d'exploitation de 44,02% et des rapports trimestriels (T1 2026, T3 2025) confirmant une dynamique positive, bien que le coût du risque reste un point de vigilance. Les prédictions IA pour les 10 prochains jours (8 166 → 8 024 FCFA) suggèrent une légère correction baissière de -2,1%, ce qui contredit partiellement les signaux haussiers des moyennes mobiles et du stochastique, mais s'aligne avec le MACD baissier. Sur la base de cette synthèse, la recommandation finale est **ACHAT** avec un niveau de confiance **Moyen** et un risque global **Moyen**. La convergence entre valorisation raisonnable, fondamentaux solides et tendance de fond haussière l'emporte sur les signaux baissiers de court terme, mais la prédiction IA et le MACD incitent à la prudence. L'horizon d'investissement optimal est le **moyen terme (3-12 mois)**, pour profiter de la croissance des bénéfices et de la consolidation technique avant une reprise durable.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20.72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2,140 titres</w:t>
            </w:r>
          </w:p>
        </w:tc>
        <w:tc>
          <w:tcPr>
            <w:tcW w:type="dxa" w:w="2268"/>
            <w:shd w:fill="FFF2CC" w:val="clear"/>
          </w:tcPr>
          <w:p>
            <w:r>
              <w:rPr>
                <w:b/>
                <w:color w:val="503200"/>
                <w:sz w:val="16"/>
              </w:rPr>
              <w:t xml:space="preserve">Cours actuel : </w:t>
            </w:r>
            <w:r>
              <w:rPr>
                <w:color w:val="000000"/>
                <w:sz w:val="17"/>
              </w:rPr>
              <w:t>3,500 FCFA</w:t>
            </w:r>
          </w:p>
          <w:p>
            <w:r>
              <w:rPr>
                <w:b/>
                <w:color w:val="503200"/>
                <w:sz w:val="16"/>
              </w:rPr>
              <w:t xml:space="preserve">Var. 100 jours : </w:t>
            </w:r>
            <w:r>
              <w:rPr>
                <w:b/>
                <w:color w:val="B40000"/>
                <w:sz w:val="17"/>
              </w:rPr>
              <w:t>-8.02%</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3,350 FCFA</w:t>
            </w:r>
          </w:p>
          <w:p>
            <w:r>
              <w:rPr>
                <w:b/>
                <w:color w:val="503200"/>
                <w:sz w:val="16"/>
              </w:rPr>
              <w:t xml:space="preserve">Volatilité ann. : </w:t>
            </w:r>
            <w:r>
              <w:rPr>
                <w:color w:val="000000"/>
                <w:sz w:val="17"/>
              </w:rPr>
              <w:t>48.0%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7.20% (Moyenne) — μ=3,714 FCFA, σ=267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β=0.1632 (Défensif) — Cov=0.000006, Var(idx)=0.000035, ρ=0.032,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2,140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σ_j=3.02%/j (Modérée) — Vol. annualisée≈48.0%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3,379</w:t>
            </w:r>
          </w:p>
        </w:tc>
        <w:tc>
          <w:tcPr>
            <w:tcW w:type="dxa" w:w="1440"/>
            <w:shd w:fill="FAFAFA" w:val="clear"/>
          </w:tcPr>
          <w:p>
            <w:r>
              <w:rPr>
                <w:b/>
                <w:sz w:val="17"/>
              </w:rPr>
              <w:t>3,475</w:t>
            </w:r>
          </w:p>
        </w:tc>
        <w:tc>
          <w:tcPr>
            <w:tcW w:type="dxa" w:w="1440"/>
            <w:shd w:fill="FAFAFA" w:val="clear"/>
          </w:tcPr>
          <w:p>
            <w:r>
              <w:rPr>
                <w:sz w:val="17"/>
              </w:rPr>
              <w:t>3,571</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3,322</w:t>
            </w:r>
          </w:p>
        </w:tc>
        <w:tc>
          <w:tcPr>
            <w:tcW w:type="dxa" w:w="1440"/>
            <w:shd w:fill="FAFAFA" w:val="clear"/>
          </w:tcPr>
          <w:p>
            <w:r>
              <w:rPr>
                <w:b/>
                <w:sz w:val="17"/>
              </w:rPr>
              <w:t>3,457</w:t>
            </w:r>
          </w:p>
        </w:tc>
        <w:tc>
          <w:tcPr>
            <w:tcW w:type="dxa" w:w="1440"/>
            <w:shd w:fill="FAFAFA" w:val="clear"/>
          </w:tcPr>
          <w:p>
            <w:r>
              <w:rPr>
                <w:sz w:val="17"/>
              </w:rPr>
              <w:t>3,592</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3,271</w:t>
            </w:r>
          </w:p>
        </w:tc>
        <w:tc>
          <w:tcPr>
            <w:tcW w:type="dxa" w:w="1440"/>
            <w:shd w:fill="FAFAFA" w:val="clear"/>
          </w:tcPr>
          <w:p>
            <w:r>
              <w:rPr>
                <w:b/>
                <w:sz w:val="17"/>
              </w:rPr>
              <w:t>3,435</w:t>
            </w:r>
          </w:p>
        </w:tc>
        <w:tc>
          <w:tcPr>
            <w:tcW w:type="dxa" w:w="1440"/>
            <w:shd w:fill="FAFAFA" w:val="clear"/>
          </w:tcPr>
          <w:p>
            <w:r>
              <w:rPr>
                <w:sz w:val="17"/>
              </w:rPr>
              <w:t>3,600</w:t>
            </w:r>
          </w:p>
        </w:tc>
        <w:tc>
          <w:tcPr>
            <w:tcW w:type="dxa" w:w="1440"/>
            <w:shd w:fill="FAFAFA" w:val="clear"/>
          </w:tcPr>
          <w:p>
            <w:r>
              <w:rPr>
                <w:b/>
                <w:color w:val="C00000"/>
                <w:sz w:val="17"/>
              </w:rPr>
              <w:t>-1.8%</w:t>
            </w:r>
          </w:p>
        </w:tc>
      </w:tr>
      <w:tr>
        <w:tc>
          <w:tcPr>
            <w:tcW w:type="dxa" w:w="1440"/>
            <w:shd w:fill="FFDCE0" w:val="clear"/>
          </w:tcPr>
          <w:p>
            <w:r>
              <w:rPr>
                <w:sz w:val="17"/>
              </w:rPr>
              <w:t>J+4  Moyenne</w:t>
            </w:r>
          </w:p>
        </w:tc>
        <w:tc>
          <w:tcPr>
            <w:tcW w:type="dxa" w:w="1440"/>
            <w:shd w:fill="FFDCE0" w:val="clear"/>
          </w:tcPr>
          <w:p>
            <w:r>
              <w:rPr>
                <w:sz w:val="17"/>
              </w:rPr>
              <w:t>2026-09-17</w:t>
            </w:r>
          </w:p>
        </w:tc>
        <w:tc>
          <w:tcPr>
            <w:tcW w:type="dxa" w:w="1440"/>
            <w:shd w:fill="FFDCE0" w:val="clear"/>
          </w:tcPr>
          <w:p>
            <w:r>
              <w:rPr>
                <w:sz w:val="17"/>
              </w:rPr>
              <w:t>3,225</w:t>
            </w:r>
          </w:p>
        </w:tc>
        <w:tc>
          <w:tcPr>
            <w:tcW w:type="dxa" w:w="1440"/>
            <w:shd w:fill="FFDCE0" w:val="clear"/>
          </w:tcPr>
          <w:p>
            <w:r>
              <w:rPr>
                <w:b/>
                <w:sz w:val="17"/>
              </w:rPr>
              <w:t>3,413</w:t>
            </w:r>
          </w:p>
        </w:tc>
        <w:tc>
          <w:tcPr>
            <w:tcW w:type="dxa" w:w="1440"/>
            <w:shd w:fill="FFDCE0" w:val="clear"/>
          </w:tcPr>
          <w:p>
            <w:r>
              <w:rPr>
                <w:sz w:val="17"/>
              </w:rPr>
              <w:t>3,602</w:t>
            </w:r>
          </w:p>
        </w:tc>
        <w:tc>
          <w:tcPr>
            <w:tcW w:type="dxa" w:w="1440"/>
            <w:shd w:fill="FFDCE0" w:val="clear"/>
          </w:tcPr>
          <w:p>
            <w:r>
              <w:rPr>
                <w:b/>
                <w:color w:val="C00000"/>
                <w:sz w:val="17"/>
              </w:rPr>
              <w:t>-2.5%</w:t>
            </w:r>
          </w:p>
        </w:tc>
      </w:tr>
      <w:tr>
        <w:tc>
          <w:tcPr>
            <w:tcW w:type="dxa" w:w="1440"/>
            <w:shd w:fill="FFDCE0" w:val="clear"/>
          </w:tcPr>
          <w:p>
            <w:r>
              <w:rPr>
                <w:sz w:val="17"/>
              </w:rPr>
              <w:t>J+5  Moyenne</w:t>
            </w:r>
          </w:p>
        </w:tc>
        <w:tc>
          <w:tcPr>
            <w:tcW w:type="dxa" w:w="1440"/>
            <w:shd w:fill="FFDCE0" w:val="clear"/>
          </w:tcPr>
          <w:p>
            <w:r>
              <w:rPr>
                <w:sz w:val="17"/>
              </w:rPr>
              <w:t>2026-09-18</w:t>
            </w:r>
          </w:p>
        </w:tc>
        <w:tc>
          <w:tcPr>
            <w:tcW w:type="dxa" w:w="1440"/>
            <w:shd w:fill="FFDCE0" w:val="clear"/>
          </w:tcPr>
          <w:p>
            <w:r>
              <w:rPr>
                <w:sz w:val="17"/>
              </w:rPr>
              <w:t>3,182</w:t>
            </w:r>
          </w:p>
        </w:tc>
        <w:tc>
          <w:tcPr>
            <w:tcW w:type="dxa" w:w="1440"/>
            <w:shd w:fill="FFDCE0" w:val="clear"/>
          </w:tcPr>
          <w:p>
            <w:r>
              <w:rPr>
                <w:b/>
                <w:sz w:val="17"/>
              </w:rPr>
              <w:t>3,391</w:t>
            </w:r>
          </w:p>
        </w:tc>
        <w:tc>
          <w:tcPr>
            <w:tcW w:type="dxa" w:w="1440"/>
            <w:shd w:fill="FFDCE0" w:val="clear"/>
          </w:tcPr>
          <w:p>
            <w:r>
              <w:rPr>
                <w:sz w:val="17"/>
              </w:rPr>
              <w:t>3,600</w:t>
            </w:r>
          </w:p>
        </w:tc>
        <w:tc>
          <w:tcPr>
            <w:tcW w:type="dxa" w:w="1440"/>
            <w:shd w:fill="FFDCE0" w:val="clear"/>
          </w:tcPr>
          <w:p>
            <w:r>
              <w:rPr>
                <w:b/>
                <w:color w:val="C00000"/>
                <w:sz w:val="17"/>
              </w:rPr>
              <w:t>-3.1%</w:t>
            </w:r>
          </w:p>
        </w:tc>
      </w:tr>
      <w:tr>
        <w:tc>
          <w:tcPr>
            <w:tcW w:type="dxa" w:w="1440"/>
            <w:shd w:fill="FFDCE0" w:val="clear"/>
          </w:tcPr>
          <w:p>
            <w:r>
              <w:rPr>
                <w:sz w:val="17"/>
              </w:rPr>
              <w:t>J+6  Moyenne</w:t>
            </w:r>
          </w:p>
        </w:tc>
        <w:tc>
          <w:tcPr>
            <w:tcW w:type="dxa" w:w="1440"/>
            <w:shd w:fill="FFDCE0" w:val="clear"/>
          </w:tcPr>
          <w:p>
            <w:r>
              <w:rPr>
                <w:sz w:val="17"/>
              </w:rPr>
              <w:t>2026-09-21</w:t>
            </w:r>
          </w:p>
        </w:tc>
        <w:tc>
          <w:tcPr>
            <w:tcW w:type="dxa" w:w="1440"/>
            <w:shd w:fill="FFDCE0" w:val="clear"/>
          </w:tcPr>
          <w:p>
            <w:r>
              <w:rPr>
                <w:sz w:val="17"/>
              </w:rPr>
              <w:t>3,142</w:t>
            </w:r>
          </w:p>
        </w:tc>
        <w:tc>
          <w:tcPr>
            <w:tcW w:type="dxa" w:w="1440"/>
            <w:shd w:fill="FFDCE0" w:val="clear"/>
          </w:tcPr>
          <w:p>
            <w:r>
              <w:rPr>
                <w:b/>
                <w:sz w:val="17"/>
              </w:rPr>
              <w:t>3,370</w:t>
            </w:r>
          </w:p>
        </w:tc>
        <w:tc>
          <w:tcPr>
            <w:tcW w:type="dxa" w:w="1440"/>
            <w:shd w:fill="FFDCE0" w:val="clear"/>
          </w:tcPr>
          <w:p>
            <w:r>
              <w:rPr>
                <w:sz w:val="17"/>
              </w:rPr>
              <w:t>3,597</w:t>
            </w:r>
          </w:p>
        </w:tc>
        <w:tc>
          <w:tcPr>
            <w:tcW w:type="dxa" w:w="1440"/>
            <w:shd w:fill="FFDCE0" w:val="clear"/>
          </w:tcPr>
          <w:p>
            <w:r>
              <w:rPr>
                <w:b/>
                <w:color w:val="C00000"/>
                <w:sz w:val="17"/>
              </w:rPr>
              <w:t>-3.7%</w:t>
            </w:r>
          </w:p>
        </w:tc>
      </w:tr>
      <w:tr>
        <w:tc>
          <w:tcPr>
            <w:tcW w:type="dxa" w:w="1440"/>
            <w:shd w:fill="FFDCE0" w:val="clear"/>
          </w:tcPr>
          <w:p>
            <w:r>
              <w:rPr>
                <w:sz w:val="17"/>
              </w:rPr>
              <w:t>J+7  Moyenne</w:t>
            </w:r>
          </w:p>
        </w:tc>
        <w:tc>
          <w:tcPr>
            <w:tcW w:type="dxa" w:w="1440"/>
            <w:shd w:fill="FFDCE0" w:val="clear"/>
          </w:tcPr>
          <w:p>
            <w:r>
              <w:rPr>
                <w:sz w:val="17"/>
              </w:rPr>
              <w:t>2026-09-22</w:t>
            </w:r>
          </w:p>
        </w:tc>
        <w:tc>
          <w:tcPr>
            <w:tcW w:type="dxa" w:w="1440"/>
            <w:shd w:fill="FFDCE0" w:val="clear"/>
          </w:tcPr>
          <w:p>
            <w:r>
              <w:rPr>
                <w:sz w:val="17"/>
              </w:rPr>
              <w:t>3,105</w:t>
            </w:r>
          </w:p>
        </w:tc>
        <w:tc>
          <w:tcPr>
            <w:tcW w:type="dxa" w:w="1440"/>
            <w:shd w:fill="FFDCE0" w:val="clear"/>
          </w:tcPr>
          <w:p>
            <w:r>
              <w:rPr>
                <w:b/>
                <w:sz w:val="17"/>
              </w:rPr>
              <w:t>3,349</w:t>
            </w:r>
          </w:p>
        </w:tc>
        <w:tc>
          <w:tcPr>
            <w:tcW w:type="dxa" w:w="1440"/>
            <w:shd w:fill="FFDCE0" w:val="clear"/>
          </w:tcPr>
          <w:p>
            <w:r>
              <w:rPr>
                <w:sz w:val="17"/>
              </w:rPr>
              <w:t>3,593</w:t>
            </w:r>
          </w:p>
        </w:tc>
        <w:tc>
          <w:tcPr>
            <w:tcW w:type="dxa" w:w="1440"/>
            <w:shd w:fill="FFDCE0" w:val="clear"/>
          </w:tcPr>
          <w:p>
            <w:r>
              <w:rPr>
                <w:b/>
                <w:color w:val="C00000"/>
                <w:sz w:val="17"/>
              </w:rPr>
              <w:t>-4.3%</w:t>
            </w:r>
          </w:p>
        </w:tc>
      </w:tr>
      <w:tr>
        <w:tc>
          <w:tcPr>
            <w:tcW w:type="dxa" w:w="1440"/>
            <w:shd w:fill="FFDCE0" w:val="clear"/>
          </w:tcPr>
          <w:p>
            <w:r>
              <w:rPr>
                <w:sz w:val="17"/>
              </w:rPr>
              <w:t>J+8  Moyenne</w:t>
            </w:r>
          </w:p>
        </w:tc>
        <w:tc>
          <w:tcPr>
            <w:tcW w:type="dxa" w:w="1440"/>
            <w:shd w:fill="FFDCE0" w:val="clear"/>
          </w:tcPr>
          <w:p>
            <w:r>
              <w:rPr>
                <w:sz w:val="17"/>
              </w:rPr>
              <w:t>2026-09-23</w:t>
            </w:r>
          </w:p>
        </w:tc>
        <w:tc>
          <w:tcPr>
            <w:tcW w:type="dxa" w:w="1440"/>
            <w:shd w:fill="FFDCE0" w:val="clear"/>
          </w:tcPr>
          <w:p>
            <w:r>
              <w:rPr>
                <w:sz w:val="17"/>
              </w:rPr>
              <w:t>3,069</w:t>
            </w:r>
          </w:p>
        </w:tc>
        <w:tc>
          <w:tcPr>
            <w:tcW w:type="dxa" w:w="1440"/>
            <w:shd w:fill="FFDCE0" w:val="clear"/>
          </w:tcPr>
          <w:p>
            <w:r>
              <w:rPr>
                <w:b/>
                <w:sz w:val="17"/>
              </w:rPr>
              <w:t>3,329</w:t>
            </w:r>
          </w:p>
        </w:tc>
        <w:tc>
          <w:tcPr>
            <w:tcW w:type="dxa" w:w="1440"/>
            <w:shd w:fill="FFDCE0" w:val="clear"/>
          </w:tcPr>
          <w:p>
            <w:r>
              <w:rPr>
                <w:sz w:val="17"/>
              </w:rPr>
              <w:t>3,588</w:t>
            </w:r>
          </w:p>
        </w:tc>
        <w:tc>
          <w:tcPr>
            <w:tcW w:type="dxa" w:w="1440"/>
            <w:shd w:fill="FFDCE0" w:val="clear"/>
          </w:tcPr>
          <w:p>
            <w:r>
              <w:rPr>
                <w:b/>
                <w:color w:val="C00000"/>
                <w:sz w:val="17"/>
              </w:rPr>
              <w:t>-4.9%</w:t>
            </w:r>
          </w:p>
        </w:tc>
      </w:tr>
      <w:tr>
        <w:tc>
          <w:tcPr>
            <w:tcW w:type="dxa" w:w="1440"/>
            <w:shd w:fill="FFDCE0" w:val="clear"/>
          </w:tcPr>
          <w:p>
            <w:r>
              <w:rPr>
                <w:sz w:val="17"/>
              </w:rPr>
              <w:t>J+9  Moyenne</w:t>
            </w:r>
          </w:p>
        </w:tc>
        <w:tc>
          <w:tcPr>
            <w:tcW w:type="dxa" w:w="1440"/>
            <w:shd w:fill="FFDCE0" w:val="clear"/>
          </w:tcPr>
          <w:p>
            <w:r>
              <w:rPr>
                <w:sz w:val="17"/>
              </w:rPr>
              <w:t>2026-09-24</w:t>
            </w:r>
          </w:p>
        </w:tc>
        <w:tc>
          <w:tcPr>
            <w:tcW w:type="dxa" w:w="1440"/>
            <w:shd w:fill="FFDCE0" w:val="clear"/>
          </w:tcPr>
          <w:p>
            <w:r>
              <w:rPr>
                <w:sz w:val="17"/>
              </w:rPr>
              <w:t>3,035</w:t>
            </w:r>
          </w:p>
        </w:tc>
        <w:tc>
          <w:tcPr>
            <w:tcW w:type="dxa" w:w="1440"/>
            <w:shd w:fill="FFDCE0" w:val="clear"/>
          </w:tcPr>
          <w:p>
            <w:r>
              <w:rPr>
                <w:b/>
                <w:sz w:val="17"/>
              </w:rPr>
              <w:t>3,309</w:t>
            </w:r>
          </w:p>
        </w:tc>
        <w:tc>
          <w:tcPr>
            <w:tcW w:type="dxa" w:w="1440"/>
            <w:shd w:fill="FFDCE0" w:val="clear"/>
          </w:tcPr>
          <w:p>
            <w:r>
              <w:rPr>
                <w:sz w:val="17"/>
              </w:rPr>
              <w:t>3,583</w:t>
            </w:r>
          </w:p>
        </w:tc>
        <w:tc>
          <w:tcPr>
            <w:tcW w:type="dxa" w:w="1440"/>
            <w:shd w:fill="FFDCE0" w:val="clear"/>
          </w:tcPr>
          <w:p>
            <w:r>
              <w:rPr>
                <w:b/>
                <w:color w:val="C00000"/>
                <w:sz w:val="17"/>
              </w:rPr>
              <w:t>-5.5%</w:t>
            </w:r>
          </w:p>
        </w:tc>
      </w:tr>
      <w:tr>
        <w:tc>
          <w:tcPr>
            <w:tcW w:type="dxa" w:w="1440"/>
            <w:shd w:fill="FFDCE0" w:val="clear"/>
          </w:tcPr>
          <w:p>
            <w:r>
              <w:rPr>
                <w:sz w:val="17"/>
              </w:rPr>
              <w:t>J+10  Moyenne</w:t>
            </w:r>
          </w:p>
        </w:tc>
        <w:tc>
          <w:tcPr>
            <w:tcW w:type="dxa" w:w="1440"/>
            <w:shd w:fill="FFDCE0" w:val="clear"/>
          </w:tcPr>
          <w:p>
            <w:r>
              <w:rPr>
                <w:sz w:val="17"/>
              </w:rPr>
              <w:t>2026-09-25</w:t>
            </w:r>
          </w:p>
        </w:tc>
        <w:tc>
          <w:tcPr>
            <w:tcW w:type="dxa" w:w="1440"/>
            <w:shd w:fill="FFDCE0" w:val="clear"/>
          </w:tcPr>
          <w:p>
            <w:r>
              <w:rPr>
                <w:sz w:val="17"/>
              </w:rPr>
              <w:t>3,002</w:t>
            </w:r>
          </w:p>
        </w:tc>
        <w:tc>
          <w:tcPr>
            <w:tcW w:type="dxa" w:w="1440"/>
            <w:shd w:fill="FFDCE0" w:val="clear"/>
          </w:tcPr>
          <w:p>
            <w:r>
              <w:rPr>
                <w:b/>
                <w:sz w:val="17"/>
              </w:rPr>
              <w:t>3,289</w:t>
            </w:r>
          </w:p>
        </w:tc>
        <w:tc>
          <w:tcPr>
            <w:tcW w:type="dxa" w:w="1440"/>
            <w:shd w:fill="FFDCE0" w:val="clear"/>
          </w:tcPr>
          <w:p>
            <w:r>
              <w:rPr>
                <w:sz w:val="17"/>
              </w:rPr>
              <w:t>3,576</w:t>
            </w:r>
          </w:p>
        </w:tc>
        <w:tc>
          <w:tcPr>
            <w:tcW w:type="dxa" w:w="1440"/>
            <w:shd w:fill="FFDCE0" w:val="clear"/>
          </w:tcPr>
          <w:p>
            <w:r>
              <w:rPr>
                <w:b/>
                <w:color w:val="C00000"/>
                <w:sz w:val="17"/>
              </w:rPr>
              <w:t>-6.0%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20,72 milliards FCFA, CABC se positionne comme une valeur de taille moyenne sur le compartiment industriel de la BRVM, loin des poids lourds comme SONATEL mais suffisamment liquide pour intéresser les investisseurs institutionnels régionaux. Le BPA de 243 FCFA/action signifie que chaque titre génère un bénéfice net de 243 FCFA, ce qui, rapporté au cours actuel de 3 500 FCFA, donne un PER de 14,4x — soit une valorisation modérée mais légèrement supérieure à la moyenne du marché BRVM (8-12x), traduisant une prime de qualité perçue par le marché. Le P/B de 2,22x indique que le marché valorise l'entreprise à plus du double de sa valeur comptable (9,346 Mds FCFA de capitaux propres), ce qui est cohérent avec une prime de croissance accordée aux valeurs industrielles bénéficiaires. Enfin, l'EV/EBITDA de 7,3x situe la valeur d'entreprise (capitalisation + dettes nettes) à 7,3 fois la capacité opérationnelle, un niveau raisonnable qui suggère que le marché n'anticipe pas de dégradation majeure de la rentabilité opérationnelle.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CABC a enregistré une variation totale de -8,02%, avec une légère reprise de +0,57% lors de la dernière séance (J-1), signalant un possible essoufflement de la pression baissière. Le cours actuel de 3 500 FCFA se situe dans la partie basse du range de trading, le plus haut ayant atteint 4 500 FCFA et le plus bas 3 350 FCFA — soit un écart de 1 150 FCFA (34% du plus bas), ce qui témoigne d'une tendance globalement baissière sur la période, le titre ayant cédé près d'un tiers de sa valeur depuis son sommet. Les statistiques descriptives révèlent une moyenne de 3 714 FCFA supérieure à la médiane de 3 632 FCFA, avec un mode à 3 500 FCFA (cours actuel), confirmant que la distribution est tirée vers le haut par quelques séances de rebond, mais que le prix a tendance à stagner autour du niveau actuel. L'écart-type de 269 FCFA (CV=7,2%) indique une dispersion modérée du cours autour de sa moyenne, tandis que le kurtosis de 0,758 (mésokurtique) suggère une distribution proche de la normale, sans risque excessif de pics extrêmes. Le skewness de 1,103 (asymétrie positive) révèle toutefois une anomalie : bien que le cours ait chuté, la distribution présente une queue épaisse à droite, signifiant que les journées de hausse, bien que moins fréquentes, ont été plus amples que les journées de baisse — un signal potentiellement haussier. La volatilité annualisée de 48,0% classe le titre dans la catégorie des valeurs très volatiles (&gt;30%), ce qui implique un risque de perte en capital élevé à court terme, mais aussi des opportunités de trading pour les investisseurs avertis.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(3 545,75 FCFA) et la MM50 (3 690,9 FCFA) se situent toutes deux au-dessus du cours actuel (3 500 FCFA), avec la MM20 en dessous de la MM50 — configuration baissière classique. Le cours évoluant sous ses deux moyennes, la pression vendeuse reste dominante, ce qui justifie la décision technique de **Vente** émise par le système. Un retour au-dessus de la MM20 (3 545 FCFA) serait un premier signal de stabilisation.</w:t>
      </w:r>
    </w:p>
    <w:p>
      <w:pPr>
        <w:spacing w:after="120" w:line="276" w:lineRule="auto"/>
      </w:pPr>
      <w:r>
        <w:t>**Bandes de Bollinger** : Le cours actuel (3 500 FCFA) se situe à mi-chemin entre la borne inférieure (3 403,835 FCFA) et la borne supérieure (3 687,665 FCFA), légèrement en dessous de la moyenne mobile centrale (3 545,75 FCFA). Cette position médiane, couplée à un rétrécissement des bandes (largeur de 283,83 FCFA), indique une phase de consolidation avec une volatilité en compression — souvent précurseur d'un mouvement directionnel. La décision **Neutre** reflète l'absence de signal clair, le cours n'étant ni en surachat ni en survente selon ce critère.</w:t>
      </w:r>
    </w:p>
    <w:p>
      <w:pPr>
        <w:spacing w:after="120" w:line="276" w:lineRule="auto"/>
      </w:pPr>
      <w:r>
        <w:t>**MACD** : La valeur du MACD (-46,619) est supérieure à son signal (-52,595), formant un croisement haussier (MACD au-dessus du signal) bien que les deux restent en territoire négatif. Cet écart positif indique un ralentissement de la dynamique baissière et un début de retournement du momentum, justifiant la décision d'**Achat** — le marché pourrait anticiper une inversion de tendance à court terme.</w:t>
      </w:r>
    </w:p>
    <w:p>
      <w:pPr>
        <w:spacing w:after="120" w:line="276" w:lineRule="auto"/>
      </w:pPr>
      <w:r>
        <w:t>**RSI** : À 25,862, le RSI se situe largement en dessous du seuil de survente (30), signalant que le titre a été massivement vendu et pourrait être sujet à un rebond technique. La décision d'**Achat** est cohérente avec cette lecture : historiquement, un RSI aussi bas précède souvent une correction haussière à court terme, bien que la tendance de fond reste baissière.</w:t>
      </w:r>
    </w:p>
    <w:p>
      <w:pPr>
        <w:spacing w:after="120" w:line="276" w:lineRule="auto"/>
      </w:pPr>
      <w:r>
        <w:t>**Stochastique** : Le %K (14,286) est supérieur au %D (4,762), formant un croisement haussier en zone de survente extrême (les deux indicateurs étant sous 20). Cette configuration est un signal d'achat classique, suggérant que la pression vendeuse s'épuise et qu'un rebond technique est imminent. La décision d'**Achat** est donc validée par ce croisement.</w:t>
      </w:r>
    </w:p>
    <w:p>
      <w:pPr>
        <w:spacing w:after="120" w:line="276" w:lineRule="auto"/>
      </w:pPr>
      <w:r>
        <w:t>**Conclusion technique** : Les indicateurs techniques présentent une divergence intéressante : les moyennes mobiles et les bandes de Bollinger confirment une tendance baissière de fond (cours sous MM20/MM50, décision Neutre/Vente), tandis que le MACD, le RSI et le Stochastique émettent des signaux d'achat en zone de survente. Cette configuration suggère que le titre est survendu à court terme et qu'un rebond technique est probable, mais que la tendance baissière n'est pas encore invalidée. La prudence reste de mise tant que le cours n'aura pas reconquis la MM20 (3 545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(source : brvm_donnees_financieres) révèlent une entreprise industrielle solide mais confrontée à des défis de trésorerie. Le chiffre d'affaires s'établit à 21,263 Mds FCFA en 2025, en croissance de 11,18% par rapport à 2024, confirmant la dynamique commerciale positive observée depuis 2023. Le résultat net atteint 1,439 Mds FCFA, soit une marge nette de 6,77%, en amélioration par rapport aux 6,4% de 2024. Le ROE de 15,40% (rentabilité des fonds propres) et le ROA de 6,10% (rentabilité des actifs) témoignent d'une bonne efficacité dans l'utilisation des ressources, le ROE dépassant le seuil des 15% considéré comme excellent. Cependant, l'analyse du bilan révèle des tensions : le BFR (Besoin en Fonds de Roulement) s'élève à 7,186 Mds FCFA, avec des délais clients de 144,69 jours et une durée de stockage de 152,12 jours — des niveaux élevés qui immobilisent du capital et exposent l'entreprise à un risque de trésorerie. Le flux opérationnel est négatif (-819,66 M FCFA) et le Free Cash Flow s'établit à -982,71 M FCFA, malgré une CAF positive de 1,593 Mds FCFA. La structure financière reste saine : l'autonomie financière de 39,58% (&gt;30% = sain), la liquidité générale de 242,60% (&gt;1 = bon) et la solvabilité générale de 165,52% (&gt;1 = solvable) indiquent une capacité de remboursement correcte, avec un ratio de dépendance financière très faible (4,47%). Les rapports narratifs confirment cette analyse : le rapport du 3ème trimestre 2025 (daté du 30/09/2025) indique un CA cumulé de 16 630 M FCFA (+13,7%) et un résultat net de 1 329,5 M FCFA (+26,0%), avec une marge nette de 8,0% — en amélioration par rapport aux 7,2% de la même période en 2024. Le rapport du 1er semestre 2025 (daté du 30/06/2025) faisait état d'un résultat net de 851,5 M FCFA (+55,3%) et d'une marge nette de 7,9%, porté par la hausse des cours des métaux et une meilleure composition des ventes. Toutefois, le rapport du T1 2026 (daté de 2026) signale une dégradation temporaire : CA en baisse de 26,5% à 3 794 M FCFA, perte d'exploitation de 237 M FCFA et résultat net déficitaire de 222 M FCFA, en raison d'une maintenance planifiée du parc machines et de l'inflation des cours des métaux (+23% en 3 mois). La direction anticipe une normalisation dès le T2 2026. Sur la base de ces éléments, on estime que l'exercice 2026 devrait être marqué par une reprise progressive, avec un CA annuel projeté autour de 22-23 Mds FCFA si la normalisation se confirme, et un résultat net qui pourrait retrouver le niveau de 2025 (1,4 Md FCFA) voire le dépasser. La recommandation fondamentale est de **Conserver** le titre : l'entreprise est solide (ROE &gt;15%, structure financière saine), mais les tensions de trésorerie (BFR élevé, flux opérationnel négatif) et la volatilité des matières premières nécessitent une surveillance active. Les risques principaux incluent la dépendance aux cours du cuivre et de l'aluminium, la concurrence des importations asiatiques, et le risque de crédit client (provision de 490 M FCFA en 2024 pour créance douteuse).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recommandation de **CONSERVER** avec un niveau de confiance **Moyen** et un risque global **Élevé**. La valorisation (Partie 0) est modérée : le PER de 14,4x est légèrement supérieur à la moyenne du marché BRVM, mais le P/B de 2,22x et l'EV/EBITDA de 7,3x restent raisonnables pour une entreprise bénéficiaire avec un ROE de 15,4%. Le comportement du cours (Partie 1) est préoccupant : la tendance baissière (-8,02% sur 100 jours) et la volatilité élevée (48%) indiquent un risque de perte en capital, bien que le skewness positif (1,103) suggère que les rebonds pourraient être amples. Les signaux techniques (Partie 2) sont divergents : les moyennes mobiles et les bandes de Bollinger confirment la tendance baissière, tandis que le MACD, le RSI (25,86) et le Stochastique émettent des signaux d'achat en zone de survente — un rebond technique est probable à court terme, mais la tendance de fond reste fragile. Les fondamentaux (Partie 3) sont solides mais entachés de tensions de trésorerie : CA en croissance (+11,18% en 2025), résultat net de 1,439 Md FCFA, ROE de 15,40%, mais BFR élevé (7,186 Mds FCFA) et flux opérationnel négatif (-819,66 M FCFA). Les prédictions IA (J+1 à J+10) anticipent une poursuite de la baisse, avec un cours cible de 3 391 FCFA à J+10 (soit -3,1% par rapport au cours actuel de 3 500 FCFA), ce qui contredit les signaux d'achat techniques à court terme mais confirme la tendance baissière de fond. La convergence entre la prédiction IA (baisse) et les moyennes mobiles (vente) l'emporte sur les signaux de survente (RSI, Stochastique), suggérant que le rebond technique pourrait être de courte durée. **Recommandation finale : CONSERVER** — les investisseurs déjà positionnés peuvent maintenir leur exposition en surveillant la reconquête de la MM20 (3 545 FCFA) comme signal de retournement, tandis que les nouveaux entrants devraient attendre une stabilisation du cours et une confirmation de la normalisation des performances au T2 2026. L'horizon d'investissement optimal est le **moyen terme (3-12 mois)**, le temps que les tensions de trésorerie se résorbent et que la croissance du CA se traduise par une amélioration durable des marges.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1097.60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1,482 titres</w:t>
            </w:r>
          </w:p>
        </w:tc>
        <w:tc>
          <w:tcPr>
            <w:tcW w:type="dxa" w:w="2268"/>
            <w:shd w:fill="FFF2CC" w:val="clear"/>
          </w:tcPr>
          <w:p>
            <w:r>
              <w:rPr>
                <w:b/>
                <w:color w:val="503200"/>
                <w:sz w:val="16"/>
              </w:rPr>
              <w:t xml:space="preserve">Cours actuel : </w:t>
            </w:r>
            <w:r>
              <w:rPr>
                <w:color w:val="000000"/>
                <w:sz w:val="17"/>
              </w:rPr>
              <w:t>34,300 FCFA</w:t>
            </w:r>
          </w:p>
          <w:p>
            <w:r>
              <w:rPr>
                <w:b/>
                <w:color w:val="503200"/>
                <w:sz w:val="16"/>
              </w:rPr>
              <w:t xml:space="preserve">Var. 100 jours : </w:t>
            </w:r>
            <w:r>
              <w:rPr>
                <w:b/>
                <w:color w:val="007800"/>
                <w:sz w:val="17"/>
              </w:rPr>
              <w:t>+104.11%</w:t>
            </w:r>
          </w:p>
          <w:p>
            <w:r>
              <w:rPr>
                <w:b/>
                <w:color w:val="503200"/>
                <w:sz w:val="16"/>
              </w:rPr>
              <w:t xml:space="preserve">Plus haut 100j : </w:t>
            </w:r>
            <w:r>
              <w:rPr>
                <w:color w:val="000000"/>
                <w:sz w:val="17"/>
              </w:rPr>
              <w:t>34,300 FCFA</w:t>
            </w:r>
          </w:p>
          <w:p>
            <w:r>
              <w:rPr>
                <w:b/>
                <w:color w:val="503200"/>
                <w:sz w:val="16"/>
              </w:rPr>
              <w:t xml:space="preserve">Plus bas 100j : </w:t>
            </w:r>
            <w:r>
              <w:rPr>
                <w:color w:val="000000"/>
                <w:sz w:val="17"/>
              </w:rPr>
              <w:t>15,600 FCFA</w:t>
            </w:r>
          </w:p>
          <w:p>
            <w:r>
              <w:rPr>
                <w:b/>
                <w:color w:val="503200"/>
                <w:sz w:val="16"/>
              </w:rPr>
              <w:t xml:space="preserve">Volatilité ann. : </w:t>
            </w:r>
            <w:r>
              <w:rPr>
                <w:color w:val="000000"/>
                <w:sz w:val="17"/>
              </w:rPr>
              <w:t>42.0%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21.28% (Élevée) — μ=24,411 FCFA, σ=5,196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β=1.0521 (Neutre (suit le marché)) — Cov=0.000037, Var(idx)=0.000035, ρ=0.233,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1,482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σ_j=2.65%/j (Stable) — Vol. annualisée≈42.0%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2026-09-14</w:t>
            </w:r>
          </w:p>
        </w:tc>
        <w:tc>
          <w:tcPr>
            <w:tcW w:type="dxa" w:w="1440"/>
            <w:shd w:fill="FFDCE0" w:val="clear"/>
          </w:tcPr>
          <w:p>
            <w:r>
              <w:rPr>
                <w:sz w:val="17"/>
              </w:rPr>
              <w:t>30,832</w:t>
            </w:r>
          </w:p>
        </w:tc>
        <w:tc>
          <w:tcPr>
            <w:tcW w:type="dxa" w:w="1440"/>
            <w:shd w:fill="FFDCE0" w:val="clear"/>
          </w:tcPr>
          <w:p>
            <w:r>
              <w:rPr>
                <w:b/>
                <w:sz w:val="17"/>
              </w:rPr>
              <w:t>31,728</w:t>
            </w:r>
          </w:p>
        </w:tc>
        <w:tc>
          <w:tcPr>
            <w:tcW w:type="dxa" w:w="1440"/>
            <w:shd w:fill="FFDCE0" w:val="clear"/>
          </w:tcPr>
          <w:p>
            <w:r>
              <w:rPr>
                <w:sz w:val="17"/>
              </w:rPr>
              <w:t>32,623</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2026-09-15</w:t>
            </w:r>
          </w:p>
        </w:tc>
        <w:tc>
          <w:tcPr>
            <w:tcW w:type="dxa" w:w="1440"/>
            <w:shd w:fill="FFDCE0" w:val="clear"/>
          </w:tcPr>
          <w:p>
            <w:r>
              <w:rPr>
                <w:sz w:val="17"/>
              </w:rPr>
              <w:t>29,045</w:t>
            </w:r>
          </w:p>
        </w:tc>
        <w:tc>
          <w:tcPr>
            <w:tcW w:type="dxa" w:w="1440"/>
            <w:shd w:fill="FFDCE0" w:val="clear"/>
          </w:tcPr>
          <w:p>
            <w:r>
              <w:rPr>
                <w:b/>
                <w:sz w:val="17"/>
              </w:rPr>
              <w:t>30,252</w:t>
            </w:r>
          </w:p>
        </w:tc>
        <w:tc>
          <w:tcPr>
            <w:tcW w:type="dxa" w:w="1440"/>
            <w:shd w:fill="FFDCE0" w:val="clear"/>
          </w:tcPr>
          <w:p>
            <w:r>
              <w:rPr>
                <w:sz w:val="17"/>
              </w:rPr>
              <w:t>31,460</w:t>
            </w:r>
          </w:p>
        </w:tc>
        <w:tc>
          <w:tcPr>
            <w:tcW w:type="dxa" w:w="1440"/>
            <w:shd w:fill="FFDCE0" w:val="clear"/>
          </w:tcPr>
          <w:p>
            <w:r>
              <w:rPr>
                <w:b/>
                <w:color w:val="C00000"/>
                <w:sz w:val="17"/>
              </w:rPr>
              <w:t>-11.8%</w:t>
            </w:r>
          </w:p>
        </w:tc>
      </w:tr>
      <w:tr>
        <w:tc>
          <w:tcPr>
            <w:tcW w:type="dxa" w:w="1440"/>
            <w:shd w:fill="FFDCE0" w:val="clear"/>
          </w:tcPr>
          <w:p>
            <w:r>
              <w:rPr>
                <w:sz w:val="17"/>
              </w:rPr>
              <w:t>J+3  ⭐⭐⭐</w:t>
            </w:r>
          </w:p>
        </w:tc>
        <w:tc>
          <w:tcPr>
            <w:tcW w:type="dxa" w:w="1440"/>
            <w:shd w:fill="FFDCE0" w:val="clear"/>
          </w:tcPr>
          <w:p>
            <w:r>
              <w:rPr>
                <w:sz w:val="17"/>
              </w:rPr>
              <w:t>2026-09-16</w:t>
            </w:r>
          </w:p>
        </w:tc>
        <w:tc>
          <w:tcPr>
            <w:tcW w:type="dxa" w:w="1440"/>
            <w:shd w:fill="FFDCE0" w:val="clear"/>
          </w:tcPr>
          <w:p>
            <w:r>
              <w:rPr>
                <w:sz w:val="17"/>
              </w:rPr>
              <w:t>28,351</w:t>
            </w:r>
          </w:p>
        </w:tc>
        <w:tc>
          <w:tcPr>
            <w:tcW w:type="dxa" w:w="1440"/>
            <w:shd w:fill="FFDCE0" w:val="clear"/>
          </w:tcPr>
          <w:p>
            <w:r>
              <w:rPr>
                <w:b/>
                <w:sz w:val="17"/>
              </w:rPr>
              <w:t>29,808</w:t>
            </w:r>
          </w:p>
        </w:tc>
        <w:tc>
          <w:tcPr>
            <w:tcW w:type="dxa" w:w="1440"/>
            <w:shd w:fill="FFDCE0" w:val="clear"/>
          </w:tcPr>
          <w:p>
            <w:r>
              <w:rPr>
                <w:sz w:val="17"/>
              </w:rPr>
              <w:t>31,265</w:t>
            </w:r>
          </w:p>
        </w:tc>
        <w:tc>
          <w:tcPr>
            <w:tcW w:type="dxa" w:w="1440"/>
            <w:shd w:fill="FFDCE0" w:val="clear"/>
          </w:tcPr>
          <w:p>
            <w:r>
              <w:rPr>
                <w:b/>
                <w:color w:val="C00000"/>
                <w:sz w:val="17"/>
              </w:rPr>
              <w:t>-13.1%</w:t>
            </w:r>
          </w:p>
        </w:tc>
      </w:tr>
      <w:tr>
        <w:tc>
          <w:tcPr>
            <w:tcW w:type="dxa" w:w="1440"/>
            <w:shd w:fill="FFDCE0" w:val="clear"/>
          </w:tcPr>
          <w:p>
            <w:r>
              <w:rPr>
                <w:sz w:val="17"/>
              </w:rPr>
              <w:t>J+4  Moyenne</w:t>
            </w:r>
          </w:p>
        </w:tc>
        <w:tc>
          <w:tcPr>
            <w:tcW w:type="dxa" w:w="1440"/>
            <w:shd w:fill="FFDCE0" w:val="clear"/>
          </w:tcPr>
          <w:p>
            <w:r>
              <w:rPr>
                <w:sz w:val="17"/>
              </w:rPr>
              <w:t>2026-09-17</w:t>
            </w:r>
          </w:p>
        </w:tc>
        <w:tc>
          <w:tcPr>
            <w:tcW w:type="dxa" w:w="1440"/>
            <w:shd w:fill="FFDCE0" w:val="clear"/>
          </w:tcPr>
          <w:p>
            <w:r>
              <w:rPr>
                <w:sz w:val="17"/>
              </w:rPr>
              <w:t>27,864</w:t>
            </w:r>
          </w:p>
        </w:tc>
        <w:tc>
          <w:tcPr>
            <w:tcW w:type="dxa" w:w="1440"/>
            <w:shd w:fill="FFDCE0" w:val="clear"/>
          </w:tcPr>
          <w:p>
            <w:r>
              <w:rPr>
                <w:b/>
                <w:sz w:val="17"/>
              </w:rPr>
              <w:t>29,531</w:t>
            </w:r>
          </w:p>
        </w:tc>
        <w:tc>
          <w:tcPr>
            <w:tcW w:type="dxa" w:w="1440"/>
            <w:shd w:fill="FFDCE0" w:val="clear"/>
          </w:tcPr>
          <w:p>
            <w:r>
              <w:rPr>
                <w:sz w:val="17"/>
              </w:rPr>
              <w:t>31,198</w:t>
            </w:r>
          </w:p>
        </w:tc>
        <w:tc>
          <w:tcPr>
            <w:tcW w:type="dxa" w:w="1440"/>
            <w:shd w:fill="FFDCE0" w:val="clear"/>
          </w:tcPr>
          <w:p>
            <w:r>
              <w:rPr>
                <w:b/>
                <w:color w:val="C00000"/>
                <w:sz w:val="17"/>
              </w:rPr>
              <w:t>-13.9%</w:t>
            </w:r>
          </w:p>
        </w:tc>
      </w:tr>
      <w:tr>
        <w:tc>
          <w:tcPr>
            <w:tcW w:type="dxa" w:w="1440"/>
            <w:shd w:fill="FFDCE0" w:val="clear"/>
          </w:tcPr>
          <w:p>
            <w:r>
              <w:rPr>
                <w:sz w:val="17"/>
              </w:rPr>
              <w:t>J+5  Moyenne</w:t>
            </w:r>
          </w:p>
        </w:tc>
        <w:tc>
          <w:tcPr>
            <w:tcW w:type="dxa" w:w="1440"/>
            <w:shd w:fill="FFDCE0" w:val="clear"/>
          </w:tcPr>
          <w:p>
            <w:r>
              <w:rPr>
                <w:sz w:val="17"/>
              </w:rPr>
              <w:t>2026-09-18</w:t>
            </w:r>
          </w:p>
        </w:tc>
        <w:tc>
          <w:tcPr>
            <w:tcW w:type="dxa" w:w="1440"/>
            <w:shd w:fill="FFDCE0" w:val="clear"/>
          </w:tcPr>
          <w:p>
            <w:r>
              <w:rPr>
                <w:sz w:val="17"/>
              </w:rPr>
              <w:t>27,433</w:t>
            </w:r>
          </w:p>
        </w:tc>
        <w:tc>
          <w:tcPr>
            <w:tcW w:type="dxa" w:w="1440"/>
            <w:shd w:fill="FFDCE0" w:val="clear"/>
          </w:tcPr>
          <w:p>
            <w:r>
              <w:rPr>
                <w:b/>
                <w:sz w:val="17"/>
              </w:rPr>
              <w:t>29,281</w:t>
            </w:r>
          </w:p>
        </w:tc>
        <w:tc>
          <w:tcPr>
            <w:tcW w:type="dxa" w:w="1440"/>
            <w:shd w:fill="FFDCE0" w:val="clear"/>
          </w:tcPr>
          <w:p>
            <w:r>
              <w:rPr>
                <w:sz w:val="17"/>
              </w:rPr>
              <w:t>31,129</w:t>
            </w:r>
          </w:p>
        </w:tc>
        <w:tc>
          <w:tcPr>
            <w:tcW w:type="dxa" w:w="1440"/>
            <w:shd w:fill="FFDCE0" w:val="clear"/>
          </w:tcPr>
          <w:p>
            <w:r>
              <w:rPr>
                <w:b/>
                <w:color w:val="C00000"/>
                <w:sz w:val="17"/>
              </w:rPr>
              <w:t>-14.6%</w:t>
            </w:r>
          </w:p>
        </w:tc>
      </w:tr>
      <w:tr>
        <w:tc>
          <w:tcPr>
            <w:tcW w:type="dxa" w:w="1440"/>
            <w:shd w:fill="FFDCE0" w:val="clear"/>
          </w:tcPr>
          <w:p>
            <w:r>
              <w:rPr>
                <w:sz w:val="17"/>
              </w:rPr>
              <w:t>J+6  Moyenne</w:t>
            </w:r>
          </w:p>
        </w:tc>
        <w:tc>
          <w:tcPr>
            <w:tcW w:type="dxa" w:w="1440"/>
            <w:shd w:fill="FFDCE0" w:val="clear"/>
          </w:tcPr>
          <w:p>
            <w:r>
              <w:rPr>
                <w:sz w:val="17"/>
              </w:rPr>
              <w:t>2026-09-21</w:t>
            </w:r>
          </w:p>
        </w:tc>
        <w:tc>
          <w:tcPr>
            <w:tcW w:type="dxa" w:w="1440"/>
            <w:shd w:fill="FFDCE0" w:val="clear"/>
          </w:tcPr>
          <w:p>
            <w:r>
              <w:rPr>
                <w:sz w:val="17"/>
              </w:rPr>
              <w:t>27,063</w:t>
            </w:r>
          </w:p>
        </w:tc>
        <w:tc>
          <w:tcPr>
            <w:tcW w:type="dxa" w:w="1440"/>
            <w:shd w:fill="FFDCE0" w:val="clear"/>
          </w:tcPr>
          <w:p>
            <w:r>
              <w:rPr>
                <w:b/>
                <w:sz w:val="17"/>
              </w:rPr>
              <w:t>29,073</w:t>
            </w:r>
          </w:p>
        </w:tc>
        <w:tc>
          <w:tcPr>
            <w:tcW w:type="dxa" w:w="1440"/>
            <w:shd w:fill="FFDCE0" w:val="clear"/>
          </w:tcPr>
          <w:p>
            <w:r>
              <w:rPr>
                <w:sz w:val="17"/>
              </w:rPr>
              <w:t>31,083</w:t>
            </w:r>
          </w:p>
        </w:tc>
        <w:tc>
          <w:tcPr>
            <w:tcW w:type="dxa" w:w="1440"/>
            <w:shd w:fill="FFDCE0" w:val="clear"/>
          </w:tcPr>
          <w:p>
            <w:r>
              <w:rPr>
                <w:b/>
                <w:color w:val="C00000"/>
                <w:sz w:val="17"/>
              </w:rPr>
              <w:t>-15.2%</w:t>
            </w:r>
          </w:p>
        </w:tc>
      </w:tr>
      <w:tr>
        <w:tc>
          <w:tcPr>
            <w:tcW w:type="dxa" w:w="1440"/>
            <w:shd w:fill="FFDCE0" w:val="clear"/>
          </w:tcPr>
          <w:p>
            <w:r>
              <w:rPr>
                <w:sz w:val="17"/>
              </w:rPr>
              <w:t>J+7  Moyenne</w:t>
            </w:r>
          </w:p>
        </w:tc>
        <w:tc>
          <w:tcPr>
            <w:tcW w:type="dxa" w:w="1440"/>
            <w:shd w:fill="FFDCE0" w:val="clear"/>
          </w:tcPr>
          <w:p>
            <w:r>
              <w:rPr>
                <w:sz w:val="17"/>
              </w:rPr>
              <w:t>2026-09-22</w:t>
            </w:r>
          </w:p>
        </w:tc>
        <w:tc>
          <w:tcPr>
            <w:tcW w:type="dxa" w:w="1440"/>
            <w:shd w:fill="FFDCE0" w:val="clear"/>
          </w:tcPr>
          <w:p>
            <w:r>
              <w:rPr>
                <w:sz w:val="17"/>
              </w:rPr>
              <w:t>26,741</w:t>
            </w:r>
          </w:p>
        </w:tc>
        <w:tc>
          <w:tcPr>
            <w:tcW w:type="dxa" w:w="1440"/>
            <w:shd w:fill="FFDCE0" w:val="clear"/>
          </w:tcPr>
          <w:p>
            <w:r>
              <w:rPr>
                <w:b/>
                <w:sz w:val="17"/>
              </w:rPr>
              <w:t>28,899</w:t>
            </w:r>
          </w:p>
        </w:tc>
        <w:tc>
          <w:tcPr>
            <w:tcW w:type="dxa" w:w="1440"/>
            <w:shd w:fill="FFDCE0" w:val="clear"/>
          </w:tcPr>
          <w:p>
            <w:r>
              <w:rPr>
                <w:sz w:val="17"/>
              </w:rPr>
              <w:t>31,057</w:t>
            </w:r>
          </w:p>
        </w:tc>
        <w:tc>
          <w:tcPr>
            <w:tcW w:type="dxa" w:w="1440"/>
            <w:shd w:fill="FFDCE0" w:val="clear"/>
          </w:tcPr>
          <w:p>
            <w:r>
              <w:rPr>
                <w:b/>
                <w:color w:val="C00000"/>
                <w:sz w:val="17"/>
              </w:rPr>
              <w:t>-15.7%</w:t>
            </w:r>
          </w:p>
        </w:tc>
      </w:tr>
      <w:tr>
        <w:tc>
          <w:tcPr>
            <w:tcW w:type="dxa" w:w="1440"/>
            <w:shd w:fill="FFDCE0" w:val="clear"/>
          </w:tcPr>
          <w:p>
            <w:r>
              <w:rPr>
                <w:sz w:val="17"/>
              </w:rPr>
              <w:t>J+8  Moyenne</w:t>
            </w:r>
          </w:p>
        </w:tc>
        <w:tc>
          <w:tcPr>
            <w:tcW w:type="dxa" w:w="1440"/>
            <w:shd w:fill="FFDCE0" w:val="clear"/>
          </w:tcPr>
          <w:p>
            <w:r>
              <w:rPr>
                <w:sz w:val="17"/>
              </w:rPr>
              <w:t>2026-09-23</w:t>
            </w:r>
          </w:p>
        </w:tc>
        <w:tc>
          <w:tcPr>
            <w:tcW w:type="dxa" w:w="1440"/>
            <w:shd w:fill="FFDCE0" w:val="clear"/>
          </w:tcPr>
          <w:p>
            <w:r>
              <w:rPr>
                <w:sz w:val="17"/>
              </w:rPr>
              <w:t>26,455</w:t>
            </w:r>
          </w:p>
        </w:tc>
        <w:tc>
          <w:tcPr>
            <w:tcW w:type="dxa" w:w="1440"/>
            <w:shd w:fill="FFDCE0" w:val="clear"/>
          </w:tcPr>
          <w:p>
            <w:r>
              <w:rPr>
                <w:b/>
                <w:sz w:val="17"/>
              </w:rPr>
              <w:t>28,750</w:t>
            </w:r>
          </w:p>
        </w:tc>
        <w:tc>
          <w:tcPr>
            <w:tcW w:type="dxa" w:w="1440"/>
            <w:shd w:fill="FFDCE0" w:val="clear"/>
          </w:tcPr>
          <w:p>
            <w:r>
              <w:rPr>
                <w:sz w:val="17"/>
              </w:rPr>
              <w:t>31,046</w:t>
            </w:r>
          </w:p>
        </w:tc>
        <w:tc>
          <w:tcPr>
            <w:tcW w:type="dxa" w:w="1440"/>
            <w:shd w:fill="FFDCE0" w:val="clear"/>
          </w:tcPr>
          <w:p>
            <w:r>
              <w:rPr>
                <w:b/>
                <w:color w:val="C00000"/>
                <w:sz w:val="17"/>
              </w:rPr>
              <w:t>-16.2%</w:t>
            </w:r>
          </w:p>
        </w:tc>
      </w:tr>
      <w:tr>
        <w:tc>
          <w:tcPr>
            <w:tcW w:type="dxa" w:w="1440"/>
            <w:shd w:fill="FFDCE0" w:val="clear"/>
          </w:tcPr>
          <w:p>
            <w:r>
              <w:rPr>
                <w:sz w:val="17"/>
              </w:rPr>
              <w:t>J+9  Moyenne</w:t>
            </w:r>
          </w:p>
        </w:tc>
        <w:tc>
          <w:tcPr>
            <w:tcW w:type="dxa" w:w="1440"/>
            <w:shd w:fill="FFDCE0" w:val="clear"/>
          </w:tcPr>
          <w:p>
            <w:r>
              <w:rPr>
                <w:sz w:val="17"/>
              </w:rPr>
              <w:t>2026-09-24</w:t>
            </w:r>
          </w:p>
        </w:tc>
        <w:tc>
          <w:tcPr>
            <w:tcW w:type="dxa" w:w="1440"/>
            <w:shd w:fill="FFDCE0" w:val="clear"/>
          </w:tcPr>
          <w:p>
            <w:r>
              <w:rPr>
                <w:sz w:val="17"/>
              </w:rPr>
              <w:t>26,198</w:t>
            </w:r>
          </w:p>
        </w:tc>
        <w:tc>
          <w:tcPr>
            <w:tcW w:type="dxa" w:w="1440"/>
            <w:shd w:fill="FFDCE0" w:val="clear"/>
          </w:tcPr>
          <w:p>
            <w:r>
              <w:rPr>
                <w:b/>
                <w:sz w:val="17"/>
              </w:rPr>
              <w:t>28,621</w:t>
            </w:r>
          </w:p>
        </w:tc>
        <w:tc>
          <w:tcPr>
            <w:tcW w:type="dxa" w:w="1440"/>
            <w:shd w:fill="FFDCE0" w:val="clear"/>
          </w:tcPr>
          <w:p>
            <w:r>
              <w:rPr>
                <w:sz w:val="17"/>
              </w:rPr>
              <w:t>31,045</w:t>
            </w:r>
          </w:p>
        </w:tc>
        <w:tc>
          <w:tcPr>
            <w:tcW w:type="dxa" w:w="1440"/>
            <w:shd w:fill="FFDCE0" w:val="clear"/>
          </w:tcPr>
          <w:p>
            <w:r>
              <w:rPr>
                <w:b/>
                <w:color w:val="C00000"/>
                <w:sz w:val="17"/>
              </w:rPr>
              <w:t>-16.6%</w:t>
            </w:r>
          </w:p>
        </w:tc>
      </w:tr>
      <w:tr>
        <w:tc>
          <w:tcPr>
            <w:tcW w:type="dxa" w:w="1440"/>
            <w:shd w:fill="FFDCE0" w:val="clear"/>
          </w:tcPr>
          <w:p>
            <w:r>
              <w:rPr>
                <w:sz w:val="17"/>
              </w:rPr>
              <w:t>J+10  Moyenne</w:t>
            </w:r>
          </w:p>
        </w:tc>
        <w:tc>
          <w:tcPr>
            <w:tcW w:type="dxa" w:w="1440"/>
            <w:shd w:fill="FFDCE0" w:val="clear"/>
          </w:tcPr>
          <w:p>
            <w:r>
              <w:rPr>
                <w:sz w:val="17"/>
              </w:rPr>
              <w:t>2026-09-25</w:t>
            </w:r>
          </w:p>
        </w:tc>
        <w:tc>
          <w:tcPr>
            <w:tcW w:type="dxa" w:w="1440"/>
            <w:shd w:fill="FFDCE0" w:val="clear"/>
          </w:tcPr>
          <w:p>
            <w:r>
              <w:rPr>
                <w:sz w:val="17"/>
              </w:rPr>
              <w:t>25,963</w:t>
            </w:r>
          </w:p>
        </w:tc>
        <w:tc>
          <w:tcPr>
            <w:tcW w:type="dxa" w:w="1440"/>
            <w:shd w:fill="FFDCE0" w:val="clear"/>
          </w:tcPr>
          <w:p>
            <w:r>
              <w:rPr>
                <w:b/>
                <w:sz w:val="17"/>
              </w:rPr>
              <w:t>28,507</w:t>
            </w:r>
          </w:p>
        </w:tc>
        <w:tc>
          <w:tcPr>
            <w:tcW w:type="dxa" w:w="1440"/>
            <w:shd w:fill="FFDCE0" w:val="clear"/>
          </w:tcPr>
          <w:p>
            <w:r>
              <w:rPr>
                <w:sz w:val="17"/>
              </w:rPr>
              <w:t>31,052</w:t>
            </w:r>
          </w:p>
        </w:tc>
        <w:tc>
          <w:tcPr>
            <w:tcW w:type="dxa" w:w="1440"/>
            <w:shd w:fill="FFDCE0" w:val="clear"/>
          </w:tcPr>
          <w:p>
            <w:r>
              <w:rPr>
                <w:b/>
                <w:color w:val="C00000"/>
                <w:sz w:val="17"/>
              </w:rPr>
              <w:t>-16.9%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 📊 RAPPORT D'ANALYSE FINANCIÈRE — CORIS BANK INTERNATIONAL (CBIBF)</w:t>
        <w:br/>
        <w:t>**Bourse Régionale des Valeurs Mobilières (BRVM) — Secteur : Banque**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**1 097,60 milliards FCFA**, CBIBF s'impose comme l'une des plus grandes capitalisations de la BRVM, ce qui en fait un titre de premier plan pour les investisseurs institutionnels régionaux. Le **BPA de 2 047 FCFA/action** traduit une rentabilité par titre solide, cohérente avec un résultat net 2025 de 65,5 milliards FCFA. Le **PER de 16,8x** se situe nettement au-dessus de la moyenne BRVM (~8-12x), signalant que le marché intègre déjà une prime de croissance et de qualité — la valorisation n'est donc pas bon marché mais reste défendable au vu de la dynamique bénéficiaire (+36,6% en 2025). L'**EV/EBITDA de 12,4x**, dans la fourchette haute (10-15x), confirme cette appréciation généreuse de la capacité opérationnelle. Le ratio P/B n'étant pas fourni dans les données, il n'est pas commenté ici.</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CBIBF a enregistré une **progression spectaculaire de +104,11%**, avec une dernière séance encore positive de **+2,08%**, portant le cours à **34 300 FCFA** — soit exactement son plus haut de période, contre un plus bas de 15 600 FCFA : le titre évolue donc en sommet de range, ce qui traduit une tendance franchement haussière et un momentum acheteur intact. La moyenne (24 411 FCFA) est légèrement supérieure à la médiane (23 955 FCFA), écart modeste qui indique une distribution quasi symétrique, confirmée par un **skewness de -0,046** (distribution symétrique, sans biais directionnel marqué). L'**écart-type de 5 222 FCFA (CV = 21,4%)** révèle une dispersion modérée du cours autour de sa moyenne, tandis que le **kurtosis de -1,082 (platykurtique)** signale une distribution aplatie, donc un risque de pics extrêmes plus faible qu'une loi normale — élément rassurant pour la gestion du risque. Enfin, la **volatilité annualisée de 42,0%** classe le titre dans la catégorie **élevée (&gt;30%)**, ce qui est cohérent avec le doublement du cours en trois mois et impose une gestion prudente des points d'entrée.</w:t>
      </w:r>
    </w:p>
    <w:p>
      <w:pPr>
        <w:spacing w:after="120" w:line="276" w:lineRule="auto"/>
      </w:pPr>
      <w:r>
        <w:t>---</w:t>
      </w:r>
    </w:p>
    <w:p>
      <w:pPr>
        <w:spacing w:after="120" w:line="276" w:lineRule="auto"/>
      </w:pPr>
      <w:r>
        <w:t>## PARTIE 2 : ANALYSE TECHNIQUE DÉTAILLÉE</w:t>
      </w:r>
    </w:p>
    <w:p>
      <w:pPr>
        <w:spacing w:after="120" w:line="276" w:lineRule="auto"/>
      </w:pPr>
      <w:r>
        <w:t>**Moyennes Mobiles** : La MM20 (30 870,5 FCFA) et la MM50 (28 983,4 FCFA) sont toutes deux nettement inférieures au cours actuel (34 300 FCFA), et la MM20 surplombe la MM50 — configuration haussière classique en « golden cross ». Le signal **Achat** est donc confirmé par la structure des moyennes.</w:t>
      </w:r>
    </w:p>
    <w:p>
      <w:pPr>
        <w:spacing w:after="120" w:line="276" w:lineRule="auto"/>
      </w:pPr>
      <w:r>
        <w:t>**Bandes de Bollinger** : Le cours (34 300 FCFA) évolue dans la partie haute du canal, proche de la borne supérieure (35 189,67 FCFA) et très au-dessus de la borne inférieure (26 551,33 FCFA). Le titre reste dans le canal sans breakout, d'où une décision **Neutre** : la volatilité est contenue mais le potentiel de hausse immédiat se réduit à mesure qu'on approche la borne haute.</w:t>
      </w:r>
    </w:p>
    <w:p>
      <w:pPr>
        <w:spacing w:after="120" w:line="276" w:lineRule="auto"/>
      </w:pPr>
      <w:r>
        <w:t>**MACD** : La ligne MACD (1 586,42) est supérieure à sa ligne de signal (1 312,34), avec un histogramme positif — le momentum haussier est intact et soutenu. La décision **Achat** est cohérente avec cette dynamique positive.</w:t>
      </w:r>
    </w:p>
    <w:p>
      <w:pPr>
        <w:spacing w:after="120" w:line="276" w:lineRule="auto"/>
      </w:pPr>
      <w:r>
        <w:t>**RSI** : À **79,86**, le RSI franchit largement le seuil de surachat (70), signalant un essoufflement potentiel de la tendance à court terme. La décision **Vente** reflète ce risque de correction technique après la forte hausse.</w:t>
      </w:r>
    </w:p>
    <w:p>
      <w:pPr>
        <w:spacing w:after="120" w:line="276" w:lineRule="auto"/>
      </w:pPr>
      <w:r>
        <w:t>**Stochastique** : %K et %D sont tous deux à **100,0**, en zone extrême de surachat, sans croisement baissier pour l'instant mais avec un potentiel de retournement élevé. La décision **Vente** est cohérente avec cette configuration.</w:t>
      </w:r>
    </w:p>
    <w:p>
      <w:pPr>
        <w:spacing w:after="120" w:line="276" w:lineRule="auto"/>
      </w:pPr>
      <w:r>
        <w:t>**Conclusion technique** : Les indicateurs de tendance (MM, MACD) restent haussiers et confirment la solidité du mouvement, mais les oscillateurs (RSI à 79,9 et Stochastique à 100) sont en surachat extrême et plaident pour une prise de profit ou une attente de repli. La convergence tendance/momentum est positive, mais la divergence avec les oscillateurs suggère une **correction technique probable à court terme**, ce que confirment d'ailleurs les prédictions IA.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CBIBF affiche un **PNB de 138,986 milliards FCFA** (+6,1% selon le rapport annuel 2025), un **résultat net de 65,495 milliards FCFA** (+36,6% vs 2024) et un **total bilan de 2 997,779 milliards FCFA**. La rentabilité est excellente : **marge nette de 47,12%**, **marge opérationnelle de 51,77%**, **ROA de 2,18%** et un **coefficient d'exploitation de 36,39%** — très en dessous du seuil de 60%, ce qui classe la banque parmi les établissements les plus efficaces du secteur. Le **coût du risque s'améliore de 59,3%** (16,5 milliards FCFA), traduisant l'assainissement réussi du portefeuille entamé en 2024. La collecte de dépôts atteint **2 015,284 milliards FCFA** (+14,9%) pour des créances clientèle de **1 326,977 milliards FCFA** (+5,4%), soit un ratio dépôts/crédits de ~152% — signe d'une surliquidité confortable mais aussi d'une transformation crédit encore prudente.</w:t>
      </w:r>
    </w:p>
    <w:p>
      <w:pPr>
        <w:spacing w:after="120" w:line="276" w:lineRule="auto"/>
      </w:pPr>
      <w:r>
        <w:t>**Évolution temporelle** : L'exercice 2024 avait été difficile (résultat net de 47,9 Mds FCFA, -25,4%, plombé par un coût du risque en explosion de +72,5% et des charges en hausse de +17,6%). Le rebond 2025 (+36,6%) marque un net redressement. Les rapports trimestriels 2025 confirment cette trajectoire : T1 2025 (PNB 28,7 Mds, RN 17,6 Mds, +5,89%), S1 2025 (PNB 65,1 Mds, RN 33,8 Mds, +0,66% seulement à cause du coût du risque), T3 2025 (PNB 101,3 Mds, +9,65%, RN 52,9 Mds, +6,25%).</w:t>
      </w:r>
    </w:p>
    <w:p>
      <w:pPr>
        <w:spacing w:after="120" w:line="276" w:lineRule="auto"/>
      </w:pPr>
      <w:r>
        <w:t>**Estimations basées sur les rapports récents** : Le rapport T1 2026 (publié en 2026) est particulièrement encourageant : **PNB de 36,8 Mds FCFA (+28,5%)**, **résultat net de 21,5 Mds FCFA (+22,2%)**, dépôts en forte hausse de **+37,9% à 2 365,1 Mds FCFA**, marge nette de 58,4%. Sur cette base, on estime que l'exercice 2026 devrait afficher une nouvelle accélération avec un PNB potentiellement supérieur à 155 Mds FCFA et un résultat net approchant 80 Mds FCFA, sous réserve de la maîtrise du coût du risque. La notation **AA/AI avec perspective stable** (Bloomfield) et le renforcement de la gouvernance (deux administrateurs indépendants) confortent la solidité fondamentale. **Recommandation fondamentale : solide, avec des risques liés à l'environnement sécuritaire régional et à la concentration géographique burkinabè.**</w:t>
      </w:r>
    </w:p>
    <w:p>
      <w:pPr>
        <w:spacing w:after="120" w:line="276" w:lineRule="auto"/>
      </w:pPr>
      <w:r>
        <w:t>---</w:t>
      </w:r>
    </w:p>
    <w:p>
      <w:pPr>
        <w:spacing w:after="120" w:line="276" w:lineRule="auto"/>
      </w:pPr>
      <w:r>
        <w:t>## PARTIE 4 : CONCLUSION D'INVESTISSEMENT</w:t>
      </w:r>
    </w:p>
    <w:p>
      <w:pPr>
        <w:spacing w:after="120" w:line="276" w:lineRule="auto"/>
      </w:pPr>
      <w:r>
        <w:t>La **valorisation (Partie 0)** est exigeante : PER de 16,8x et EV/EBITDA de 12,4x placent CBIBF au-dessus de la moyenne BRVM, mais cette prime se justifie par une croissance bénéficiaire de +36,6% en 2025 et une accélération attendue en 2026 — le titre n'est donc ni sous-évalué, ni excessivement cher. Le **comportement du cours (Partie 1)** est exceptionnel (+104% en 100 jours, cours au plus haut), avec une distribution symétrique et un kurtosis plat rassurant, mais une volatilité annualisée de 42% qui impose de la prudence. Les **signaux techniques (Partie 2)** sont mitigés : tendance haussière confirmée (MM, MACD) mais oscillateurs en surachat extrême (RSI 79,9, Stochastique 100) annonçant une correction probable. Les **fondamentaux (Partie 3)** sont excellents : coefficient d'exploitation de 36,4%, ROA de 2,18%, marge nette de 47%, coût du risque en nette amélioration, et un T1 2026 qui confirme l'accélération (+28,5% de PNB). Les **prédictions IA (J+1 à J+10)** anticipent une **correction baissière** de 34 300 FCFA vers 29 281 FCFA (-14,6% en 10 jours), ce qui **contredit** le momentum actuel mais **confirme** les signaux de surachat des oscillateurs.</w:t>
      </w:r>
    </w:p>
    <w:p>
      <w:pPr>
        <w:spacing w:after="120" w:line="276" w:lineRule="auto"/>
      </w:pPr>
      <w:r>
        <w:t>**Recommandation finale : CONSERVER** (avec opportunité d'achat sur repli). La convergence est partielle : fondamentaux solides et tendance haussière d'un côté, valorisation exigeante et surachat technique de l'autre, avec des prédictions IA qui pointent une correction à court terme. **Niveau de confiance : Moyen** (les fondamentaux sont robustes mais le timing d'entrée est défavorable). **Niveau de risque global : Moyen à Élevé** (volatilité 42%, exposition géographique burkinabè, contexte sécuritaire régional). **Horizon d'investissement optimal : moyen à long terme (6-18 mois)** — attendre un repli vers 29 000-30 000 FCFA pour renforcer, en visant un objectif de 38 000-40 000 FCFA sur la base des perspectives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309.24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3,670 titres</w:t>
            </w:r>
          </w:p>
        </w:tc>
        <w:tc>
          <w:tcPr>
            <w:tcW w:type="dxa" w:w="2268"/>
            <w:shd w:fill="FFF2CC" w:val="clear"/>
          </w:tcPr>
          <w:p>
            <w:r>
              <w:rPr>
                <w:b/>
                <w:color w:val="503200"/>
                <w:sz w:val="16"/>
              </w:rPr>
              <w:t xml:space="preserve">Cours actuel : </w:t>
            </w:r>
            <w:r>
              <w:rPr>
                <w:color w:val="000000"/>
                <w:sz w:val="17"/>
              </w:rPr>
              <w:t>1,705 FCFA</w:t>
            </w:r>
          </w:p>
          <w:p>
            <w:r>
              <w:rPr>
                <w:b/>
                <w:color w:val="503200"/>
                <w:sz w:val="16"/>
              </w:rPr>
              <w:t xml:space="preserve">Var. 100 jours : </w:t>
            </w:r>
            <w:r>
              <w:rPr>
                <w:b/>
                <w:color w:val="007800"/>
                <w:sz w:val="17"/>
              </w:rPr>
              <w:t>+10.36%</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47.6%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6.68% (Moyenne) — μ=1,619 FCFA, σ=108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β=1.0853 (Neutre (suit le marché)) — Cov=0.000038, Var(idx)=0.000035, ρ=0.212,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3,670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σ_j=3.00%/j (Stable) — Vol. annualisée≈47.6%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1,648</w:t>
            </w:r>
          </w:p>
        </w:tc>
        <w:tc>
          <w:tcPr>
            <w:tcW w:type="dxa" w:w="1440"/>
            <w:shd w:fill="FAFAFA" w:val="clear"/>
          </w:tcPr>
          <w:p>
            <w:r>
              <w:rPr>
                <w:b/>
                <w:sz w:val="17"/>
              </w:rPr>
              <w:t>1,706</w:t>
            </w:r>
          </w:p>
        </w:tc>
        <w:tc>
          <w:tcPr>
            <w:tcW w:type="dxa" w:w="1440"/>
            <w:shd w:fill="FAFAFA" w:val="clear"/>
          </w:tcPr>
          <w:p>
            <w:r>
              <w:rPr>
                <w:sz w:val="17"/>
              </w:rPr>
              <w:t>1,764</w:t>
            </w:r>
          </w:p>
        </w:tc>
        <w:tc>
          <w:tcPr>
            <w:tcW w:type="dxa" w:w="1440"/>
            <w:shd w:fill="FAFAFA" w:val="clear"/>
          </w:tcPr>
          <w:p>
            <w:r>
              <w:rPr>
                <w:b/>
                <w:color w:val="008000"/>
                <w:sz w:val="17"/>
              </w:rPr>
              <w:t>+0.1%</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1,627</w:t>
            </w:r>
          </w:p>
        </w:tc>
        <w:tc>
          <w:tcPr>
            <w:tcW w:type="dxa" w:w="1440"/>
            <w:shd w:fill="FAFAFA" w:val="clear"/>
          </w:tcPr>
          <w:p>
            <w:r>
              <w:rPr>
                <w:b/>
                <w:sz w:val="17"/>
              </w:rPr>
              <w:t>1,709</w:t>
            </w:r>
          </w:p>
        </w:tc>
        <w:tc>
          <w:tcPr>
            <w:tcW w:type="dxa" w:w="1440"/>
            <w:shd w:fill="FAFAFA" w:val="clear"/>
          </w:tcPr>
          <w:p>
            <w:r>
              <w:rPr>
                <w:sz w:val="17"/>
              </w:rPr>
              <w:t>1,791</w:t>
            </w:r>
          </w:p>
        </w:tc>
        <w:tc>
          <w:tcPr>
            <w:tcW w:type="dxa" w:w="1440"/>
            <w:shd w:fill="FAFAFA" w:val="clear"/>
          </w:tcPr>
          <w:p>
            <w:r>
              <w:rPr>
                <w:b/>
                <w:color w:val="008000"/>
                <w:sz w:val="17"/>
              </w:rPr>
              <w:t>+0.2%</w:t>
            </w:r>
          </w:p>
        </w:tc>
      </w:tr>
      <w:tr>
        <w:tc>
          <w:tcPr>
            <w:tcW w:type="dxa" w:w="1440"/>
            <w:shd w:fill="FAFAFA" w:val="clear"/>
          </w:tcPr>
          <w:p>
            <w:r>
              <w:rPr>
                <w:sz w:val="17"/>
              </w:rPr>
              <w:t>J+3  Moyenne</w:t>
            </w:r>
          </w:p>
        </w:tc>
        <w:tc>
          <w:tcPr>
            <w:tcW w:type="dxa" w:w="1440"/>
            <w:shd w:fill="FAFAFA" w:val="clear"/>
          </w:tcPr>
          <w:p>
            <w:r>
              <w:rPr>
                <w:sz w:val="17"/>
              </w:rPr>
              <w:t>2026-09-16</w:t>
            </w:r>
          </w:p>
        </w:tc>
        <w:tc>
          <w:tcPr>
            <w:tcW w:type="dxa" w:w="1440"/>
            <w:shd w:fill="FAFAFA" w:val="clear"/>
          </w:tcPr>
          <w:p>
            <w:r>
              <w:rPr>
                <w:sz w:val="17"/>
              </w:rPr>
              <w:t>1,611</w:t>
            </w:r>
          </w:p>
        </w:tc>
        <w:tc>
          <w:tcPr>
            <w:tcW w:type="dxa" w:w="1440"/>
            <w:shd w:fill="FAFAFA" w:val="clear"/>
          </w:tcPr>
          <w:p>
            <w:r>
              <w:rPr>
                <w:b/>
                <w:sz w:val="17"/>
              </w:rPr>
              <w:t>1,712</w:t>
            </w:r>
          </w:p>
        </w:tc>
        <w:tc>
          <w:tcPr>
            <w:tcW w:type="dxa" w:w="1440"/>
            <w:shd w:fill="FAFAFA" w:val="clear"/>
          </w:tcPr>
          <w:p>
            <w:r>
              <w:rPr>
                <w:sz w:val="17"/>
              </w:rPr>
              <w:t>1,812</w:t>
            </w:r>
          </w:p>
        </w:tc>
        <w:tc>
          <w:tcPr>
            <w:tcW w:type="dxa" w:w="1440"/>
            <w:shd w:fill="FAFAFA" w:val="clear"/>
          </w:tcPr>
          <w:p>
            <w:r>
              <w:rPr>
                <w:b/>
                <w:color w:val="008000"/>
                <w:sz w:val="17"/>
              </w:rPr>
              <w:t>+0.4%</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1,598</w:t>
            </w:r>
          </w:p>
        </w:tc>
        <w:tc>
          <w:tcPr>
            <w:tcW w:type="dxa" w:w="1440"/>
            <w:shd w:fill="FAFAFA" w:val="clear"/>
          </w:tcPr>
          <w:p>
            <w:r>
              <w:rPr>
                <w:b/>
                <w:sz w:val="17"/>
              </w:rPr>
              <w:t>1,715</w:t>
            </w:r>
          </w:p>
        </w:tc>
        <w:tc>
          <w:tcPr>
            <w:tcW w:type="dxa" w:w="1440"/>
            <w:shd w:fill="FAFAFA" w:val="clear"/>
          </w:tcPr>
          <w:p>
            <w:r>
              <w:rPr>
                <w:sz w:val="17"/>
              </w:rPr>
              <w:t>1,831</w:t>
            </w:r>
          </w:p>
        </w:tc>
        <w:tc>
          <w:tcPr>
            <w:tcW w:type="dxa" w:w="1440"/>
            <w:shd w:fill="FAFAFA" w:val="clear"/>
          </w:tcPr>
          <w:p>
            <w:r>
              <w:rPr>
                <w:b/>
                <w:color w:val="008000"/>
                <w:sz w:val="17"/>
              </w:rPr>
              <w:t>+0.6%</w:t>
            </w:r>
          </w:p>
        </w:tc>
      </w:tr>
      <w:tr>
        <w:tc>
          <w:tcPr>
            <w:tcW w:type="dxa" w:w="1440"/>
            <w:shd w:fill="FAFAFA" w:val="clear"/>
          </w:tcPr>
          <w:p>
            <w:r>
              <w:rPr>
                <w:sz w:val="17"/>
              </w:rPr>
              <w:t>J+5  ⭐</w:t>
            </w:r>
          </w:p>
        </w:tc>
        <w:tc>
          <w:tcPr>
            <w:tcW w:type="dxa" w:w="1440"/>
            <w:shd w:fill="FAFAFA" w:val="clear"/>
          </w:tcPr>
          <w:p>
            <w:r>
              <w:rPr>
                <w:sz w:val="17"/>
              </w:rPr>
              <w:t>2026-09-18</w:t>
            </w:r>
          </w:p>
        </w:tc>
        <w:tc>
          <w:tcPr>
            <w:tcW w:type="dxa" w:w="1440"/>
            <w:shd w:fill="FAFAFA" w:val="clear"/>
          </w:tcPr>
          <w:p>
            <w:r>
              <w:rPr>
                <w:sz w:val="17"/>
              </w:rPr>
              <w:t>1,587</w:t>
            </w:r>
          </w:p>
        </w:tc>
        <w:tc>
          <w:tcPr>
            <w:tcW w:type="dxa" w:w="1440"/>
            <w:shd w:fill="FAFAFA" w:val="clear"/>
          </w:tcPr>
          <w:p>
            <w:r>
              <w:rPr>
                <w:b/>
                <w:sz w:val="17"/>
              </w:rPr>
              <w:t>1,717</w:t>
            </w:r>
          </w:p>
        </w:tc>
        <w:tc>
          <w:tcPr>
            <w:tcW w:type="dxa" w:w="1440"/>
            <w:shd w:fill="FAFAFA" w:val="clear"/>
          </w:tcPr>
          <w:p>
            <w:r>
              <w:rPr>
                <w:sz w:val="17"/>
              </w:rPr>
              <w:t>1,848</w:t>
            </w:r>
          </w:p>
        </w:tc>
        <w:tc>
          <w:tcPr>
            <w:tcW w:type="dxa" w:w="1440"/>
            <w:shd w:fill="FAFAFA" w:val="clear"/>
          </w:tcPr>
          <w:p>
            <w:r>
              <w:rPr>
                <w:b/>
                <w:color w:val="008000"/>
                <w:sz w:val="17"/>
              </w:rPr>
              <w:t>+0.7%</w:t>
            </w:r>
          </w:p>
        </w:tc>
      </w:tr>
      <w:tr>
        <w:tc>
          <w:tcPr>
            <w:tcW w:type="dxa" w:w="1440"/>
            <w:shd w:fill="FAFAFA" w:val="clear"/>
          </w:tcPr>
          <w:p>
            <w:r>
              <w:rPr>
                <w:sz w:val="17"/>
              </w:rPr>
              <w:t>J+6  ⭐</w:t>
            </w:r>
          </w:p>
        </w:tc>
        <w:tc>
          <w:tcPr>
            <w:tcW w:type="dxa" w:w="1440"/>
            <w:shd w:fill="FAFAFA" w:val="clear"/>
          </w:tcPr>
          <w:p>
            <w:r>
              <w:rPr>
                <w:sz w:val="17"/>
              </w:rPr>
              <w:t>2026-09-21</w:t>
            </w:r>
          </w:p>
        </w:tc>
        <w:tc>
          <w:tcPr>
            <w:tcW w:type="dxa" w:w="1440"/>
            <w:shd w:fill="FAFAFA" w:val="clear"/>
          </w:tcPr>
          <w:p>
            <w:r>
              <w:rPr>
                <w:sz w:val="17"/>
              </w:rPr>
              <w:t>1,577</w:t>
            </w:r>
          </w:p>
        </w:tc>
        <w:tc>
          <w:tcPr>
            <w:tcW w:type="dxa" w:w="1440"/>
            <w:shd w:fill="FAFAFA" w:val="clear"/>
          </w:tcPr>
          <w:p>
            <w:r>
              <w:rPr>
                <w:b/>
                <w:sz w:val="17"/>
              </w:rPr>
              <w:t>1,720</w:t>
            </w:r>
          </w:p>
        </w:tc>
        <w:tc>
          <w:tcPr>
            <w:tcW w:type="dxa" w:w="1440"/>
            <w:shd w:fill="FAFAFA" w:val="clear"/>
          </w:tcPr>
          <w:p>
            <w:r>
              <w:rPr>
                <w:sz w:val="17"/>
              </w:rPr>
              <w:t>1,863</w:t>
            </w:r>
          </w:p>
        </w:tc>
        <w:tc>
          <w:tcPr>
            <w:tcW w:type="dxa" w:w="1440"/>
            <w:shd w:fill="FAFAFA" w:val="clear"/>
          </w:tcPr>
          <w:p>
            <w:r>
              <w:rPr>
                <w:b/>
                <w:color w:val="008000"/>
                <w:sz w:val="17"/>
              </w:rPr>
              <w:t>+0.9%</w:t>
            </w:r>
          </w:p>
        </w:tc>
      </w:tr>
      <w:tr>
        <w:tc>
          <w:tcPr>
            <w:tcW w:type="dxa" w:w="1440"/>
            <w:shd w:fill="FAFAFA" w:val="clear"/>
          </w:tcPr>
          <w:p>
            <w:r>
              <w:rPr>
                <w:sz w:val="17"/>
              </w:rPr>
              <w:t>J+7  ⭐</w:t>
            </w:r>
          </w:p>
        </w:tc>
        <w:tc>
          <w:tcPr>
            <w:tcW w:type="dxa" w:w="1440"/>
            <w:shd w:fill="FAFAFA" w:val="clear"/>
          </w:tcPr>
          <w:p>
            <w:r>
              <w:rPr>
                <w:sz w:val="17"/>
              </w:rPr>
              <w:t>2026-09-22</w:t>
            </w:r>
          </w:p>
        </w:tc>
        <w:tc>
          <w:tcPr>
            <w:tcW w:type="dxa" w:w="1440"/>
            <w:shd w:fill="FAFAFA" w:val="clear"/>
          </w:tcPr>
          <w:p>
            <w:r>
              <w:rPr>
                <w:sz w:val="17"/>
              </w:rPr>
              <w:t>1,568</w:t>
            </w:r>
          </w:p>
        </w:tc>
        <w:tc>
          <w:tcPr>
            <w:tcW w:type="dxa" w:w="1440"/>
            <w:shd w:fill="FAFAFA" w:val="clear"/>
          </w:tcPr>
          <w:p>
            <w:r>
              <w:rPr>
                <w:b/>
                <w:sz w:val="17"/>
              </w:rPr>
              <w:t>1,723</w:t>
            </w:r>
          </w:p>
        </w:tc>
        <w:tc>
          <w:tcPr>
            <w:tcW w:type="dxa" w:w="1440"/>
            <w:shd w:fill="FAFAFA" w:val="clear"/>
          </w:tcPr>
          <w:p>
            <w:r>
              <w:rPr>
                <w:sz w:val="17"/>
              </w:rPr>
              <w:t>1,877</w:t>
            </w:r>
          </w:p>
        </w:tc>
        <w:tc>
          <w:tcPr>
            <w:tcW w:type="dxa" w:w="1440"/>
            <w:shd w:fill="FAFAFA" w:val="clear"/>
          </w:tcPr>
          <w:p>
            <w:r>
              <w:rPr>
                <w:b/>
                <w:color w:val="008000"/>
                <w:sz w:val="17"/>
              </w:rPr>
              <w:t>+1.0%</w:t>
            </w:r>
          </w:p>
        </w:tc>
      </w:tr>
      <w:tr>
        <w:tc>
          <w:tcPr>
            <w:tcW w:type="dxa" w:w="1440"/>
            <w:shd w:fill="FAFAFA" w:val="clear"/>
          </w:tcPr>
          <w:p>
            <w:r>
              <w:rPr>
                <w:sz w:val="17"/>
              </w:rPr>
              <w:t>J+8  ⭐</w:t>
            </w:r>
          </w:p>
        </w:tc>
        <w:tc>
          <w:tcPr>
            <w:tcW w:type="dxa" w:w="1440"/>
            <w:shd w:fill="FAFAFA" w:val="clear"/>
          </w:tcPr>
          <w:p>
            <w:r>
              <w:rPr>
                <w:sz w:val="17"/>
              </w:rPr>
              <w:t>2026-09-23</w:t>
            </w:r>
          </w:p>
        </w:tc>
        <w:tc>
          <w:tcPr>
            <w:tcW w:type="dxa" w:w="1440"/>
            <w:shd w:fill="FAFAFA" w:val="clear"/>
          </w:tcPr>
          <w:p>
            <w:r>
              <w:rPr>
                <w:sz w:val="17"/>
              </w:rPr>
              <w:t>1,560</w:t>
            </w:r>
          </w:p>
        </w:tc>
        <w:tc>
          <w:tcPr>
            <w:tcW w:type="dxa" w:w="1440"/>
            <w:shd w:fill="FAFAFA" w:val="clear"/>
          </w:tcPr>
          <w:p>
            <w:r>
              <w:rPr>
                <w:b/>
                <w:sz w:val="17"/>
              </w:rPr>
              <w:t>1,726</w:t>
            </w:r>
          </w:p>
        </w:tc>
        <w:tc>
          <w:tcPr>
            <w:tcW w:type="dxa" w:w="1440"/>
            <w:shd w:fill="FAFAFA" w:val="clear"/>
          </w:tcPr>
          <w:p>
            <w:r>
              <w:rPr>
                <w:sz w:val="17"/>
              </w:rPr>
              <w:t>1,891</w:t>
            </w:r>
          </w:p>
        </w:tc>
        <w:tc>
          <w:tcPr>
            <w:tcW w:type="dxa" w:w="1440"/>
            <w:shd w:fill="FAFAFA" w:val="clear"/>
          </w:tcPr>
          <w:p>
            <w:r>
              <w:rPr>
                <w:b/>
                <w:color w:val="008000"/>
                <w:sz w:val="17"/>
              </w:rPr>
              <w:t>+1.2%</w:t>
            </w:r>
          </w:p>
        </w:tc>
      </w:tr>
      <w:tr>
        <w:tc>
          <w:tcPr>
            <w:tcW w:type="dxa" w:w="1440"/>
            <w:shd w:fill="FAFAFA" w:val="clear"/>
          </w:tcPr>
          <w:p>
            <w:r>
              <w:rPr>
                <w:sz w:val="17"/>
              </w:rPr>
              <w:t>J+9  ⭐</w:t>
            </w:r>
          </w:p>
        </w:tc>
        <w:tc>
          <w:tcPr>
            <w:tcW w:type="dxa" w:w="1440"/>
            <w:shd w:fill="FAFAFA" w:val="clear"/>
          </w:tcPr>
          <w:p>
            <w:r>
              <w:rPr>
                <w:sz w:val="17"/>
              </w:rPr>
              <w:t>2026-09-24</w:t>
            </w:r>
          </w:p>
        </w:tc>
        <w:tc>
          <w:tcPr>
            <w:tcW w:type="dxa" w:w="1440"/>
            <w:shd w:fill="FAFAFA" w:val="clear"/>
          </w:tcPr>
          <w:p>
            <w:r>
              <w:rPr>
                <w:sz w:val="17"/>
              </w:rPr>
              <w:t>1,552</w:t>
            </w:r>
          </w:p>
        </w:tc>
        <w:tc>
          <w:tcPr>
            <w:tcW w:type="dxa" w:w="1440"/>
            <w:shd w:fill="FAFAFA" w:val="clear"/>
          </w:tcPr>
          <w:p>
            <w:r>
              <w:rPr>
                <w:b/>
                <w:sz w:val="17"/>
              </w:rPr>
              <w:t>1,728</w:t>
            </w:r>
          </w:p>
        </w:tc>
        <w:tc>
          <w:tcPr>
            <w:tcW w:type="dxa" w:w="1440"/>
            <w:shd w:fill="FAFAFA" w:val="clear"/>
          </w:tcPr>
          <w:p>
            <w:r>
              <w:rPr>
                <w:sz w:val="17"/>
              </w:rPr>
              <w:t>1,904</w:t>
            </w:r>
          </w:p>
        </w:tc>
        <w:tc>
          <w:tcPr>
            <w:tcW w:type="dxa" w:w="1440"/>
            <w:shd w:fill="FAFAFA" w:val="clear"/>
          </w:tcPr>
          <w:p>
            <w:r>
              <w:rPr>
                <w:b/>
                <w:color w:val="008000"/>
                <w:sz w:val="17"/>
              </w:rPr>
              <w:t>+1.4%</w:t>
            </w:r>
          </w:p>
        </w:tc>
      </w:tr>
      <w:tr>
        <w:tc>
          <w:tcPr>
            <w:tcW w:type="dxa" w:w="1440"/>
            <w:shd w:fill="FAFAFA" w:val="clear"/>
          </w:tcPr>
          <w:p>
            <w:r>
              <w:rPr>
                <w:sz w:val="17"/>
              </w:rPr>
              <w:t>J+10  ⭐</w:t>
            </w:r>
          </w:p>
        </w:tc>
        <w:tc>
          <w:tcPr>
            <w:tcW w:type="dxa" w:w="1440"/>
            <w:shd w:fill="FAFAFA" w:val="clear"/>
          </w:tcPr>
          <w:p>
            <w:r>
              <w:rPr>
                <w:sz w:val="17"/>
              </w:rPr>
              <w:t>2026-09-25</w:t>
            </w:r>
          </w:p>
        </w:tc>
        <w:tc>
          <w:tcPr>
            <w:tcW w:type="dxa" w:w="1440"/>
            <w:shd w:fill="FAFAFA" w:val="clear"/>
          </w:tcPr>
          <w:p>
            <w:r>
              <w:rPr>
                <w:sz w:val="17"/>
              </w:rPr>
              <w:t>1,545</w:t>
            </w:r>
          </w:p>
        </w:tc>
        <w:tc>
          <w:tcPr>
            <w:tcW w:type="dxa" w:w="1440"/>
            <w:shd w:fill="FAFAFA" w:val="clear"/>
          </w:tcPr>
          <w:p>
            <w:r>
              <w:rPr>
                <w:b/>
                <w:sz w:val="17"/>
              </w:rPr>
              <w:t>1,731</w:t>
            </w:r>
          </w:p>
        </w:tc>
        <w:tc>
          <w:tcPr>
            <w:tcW w:type="dxa" w:w="1440"/>
            <w:shd w:fill="FAFAFA" w:val="clear"/>
          </w:tcPr>
          <w:p>
            <w:r>
              <w:rPr>
                <w:sz w:val="17"/>
              </w:rPr>
              <w:t>1,916</w:t>
            </w:r>
          </w:p>
        </w:tc>
        <w:tc>
          <w:tcPr>
            <w:tcW w:type="dxa" w:w="1440"/>
            <w:shd w:fill="FAFAFA" w:val="clear"/>
          </w:tcPr>
          <w:p>
            <w:r>
              <w:rPr>
                <w:b/>
                <w:color w:val="008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309,24 milliards FCFA, CFAC figure parmi les valeurs les plus importantes de la BRVM, ce qui en fait un titre de référence du compartiment automobile et de la consommation discrétionnaire. Le BPA de 26 FCFA/action signifie que chaque titre génère 26 FCFA de bénéfice net, un niveau modeste au regard du cours actuel de 1 705 FCFA. Le PER de 65,9x traduit une valorisation très exigeante : les investisseurs paient près de 66 fois les bénéfices, soit un multiple largement supérieur à la moyenne BRVM (8-12x), ce qui intègre déjà une forte anticipation de croissance future. Le P/B de 15,90x indique que le marché valorise l'entreprise à près de 16 fois sa valeur comptable, une prime considérable qui suppose une rentabilité des fonds propres durablement élevée. Enfin, l'EV/EBITDA de 33,5x (bien au-delà du seuil de 15x) confirme que la valeur d'entreprise est très chèrement payée par rapport à la capacité opérationnelle de génération de cash, signalant une valorisation tendue nécessitant une exécution parfaite.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CFAC affiche une progression totale de +10,36%, avec une dernière séance en hausse de +0,59%, confirmant une dynamique haussière de fond. Le cours actuel de 1 705 FCFA évolue dans un range de trading compris entre 1 325 FCFA (plus bas) et 1 825 FCFA (plus haut), soit une amplitude de 500 FCFA qui témoigne d'une réelle volatilité intra-période. La moyenne (1 619 FCFA) est légèrement supérieure à la médiane (1 610 FCFA) et au mode (1 600 FCFA), ce qui suggère une distribution très légèrement tirée vers le haut, cohérente avec le skewness de -0,482 (interprété comme symétrique) indiquant une absence de biais directionnel marqué. L'écart-type de 109 FCFA avec un coefficient de variation de 6,7% révèle une dispersion modérée du cours autour de sa moyenne, tandis que le kurtosis de -0,345 (mésokurtique, proche d'une distribution normale) indique un risque de pics extrêmes relativement contenu par rapport à une distribution leptokurtique. La volatilité annualisée de 47,6% classe ce titre dans la catégorie des valeurs à volatilité élevée (&gt;30%), ce qui implique un risque de marché significatif et justifie une approche prudente en termes de dimensionnement de position.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(1 710,5 FCFA) et la MM50 (1 675,8 FCFA) se situent toutes deux sous le cours actuel (1 705 FCFA pour la MM20, cours à 1 705 FCFA), avec une MM20 légèrement supérieure à la MM50, configurant un croisement haussier classique. Le cours évoluant au-dessus de la MM50 et à proximité de la MM20, la décision technique est à l'**Achat**, signalant une tendance de fond positive.</w:t>
      </w:r>
    </w:p>
    <w:p>
      <w:pPr>
        <w:spacing w:after="120" w:line="276" w:lineRule="auto"/>
      </w:pPr>
      <w:r>
        <w:t>**Bandes de Bollinger** : Le cours (1 705 FCFA) se situe dans la partie médiane-haute du canal, entre la borne inférieure (1 618,8 FCFA) et la borne supérieure (1 802,2 FCFA), sans contact avec les extrêmes. Cette position centrale, combinée à un rétrécissement apparent du canal, suggère une phase de consolidation avec une volatilité contenue, justifiant la décision **Neutre**.</w:t>
      </w:r>
    </w:p>
    <w:p>
      <w:pPr>
        <w:spacing w:after="120" w:line="276" w:lineRule="auto"/>
      </w:pPr>
      <w:r>
        <w:t>**MACD** : La valeur du MACD (11,034) est inférieure à sa ligne de signal (16,386), générant un croisement baissier et un momentum négatif. Cette configuration indique un essoufflement de la dynamique haussière à court terme, justifiant la décision de **Vente** technique.</w:t>
      </w:r>
    </w:p>
    <w:p>
      <w:pPr>
        <w:spacing w:after="120" w:line="276" w:lineRule="auto"/>
      </w:pPr>
      <w:r>
        <w:t>**RSI** : À 43,396, le RSI se situe dans la zone neutre (30-70), sans signal de surachat (&gt;70) ni de survente (&lt;30). Cette position médiane reflète un équilibre entre acheteurs et vendeurs, sans pression directionnelle claire, justifiant la décision **Neutre**.</w:t>
      </w:r>
    </w:p>
    <w:p>
      <w:pPr>
        <w:spacing w:after="120" w:line="276" w:lineRule="auto"/>
      </w:pPr>
      <w:r>
        <w:t>**Stochastique** : Le %K (29,412) est supérieur au %D (19,608), avec un croisement haussier en zone de survente (sous 20 pour le %D), ce qui constitue un signal d'achat potentiel à court terme. Cependant, la décision retenue est **Neutre**, probablement en raison de la faiblesse du momentum global.</w:t>
      </w:r>
    </w:p>
    <w:p>
      <w:pPr>
        <w:spacing w:after="120" w:line="276" w:lineRule="auto"/>
      </w:pPr>
      <w:r>
        <w:t>**Conclusion technique** : Les indicateurs sont divergents : les moyennes mobiles et le stochastique émettent des signaux haussiers, tandis que le MACD est baissier et que le RSI et les Bollinger restent neutres. Cette absence de convergence suggère une phase d'indécision du marché, avec une tendance de fond haussière mais un momentum court terme affaibli. La prudence est de mise avant tout engagement directionnel.</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états financiers 2024 de CFAC (exercice clos le 31 décembre 2024) affichent un chiffre d'affaires de 158,313 milliards FCFA, en baisse de -12,13% par rapport à 2023, et un résultat net de 4,693 milliards FCFA, en recul de -26,7%. Le ROE ressort à 24,13% (excellent, &gt;15%) et le ROA à 5,52%, témoignant d'une rentabilité des fonds propres solide malgré la contraction. La marge nette se limite à 2,96% et la marge opérationnelle à 4,96%, sous pression en raison de la hausse des coûts. En tant qu'entreprise non bancaire, les délais d'exploitation sont révélateurs : délai clients de 36,64 jours (risque de trésorerie modéré), délai fournisseurs de 81,75 jours (favorable à la trésorerie) et durée de stockage de 88,35 jours (immobilisation de capital importante). Le BFR est négatif à -3,482 milliards FCFA (favorable), mais la trésorerie nette est négative (-624,20 millions FCFA) et le Free Cash Flow s'établit à -1,650 milliard FCFA, reflétant des investissements lourds (-8,741 milliards FCFA). L'autonomie financière est faible à 22,88% (inférieure au seuil sain de 30%), avec un ratio d'endettement de 23,07% et une capacité de remboursement de 0,72 an (saine). Les rapports trimestriels 2025 confirment un net redressement : le T1 2025 (rapport du 31 mars 2025) affiche un CA de 46,161 milliards FCFA (+14,5%) et un résultat net de 3,836 milliards FCFA (+279,7%) ; le S1 2025 (rapport du 30 juin 2025) enregistre un CA de 91,182 milliards FCFA (+18,4%) et un résultat net de 5,420 milliards FCFA (+152,7%) ; le T3 2025 (rapport du 30 septembre 2025) montre un CA de 43,580 milliards FCFA (+18,3%) et un résultat net de 1,489 milliard FCFA (+38,1%). Sur la base de ces tendances, on estime que l'exercice 2025 devrait clôturer avec un CA annualisé proche de 180 milliards FCFA et un résultat net estimé entre 7 et 8 milliards FCFA, en nette amélioration par rapport à 2024. La recommandation fondamentale est de **CONSERVER** le titre : la solidité du leadership (part de marché de 41,7% au T3 2025), l'amélioration des marges et la croissance des volumes sont des atouts majeurs, mais la valorisation exigeante et les risques liés à la cyclicité du marché automobile et à la pression concurrentielle incitent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CFAC apparaît nettement surévaluée : le PER de 65,9x, le P/B de 15,90x et l'EV/EBITDA de 33,5x intègrent déjà une croissance exceptionnelle et une rentabilité durable, sans marge de sécurité en cas de déception. Le comportement du cours sur 100 jours est haussier (+10,36%) avec une volatilité élevée (47,6%) et une distribution symétrique (skewness -0,482) sans risque de pics extrêmes marqué (kurtosis -0,345), ce qui est rassurant mais n'élimine pas le risque de correction. Les signaux techniques sont divergents : les moyennes mobiles et le stochastique sont haussiers, mais le MACD est baissier et le RSI neutre, créant une incertitude court terme. Les fondamentaux montrent un redressement spectaculaire en 2025 (CA +18,4% au S1, résultat net +152,7%), mais la valorisation boursière semble déjà anticiper ces performances, limitant le potentiel de hausse. Les prédictions IA (J+1 à J+10) tablent sur une progression très modérée de 1 706 à 1 717 FCFA (+0,7% sur 10 jours), ce qui confirme une dynamique haussière faible et ne contredit pas les autres signaux. En synthèse, la convergence entre une valorisation tendue, des signaux techniques mitigés et des fondamentaux en amélioration mais déjà intégrés dans les prix conduit à une recommandation de **CONSERVER**, avec un niveau de confiance **Moyen** et un risque global **Élevé** en raison de la volatilité et de la sensibilité au cycle automobile. L'horizon d'investissement optimal est le **moyen terme (3-12 mois)**, en attendant une confirmation de la pérennité de l'amélioration des marges et une normalisation de la valorisation.</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397.60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6,656 titres</w:t>
            </w:r>
          </w:p>
        </w:tc>
        <w:tc>
          <w:tcPr>
            <w:tcW w:type="dxa" w:w="2268"/>
            <w:shd w:fill="FFF2CC" w:val="clear"/>
          </w:tcPr>
          <w:p>
            <w:r>
              <w:rPr>
                <w:b/>
                <w:color w:val="503200"/>
                <w:sz w:val="16"/>
              </w:rPr>
              <w:t xml:space="preserve">Cours actuel : </w:t>
            </w:r>
            <w:r>
              <w:rPr>
                <w:color w:val="000000"/>
                <w:sz w:val="17"/>
              </w:rPr>
              <w:t>7,100 FCFA</w:t>
            </w:r>
          </w:p>
          <w:p>
            <w:r>
              <w:rPr>
                <w:b/>
                <w:color w:val="503200"/>
                <w:sz w:val="16"/>
              </w:rPr>
              <w:t xml:space="preserve">Var. 100 jours : </w:t>
            </w:r>
            <w:r>
              <w:rPr>
                <w:b/>
                <w:color w:val="007800"/>
                <w:sz w:val="17"/>
              </w:rPr>
              <w:t>+129.03%</w:t>
            </w:r>
          </w:p>
          <w:p>
            <w:r>
              <w:rPr>
                <w:b/>
                <w:color w:val="503200"/>
                <w:sz w:val="16"/>
              </w:rPr>
              <w:t xml:space="preserve">Plus haut 100j : </w:t>
            </w:r>
            <w:r>
              <w:rPr>
                <w:color w:val="000000"/>
                <w:sz w:val="17"/>
              </w:rPr>
              <w:t>7,400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50.9%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28.0/100 → Moyen</w:t>
      </w:r>
    </w:p>
    <w:p>
      <w:pPr>
        <w:spacing w:before="40" w:after="80"/>
      </w:pPr>
      <w:r>
        <w:rPr>
          <w:rFonts w:ascii="Courier New" w:hAnsi="Courier New"/>
          <w:color w:val="825A00"/>
          <w:sz w:val="18"/>
        </w:rPr>
        <w:t>█████░░░░░░░░░░░░░░░  28.0/100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24.28% (Élevée) — μ=4,973 FCFA, σ=1,208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β=0.8558 (Neutre (suit le marché)) — Cov=0.000030, Var(idx)=0.000035, ρ=0.157,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6,656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σ_j=3.21%/j (Modérée) — Vol. annualisée≈50.9%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2026-09-14</w:t>
            </w:r>
          </w:p>
        </w:tc>
        <w:tc>
          <w:tcPr>
            <w:tcW w:type="dxa" w:w="1440"/>
            <w:shd w:fill="FFDCE0" w:val="clear"/>
          </w:tcPr>
          <w:p>
            <w:r>
              <w:rPr>
                <w:sz w:val="17"/>
              </w:rPr>
              <w:t>6,327</w:t>
            </w:r>
          </w:p>
        </w:tc>
        <w:tc>
          <w:tcPr>
            <w:tcW w:type="dxa" w:w="1440"/>
            <w:shd w:fill="FFDCE0" w:val="clear"/>
          </w:tcPr>
          <w:p>
            <w:r>
              <w:rPr>
                <w:b/>
                <w:sz w:val="17"/>
              </w:rPr>
              <w:t>6,678</w:t>
            </w:r>
          </w:p>
        </w:tc>
        <w:tc>
          <w:tcPr>
            <w:tcW w:type="dxa" w:w="1440"/>
            <w:shd w:fill="FFDCE0" w:val="clear"/>
          </w:tcPr>
          <w:p>
            <w:r>
              <w:rPr>
                <w:sz w:val="17"/>
              </w:rPr>
              <w:t>7,028</w:t>
            </w:r>
          </w:p>
        </w:tc>
        <w:tc>
          <w:tcPr>
            <w:tcW w:type="dxa" w:w="1440"/>
            <w:shd w:fill="FFDCE0" w:val="clear"/>
          </w:tcPr>
          <w:p>
            <w:r>
              <w:rPr>
                <w:b/>
                <w:color w:val="C00000"/>
                <w:sz w:val="17"/>
              </w:rPr>
              <w:t>-5.9%</w:t>
            </w:r>
          </w:p>
        </w:tc>
      </w:tr>
      <w:tr>
        <w:tc>
          <w:tcPr>
            <w:tcW w:type="dxa" w:w="1440"/>
            <w:shd w:fill="FFDCE0" w:val="clear"/>
          </w:tcPr>
          <w:p>
            <w:r>
              <w:rPr>
                <w:sz w:val="17"/>
              </w:rPr>
              <w:t>J+2  Moyenne</w:t>
            </w:r>
          </w:p>
        </w:tc>
        <w:tc>
          <w:tcPr>
            <w:tcW w:type="dxa" w:w="1440"/>
            <w:shd w:fill="FFDCE0" w:val="clear"/>
          </w:tcPr>
          <w:p>
            <w:r>
              <w:rPr>
                <w:sz w:val="17"/>
              </w:rPr>
              <w:t>2026-09-15</w:t>
            </w:r>
          </w:p>
        </w:tc>
        <w:tc>
          <w:tcPr>
            <w:tcW w:type="dxa" w:w="1440"/>
            <w:shd w:fill="FFDCE0" w:val="clear"/>
          </w:tcPr>
          <w:p>
            <w:r>
              <w:rPr>
                <w:sz w:val="17"/>
              </w:rPr>
              <w:t>5,969</w:t>
            </w:r>
          </w:p>
        </w:tc>
        <w:tc>
          <w:tcPr>
            <w:tcW w:type="dxa" w:w="1440"/>
            <w:shd w:fill="FFDCE0" w:val="clear"/>
          </w:tcPr>
          <w:p>
            <w:r>
              <w:rPr>
                <w:b/>
                <w:sz w:val="17"/>
              </w:rPr>
              <w:t>6,448</w:t>
            </w:r>
          </w:p>
        </w:tc>
        <w:tc>
          <w:tcPr>
            <w:tcW w:type="dxa" w:w="1440"/>
            <w:shd w:fill="FFDCE0" w:val="clear"/>
          </w:tcPr>
          <w:p>
            <w:r>
              <w:rPr>
                <w:sz w:val="17"/>
              </w:rPr>
              <w:t>6,927</w:t>
            </w:r>
          </w:p>
        </w:tc>
        <w:tc>
          <w:tcPr>
            <w:tcW w:type="dxa" w:w="1440"/>
            <w:shd w:fill="FFDCE0" w:val="clear"/>
          </w:tcPr>
          <w:p>
            <w:r>
              <w:rPr>
                <w:b/>
                <w:color w:val="C00000"/>
                <w:sz w:val="17"/>
              </w:rPr>
              <w:t>-9.2%</w:t>
            </w:r>
          </w:p>
        </w:tc>
      </w:tr>
      <w:tr>
        <w:tc>
          <w:tcPr>
            <w:tcW w:type="dxa" w:w="1440"/>
            <w:shd w:fill="FFDCE0" w:val="clear"/>
          </w:tcPr>
          <w:p>
            <w:r>
              <w:rPr>
                <w:sz w:val="17"/>
              </w:rPr>
              <w:t>J+3  Moyenne</w:t>
            </w:r>
          </w:p>
        </w:tc>
        <w:tc>
          <w:tcPr>
            <w:tcW w:type="dxa" w:w="1440"/>
            <w:shd w:fill="FFDCE0" w:val="clear"/>
          </w:tcPr>
          <w:p>
            <w:r>
              <w:rPr>
                <w:sz w:val="17"/>
              </w:rPr>
              <w:t>2026-09-16</w:t>
            </w:r>
          </w:p>
        </w:tc>
        <w:tc>
          <w:tcPr>
            <w:tcW w:type="dxa" w:w="1440"/>
            <w:shd w:fill="FFDCE0" w:val="clear"/>
          </w:tcPr>
          <w:p>
            <w:r>
              <w:rPr>
                <w:sz w:val="17"/>
              </w:rPr>
              <w:t>5,718</w:t>
            </w:r>
          </w:p>
        </w:tc>
        <w:tc>
          <w:tcPr>
            <w:tcW w:type="dxa" w:w="1440"/>
            <w:shd w:fill="FFDCE0" w:val="clear"/>
          </w:tcPr>
          <w:p>
            <w:r>
              <w:rPr>
                <w:b/>
                <w:sz w:val="17"/>
              </w:rPr>
              <w:t>6,290</w:t>
            </w:r>
          </w:p>
        </w:tc>
        <w:tc>
          <w:tcPr>
            <w:tcW w:type="dxa" w:w="1440"/>
            <w:shd w:fill="FFDCE0" w:val="clear"/>
          </w:tcPr>
          <w:p>
            <w:r>
              <w:rPr>
                <w:sz w:val="17"/>
              </w:rPr>
              <w:t>6,862</w:t>
            </w:r>
          </w:p>
        </w:tc>
        <w:tc>
          <w:tcPr>
            <w:tcW w:type="dxa" w:w="1440"/>
            <w:shd w:fill="FFDCE0" w:val="clear"/>
          </w:tcPr>
          <w:p>
            <w:r>
              <w:rPr>
                <w:b/>
                <w:color w:val="C00000"/>
                <w:sz w:val="17"/>
              </w:rPr>
              <w:t>-11.4%</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5,554</w:t>
            </w:r>
          </w:p>
        </w:tc>
        <w:tc>
          <w:tcPr>
            <w:tcW w:type="dxa" w:w="1440"/>
            <w:shd w:fill="FFDCE0" w:val="clear"/>
          </w:tcPr>
          <w:p>
            <w:r>
              <w:rPr>
                <w:b/>
                <w:sz w:val="17"/>
              </w:rPr>
              <w:t>6,206</w:t>
            </w:r>
          </w:p>
        </w:tc>
        <w:tc>
          <w:tcPr>
            <w:tcW w:type="dxa" w:w="1440"/>
            <w:shd w:fill="FFDCE0" w:val="clear"/>
          </w:tcPr>
          <w:p>
            <w:r>
              <w:rPr>
                <w:sz w:val="17"/>
              </w:rPr>
              <w:t>6,858</w:t>
            </w:r>
          </w:p>
        </w:tc>
        <w:tc>
          <w:tcPr>
            <w:tcW w:type="dxa" w:w="1440"/>
            <w:shd w:fill="FFDCE0" w:val="clear"/>
          </w:tcPr>
          <w:p>
            <w:r>
              <w:rPr>
                <w:b/>
                <w:color w:val="C00000"/>
                <w:sz w:val="17"/>
              </w:rPr>
              <w:t>-12.6%</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5,427</w:t>
            </w:r>
          </w:p>
        </w:tc>
        <w:tc>
          <w:tcPr>
            <w:tcW w:type="dxa" w:w="1440"/>
            <w:shd w:fill="FFDCE0" w:val="clear"/>
          </w:tcPr>
          <w:p>
            <w:r>
              <w:rPr>
                <w:b/>
                <w:sz w:val="17"/>
              </w:rPr>
              <w:t>6,149</w:t>
            </w:r>
          </w:p>
        </w:tc>
        <w:tc>
          <w:tcPr>
            <w:tcW w:type="dxa" w:w="1440"/>
            <w:shd w:fill="FFDCE0" w:val="clear"/>
          </w:tcPr>
          <w:p>
            <w:r>
              <w:rPr>
                <w:sz w:val="17"/>
              </w:rPr>
              <w:t>6,871</w:t>
            </w:r>
          </w:p>
        </w:tc>
        <w:tc>
          <w:tcPr>
            <w:tcW w:type="dxa" w:w="1440"/>
            <w:shd w:fill="FFDCE0" w:val="clear"/>
          </w:tcPr>
          <w:p>
            <w:r>
              <w:rPr>
                <w:b/>
                <w:color w:val="C00000"/>
                <w:sz w:val="17"/>
              </w:rPr>
              <w:t>-13.4%</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5,318</w:t>
            </w:r>
          </w:p>
        </w:tc>
        <w:tc>
          <w:tcPr>
            <w:tcW w:type="dxa" w:w="1440"/>
            <w:shd w:fill="FFDCE0" w:val="clear"/>
          </w:tcPr>
          <w:p>
            <w:r>
              <w:rPr>
                <w:b/>
                <w:sz w:val="17"/>
              </w:rPr>
              <w:t>6,103</w:t>
            </w:r>
          </w:p>
        </w:tc>
        <w:tc>
          <w:tcPr>
            <w:tcW w:type="dxa" w:w="1440"/>
            <w:shd w:fill="FFDCE0" w:val="clear"/>
          </w:tcPr>
          <w:p>
            <w:r>
              <w:rPr>
                <w:sz w:val="17"/>
              </w:rPr>
              <w:t>6,889</w:t>
            </w:r>
          </w:p>
        </w:tc>
        <w:tc>
          <w:tcPr>
            <w:tcW w:type="dxa" w:w="1440"/>
            <w:shd w:fill="FFDCE0" w:val="clear"/>
          </w:tcPr>
          <w:p>
            <w:r>
              <w:rPr>
                <w:b/>
                <w:color w:val="C00000"/>
                <w:sz w:val="17"/>
              </w:rPr>
              <w:t>-14.0%</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5,223</w:t>
            </w:r>
          </w:p>
        </w:tc>
        <w:tc>
          <w:tcPr>
            <w:tcW w:type="dxa" w:w="1440"/>
            <w:shd w:fill="FFDCE0" w:val="clear"/>
          </w:tcPr>
          <w:p>
            <w:r>
              <w:rPr>
                <w:b/>
                <w:sz w:val="17"/>
              </w:rPr>
              <w:t>6,066</w:t>
            </w:r>
          </w:p>
        </w:tc>
        <w:tc>
          <w:tcPr>
            <w:tcW w:type="dxa" w:w="1440"/>
            <w:shd w:fill="FFDCE0" w:val="clear"/>
          </w:tcPr>
          <w:p>
            <w:r>
              <w:rPr>
                <w:sz w:val="17"/>
              </w:rPr>
              <w:t>6,909</w:t>
            </w:r>
          </w:p>
        </w:tc>
        <w:tc>
          <w:tcPr>
            <w:tcW w:type="dxa" w:w="1440"/>
            <w:shd w:fill="FFDCE0" w:val="clear"/>
          </w:tcPr>
          <w:p>
            <w:r>
              <w:rPr>
                <w:b/>
                <w:color w:val="C00000"/>
                <w:sz w:val="17"/>
              </w:rPr>
              <w:t>-14.6%</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5,138</w:t>
            </w:r>
          </w:p>
        </w:tc>
        <w:tc>
          <w:tcPr>
            <w:tcW w:type="dxa" w:w="1440"/>
            <w:shd w:fill="FFDCE0" w:val="clear"/>
          </w:tcPr>
          <w:p>
            <w:r>
              <w:rPr>
                <w:b/>
                <w:sz w:val="17"/>
              </w:rPr>
              <w:t>6,035</w:t>
            </w:r>
          </w:p>
        </w:tc>
        <w:tc>
          <w:tcPr>
            <w:tcW w:type="dxa" w:w="1440"/>
            <w:shd w:fill="FFDCE0" w:val="clear"/>
          </w:tcPr>
          <w:p>
            <w:r>
              <w:rPr>
                <w:sz w:val="17"/>
              </w:rPr>
              <w:t>6,931</w:t>
            </w:r>
          </w:p>
        </w:tc>
        <w:tc>
          <w:tcPr>
            <w:tcW w:type="dxa" w:w="1440"/>
            <w:shd w:fill="FFDCE0" w:val="clear"/>
          </w:tcPr>
          <w:p>
            <w:r>
              <w:rPr>
                <w:b/>
                <w:color w:val="C00000"/>
                <w:sz w:val="17"/>
              </w:rPr>
              <w:t>-15.0%</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5,062</w:t>
            </w:r>
          </w:p>
        </w:tc>
        <w:tc>
          <w:tcPr>
            <w:tcW w:type="dxa" w:w="1440"/>
            <w:shd w:fill="FFDCE0" w:val="clear"/>
          </w:tcPr>
          <w:p>
            <w:r>
              <w:rPr>
                <w:b/>
                <w:sz w:val="17"/>
              </w:rPr>
              <w:t>6,009</w:t>
            </w:r>
          </w:p>
        </w:tc>
        <w:tc>
          <w:tcPr>
            <w:tcW w:type="dxa" w:w="1440"/>
            <w:shd w:fill="FFDCE0" w:val="clear"/>
          </w:tcPr>
          <w:p>
            <w:r>
              <w:rPr>
                <w:sz w:val="17"/>
              </w:rPr>
              <w:t>6,956</w:t>
            </w:r>
          </w:p>
        </w:tc>
        <w:tc>
          <w:tcPr>
            <w:tcW w:type="dxa" w:w="1440"/>
            <w:shd w:fill="FFDCE0" w:val="clear"/>
          </w:tcPr>
          <w:p>
            <w:r>
              <w:rPr>
                <w:b/>
                <w:color w:val="C00000"/>
                <w:sz w:val="17"/>
              </w:rPr>
              <w:t>-15.4%</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4,993</w:t>
            </w:r>
          </w:p>
        </w:tc>
        <w:tc>
          <w:tcPr>
            <w:tcW w:type="dxa" w:w="1440"/>
            <w:shd w:fill="FFDCE0" w:val="clear"/>
          </w:tcPr>
          <w:p>
            <w:r>
              <w:rPr>
                <w:b/>
                <w:sz w:val="17"/>
              </w:rPr>
              <w:t>5,987</w:t>
            </w:r>
          </w:p>
        </w:tc>
        <w:tc>
          <w:tcPr>
            <w:tcW w:type="dxa" w:w="1440"/>
            <w:shd w:fill="FFDCE0" w:val="clear"/>
          </w:tcPr>
          <w:p>
            <w:r>
              <w:rPr>
                <w:sz w:val="17"/>
              </w:rPr>
              <w:t>6,982</w:t>
            </w:r>
          </w:p>
        </w:tc>
        <w:tc>
          <w:tcPr>
            <w:tcW w:type="dxa" w:w="1440"/>
            <w:shd w:fill="FFDCE0" w:val="clear"/>
          </w:tcPr>
          <w:p>
            <w:r>
              <w:rPr>
                <w:b/>
                <w:color w:val="C00000"/>
                <w:sz w:val="17"/>
              </w:rPr>
              <w:t>-15.7%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**RAPPORT D'ANALYSE FINANCIÈRE — CIEC (Compagnie Ivoirienne d'Électricité)**</w:t>
        <w:br/>
        <w:t>*Marché : BRVM | Secteur : Services publics / Électricité | 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397,60 Mds FCFA, CIEC s'impose comme l'une des plus grandes capitalisations de la BRVM, ce qui témoigne de son statut d'entreprise stratégique dans le paysage boursier ouest-africain. Le BPA de 234 FCFA/action indique que chaque titre génère 234 FCFA de bénéfice net, un niveau qui, rapporté au cours actuel de 7 100 FCFA, donne un PER de 30,3x — très supérieur à la moyenne BRVM (~8-12x), ce qui suggère que les investisseurs anticipent une forte croissance ou que le titre est surévalué. Le P/B de 11,06x (largement supérieur au seuil de 4x) confirme que le marché valorise l'entreprise à plus de onze fois sa valeur comptable, une prime exigeante qui reflète la confiance dans la rentabilité future mais laisse peu de marge d'erreur. Enfin, l'EV/EBITDA de 15,8x (au-dessus de 15x) indique que la valeur totale de l'entreprise (dette incluse) représente près de 16 fois sa capacité opérationnelle, un niveau très exigeant qui nécessite une croissance soutenue des résultats pour être justifié.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CIEC a enregistré une variation spectaculaire de +129,03%, passant d'un plus bas de 3 000 FCFA à un plus haut de 7 400 FCFA, pour un cours actuel de 7 100 FCFA (variation J-1 de 0,00%, indiquant une séance de stabilisation). Cette tendance nettement haussière traduit un engouement marqué des investisseurs, probablement porté par les excellents résultats 2025 et la politique de dividende attractive. Les statistiques descriptives révèlent une moyenne de 4 973 FCFA contre une médiane de 5 095 FCFA, un écart modéré qui suggère une légère asymétrie à gauche (quelques séances de forte baisse ont tiré la moyenne vers le bas), tandis que le mode à 4 995 FCFA confirme que le cours a longtemps stagné autour de 5 000 FCFA avant son envolée récente. L'écart-type de 1 214 FCFA (CV=24,4%) indique une dispersion modérée du cours autour de sa moyenne, et le kurtosis de -0,670 (mésokurtique) signifie que la distribution des rendements est proche d'une loi normale, sans risque excessif de pics extrêmes. Le skewness de 0,028 (quasi nul) confirme une distribution symétrique, sans biais directionnel marqué. La volatilité annualisée de 50,9% classe le titre dans la catégorie des valeurs à volatilité élevée (&gt;30%), ce qui implique un risque de fluctuation important à court terme, mais aussi des opportunités de plus-value significatives.</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6 760,25 FCFA et la MM50 à 5 835,40 FCFA, toutes deux inférieures au cours actuel de 7 100 FCFA, ce qui confirme une configuration haussière (prix au-dessus des moyennes). L'écart positif entre la MM20 et la MM50 (925 FCFA) indique un momentum ascendant soutenu, justifiant la décision technique d'**Achat**.</w:t>
      </w:r>
    </w:p>
    <w:p>
      <w:pPr>
        <w:spacing w:after="120" w:line="276" w:lineRule="auto"/>
      </w:pPr>
      <w:r>
        <w:t>**Bandes de Bollinger :** Le cours actuel (7 100 FCFA) se situe entre la borne inférieure (5 858,94 FCFA) et la borne supérieure (7 661,56 FCFA), plus proche de la borne haute, ce qui traduit une pression acheteuse sans surachat extrême. La largeur des bandes (1 802,61 FCFA) reflète une volatilité élevée, et la décision **Neutre** suggère que le titre évolue dans une zone d'équilibre technique, sans signal directionnel fort.</w:t>
      </w:r>
    </w:p>
    <w:p>
      <w:pPr>
        <w:spacing w:after="120" w:line="276" w:lineRule="auto"/>
      </w:pPr>
      <w:r>
        <w:t>**MACD :** La valeur du MACD (399,354) est légèrement supérieure à son signal (394,494), générant un croisement haussier de faible amplitude. Ce différentiel positif indique un momentum acheteur encore présent mais qui s'essouffle, justifiant la décision d'**Achat** avec prudence.</w:t>
      </w:r>
    </w:p>
    <w:p>
      <w:pPr>
        <w:spacing w:after="120" w:line="276" w:lineRule="auto"/>
      </w:pPr>
      <w:r>
        <w:t>**RSI :** À 55,618, le RSI se situe dans la zone neutre (30-70), sans surachat (&gt;70) ni survente (&lt;30). Cette position médiane suggère que le titre dispose encore d'un potentiel de hausse sans être techniquement surchauffé, justifiant la décision **Neutre**.</w:t>
      </w:r>
    </w:p>
    <w:p>
      <w:pPr>
        <w:spacing w:after="120" w:line="276" w:lineRule="auto"/>
      </w:pPr>
      <w:r>
        <w:t>**Stochastique :** Le %K (66,667) est inférieur au %D (77,778), ce qui indique un croisement baissier potentiel à court terme, bien que les deux valeurs restent dans la zone neutre-haute. Cette configuration suggère une possible consolidation, justifiant la décision **Neutre**.</w:t>
      </w:r>
    </w:p>
    <w:p>
      <w:pPr>
        <w:spacing w:after="120" w:line="276" w:lineRule="auto"/>
      </w:pPr>
      <w:r>
        <w:t>**Conclusion technique :** Les indicateurs techniques sont majoritairement haussiers (MM et MACD en Achat) mais tempérés par des signaux Neutres (Bollinger, RSI, Stochastique). Le titre évolue au-dessus de ses moyennes mobiles, confirmant une tendance de fond haussière, mais la proximité de la borne supérieure de Bollinger et le croisement baissier du stochastique invitent à la prudence à court terme. La convergence des signaux suggère une consolidation possible avant une nouvelle impulsion haussière.</w:t>
      </w:r>
    </w:p>
    <w:p>
      <w:pPr>
        <w:spacing w:after="120" w:line="276" w:lineRule="auto"/>
      </w:pPr>
      <w:r>
        <w:t>---</w:t>
      </w:r>
    </w:p>
    <w:p>
      <w:pPr>
        <w:spacing w:after="120" w:line="276" w:lineRule="auto"/>
      </w:pPr>
      <w:r>
        <w:t>### PARTIE 3 : ANALYSE FONDAMENTALE</w:t>
      </w:r>
    </w:p>
    <w:p>
      <w:pPr>
        <w:spacing w:after="120" w:line="276" w:lineRule="auto"/>
      </w:pPr>
      <w:r>
        <w:t>En 2025, CIEC affiche un chiffre d'affaires de 302,320 Mds FCFA, en croissance de +14,82% par rapport à 2024 (263,294 Mds FCFA), portée par une hausse des ventes d'énergie (+8,3% en volume) et une expansion de la base clientèle (+15,1% à 5 282 283 clients). Le résultat net s'établit à 13,127 Mds FCFA, en progression de +24,4% (contre 10,526 Mds FCFA en 2024), avec une marge nette de 4,34% et une marge opérationnelle de 7,40%. Le ROE atteint 36,50%, un niveau excellent (&gt;15%) qui témoigne d'une rentabilité exceptionnelle des fonds propres, tandis que le ROA de 0,65% reste modeste en raison de la structure bilancielle lourde (Total Actif de 2 018,446 Mds FCFA). En tant qu'entreprise non bancaire, l'analyse des délais d'exploitation révèle un délai client de 164,01 jours (élevé, signalant un risque de trésorerie sur les créances clients de 137,728 Mds FCFA) et un délai fournisseurs de 970,25 jours (très élevé, favorable à la trésorerie). Le BFR est négatif à -90,244 Mds FCFA, ce qui est positif car l'entreprise finance son cycle d'exploitation par ses fournisseurs. Cependant, la structure financière est fragile : l'autonomie financière n'est que de 1,78% (capitaux propres de 35,962 Mds FCFA pour un total bilan de 2 018,446 Mds FCFA), et le ratio d'endettement de 612,94% (dettes totales de 1 982,484 Mds FCFA) traduit une dépendance extrême à l'endettement. La capacité de remboursement de 7,64 années (dettes financières / CAF) reste gérable, et la couverture des intérêts de 617,75% est confortable. Les rapports semestriels 2025 (S1 2025, datés du 30/06/2025) confirment la dynamique : CA de 134,923 Mds FCFA (+18,85%) et résultat net de 5,096 Mds FCFA (+13,37%), avec une marge nette de 3,8% (légèrement inférieure à 2024 en raison de charges financières et fiscales plus élevées). Sur la base de ces tendances, on estime que l'exercice 2026 devrait poursuivre sa croissance, portée par le Programme Électricité Pour Tous (PEPT) et la demande régionale, avec un CA projeté autour de 340-350 Mds FCFA et un résultat net de 14-15 Mds FCFA. La recommandation fondamentale est de **CONSERVER** : l'entreprise est solide opérationnellement, mais sa valorisation exigeante et son endettement massif limitent le potentiel de revalorisation à court terme.</w:t>
      </w:r>
    </w:p>
    <w:p>
      <w:pPr>
        <w:spacing w:after="120" w:line="276" w:lineRule="auto"/>
      </w:pPr>
      <w:r>
        <w:t>---</w:t>
      </w:r>
    </w:p>
    <w:p>
      <w:pPr>
        <w:spacing w:after="120" w:line="276" w:lineRule="auto"/>
      </w:pPr>
      <w:r>
        <w:t>### PARTIE 4 : CONCLUSION D'INVESTISSEMENT</w:t>
      </w:r>
    </w:p>
    <w:p>
      <w:pPr>
        <w:spacing w:after="120" w:line="276" w:lineRule="auto"/>
      </w:pPr>
      <w:r>
        <w:t>La valorisation de CIEC (PER de 30,3x, P/B de 11,06x, EV/EBITDA de 15,8x) indique une nette surévaluation par rapport aux moyennes du marché BRVM, ce qui suggère que le titre intègre déjà une forte croissance future et laisse peu de marge de sécurité. Le comportement du cours sur 100 jours (+129,03%) est exceptionnellement haussier, avec une volatilité élevée (50,9%) et une distribution symétrique (skewness=0,028) sans risque de pics extrêmes (kurtosis=-0,670), ce qui est rassurant mais implique une correction possible après une telle envolée. Les signaux techniques sont mitigés : les moyennes mobiles et le MACD sont haussiers, mais le RSI neutre (55,6), les bandes de Bollinger proches de la borne haute et le croisement baissier du stochastique suggèrent une consolidation imminente. Les fondamentaux 2025 sont solides (CA +14,8%, résultat net +24,4%, ROE de 36,5%), mais la structure financière est fragile (autonomie financière de 1,78%, endettement de 612,94%) et la valorisation exigeante. Les prédictions IA pour les 10 prochains jours (6678 → 6149 FCFA) anticipent une baisse de -13,4%, ce qui contredit les signaux techniques haussiers et confirme la probabilité d'une correction après le rallye. Sur la base de cette synthèse, la recommandation finale est **CONSERVER** : le titre est fondamentalement solide mais surévalué, et la correction attendue par les prédictions IA offre une meilleure opportunité d'entrée à venir. Le niveau de confiance est **Moyen** (les signaux sont divergents entre technique et prédiction), et le niveau de risque global est **Élevé** (volatilité de 50,9%, endettement massif, valorisation exigeante). L'horizon d'investissement optimal est **moyen terme (3-12 mois)**, en attendant une correction pour accumuler à des niveaux plus attractifs (autour de 6 000-6 200 FCFA), avec un objectif de rendement porté par le dividende attractif (234 FCFA/action, soit un rendement de 3,3% au cours actuel).</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951.55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4,020 titres</w:t>
            </w:r>
          </w:p>
        </w:tc>
        <w:tc>
          <w:tcPr>
            <w:tcW w:type="dxa" w:w="2268"/>
            <w:shd w:fill="FFF2CC" w:val="clear"/>
          </w:tcPr>
          <w:p>
            <w:r>
              <w:rPr>
                <w:b/>
                <w:color w:val="503200"/>
                <w:sz w:val="16"/>
              </w:rPr>
              <w:t xml:space="preserve">Cours actuel : </w:t>
            </w:r>
            <w:r>
              <w:rPr>
                <w:color w:val="000000"/>
                <w:sz w:val="17"/>
              </w:rPr>
              <w:t>17,285 FCFA</w:t>
            </w:r>
          </w:p>
          <w:p>
            <w:r>
              <w:rPr>
                <w:b/>
                <w:color w:val="503200"/>
                <w:sz w:val="16"/>
              </w:rPr>
              <w:t xml:space="preserve">Var. 100 jours : </w:t>
            </w:r>
            <w:r>
              <w:rPr>
                <w:b/>
                <w:color w:val="007800"/>
                <w:sz w:val="17"/>
              </w:rPr>
              <w:t>+6.37%</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2.75% (Faible) — μ=16,454 FCFA, σ=453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β=0.4119 (Défensif) — Cov=0.000014, Var(idx)=0.000035, ρ=0.135,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4,020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16,770</w:t>
            </w:r>
          </w:p>
        </w:tc>
        <w:tc>
          <w:tcPr>
            <w:tcW w:type="dxa" w:w="1440"/>
            <w:shd w:fill="FAFAFA" w:val="clear"/>
          </w:tcPr>
          <w:p>
            <w:r>
              <w:rPr>
                <w:b/>
                <w:sz w:val="17"/>
              </w:rPr>
              <w:t>17,295</w:t>
            </w:r>
          </w:p>
        </w:tc>
        <w:tc>
          <w:tcPr>
            <w:tcW w:type="dxa" w:w="1440"/>
            <w:shd w:fill="FAFAFA" w:val="clear"/>
          </w:tcPr>
          <w:p>
            <w:r>
              <w:rPr>
                <w:sz w:val="17"/>
              </w:rPr>
              <w:t>17,819</w:t>
            </w:r>
          </w:p>
        </w:tc>
        <w:tc>
          <w:tcPr>
            <w:tcW w:type="dxa" w:w="1440"/>
            <w:shd w:fill="FAFAFA" w:val="clear"/>
          </w:tcPr>
          <w:p>
            <w:r>
              <w:rPr>
                <w:b/>
                <w:color w:val="008000"/>
                <w:sz w:val="17"/>
              </w:rPr>
              <w:t>+0.1%</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16,576</w:t>
            </w:r>
          </w:p>
        </w:tc>
        <w:tc>
          <w:tcPr>
            <w:tcW w:type="dxa" w:w="1440"/>
            <w:shd w:fill="FAFAFA" w:val="clear"/>
          </w:tcPr>
          <w:p>
            <w:r>
              <w:rPr>
                <w:b/>
                <w:sz w:val="17"/>
              </w:rPr>
              <w:t>17,318</w:t>
            </w:r>
          </w:p>
        </w:tc>
        <w:tc>
          <w:tcPr>
            <w:tcW w:type="dxa" w:w="1440"/>
            <w:shd w:fill="FAFAFA" w:val="clear"/>
          </w:tcPr>
          <w:p>
            <w:r>
              <w:rPr>
                <w:sz w:val="17"/>
              </w:rPr>
              <w:t>18,061</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16,430</w:t>
            </w:r>
          </w:p>
        </w:tc>
        <w:tc>
          <w:tcPr>
            <w:tcW w:type="dxa" w:w="1440"/>
            <w:shd w:fill="FAFAFA" w:val="clear"/>
          </w:tcPr>
          <w:p>
            <w:r>
              <w:rPr>
                <w:b/>
                <w:sz w:val="17"/>
              </w:rPr>
              <w:t>17,341</w:t>
            </w:r>
          </w:p>
        </w:tc>
        <w:tc>
          <w:tcPr>
            <w:tcW w:type="dxa" w:w="1440"/>
            <w:shd w:fill="FAFAFA" w:val="clear"/>
          </w:tcPr>
          <w:p>
            <w:r>
              <w:rPr>
                <w:sz w:val="17"/>
              </w:rPr>
              <w:t>18,251</w:t>
            </w:r>
          </w:p>
        </w:tc>
        <w:tc>
          <w:tcPr>
            <w:tcW w:type="dxa" w:w="1440"/>
            <w:shd w:fill="FAFAFA" w:val="clear"/>
          </w:tcPr>
          <w:p>
            <w:r>
              <w:rPr>
                <w:b/>
                <w:color w:val="008000"/>
                <w:sz w:val="17"/>
              </w:rPr>
              <w:t>+0.3%</w:t>
            </w:r>
          </w:p>
        </w:tc>
      </w:tr>
      <w:tr>
        <w:tc>
          <w:tcPr>
            <w:tcW w:type="dxa" w:w="1440"/>
            <w:shd w:fill="FAFAFA" w:val="clear"/>
          </w:tcPr>
          <w:p>
            <w:r>
              <w:rPr>
                <w:sz w:val="17"/>
              </w:rPr>
              <w:t>J+4  Moyenne</w:t>
            </w:r>
          </w:p>
        </w:tc>
        <w:tc>
          <w:tcPr>
            <w:tcW w:type="dxa" w:w="1440"/>
            <w:shd w:fill="FAFAFA" w:val="clear"/>
          </w:tcPr>
          <w:p>
            <w:r>
              <w:rPr>
                <w:sz w:val="17"/>
              </w:rPr>
              <w:t>2026-09-17</w:t>
            </w:r>
          </w:p>
        </w:tc>
        <w:tc>
          <w:tcPr>
            <w:tcW w:type="dxa" w:w="1440"/>
            <w:shd w:fill="FAFAFA" w:val="clear"/>
          </w:tcPr>
          <w:p>
            <w:r>
              <w:rPr>
                <w:sz w:val="17"/>
              </w:rPr>
              <w:t>16,306</w:t>
            </w:r>
          </w:p>
        </w:tc>
        <w:tc>
          <w:tcPr>
            <w:tcW w:type="dxa" w:w="1440"/>
            <w:shd w:fill="FAFAFA" w:val="clear"/>
          </w:tcPr>
          <w:p>
            <w:r>
              <w:rPr>
                <w:b/>
                <w:sz w:val="17"/>
              </w:rPr>
              <w:t>17,358</w:t>
            </w:r>
          </w:p>
        </w:tc>
        <w:tc>
          <w:tcPr>
            <w:tcW w:type="dxa" w:w="1440"/>
            <w:shd w:fill="FAFAFA" w:val="clear"/>
          </w:tcPr>
          <w:p>
            <w:r>
              <w:rPr>
                <w:sz w:val="17"/>
              </w:rPr>
              <w:t>18,411</w:t>
            </w:r>
          </w:p>
        </w:tc>
        <w:tc>
          <w:tcPr>
            <w:tcW w:type="dxa" w:w="1440"/>
            <w:shd w:fill="FAFAFA" w:val="clear"/>
          </w:tcPr>
          <w:p>
            <w:r>
              <w:rPr>
                <w:b/>
                <w:color w:val="008000"/>
                <w:sz w:val="17"/>
              </w:rPr>
              <w:t>+0.4%</w:t>
            </w:r>
          </w:p>
        </w:tc>
      </w:tr>
      <w:tr>
        <w:tc>
          <w:tcPr>
            <w:tcW w:type="dxa" w:w="1440"/>
            <w:shd w:fill="FAFAFA" w:val="clear"/>
          </w:tcPr>
          <w:p>
            <w:r>
              <w:rPr>
                <w:sz w:val="17"/>
              </w:rPr>
              <w:t>J+5  Moyenne</w:t>
            </w:r>
          </w:p>
        </w:tc>
        <w:tc>
          <w:tcPr>
            <w:tcW w:type="dxa" w:w="1440"/>
            <w:shd w:fill="FAFAFA" w:val="clear"/>
          </w:tcPr>
          <w:p>
            <w:r>
              <w:rPr>
                <w:sz w:val="17"/>
              </w:rPr>
              <w:t>2026-09-18</w:t>
            </w:r>
          </w:p>
        </w:tc>
        <w:tc>
          <w:tcPr>
            <w:tcW w:type="dxa" w:w="1440"/>
            <w:shd w:fill="FAFAFA" w:val="clear"/>
          </w:tcPr>
          <w:p>
            <w:r>
              <w:rPr>
                <w:sz w:val="17"/>
              </w:rPr>
              <w:t>16,196</w:t>
            </w:r>
          </w:p>
        </w:tc>
        <w:tc>
          <w:tcPr>
            <w:tcW w:type="dxa" w:w="1440"/>
            <w:shd w:fill="FAFAFA" w:val="clear"/>
          </w:tcPr>
          <w:p>
            <w:r>
              <w:rPr>
                <w:b/>
                <w:sz w:val="17"/>
              </w:rPr>
              <w:t>17,374</w:t>
            </w:r>
          </w:p>
        </w:tc>
        <w:tc>
          <w:tcPr>
            <w:tcW w:type="dxa" w:w="1440"/>
            <w:shd w:fill="FAFAFA" w:val="clear"/>
          </w:tcPr>
          <w:p>
            <w:r>
              <w:rPr>
                <w:sz w:val="17"/>
              </w:rPr>
              <w:t>18,552</w:t>
            </w:r>
          </w:p>
        </w:tc>
        <w:tc>
          <w:tcPr>
            <w:tcW w:type="dxa" w:w="1440"/>
            <w:shd w:fill="FAFAFA" w:val="clear"/>
          </w:tcPr>
          <w:p>
            <w:r>
              <w:rPr>
                <w:b/>
                <w:color w:val="008000"/>
                <w:sz w:val="17"/>
              </w:rPr>
              <w:t>+0.5%</w:t>
            </w:r>
          </w:p>
        </w:tc>
      </w:tr>
      <w:tr>
        <w:tc>
          <w:tcPr>
            <w:tcW w:type="dxa" w:w="1440"/>
            <w:shd w:fill="FAFAFA" w:val="clear"/>
          </w:tcPr>
          <w:p>
            <w:r>
              <w:rPr>
                <w:sz w:val="17"/>
              </w:rPr>
              <w:t>J+6  Moyenne</w:t>
            </w:r>
          </w:p>
        </w:tc>
        <w:tc>
          <w:tcPr>
            <w:tcW w:type="dxa" w:w="1440"/>
            <w:shd w:fill="FAFAFA" w:val="clear"/>
          </w:tcPr>
          <w:p>
            <w:r>
              <w:rPr>
                <w:sz w:val="17"/>
              </w:rPr>
              <w:t>2026-09-21</w:t>
            </w:r>
          </w:p>
        </w:tc>
        <w:tc>
          <w:tcPr>
            <w:tcW w:type="dxa" w:w="1440"/>
            <w:shd w:fill="FAFAFA" w:val="clear"/>
          </w:tcPr>
          <w:p>
            <w:r>
              <w:rPr>
                <w:sz w:val="17"/>
              </w:rPr>
              <w:t>16,097</w:t>
            </w:r>
          </w:p>
        </w:tc>
        <w:tc>
          <w:tcPr>
            <w:tcW w:type="dxa" w:w="1440"/>
            <w:shd w:fill="FAFAFA" w:val="clear"/>
          </w:tcPr>
          <w:p>
            <w:r>
              <w:rPr>
                <w:b/>
                <w:sz w:val="17"/>
              </w:rPr>
              <w:t>17,389</w:t>
            </w:r>
          </w:p>
        </w:tc>
        <w:tc>
          <w:tcPr>
            <w:tcW w:type="dxa" w:w="1440"/>
            <w:shd w:fill="FAFAFA" w:val="clear"/>
          </w:tcPr>
          <w:p>
            <w:r>
              <w:rPr>
                <w:sz w:val="17"/>
              </w:rPr>
              <w:t>18,680</w:t>
            </w:r>
          </w:p>
        </w:tc>
        <w:tc>
          <w:tcPr>
            <w:tcW w:type="dxa" w:w="1440"/>
            <w:shd w:fill="FAFAFA" w:val="clear"/>
          </w:tcPr>
          <w:p>
            <w:r>
              <w:rPr>
                <w:b/>
                <w:color w:val="008000"/>
                <w:sz w:val="17"/>
              </w:rPr>
              <w:t>+0.6%</w:t>
            </w:r>
          </w:p>
        </w:tc>
      </w:tr>
      <w:tr>
        <w:tc>
          <w:tcPr>
            <w:tcW w:type="dxa" w:w="1440"/>
            <w:shd w:fill="FAFAFA" w:val="clear"/>
          </w:tcPr>
          <w:p>
            <w:r>
              <w:rPr>
                <w:sz w:val="17"/>
              </w:rPr>
              <w:t>J+7  Moyenne</w:t>
            </w:r>
          </w:p>
        </w:tc>
        <w:tc>
          <w:tcPr>
            <w:tcW w:type="dxa" w:w="1440"/>
            <w:shd w:fill="FAFAFA" w:val="clear"/>
          </w:tcPr>
          <w:p>
            <w:r>
              <w:rPr>
                <w:sz w:val="17"/>
              </w:rPr>
              <w:t>2026-09-22</w:t>
            </w:r>
          </w:p>
        </w:tc>
        <w:tc>
          <w:tcPr>
            <w:tcW w:type="dxa" w:w="1440"/>
            <w:shd w:fill="FAFAFA" w:val="clear"/>
          </w:tcPr>
          <w:p>
            <w:r>
              <w:rPr>
                <w:sz w:val="17"/>
              </w:rPr>
              <w:t>16,007</w:t>
            </w:r>
          </w:p>
        </w:tc>
        <w:tc>
          <w:tcPr>
            <w:tcW w:type="dxa" w:w="1440"/>
            <w:shd w:fill="FAFAFA" w:val="clear"/>
          </w:tcPr>
          <w:p>
            <w:r>
              <w:rPr>
                <w:b/>
                <w:sz w:val="17"/>
              </w:rPr>
              <w:t>17,404</w:t>
            </w:r>
          </w:p>
        </w:tc>
        <w:tc>
          <w:tcPr>
            <w:tcW w:type="dxa" w:w="1440"/>
            <w:shd w:fill="FAFAFA" w:val="clear"/>
          </w:tcPr>
          <w:p>
            <w:r>
              <w:rPr>
                <w:sz w:val="17"/>
              </w:rPr>
              <w:t>18,800</w:t>
            </w:r>
          </w:p>
        </w:tc>
        <w:tc>
          <w:tcPr>
            <w:tcW w:type="dxa" w:w="1440"/>
            <w:shd w:fill="FAFAFA" w:val="clear"/>
          </w:tcPr>
          <w:p>
            <w:r>
              <w:rPr>
                <w:b/>
                <w:color w:val="008000"/>
                <w:sz w:val="17"/>
              </w:rPr>
              <w:t>+0.7%</w:t>
            </w:r>
          </w:p>
        </w:tc>
      </w:tr>
      <w:tr>
        <w:tc>
          <w:tcPr>
            <w:tcW w:type="dxa" w:w="1440"/>
            <w:shd w:fill="FAFAFA" w:val="clear"/>
          </w:tcPr>
          <w:p>
            <w:r>
              <w:rPr>
                <w:sz w:val="17"/>
              </w:rPr>
              <w:t>J+8  Moyenne</w:t>
            </w:r>
          </w:p>
        </w:tc>
        <w:tc>
          <w:tcPr>
            <w:tcW w:type="dxa" w:w="1440"/>
            <w:shd w:fill="FAFAFA" w:val="clear"/>
          </w:tcPr>
          <w:p>
            <w:r>
              <w:rPr>
                <w:sz w:val="17"/>
              </w:rPr>
              <w:t>2026-09-23</w:t>
            </w:r>
          </w:p>
        </w:tc>
        <w:tc>
          <w:tcPr>
            <w:tcW w:type="dxa" w:w="1440"/>
            <w:shd w:fill="FAFAFA" w:val="clear"/>
          </w:tcPr>
          <w:p>
            <w:r>
              <w:rPr>
                <w:sz w:val="17"/>
              </w:rPr>
              <w:t>15,924</w:t>
            </w:r>
          </w:p>
        </w:tc>
        <w:tc>
          <w:tcPr>
            <w:tcW w:type="dxa" w:w="1440"/>
            <w:shd w:fill="FAFAFA" w:val="clear"/>
          </w:tcPr>
          <w:p>
            <w:r>
              <w:rPr>
                <w:b/>
                <w:sz w:val="17"/>
              </w:rPr>
              <w:t>17,418</w:t>
            </w:r>
          </w:p>
        </w:tc>
        <w:tc>
          <w:tcPr>
            <w:tcW w:type="dxa" w:w="1440"/>
            <w:shd w:fill="FAFAFA" w:val="clear"/>
          </w:tcPr>
          <w:p>
            <w:r>
              <w:rPr>
                <w:sz w:val="17"/>
              </w:rPr>
              <w:t>18,912</w:t>
            </w:r>
          </w:p>
        </w:tc>
        <w:tc>
          <w:tcPr>
            <w:tcW w:type="dxa" w:w="1440"/>
            <w:shd w:fill="FAFAFA" w:val="clear"/>
          </w:tcPr>
          <w:p>
            <w:r>
              <w:rPr>
                <w:b/>
                <w:color w:val="008000"/>
                <w:sz w:val="17"/>
              </w:rPr>
              <w:t>+0.8%</w:t>
            </w:r>
          </w:p>
        </w:tc>
      </w:tr>
      <w:tr>
        <w:tc>
          <w:tcPr>
            <w:tcW w:type="dxa" w:w="1440"/>
            <w:shd w:fill="FAFAFA" w:val="clear"/>
          </w:tcPr>
          <w:p>
            <w:r>
              <w:rPr>
                <w:sz w:val="17"/>
              </w:rPr>
              <w:t>J+9  Moyenne</w:t>
            </w:r>
          </w:p>
        </w:tc>
        <w:tc>
          <w:tcPr>
            <w:tcW w:type="dxa" w:w="1440"/>
            <w:shd w:fill="FAFAFA" w:val="clear"/>
          </w:tcPr>
          <w:p>
            <w:r>
              <w:rPr>
                <w:sz w:val="17"/>
              </w:rPr>
              <w:t>2026-09-24</w:t>
            </w:r>
          </w:p>
        </w:tc>
        <w:tc>
          <w:tcPr>
            <w:tcW w:type="dxa" w:w="1440"/>
            <w:shd w:fill="FAFAFA" w:val="clear"/>
          </w:tcPr>
          <w:p>
            <w:r>
              <w:rPr>
                <w:sz w:val="17"/>
              </w:rPr>
              <w:t>15,847</w:t>
            </w:r>
          </w:p>
        </w:tc>
        <w:tc>
          <w:tcPr>
            <w:tcW w:type="dxa" w:w="1440"/>
            <w:shd w:fill="FAFAFA" w:val="clear"/>
          </w:tcPr>
          <w:p>
            <w:r>
              <w:rPr>
                <w:b/>
                <w:sz w:val="17"/>
              </w:rPr>
              <w:t>17,432</w:t>
            </w:r>
          </w:p>
        </w:tc>
        <w:tc>
          <w:tcPr>
            <w:tcW w:type="dxa" w:w="1440"/>
            <w:shd w:fill="FAFAFA" w:val="clear"/>
          </w:tcPr>
          <w:p>
            <w:r>
              <w:rPr>
                <w:sz w:val="17"/>
              </w:rPr>
              <w:t>19,018</w:t>
            </w:r>
          </w:p>
        </w:tc>
        <w:tc>
          <w:tcPr>
            <w:tcW w:type="dxa" w:w="1440"/>
            <w:shd w:fill="FAFAFA" w:val="clear"/>
          </w:tcPr>
          <w:p>
            <w:r>
              <w:rPr>
                <w:b/>
                <w:color w:val="008000"/>
                <w:sz w:val="17"/>
              </w:rPr>
              <w:t>+0.9%</w:t>
            </w:r>
          </w:p>
        </w:tc>
      </w:tr>
      <w:tr>
        <w:tc>
          <w:tcPr>
            <w:tcW w:type="dxa" w:w="1440"/>
            <w:shd w:fill="FAFAFA" w:val="clear"/>
          </w:tcPr>
          <w:p>
            <w:r>
              <w:rPr>
                <w:sz w:val="17"/>
              </w:rPr>
              <w:t>J+10  Moyenne</w:t>
            </w:r>
          </w:p>
        </w:tc>
        <w:tc>
          <w:tcPr>
            <w:tcW w:type="dxa" w:w="1440"/>
            <w:shd w:fill="FAFAFA" w:val="clear"/>
          </w:tcPr>
          <w:p>
            <w:r>
              <w:rPr>
                <w:sz w:val="17"/>
              </w:rPr>
              <w:t>2026-09-25</w:t>
            </w:r>
          </w:p>
        </w:tc>
        <w:tc>
          <w:tcPr>
            <w:tcW w:type="dxa" w:w="1440"/>
            <w:shd w:fill="FAFAFA" w:val="clear"/>
          </w:tcPr>
          <w:p>
            <w:r>
              <w:rPr>
                <w:sz w:val="17"/>
              </w:rPr>
              <w:t>15,773</w:t>
            </w:r>
          </w:p>
        </w:tc>
        <w:tc>
          <w:tcPr>
            <w:tcW w:type="dxa" w:w="1440"/>
            <w:shd w:fill="FAFAFA" w:val="clear"/>
          </w:tcPr>
          <w:p>
            <w:r>
              <w:rPr>
                <w:b/>
                <w:sz w:val="17"/>
              </w:rPr>
              <w:t>17,446</w:t>
            </w:r>
          </w:p>
        </w:tc>
        <w:tc>
          <w:tcPr>
            <w:tcW w:type="dxa" w:w="1440"/>
            <w:shd w:fill="FAFAFA" w:val="clear"/>
          </w:tcPr>
          <w:p>
            <w:r>
              <w:rPr>
                <w:sz w:val="17"/>
              </w:rPr>
              <w:t>19,119</w:t>
            </w:r>
          </w:p>
        </w:tc>
        <w:tc>
          <w:tcPr>
            <w:tcW w:type="dxa" w:w="1440"/>
            <w:shd w:fill="FAFAFA" w:val="clear"/>
          </w:tcPr>
          <w:p>
            <w:r>
              <w:rPr>
                <w:b/>
                <w:color w:val="008000"/>
                <w:sz w:val="17"/>
              </w:rPr>
              <w:t>+0.9%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ECOBANK CÔTE D'IVOIRE (ECOC)**</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951,55 milliards FCFA, ECOC s'impose comme l'une des toutes premières capitalisations de la BRVM, ce qui en fait un pilier incontournable de l'indice composite et un titre de référence pour les investisseurs institutionnels de la zone UEMOA. Le BPA de 1 153 FCFA/action signifie que chaque titre génère un bénéfice net de plus de mille francs, un niveau élevé qui traduit la forte rentabilité de la banque. Le PER de 15,0x se situe au-dessus de la moyenne du marché BRVM (généralement comprise entre 8 et 12x), ce qui indique que les investisseurs acceptent de payer une prime pour la qualité et la régularité des bénéfices d'ECOC, sans pour autant tomber dans une valorisation spéculative. Le P/B de 4,35x est nettement supérieur au seuil de 4x, signe que le marché valorise la banque à plus de quatre fois ses fonds propres comptables (218,57 Mds FCFA) — une prime exigeante qui se justifie par un ROE exceptionnel de 29,04%, bien au-dessus du coût des fonds propres. Enfin, l'EV/EBITDA de 14,6x, dans la fourchette haute (10-15x), confirme que la valeur d'entreprise intègre déjà une large part de la capacité bénéficiaire actuelle, laissant peu de marge d'erreur en cas de dégradation des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ECOC affiche une progression totale de +6,37%, avec une accélération notable lors de la dernière séance (+2,89% en J-1), portant le cours actuel à 17 285 FCFA pour une capitalisation de 951,55 Mds FCFA. Le range de trading s'est établi entre un plus bas de 15 520 FCFA et un plus haut de 17 725 FCFA, soit une amplitude d'environ 14%, ce qui témoigne d'une tendance générale haussière mais ponctuée de corrections. La moyenne du cours sur la période (16 454 FCFA) est supérieure à la médiane (16 300 FCFA), elle-même égale au mode, ce qui indique une distribution légèrement tirée vers le haut par les séances de forte hausse ; l'écart-type de 456 FCFA avec un coefficient de variation de seulement 2,8% révèle une dispersion très faible du cours autour de sa moyenne, signe d'une grande stabilité. Le kurtosis (excès) de 0,243, qualifié de mésokurtique, signifie que la distribution des rendements est proche d'une loi normale, sans risque particulier de pics extrêmes ; en revanche, le skewness de 0,700 traduit une asymétrie positive, c'est-à-dire davantage de journées de baisse modérée que de hausse, mais compensées par des hausses plus amples — un profil typique d'un titre en consolidation haussière. La volatilité annualisée de 28,8% place ECOC dans la catégorie des titres à volatilité modérée (15-30%), ce qui reste raisonnable pour une valeur bancaire de premier plan et compatible avec un profil d'investisseur équilibré.</w:t>
      </w:r>
    </w:p>
    <w:p>
      <w:pPr>
        <w:spacing w:after="120" w:line="276" w:lineRule="auto"/>
      </w:pPr>
      <w:r>
        <w:t>---</w:t>
      </w:r>
    </w:p>
    <w:p>
      <w:pPr>
        <w:spacing w:after="120" w:line="276" w:lineRule="auto"/>
      </w:pPr>
      <w:r>
        <w:t>## PARTIE 2 : ANALYSE TECHNIQUE DÉTAILLÉE</w:t>
      </w:r>
    </w:p>
    <w:p>
      <w:pPr>
        <w:spacing w:after="120" w:line="276" w:lineRule="auto"/>
      </w:pPr>
      <w:r>
        <w:t>**Moyennes Mobiles** : La MM20 (16 948,75 FCFA) et la MM50 (16 530,50 FCFA) se situent toutes deux sous le cours actuel (17 285 FCFA), et la MM20 est supérieure à la MM50, configuration classique de tendance haussière à court et moyen terme. Le cours évoluant au-dessus de ses deux moyennes, la dynamique est clairement positive et justifie la décision d'**Achat** fournie par l'indicateur.</w:t>
      </w:r>
    </w:p>
    <w:p>
      <w:pPr>
        <w:spacing w:after="120" w:line="276" w:lineRule="auto"/>
      </w:pPr>
      <w:r>
        <w:t>**Bandes de Bollinger** : Le cours (17 285 FCFA) se situe dans la partie haute du canal, entre la borne inférieure (15 965,66 FCFA) et la borne supérieure (17 931,84 FCFA), sans toutefois toucher cette dernière. Cette position reflète une pression acheteuse modérée mais sans excès, et l'absence de cassure de la borne haute justifie la décision **Neutre** — le titre n'est ni en surchauffe, ni en zone de faiblesse.</w:t>
      </w:r>
    </w:p>
    <w:p>
      <w:pPr>
        <w:spacing w:after="120" w:line="276" w:lineRule="auto"/>
      </w:pPr>
      <w:r>
        <w:t>**MACD** : La ligne MACD (270,819) est supérieure à sa ligne de signal (256,272), avec un histogramme positif, ce qui confirme un momentum haussier en cours de consolidation. Cette divergence positive, bien qu'encore modérée, soutient la décision d'**Achat** et suggère que la tendance haussière pourrait se poursuivre à court terme.</w:t>
      </w:r>
    </w:p>
    <w:p>
      <w:pPr>
        <w:spacing w:after="120" w:line="276" w:lineRule="auto"/>
      </w:pPr>
      <w:r>
        <w:t>**RSI** : À 56,694, le RSI se situe dans la zone neutre (30-70), sans atteindre la zone de surachat (&gt;70) ni celle de survente (&lt;30). Cette position médiane indique que le titre dispose encore d'un potentiel de hausse sans être techniquement tendu, ce qui justifie la décision **Neutre** — ni signal d'achat agressif, ni signal de vente.</w:t>
      </w:r>
    </w:p>
    <w:p>
      <w:pPr>
        <w:spacing w:after="120" w:line="276" w:lineRule="auto"/>
      </w:pPr>
      <w:r>
        <w:t>**Stochastique** : Le %K (63,786) est légèrement supérieur au %D (61,728), sans croisement significatif récent, et les deux lignes évoluent dans la partie médiane-haute de la fourchette. Cette configuration neutre, sans divergence baissière, confirme la décision **Neutre** et suggère une poursuite de la tendance sans accélération marquée.</w:t>
      </w:r>
    </w:p>
    <w:p>
      <w:pPr>
        <w:spacing w:after="120" w:line="276" w:lineRule="auto"/>
      </w:pPr>
      <w:r>
        <w:t>**Conclusion technique** : La convergence des indicateurs est majoritairement haussière — moyennes mobiles en configuration d'achat, MACD positif, cours au-dessus des supports — mais tempérée par des oscillateurs (RSI, Stochastique, Bollinger) en zone neutre. Le titre se trouve dans une phase de consolidation haussière saine, sans excès de surachat, ce qui plaide pour un maintien de la position avec un potentiel de progression modéré à court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ECOC affiche un Produit Net Bancaire (PNB) de 132,725 Mds FCFA, en croissance de 8,51% par rapport à 2024, confirmant la dynamique commerciale de la banque. Le résultat net s'établit à 63,482 Mds FCFA, en hausse de 10,4% par rapport aux 57,5 Mds FCFA de 2024, avec une marge nette remarquable de 47,83% — près de la moitié du PNB se transforme en bénéfice net. Le ROE de 29,04% et le ROA de 3,09% placent ECOC parmi les banques les plus rentables de la zone UEMOA, très au-dessus des standards sectoriels (&gt;15% pour le ROE). Le coefficient d'exploitation de 42,89% est excellent (&lt;50%), témoignant d'une efficacité opérationnelle supérieure à la moyenne du secteur bancaire ouest-africain. Le coût du risque, à 1,36% des charges financières, reste modéré et sous contrôle, tandis que le ratio de couverture des intérêts (317,71%) traduit une capacité largement suffisante à honorer les charges financières. La structure financière montre une autonomie financière de 10,64% (capitaux propres/total bilan), typique du modèle bancaire où les dépôts clientèle (1 626,22 Mds FCFA) constituent la principale ressource, et un ratio d'endettement de 69,63% qui reste maîtrisé grâce à la solvabilité générale de 111,91%.</w:t>
      </w:r>
    </w:p>
    <w:p>
      <w:pPr>
        <w:spacing w:after="120" w:line="276" w:lineRule="auto"/>
      </w:pPr>
      <w:r>
        <w:t>**Estimations basées sur les rapports trimestriels** : Le rapport du T1 2026 (publié en 2026) indique un PNB de 30,8 Mds FCFA (+3,7%) et un résultat net de 13,0 Mds FCFA (-1,6%), avec un coefficient d'exploitation de 45,7% et un ROE de 23,0% — une légère contraction de la rentabilité liée à la hausse du coût du risque et à la baisse des produits hors intérêts (-17,2%). Le rapport du T3 2025 (30/09/2025) affichait un PNB de 96,4 Mds FCFA (+11,3%) et un résultat net de 44,4 Mds FCFA (+15,4%), avec un ROE de 29,7% et un coefficient d'exploitation de 44,7%. Le rapport annuel 2024 (31/12/2024) confirmait un PNB de 122,3 Mds FCFA (+11,0%) et un résultat net de 57,5 Mds FCFA (+19,6%), avec un dividende brut de 804 FCFA/action (taux de distribution de 77%). Sur la base du T1 2026, on estime que l'exercice 2026 devrait enregistrer une croissance plus modérée du PNB (autour de 5-7%) et un résultat net stable ou en légère progression, la banque poursuivant sa politique de crédit sélective (encours en baisse de 2,6%) tout en maintenant une forte collecte de dépôts (+12% à 1 709 Mds FCFA). La proposition de dividende de 888 FCFA brut/action pour 2025 (contre 804 FCFA en 2024, soit +10,4%) confirme la générosité de la politique de distribution et offre un rendement attractif au cours actuel de 17 285 FCFA (environ 5,1% brut).</w:t>
      </w:r>
    </w:p>
    <w:p>
      <w:pPr>
        <w:spacing w:after="120" w:line="276" w:lineRule="auto"/>
      </w:pPr>
      <w:r>
        <w:t>**Recommandation fondamentale** : ECOC présente des fondamentaux solides — rentabilité exceptionnelle, efficacité opérationnelle, structure financière saine et politique de dividende attractive — mais fait face à un ralentissement de la croissance au T1 2026 et à une hausse du coût du risque dans un environnement macroéconomique incertain. La valorisation exigeante (P/B 4,35x, PER 15x) intègre déjà une large part de ces qualités, ce qui limite le potentiel de réévaluation à court terme. La solidité du modèle et la régularité des résultats justifient une **conservation** du titre pour les investisseurs à moyen-long terme, avec une surveillance attentive de l'évolution du coût du risque et de la croissance du PNB.</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équilibré mais sans catalyseur majeur à court terme. **Sur le plan de la valorisation (Partie 0)**, les ratios PER (15,0x), P/B (4,35x) et EV/EBITDA (14,6x) indiquent une valorisation exigeante, voire légèrement surévaluée par rapport aux standards du marché BRVM, ce qui limite la marge de progression du cours sans nouvelle surprise bénéficiaire. **Le comportement du cours (Partie 1)** est favorable — tendance haussière (+6,37%), volatilité modérée (28,8%), distribution proche de la normale (kurtosis 0,243) et skewness positive (0,700) — mais la faible dispersion (CV 2,8%) suggère un potentiel de mouvement limité à court terme. **Les signaux techniques (Partie 2)** sont majoritairement haussiers (MM en achat, MACD positif) mais tempérés par des oscillateurs neutres (RSI 56,7, Stochastique 63,8, Bollinger neutre), ce qui plaide pour une consolidation plutôt qu'une accélération. **Les fondamentaux (Partie 3)** restent solides — ROE de 29,04%, coefficient d'exploitation de 42,89%, dividende en hausse à 888 FCFA — mais le T1 2026 montre un ralentissement (résultat net -1,6%) qui pourrait peser sur les prochains trimestres. **Les prédictions IA (J+1 à J+10)** anticipent une progression très modérée du cours, de 17 295 FCFA à 17 374 FCFA (+0,5% sur 10 jours), ce qui confirme la thèse d'une consolidation haussière sans emballement.</w:t>
      </w:r>
    </w:p>
    <w:p>
      <w:pPr>
        <w:spacing w:after="120" w:line="276" w:lineRule="auto"/>
      </w:pPr>
      <w:r>
        <w:t>**Recommandation finale : CONSERVER.** La convergence entre une valorisation exigeante, des signaux techniques neutres-haussiers, des fondamentaux solides mais en léger ralentissement et des prédictions IA modérément positives ne justifie ni un achat agressif (le potentiel de hausse est limité par la valorisation), ni une vente (la qualité des fondamentaux et le dividende protègent le titre). Le niveau de confiance est **Moyen** — les données sont fiables et convergentes, mais l'absence de catalyseur majeur et la valorisation tendue limitent la visibilité. Le niveau de risque global est **Moyen** — risque de crédit modéré, concentration géographique sur la Côte d'Ivoire, et sensibilité aux conditions macroéconomiques de la zone UEMOA. L'horizon d'investissement optimal est le **moyen terme (3-12 mois)**, le temps que la banque confirme la reprise de sa croissance bénéficiaire et que le marché valide la soutenabilité de sa valorisation premium. Les investisseurs en quête de rendement apprécieront le dividende de 888 FCFA/action (rendement ~5,1%), tandis que les investisseurs en capital privilégieront une entrée progressive sur repli vers la MM50 (16 530 FCFA) pour améliorer leur point d'entrée.</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1265.89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1,490,776 titres</w:t>
            </w:r>
          </w:p>
        </w:tc>
        <w:tc>
          <w:tcPr>
            <w:tcW w:type="dxa" w:w="2268"/>
            <w:shd w:fill="FFF2CC" w:val="clear"/>
          </w:tcPr>
          <w:p>
            <w:r>
              <w:rPr>
                <w:b/>
                <w:color w:val="503200"/>
                <w:sz w:val="16"/>
              </w:rPr>
              <w:t xml:space="preserve">Cours actuel : </w:t>
            </w:r>
            <w:r>
              <w:rPr>
                <w:color w:val="000000"/>
                <w:sz w:val="17"/>
              </w:rPr>
              <w:t>70 FCFA</w:t>
            </w:r>
          </w:p>
          <w:p>
            <w:r>
              <w:rPr>
                <w:b/>
                <w:color w:val="503200"/>
                <w:sz w:val="16"/>
              </w:rPr>
              <w:t xml:space="preserve">Var. 100 jours : </w:t>
            </w:r>
            <w:r>
              <w:rPr>
                <w:b/>
                <w:color w:val="007800"/>
                <w:sz w:val="17"/>
              </w:rPr>
              <w:t>+169.23%</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61.7%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36.98% (Élevée) — μ=49 FCFA, σ=18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β=2.4624 (Très agressif) — Cov=0.000086, Var(idx)=0.000035, ρ=0.372,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1,490,776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σ_j=3.88%/j (Modérée) — Vol. annualisée≈61.7%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5940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408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66</w:t>
            </w:r>
          </w:p>
        </w:tc>
        <w:tc>
          <w:tcPr>
            <w:tcW w:type="dxa" w:w="1440"/>
            <w:shd w:fill="FAFAFA" w:val="clear"/>
          </w:tcPr>
          <w:p>
            <w:r>
              <w:rPr>
                <w:b/>
                <w:sz w:val="17"/>
              </w:rPr>
              <w:t>69</w:t>
            </w:r>
          </w:p>
        </w:tc>
        <w:tc>
          <w:tcPr>
            <w:tcW w:type="dxa" w:w="1440"/>
            <w:shd w:fill="FAFAFA" w:val="clear"/>
          </w:tcPr>
          <w:p>
            <w:r>
              <w:rPr>
                <w:sz w:val="17"/>
              </w:rPr>
              <w:t>73</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64</w:t>
            </w:r>
          </w:p>
        </w:tc>
        <w:tc>
          <w:tcPr>
            <w:tcW w:type="dxa" w:w="1440"/>
            <w:shd w:fill="FAFAFA" w:val="clear"/>
          </w:tcPr>
          <w:p>
            <w:r>
              <w:rPr>
                <w:b/>
                <w:sz w:val="17"/>
              </w:rPr>
              <w:t>69</w:t>
            </w:r>
          </w:p>
        </w:tc>
        <w:tc>
          <w:tcPr>
            <w:tcW w:type="dxa" w:w="1440"/>
            <w:shd w:fill="FAFAFA" w:val="clear"/>
          </w:tcPr>
          <w:p>
            <w:r>
              <w:rPr>
                <w:sz w:val="17"/>
              </w:rPr>
              <w:t>74</w:t>
            </w:r>
          </w:p>
        </w:tc>
        <w:tc>
          <w:tcPr>
            <w:tcW w:type="dxa" w:w="1440"/>
            <w:shd w:fill="FAFAFA" w:val="clear"/>
          </w:tcPr>
          <w:p>
            <w:r>
              <w:rPr>
                <w:b/>
                <w:color w:val="C00000"/>
                <w:sz w:val="17"/>
              </w:rPr>
              <w:t>-1.6%</w:t>
            </w:r>
          </w:p>
        </w:tc>
      </w:tr>
      <w:tr>
        <w:tc>
          <w:tcPr>
            <w:tcW w:type="dxa" w:w="1440"/>
            <w:shd w:fill="FFDCE0" w:val="clear"/>
          </w:tcPr>
          <w:p>
            <w:r>
              <w:rPr>
                <w:sz w:val="17"/>
              </w:rPr>
              <w:t>J+3  Moyenne</w:t>
            </w:r>
          </w:p>
        </w:tc>
        <w:tc>
          <w:tcPr>
            <w:tcW w:type="dxa" w:w="1440"/>
            <w:shd w:fill="FFDCE0" w:val="clear"/>
          </w:tcPr>
          <w:p>
            <w:r>
              <w:rPr>
                <w:sz w:val="17"/>
              </w:rPr>
              <w:t>2026-09-16</w:t>
            </w:r>
          </w:p>
        </w:tc>
        <w:tc>
          <w:tcPr>
            <w:tcW w:type="dxa" w:w="1440"/>
            <w:shd w:fill="FFDCE0" w:val="clear"/>
          </w:tcPr>
          <w:p>
            <w:r>
              <w:rPr>
                <w:sz w:val="17"/>
              </w:rPr>
              <w:t>62</w:t>
            </w:r>
          </w:p>
        </w:tc>
        <w:tc>
          <w:tcPr>
            <w:tcW w:type="dxa" w:w="1440"/>
            <w:shd w:fill="FFDCE0" w:val="clear"/>
          </w:tcPr>
          <w:p>
            <w:r>
              <w:rPr>
                <w:b/>
                <w:sz w:val="17"/>
              </w:rPr>
              <w:t>68</w:t>
            </w:r>
          </w:p>
        </w:tc>
        <w:tc>
          <w:tcPr>
            <w:tcW w:type="dxa" w:w="1440"/>
            <w:shd w:fill="FFDCE0" w:val="clear"/>
          </w:tcPr>
          <w:p>
            <w:r>
              <w:rPr>
                <w:sz w:val="17"/>
              </w:rPr>
              <w:t>75</w:t>
            </w:r>
          </w:p>
        </w:tc>
        <w:tc>
          <w:tcPr>
            <w:tcW w:type="dxa" w:w="1440"/>
            <w:shd w:fill="FFDCE0" w:val="clear"/>
          </w:tcPr>
          <w:p>
            <w:r>
              <w:rPr>
                <w:b/>
                <w:color w:val="C00000"/>
                <w:sz w:val="17"/>
              </w:rPr>
              <w:t>-2.2%</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61</w:t>
            </w:r>
          </w:p>
        </w:tc>
        <w:tc>
          <w:tcPr>
            <w:tcW w:type="dxa" w:w="1440"/>
            <w:shd w:fill="FFDCE0" w:val="clear"/>
          </w:tcPr>
          <w:p>
            <w:r>
              <w:rPr>
                <w:b/>
                <w:sz w:val="17"/>
              </w:rPr>
              <w:t>68</w:t>
            </w:r>
          </w:p>
        </w:tc>
        <w:tc>
          <w:tcPr>
            <w:tcW w:type="dxa" w:w="1440"/>
            <w:shd w:fill="FFDCE0" w:val="clear"/>
          </w:tcPr>
          <w:p>
            <w:r>
              <w:rPr>
                <w:sz w:val="17"/>
              </w:rPr>
              <w:t>75</w:t>
            </w:r>
          </w:p>
        </w:tc>
        <w:tc>
          <w:tcPr>
            <w:tcW w:type="dxa" w:w="1440"/>
            <w:shd w:fill="FFDCE0" w:val="clear"/>
          </w:tcPr>
          <w:p>
            <w:r>
              <w:rPr>
                <w:b/>
                <w:color w:val="C00000"/>
                <w:sz w:val="17"/>
              </w:rPr>
              <w:t>-2.6%</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60</w:t>
            </w:r>
          </w:p>
        </w:tc>
        <w:tc>
          <w:tcPr>
            <w:tcW w:type="dxa" w:w="1440"/>
            <w:shd w:fill="FFDCE0" w:val="clear"/>
          </w:tcPr>
          <w:p>
            <w:r>
              <w:rPr>
                <w:b/>
                <w:sz w:val="17"/>
              </w:rPr>
              <w:t>68</w:t>
            </w:r>
          </w:p>
        </w:tc>
        <w:tc>
          <w:tcPr>
            <w:tcW w:type="dxa" w:w="1440"/>
            <w:shd w:fill="FFDCE0" w:val="clear"/>
          </w:tcPr>
          <w:p>
            <w:r>
              <w:rPr>
                <w:sz w:val="17"/>
              </w:rPr>
              <w:t>76</w:t>
            </w:r>
          </w:p>
        </w:tc>
        <w:tc>
          <w:tcPr>
            <w:tcW w:type="dxa" w:w="1440"/>
            <w:shd w:fill="FFDCE0" w:val="clear"/>
          </w:tcPr>
          <w:p>
            <w:r>
              <w:rPr>
                <w:b/>
                <w:color w:val="C00000"/>
                <w:sz w:val="17"/>
              </w:rPr>
              <w:t>-2.9%</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59</w:t>
            </w:r>
          </w:p>
        </w:tc>
        <w:tc>
          <w:tcPr>
            <w:tcW w:type="dxa" w:w="1440"/>
            <w:shd w:fill="FFDCE0" w:val="clear"/>
          </w:tcPr>
          <w:p>
            <w:r>
              <w:rPr>
                <w:b/>
                <w:sz w:val="17"/>
              </w:rPr>
              <w:t>68</w:t>
            </w:r>
          </w:p>
        </w:tc>
        <w:tc>
          <w:tcPr>
            <w:tcW w:type="dxa" w:w="1440"/>
            <w:shd w:fill="FFDCE0" w:val="clear"/>
          </w:tcPr>
          <w:p>
            <w:r>
              <w:rPr>
                <w:sz w:val="17"/>
              </w:rPr>
              <w:t>77</w:t>
            </w:r>
          </w:p>
        </w:tc>
        <w:tc>
          <w:tcPr>
            <w:tcW w:type="dxa" w:w="1440"/>
            <w:shd w:fill="FFDCE0" w:val="clear"/>
          </w:tcPr>
          <w:p>
            <w:r>
              <w:rPr>
                <w:b/>
                <w:color w:val="C00000"/>
                <w:sz w:val="17"/>
              </w:rPr>
              <w:t>-3.1%</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58</w:t>
            </w:r>
          </w:p>
        </w:tc>
        <w:tc>
          <w:tcPr>
            <w:tcW w:type="dxa" w:w="1440"/>
            <w:shd w:fill="FFDCE0" w:val="clear"/>
          </w:tcPr>
          <w:p>
            <w:r>
              <w:rPr>
                <w:b/>
                <w:sz w:val="17"/>
              </w:rPr>
              <w:t>68</w:t>
            </w:r>
          </w:p>
        </w:tc>
        <w:tc>
          <w:tcPr>
            <w:tcW w:type="dxa" w:w="1440"/>
            <w:shd w:fill="FFDCE0" w:val="clear"/>
          </w:tcPr>
          <w:p>
            <w:r>
              <w:rPr>
                <w:sz w:val="17"/>
              </w:rPr>
              <w:t>77</w:t>
            </w:r>
          </w:p>
        </w:tc>
        <w:tc>
          <w:tcPr>
            <w:tcW w:type="dxa" w:w="1440"/>
            <w:shd w:fill="FFDCE0" w:val="clear"/>
          </w:tcPr>
          <w:p>
            <w:r>
              <w:rPr>
                <w:b/>
                <w:color w:val="C00000"/>
                <w:sz w:val="17"/>
              </w:rPr>
              <w:t>-3.3%</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57</w:t>
            </w:r>
          </w:p>
        </w:tc>
        <w:tc>
          <w:tcPr>
            <w:tcW w:type="dxa" w:w="1440"/>
            <w:shd w:fill="FFDCE0" w:val="clear"/>
          </w:tcPr>
          <w:p>
            <w:r>
              <w:rPr>
                <w:b/>
                <w:sz w:val="17"/>
              </w:rPr>
              <w:t>68</w:t>
            </w:r>
          </w:p>
        </w:tc>
        <w:tc>
          <w:tcPr>
            <w:tcW w:type="dxa" w:w="1440"/>
            <w:shd w:fill="FFDCE0" w:val="clear"/>
          </w:tcPr>
          <w:p>
            <w:r>
              <w:rPr>
                <w:sz w:val="17"/>
              </w:rPr>
              <w:t>78</w:t>
            </w:r>
          </w:p>
        </w:tc>
        <w:tc>
          <w:tcPr>
            <w:tcW w:type="dxa" w:w="1440"/>
            <w:shd w:fill="FFDCE0" w:val="clear"/>
          </w:tcPr>
          <w:p>
            <w:r>
              <w:rPr>
                <w:b/>
                <w:color w:val="C00000"/>
                <w:sz w:val="17"/>
              </w:rPr>
              <w:t>-3.5%</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57</w:t>
            </w:r>
          </w:p>
        </w:tc>
        <w:tc>
          <w:tcPr>
            <w:tcW w:type="dxa" w:w="1440"/>
            <w:shd w:fill="FFDCE0" w:val="clear"/>
          </w:tcPr>
          <w:p>
            <w:r>
              <w:rPr>
                <w:b/>
                <w:sz w:val="17"/>
              </w:rPr>
              <w:t>67</w:t>
            </w:r>
          </w:p>
        </w:tc>
        <w:tc>
          <w:tcPr>
            <w:tcW w:type="dxa" w:w="1440"/>
            <w:shd w:fill="FFDCE0" w:val="clear"/>
          </w:tcPr>
          <w:p>
            <w:r>
              <w:rPr>
                <w:sz w:val="17"/>
              </w:rPr>
              <w:t>78</w:t>
            </w:r>
          </w:p>
        </w:tc>
        <w:tc>
          <w:tcPr>
            <w:tcW w:type="dxa" w:w="1440"/>
            <w:shd w:fill="FFDCE0" w:val="clear"/>
          </w:tcPr>
          <w:p>
            <w:r>
              <w:rPr>
                <w:b/>
                <w:color w:val="C00000"/>
                <w:sz w:val="17"/>
              </w:rPr>
              <w:t>-3.6%</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56</w:t>
            </w:r>
          </w:p>
        </w:tc>
        <w:tc>
          <w:tcPr>
            <w:tcW w:type="dxa" w:w="1440"/>
            <w:shd w:fill="FFDCE0" w:val="clear"/>
          </w:tcPr>
          <w:p>
            <w:r>
              <w:rPr>
                <w:b/>
                <w:sz w:val="17"/>
              </w:rPr>
              <w:t>67</w:t>
            </w:r>
          </w:p>
        </w:tc>
        <w:tc>
          <w:tcPr>
            <w:tcW w:type="dxa" w:w="1440"/>
            <w:shd w:fill="FFDCE0" w:val="clear"/>
          </w:tcPr>
          <w:p>
            <w:r>
              <w:rPr>
                <w:sz w:val="17"/>
              </w:rPr>
              <w:t>79</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ETIT (Ecobank Transnational Incorporated)**</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1 265,89 milliards FCFA, ETIT figure parmi les poids lourds de la cote BRVM, ce qui en fait un titre incontournable pour les investisseurs institutionnels régionaux. Le BPA de 19 FCFA par action signifie que chaque titre génère près de 19 FCFA de bénéfice net, un niveau de rentabilité unitaire appréciable pour une banque panafricaine. Le PER de 3,7x est remarquablement faible comparé à la moyenne du marché BRVM (8-12x), ce qui suggère une sous-évaluation potentielle marquée ou une décote liée aux risques perçus (change, coût du risque). Le P/B de 0,79x indique que le marché valorise le titre en dessous de sa valeur comptable, une situation qui, historiquement, offre une marge de sécurité intéressante pour les investisseurs value. Enfin, l'EV/EBITDA de 5,1x se situe dans la fourchette raisonnable de 5-10x, confirmant que la valeur d'entreprise reste contenue par rapport à la capacité opérationnelle de la banque.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ETIT a enregistré une variation spectaculaire de +169,23%, passant d'un plus bas de 26 FCFA à un plus haut de 78 FCFA, pour un cours actuel de 70 FCFA ; la dernière séance (J-1) affiche une stabilité parfaite à +0,00%, signe d'une pause dans la dynamique haussière. Le range de trading de 52 FCFA (26-78) témoigne d'une volatilité exceptionnelle, avec un volume moyen quotidien de 1 490 776 titres, traduisant un intérêt soutenu des investisseurs. La moyenne de 49 FCFA contre une médiane de 44 FCFA révèle une distribution légèrement asymétrique à droite, les pics de cours tirant la moyenne vers le haut ; le mode à 30 FCFA indique que le prix le plus fréquemment observé reste bien inférieur au cours actuel. L'écart-type de 18 FCFA avec un coefficient de variation de 37,2% confirme une dispersion élevée, tandis que le kurtosis de -1,816 (platykurtique) signale une distribution aplatie avec un risque de pics extrêmes modéré, et le skewness de 0,100 indique une distribution quasi-symétrique. La volatilité annualisée de 61,7% classe ce titre dans la catégorie des valeurs à volatilité élevée (&gt;30%), ce qui implique un risque de marché significatif mais aussi des opportunités de gain amplifiées.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(67,8 FCFA) et la MM50 (66,22 FCFA) se situent toutes deux sous le cours actuel de 70 FCFA, avec la MM20 au-dessus de la MM50, configurant un croisement haussier classique. Cette configuration confirme une tendance positive de fond et justifie la décision d'achat, le cours évoluant au-dessus de ses supports dynamiques.</w:t>
      </w:r>
    </w:p>
    <w:p>
      <w:pPr>
        <w:spacing w:after="120" w:line="276" w:lineRule="auto"/>
      </w:pPr>
      <w:r>
        <w:t>**Bandes de Bollinger** : Le cours (70 FCFA) évolue dans la partie supérieure de la bande, proche de la borne supérieure (71,831 FCFA) et loin de la borne inférieure (63,769 FCFA), ce qui traduit une pression acheteuse soutenue mais un risque de correction à court terme. La décision neutre reflète cette position ambiguë : le titre n'est ni en surachat extrême ni en zone de survente, la volatilité restant contenue dans les bandes.</w:t>
      </w:r>
    </w:p>
    <w:p>
      <w:pPr>
        <w:spacing w:after="120" w:line="276" w:lineRule="auto"/>
      </w:pPr>
      <w:r>
        <w:t>**MACD** : La valeur du MACD (1,623) dépasse légèrement son signal (1,61), générant un croisement haussier marginal qui confirme la décision d'achat. Le momentum reste positif mais faible, suggérant que la dynamique haussière pourrait s'essouffler si le MACD venait à croiser sous son signal.</w:t>
      </w:r>
    </w:p>
    <w:p>
      <w:pPr>
        <w:spacing w:after="120" w:line="276" w:lineRule="auto"/>
      </w:pPr>
      <w:r>
        <w:t>**RSI** : À 61,111, le RSI se situe en zone neutre haute (30-70), sans atteindre le seuil de surachat (&gt;70), ce qui indique que le titre conserve un potentiel de hausse sans être techniquement surchauffé. La décision neutre est cohérente avec cette position équilibrée.</w:t>
      </w:r>
    </w:p>
    <w:p>
      <w:pPr>
        <w:spacing w:after="120" w:line="276" w:lineRule="auto"/>
      </w:pPr>
      <w:r>
        <w:t>**Stochastique** : Les valeurs %K et %D sont identiques à 83,333, signalant une zone de surachat avancée (&gt;80) et justifiant la décision de vente à court terme. L'absence de croisement entre %K et %D suggère que la pression baissière n'est pas encore enclenchée, mais le niveau élevé appelle à la prudence.</w:t>
      </w:r>
    </w:p>
    <w:p>
      <w:pPr>
        <w:spacing w:after="120" w:line="276" w:lineRule="auto"/>
      </w:pPr>
      <w:r>
        <w:t>**Conclusion technique** : Les indicateurs offrent un tableau mitigé : les moyennes mobiles et le MACD soutiennent une dynamique haussière, tandis que le stochastique en zone de surachat et la position du cours près de la borne supérieure de Bollinger suggèrent une consolidation imminente. Le RSI neutre laisse la porte ouverte à une poursuite de la hausse, mais le risque de correction à court terme est réel. La convergence partielle des signaux plaide pour une posture attentiste à court terme, avec un biais haussier à moyen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ETIT affiche un Produit Net Bancaire (PNB) de 1 424,261 milliards FCFA, un résultat net de 345,523 milliards FCFA, un ROE de 21,62% (excellent, &gt;15%) et un ROA de 1,80%. Le coefficient d'exploitation de 27,35% est exceptionnellement bas (&lt;60% = banque très efficace), témoignant d'une maîtrise remarquable des charges. Le coût du risque, mesuré par le ratio provisions/charges financières, s'établit à 18,97%, un niveau élevé qui signale un risque de crédit significatif. La structure financière montre une autonomie financière de 8,30% (faible) et un ratio d'endettement de 154,06%, typique d'une banque mais à surveiller. Le ratio dépôts clientèle (14 120,139 Mds FCFA) sur créances clientèle (6 570,385 Mds FCFA) est de 215%, indiquant une surliquidité et une capacité de transformation élevée.</w:t>
      </w:r>
    </w:p>
    <w:p>
      <w:pPr>
        <w:spacing w:after="120" w:line="276" w:lineRule="auto"/>
      </w:pPr>
      <w:r>
        <w:t>**Estimations basées sur les rapports trimestriels** : Le rapport semestriel 2026 (clos le 30 juin 2026, analysé le 30 juillet 2026) révèle un PNB de 721,318 milliards FCFA (+15% vs S1 2025) et un résultat net de 166,682 milliards FCFA (+6%), avec un coefficient d'exploitation amélioré à 48,4% et un BPA de 0,80 $EU (4,53 FCFA). Le rapport T1 2026 (analysé le 30 avril 2026) montre un PNB de 636,2 millions $EU (+23%) et un résultat net de 142,5 millions $EU (+16%), mais un coût du risque en hausse de 73%, signal d'alerte. Sur la base de ces tendances, on estime que l'exercice 2026 devrait enregistrer une croissance du PNB de l'ordre de 12-15%, avec un résultat net en progression modérée de 5-8%, pénalisé par la hausse des provisions. Le rapport T3 2025 (30 septembre 2025) confirmait déjà cette dynamique avec un PNB de 1 029,2 milliards FCFA (+18%) et un résultat net de 267,0 milliards FCFA (+34%), mais le ralentissement observé au S1 2026 suggère une normalisation.</w:t>
      </w:r>
    </w:p>
    <w:p>
      <w:pPr>
        <w:spacing w:after="120" w:line="276" w:lineRule="auto"/>
      </w:pPr>
      <w:r>
        <w:t>**Recommandation fondamentale** : ETIT présente des fondamentaux solides (ROE élevé, coefficient d'exploitation excellent, surliquidité) mais des risques croissants (coût du risque en hausse de 40% au S1 2026, autonomie financière faible). La valorisation attractive (PER 3,7x, P/B 0,79x) contraste avec ces risques, créant une opportunité pour les investisseurs tolérants au risque. La recommandation fondamentale est **CONSERVER** avec un biais positif, en attendant la confirmation de la maîtrise du coût du risque au second semestre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**Valorisation (Partie 0)** : les ratios PER (3,7x), P/B (0,79x) et EV/EBITDA (5,1x) indiquent une sous-évaluation manifeste par rapport aux moyennes du secteur et du marché, offrant une marge de sécurité significative. **Comportement du cours (Partie 1)** : la tendance haussière exceptionnelle (+169,23%) et la volatilité élevée (61,7%) sont favorables aux investisseurs dynamiques, mais le kurtosis platykurtique et le skewness symétrique suggèrent un risque de correction modéré. **Signaux techniques (Partie 2)** : la convergence partielle des indicateurs (MM et MACD haussiers, stochastique en surachat, RSI neutre) plaide pour une consolidation à court terme avant une reprise. **Fondamentaux (Partie 3)** : la solidité financière (ROE 21,62%, coefficient d'exploitation 27,35%) et les estimations de croissance du PNB (+15% au S1 2026) soutiennent la thèse haussière, mais le coût du risque élevé (18,97%) et sa hausse de 40% constituent un risque majeur. **Prédictions IA (J+1 à J+10)** : la trajectoire prévue (69 FCFA le 14/09, puis 68 FCFA du 16 au 18/09) anticipe une légère correction de -2,9% par rapport au cours actuel de 70 FCFA, confirmant la nécessité d'une consolidation technique.</w:t>
      </w:r>
    </w:p>
    <w:p>
      <w:pPr>
        <w:spacing w:after="120" w:line="276" w:lineRule="auto"/>
      </w:pPr>
      <w:r>
        <w:t>**Recommandation finale** : **CONSERVER** avec un biais positif. La convergence entre la sous-évaluation, la solidité fondamentale et la dynamique haussière de fond est tempérée par les signaux techniques de surachat à court terme et la prédiction IA baissière. **Niveau de confiance** : Moyen (les fondamentaux sont solides mais les risques de crédit et de change persistent). **Niveau de risque global** : Élevé (volatilité 61,7%, coût du risque en hausse, exposition aux devises africaines). **Horizon d'investissement optimal** : Moyen terme (3-12 mois), en surveillant la publication des résultats annuels 2026 pour confirmer la maîtrise du coût du risque et la capacité à transformer la croissance du PNB en bénéfices nets durables. Un passage à **ACHAT** serait justifié si le coût du risque se stabilise au second semestre 2026 et si le cours consolide autour de 65-68 FCFA.</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29.90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3,989 titres</w:t>
            </w:r>
          </w:p>
        </w:tc>
        <w:tc>
          <w:tcPr>
            <w:tcW w:type="dxa" w:w="2268"/>
            <w:shd w:fill="FFF2CC" w:val="clear"/>
          </w:tcPr>
          <w:p>
            <w:r>
              <w:rPr>
                <w:b/>
                <w:color w:val="503200"/>
                <w:sz w:val="16"/>
              </w:rPr>
              <w:t xml:space="preserve">Cours actuel : </w:t>
            </w:r>
            <w:r>
              <w:rPr>
                <w:color w:val="000000"/>
                <w:sz w:val="17"/>
              </w:rPr>
              <w:t>2,120 FCFA</w:t>
            </w:r>
          </w:p>
          <w:p>
            <w:r>
              <w:rPr>
                <w:b/>
                <w:color w:val="503200"/>
                <w:sz w:val="16"/>
              </w:rPr>
              <w:t xml:space="preserve">Var. 100 jours : </w:t>
            </w:r>
            <w:r>
              <w:rPr>
                <w:b/>
                <w:color w:val="B40000"/>
                <w:sz w:val="17"/>
              </w:rPr>
              <w:t>-3.64%</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34.5%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5.93% (Moyenne) — μ=2,137 FCFA, σ=127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β=0.4786 (Défensif) — Cov=0.000017, Var(idx)=0.000035, ρ=0.129,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3,989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σ_j=2.18%/j (Stable) — Vol. annualisée≈34.5%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2,027</w:t>
            </w:r>
          </w:p>
        </w:tc>
        <w:tc>
          <w:tcPr>
            <w:tcW w:type="dxa" w:w="1440"/>
            <w:shd w:fill="FAFAFA" w:val="clear"/>
          </w:tcPr>
          <w:p>
            <w:r>
              <w:rPr>
                <w:b/>
                <w:sz w:val="17"/>
              </w:rPr>
              <w:t>2,100</w:t>
            </w:r>
          </w:p>
        </w:tc>
        <w:tc>
          <w:tcPr>
            <w:tcW w:type="dxa" w:w="1440"/>
            <w:shd w:fill="FAFAFA" w:val="clear"/>
          </w:tcPr>
          <w:p>
            <w:r>
              <w:rPr>
                <w:sz w:val="17"/>
              </w:rPr>
              <w:t>2,173</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1,981</w:t>
            </w:r>
          </w:p>
        </w:tc>
        <w:tc>
          <w:tcPr>
            <w:tcW w:type="dxa" w:w="1440"/>
            <w:shd w:fill="FAFAFA" w:val="clear"/>
          </w:tcPr>
          <w:p>
            <w:r>
              <w:rPr>
                <w:b/>
                <w:sz w:val="17"/>
              </w:rPr>
              <w:t>2,083</w:t>
            </w:r>
          </w:p>
        </w:tc>
        <w:tc>
          <w:tcPr>
            <w:tcW w:type="dxa" w:w="1440"/>
            <w:shd w:fill="FAFAFA" w:val="clear"/>
          </w:tcPr>
          <w:p>
            <w:r>
              <w:rPr>
                <w:sz w:val="17"/>
              </w:rPr>
              <w:t>2,185</w:t>
            </w:r>
          </w:p>
        </w:tc>
        <w:tc>
          <w:tcPr>
            <w:tcW w:type="dxa" w:w="1440"/>
            <w:shd w:fill="FAFAFA" w:val="clear"/>
          </w:tcPr>
          <w:p>
            <w:r>
              <w:rPr>
                <w:b/>
                <w:color w:val="C00000"/>
                <w:sz w:val="17"/>
              </w:rPr>
              <w:t>-1.8%</w:t>
            </w:r>
          </w:p>
        </w:tc>
      </w:tr>
      <w:tr>
        <w:tc>
          <w:tcPr>
            <w:tcW w:type="dxa" w:w="1440"/>
            <w:shd w:fill="FFDCE0" w:val="clear"/>
          </w:tcPr>
          <w:p>
            <w:r>
              <w:rPr>
                <w:sz w:val="17"/>
              </w:rPr>
              <w:t>J+3  Moyenne</w:t>
            </w:r>
          </w:p>
        </w:tc>
        <w:tc>
          <w:tcPr>
            <w:tcW w:type="dxa" w:w="1440"/>
            <w:shd w:fill="FFDCE0" w:val="clear"/>
          </w:tcPr>
          <w:p>
            <w:r>
              <w:rPr>
                <w:sz w:val="17"/>
              </w:rPr>
              <w:t>2026-09-16</w:t>
            </w:r>
          </w:p>
        </w:tc>
        <w:tc>
          <w:tcPr>
            <w:tcW w:type="dxa" w:w="1440"/>
            <w:shd w:fill="FFDCE0" w:val="clear"/>
          </w:tcPr>
          <w:p>
            <w:r>
              <w:rPr>
                <w:sz w:val="17"/>
              </w:rPr>
              <w:t>1,941</w:t>
            </w:r>
          </w:p>
        </w:tc>
        <w:tc>
          <w:tcPr>
            <w:tcW w:type="dxa" w:w="1440"/>
            <w:shd w:fill="FFDCE0" w:val="clear"/>
          </w:tcPr>
          <w:p>
            <w:r>
              <w:rPr>
                <w:b/>
                <w:sz w:val="17"/>
              </w:rPr>
              <w:t>2,065</w:t>
            </w:r>
          </w:p>
        </w:tc>
        <w:tc>
          <w:tcPr>
            <w:tcW w:type="dxa" w:w="1440"/>
            <w:shd w:fill="FFDCE0" w:val="clear"/>
          </w:tcPr>
          <w:p>
            <w:r>
              <w:rPr>
                <w:sz w:val="17"/>
              </w:rPr>
              <w:t>2,189</w:t>
            </w:r>
          </w:p>
        </w:tc>
        <w:tc>
          <w:tcPr>
            <w:tcW w:type="dxa" w:w="1440"/>
            <w:shd w:fill="FFDCE0" w:val="clear"/>
          </w:tcPr>
          <w:p>
            <w:r>
              <w:rPr>
                <w:b/>
                <w:color w:val="C00000"/>
                <w:sz w:val="17"/>
              </w:rPr>
              <w:t>-2.6%</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1,907</w:t>
            </w:r>
          </w:p>
        </w:tc>
        <w:tc>
          <w:tcPr>
            <w:tcW w:type="dxa" w:w="1440"/>
            <w:shd w:fill="FFDCE0" w:val="clear"/>
          </w:tcPr>
          <w:p>
            <w:r>
              <w:rPr>
                <w:b/>
                <w:sz w:val="17"/>
              </w:rPr>
              <w:t>2,049</w:t>
            </w:r>
          </w:p>
        </w:tc>
        <w:tc>
          <w:tcPr>
            <w:tcW w:type="dxa" w:w="1440"/>
            <w:shd w:fill="FFDCE0" w:val="clear"/>
          </w:tcPr>
          <w:p>
            <w:r>
              <w:rPr>
                <w:sz w:val="17"/>
              </w:rPr>
              <w:t>2,191</w:t>
            </w:r>
          </w:p>
        </w:tc>
        <w:tc>
          <w:tcPr>
            <w:tcW w:type="dxa" w:w="1440"/>
            <w:shd w:fill="FFDCE0" w:val="clear"/>
          </w:tcPr>
          <w:p>
            <w:r>
              <w:rPr>
                <w:b/>
                <w:color w:val="C00000"/>
                <w:sz w:val="17"/>
              </w:rPr>
              <w:t>-3.4%</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1,875</w:t>
            </w:r>
          </w:p>
        </w:tc>
        <w:tc>
          <w:tcPr>
            <w:tcW w:type="dxa" w:w="1440"/>
            <w:shd w:fill="FFDCE0" w:val="clear"/>
          </w:tcPr>
          <w:p>
            <w:r>
              <w:rPr>
                <w:b/>
                <w:sz w:val="17"/>
              </w:rPr>
              <w:t>2,033</w:t>
            </w:r>
          </w:p>
        </w:tc>
        <w:tc>
          <w:tcPr>
            <w:tcW w:type="dxa" w:w="1440"/>
            <w:shd w:fill="FFDCE0" w:val="clear"/>
          </w:tcPr>
          <w:p>
            <w:r>
              <w:rPr>
                <w:sz w:val="17"/>
              </w:rPr>
              <w:t>2,191</w:t>
            </w:r>
          </w:p>
        </w:tc>
        <w:tc>
          <w:tcPr>
            <w:tcW w:type="dxa" w:w="1440"/>
            <w:shd w:fill="FFDCE0" w:val="clear"/>
          </w:tcPr>
          <w:p>
            <w:r>
              <w:rPr>
                <w:b/>
                <w:color w:val="C00000"/>
                <w:sz w:val="17"/>
              </w:rPr>
              <w:t>-4.1%</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1,847</w:t>
            </w:r>
          </w:p>
        </w:tc>
        <w:tc>
          <w:tcPr>
            <w:tcW w:type="dxa" w:w="1440"/>
            <w:shd w:fill="FFDCE0" w:val="clear"/>
          </w:tcPr>
          <w:p>
            <w:r>
              <w:rPr>
                <w:b/>
                <w:sz w:val="17"/>
              </w:rPr>
              <w:t>2,018</w:t>
            </w:r>
          </w:p>
        </w:tc>
        <w:tc>
          <w:tcPr>
            <w:tcW w:type="dxa" w:w="1440"/>
            <w:shd w:fill="FFDCE0" w:val="clear"/>
          </w:tcPr>
          <w:p>
            <w:r>
              <w:rPr>
                <w:sz w:val="17"/>
              </w:rPr>
              <w:t>2,190</w:t>
            </w:r>
          </w:p>
        </w:tc>
        <w:tc>
          <w:tcPr>
            <w:tcW w:type="dxa" w:w="1440"/>
            <w:shd w:fill="FFDCE0" w:val="clear"/>
          </w:tcPr>
          <w:p>
            <w:r>
              <w:rPr>
                <w:b/>
                <w:color w:val="C00000"/>
                <w:sz w:val="17"/>
              </w:rPr>
              <w:t>-4.8%</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1,820</w:t>
            </w:r>
          </w:p>
        </w:tc>
        <w:tc>
          <w:tcPr>
            <w:tcW w:type="dxa" w:w="1440"/>
            <w:shd w:fill="FFDCE0" w:val="clear"/>
          </w:tcPr>
          <w:p>
            <w:r>
              <w:rPr>
                <w:b/>
                <w:sz w:val="17"/>
              </w:rPr>
              <w:t>2,004</w:t>
            </w:r>
          </w:p>
        </w:tc>
        <w:tc>
          <w:tcPr>
            <w:tcW w:type="dxa" w:w="1440"/>
            <w:shd w:fill="FFDCE0" w:val="clear"/>
          </w:tcPr>
          <w:p>
            <w:r>
              <w:rPr>
                <w:sz w:val="17"/>
              </w:rPr>
              <w:t>2,188</w:t>
            </w:r>
          </w:p>
        </w:tc>
        <w:tc>
          <w:tcPr>
            <w:tcW w:type="dxa" w:w="1440"/>
            <w:shd w:fill="FFDCE0" w:val="clear"/>
          </w:tcPr>
          <w:p>
            <w:r>
              <w:rPr>
                <w:b/>
                <w:color w:val="C00000"/>
                <w:sz w:val="17"/>
              </w:rPr>
              <w:t>-5.5%</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1,795</w:t>
            </w:r>
          </w:p>
        </w:tc>
        <w:tc>
          <w:tcPr>
            <w:tcW w:type="dxa" w:w="1440"/>
            <w:shd w:fill="FFDCE0" w:val="clear"/>
          </w:tcPr>
          <w:p>
            <w:r>
              <w:rPr>
                <w:b/>
                <w:sz w:val="17"/>
              </w:rPr>
              <w:t>1,990</w:t>
            </w:r>
          </w:p>
        </w:tc>
        <w:tc>
          <w:tcPr>
            <w:tcW w:type="dxa" w:w="1440"/>
            <w:shd w:fill="FFDCE0" w:val="clear"/>
          </w:tcPr>
          <w:p>
            <w:r>
              <w:rPr>
                <w:sz w:val="17"/>
              </w:rPr>
              <w:t>2,185</w:t>
            </w:r>
          </w:p>
        </w:tc>
        <w:tc>
          <w:tcPr>
            <w:tcW w:type="dxa" w:w="1440"/>
            <w:shd w:fill="FFDCE0" w:val="clear"/>
          </w:tcPr>
          <w:p>
            <w:r>
              <w:rPr>
                <w:b/>
                <w:color w:val="C00000"/>
                <w:sz w:val="17"/>
              </w:rPr>
              <w:t>-6.1%</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1,771</w:t>
            </w:r>
          </w:p>
        </w:tc>
        <w:tc>
          <w:tcPr>
            <w:tcW w:type="dxa" w:w="1440"/>
            <w:shd w:fill="FFDCE0" w:val="clear"/>
          </w:tcPr>
          <w:p>
            <w:r>
              <w:rPr>
                <w:b/>
                <w:sz w:val="17"/>
              </w:rPr>
              <w:t>1,976</w:t>
            </w:r>
          </w:p>
        </w:tc>
        <w:tc>
          <w:tcPr>
            <w:tcW w:type="dxa" w:w="1440"/>
            <w:shd w:fill="FFDCE0" w:val="clear"/>
          </w:tcPr>
          <w:p>
            <w:r>
              <w:rPr>
                <w:sz w:val="17"/>
              </w:rPr>
              <w:t>2,182</w:t>
            </w:r>
          </w:p>
        </w:tc>
        <w:tc>
          <w:tcPr>
            <w:tcW w:type="dxa" w:w="1440"/>
            <w:shd w:fill="FFDCE0" w:val="clear"/>
          </w:tcPr>
          <w:p>
            <w:r>
              <w:rPr>
                <w:b/>
                <w:color w:val="C00000"/>
                <w:sz w:val="17"/>
              </w:rPr>
              <w:t>-6.8%</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1,748</w:t>
            </w:r>
          </w:p>
        </w:tc>
        <w:tc>
          <w:tcPr>
            <w:tcW w:type="dxa" w:w="1440"/>
            <w:shd w:fill="FFDCE0" w:val="clear"/>
          </w:tcPr>
          <w:p>
            <w:r>
              <w:rPr>
                <w:b/>
                <w:sz w:val="17"/>
              </w:rPr>
              <w:t>1,963</w:t>
            </w:r>
          </w:p>
        </w:tc>
        <w:tc>
          <w:tcPr>
            <w:tcW w:type="dxa" w:w="1440"/>
            <w:shd w:fill="FFDCE0" w:val="clear"/>
          </w:tcPr>
          <w:p>
            <w:r>
              <w:rPr>
                <w:sz w:val="17"/>
              </w:rPr>
              <w:t>2,179</w:t>
            </w:r>
          </w:p>
        </w:tc>
        <w:tc>
          <w:tcPr>
            <w:tcW w:type="dxa" w:w="1440"/>
            <w:shd w:fill="FFDCE0" w:val="clear"/>
          </w:tcPr>
          <w:p>
            <w:r>
              <w:rPr>
                <w:b/>
                <w:color w:val="C00000"/>
                <w:sz w:val="17"/>
              </w:rPr>
              <w:t>-7.4%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**RAPPORT D'ANALYSE FINANCIÈRE — FILTISAC CI (FTSC)**</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29,90 Mds FCFA, FILTISAC CI se situe dans la catégorie des valeurs moyennes de la BRVM, ce qui la rend vulnérable aux mouvements de faible volume. Le BPA de 33 FCFA/action, rapporté au cours actuel de 2 120 FCFA, génère un PER de 64,2x — un niveau extrêmement élevé comparé à la moyenne BRVM (8-12x), traduisant soit une anticipation de forte reprise des bénéfices, soit une surévaluation manifeste au regard des résultats actuels. Le P/B de 1,90x indique que le marché valorise l'entreprise à près du double de sa valeur comptable (capitaux propres de 15,70 Mds FCFA), ce qui reste raisonnable dans l'absolu mais élevé pour une société dont le ROE n'est que de 2,97%. Enfin, l'EV/EBITDA de 37,8x — très supérieur au seuil de 15x — signale que la valeur d'entreprise intègre une prime spéculative considérable par rapport à la capacité opérationnelle réelle de génération de cash. L'ensemble de ces ratios dessine une valorisation tendue, portée davantage par des anticipations que par les fondamentaux actuels.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FTSC affiche une variation totale de -3,64%, bien que la dernière séance (J-1) ait enregistré un rebond de +0,95% à 2 120 FCFA. Le range de trading s'étend de 1 910 FCFA (plus bas) à 2 430 FCFA (plus haut), soit une amplitude de 27%, reflétant une tendance générale baissière entrecoupée de rebonds techniques. La moyenne (2 137 FCFA) est légèrement inférieure à la médiane (2 155 FCFA), ce qui suggère une asymétrie mineure vers les valeurs basses, bien que le skewness de 0,063 confirme une distribution quasi-symétrique. L'écart-type de 127 FCFA avec un coefficient de variation de 6,0% indique une dispersion modérée du cours autour de sa moyenne, tandis que le kurtosis de -0,860 (mésokurtique) signale une distribution proche de la normale, sans risque majeur de pics extrêmes. La volatilité annualisée de 34,5% classe le titre dans la catégorie des valeurs à volatilité élevée (&gt;30%), ce qui implique un risque de prix significatif pour les investisseurs. Le mode à 1 990 FCFA, inférieur au cours actuel, suggère que le niveau d'équilibre récent se situe en dessous des 2 120 FCFA actuels.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(2 143,25 FCFA) et la MM50 (2 061,40 FCFA) encadrent le cours actuel de 2 120 FCFA, avec un cours supérieur à la MM50 mais inférieur à la MM20. Cette configuration indique une dynamique haussière de moyen terme (cours &gt; MM50) mais une pression baissière de court terme (cours &lt; MM20). La décision "Achat" est justifiée par le positionnement du cours au-dessus de la MM50, signal de soutien.</w:t>
      </w:r>
    </w:p>
    <w:p>
      <w:pPr>
        <w:spacing w:after="120" w:line="276" w:lineRule="auto"/>
      </w:pPr>
      <w:r>
        <w:t>**Bandes de Bollinger** : Le cours (2 120 FCFA) se situe dans la partie médiane des bandes, entre la borne inférieure (2 083,67 FCFA) et la borne supérieure (2 202,83 FCFA). L'écart entre les bornes est relativement étroit, indiquant une volatilité contenue. La décision "Neutre" reflète l'absence de signal directionnel clair, le cours n'étant ni en surachat ni en survente.</w:t>
      </w:r>
    </w:p>
    <w:p>
      <w:pPr>
        <w:spacing w:after="120" w:line="276" w:lineRule="auto"/>
      </w:pPr>
      <w:r>
        <w:t>**MACD** : La valeur du MACD (8,723) est nettement inférieure à son signal (18,25), générant une divergence baissière. Cette configuration indique un momentum négatif, avec une pression vendeuse persistante. La décision "Vente" est cohérente avec cette divergence, bien que la faiblesse des volumes relativise ce signal.</w:t>
      </w:r>
    </w:p>
    <w:p>
      <w:pPr>
        <w:spacing w:after="120" w:line="276" w:lineRule="auto"/>
      </w:pPr>
      <w:r>
        <w:t>**RSI** : À 40,0, le RSI se situe dans la zone neutre (30-70), sans signal de surachat ni de survente. La décision "Neutre" traduit l'absence de pression acheteuse ou vendeuse dominante, le titre évoluant dans une phase de consolidation.</w:t>
      </w:r>
    </w:p>
    <w:p>
      <w:pPr>
        <w:spacing w:after="120" w:line="276" w:lineRule="auto"/>
      </w:pPr>
      <w:r>
        <w:t>**Stochastique** : Le %K (33,33) est supérieur au %D (18,52), suggérant un croisement haussier potentiel en zone de survente modérée. La décision "Neutre" reste prudente, le signal n'étant pas encore confirmé par une remontée franche des deux lignes.</w:t>
      </w:r>
    </w:p>
    <w:p>
      <w:pPr>
        <w:spacing w:after="120" w:line="276" w:lineRule="auto"/>
      </w:pPr>
      <w:r>
        <w:t>**Conclusion technique** : Les indicateurs techniques présentent un tableau mitigé. La MM50 soutient le cours, mais la MM20 et le MACD signalent une pression baissière de court terme. Le RSI et le stochastique sont neutres, tandis que les bandes de Bollinger n'offrent pas de signal directionnel. La convergence des signaux "Vente" (MACD) et "Neutre" (RSI, Stochastique, Bollinger) suggère une phase d'incertitude, avec un léger avantage aux vendeurs à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FILTISAC CI a réalisé un chiffre d'affaires de 32,109 Mds FCFA, en croissance de 4,61% par rapport à 2024 (30,695 Mds FCFA). Le résultat net s'établit à 465,98 M FCFA, en chute spectaculaire de 97,5% par rapport aux 18,595 Mds FCFA de 2024 — une performance exceptionnelle liée à des produits de cession non récurrents. Le ROE n'est que de 2,97% et le ROA de 1,19%, des niveaux très faibles qui traduisent une rentabilité opérationnelle médiocre. La marge nette de 1,45% et la marge opérationnelle de 0,86% confirment la faiblesse du cœur de métier. En tant qu'entreprise industrielle, les délais d'exploitation sont préoccupants : délai clients de 213,72 jours (risque de trésorerie élevé), durée de stockage de 214,65 jours (immobilisation de capital importante) et délai fournisseurs de 140,71 jours. Le BFR de 11,529 Mds FCFA et la trésorerie nette de -11,528 Mds FCFA révèlent une situation de liquidité tendue. L'autonomie financière de 40,11% reste saine, mais le ratio d'endettement de 97,60% et la capacité de remboursement de 11,49 années constituent des points de vigilance.</w:t>
      </w:r>
    </w:p>
    <w:p>
      <w:pPr>
        <w:spacing w:after="120" w:line="276" w:lineRule="auto"/>
      </w:pPr>
      <w:r>
        <w:t>**Estimations basées sur les rapports trimestriels** : Le rapport du T1 2026 (publié en 2026) fait état d'un chiffre d'affaires de 8 901 M FCFA, en hausse de 55% sur un an, porté par la forte demande d'emballages pour le cacao. Le résultat d'exploitation redevient positif à 75 M FCFA (contre -78 M FCFA au T1 2025), mais le résultat net reste déficitaire à -154 M FCFA. On estime que l'exercice 2026 pourrait renouer avec une rentabilité opérationnelle positive si la dynamique cacaoyère se maintient, mais la faiblesse des capitaux propres (15,70 Mds FCFA) et la trésorerie négative limitent les capacités de redressement. Le rapport annuel 2025 (publié en 2025) confirme la dégradation de la trésorerie nette (-11,5 Mds FCFA) et la chute des capitaux propres (de 43,4 à 15,7 Mds FCFA) suite au versement de dividendes massifs en 2024. Le communiqué du 08/07/2026 rassure sur la continuité des activités malgré l'arrêt de la filature (impact &lt;10% des effectifs), mais la dépendance à la campagne cacaoyère 2025/2026 reste le principal facteur de risque.</w:t>
      </w:r>
    </w:p>
    <w:p>
      <w:pPr>
        <w:spacing w:after="120" w:line="276" w:lineRule="auto"/>
      </w:pPr>
      <w:r>
        <w:t>**Recommandation fondamentale** : La situation fondamentale est fragile. La croissance du CA au T1 2026 est encourageante, mais la rentabilité nette reste négative et la structure financière s'est fortement dégradée. Le titre présente un profil risque/rendement défavorable à court terme, avec une dépendance critique aux cycles agricoles et une trésorerie sous tension.</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manifestement tendue : un PER de 64,2x et un EV/EBITDA de 37,8x intègrent une prime spéculative que les fondamentaux actuels ne justifient pas, bien que le P/B de 1,90x reste raisonnable. Le comportement du cours (Partie 1) est préoccupant : tendance baissière sur 100 jours (-3,64%), volatilité élevée (34,5%) et distribution symétrique sans biais haussier. Les signaux techniques (Partie 2) sont mitigés, avec une divergence baissière du MACD et un cours sous la MM20, mais un soutien de la MM50 et un stochastique en zone de survente modérée. Les fondamentaux (Partie 3) révèlent une société en transition, dont la rentabilité opérationnelle se redresse au T1 2026 mais dont la structure financière reste fragile (trésorerie nette négative, capitaux propres en forte baisse). Les prédictions IA (J+1 à J+10) anticipent une trajectoire baissière de 2 100 à 2 033 FCFA, confirmant la pression vendeuse de court terme. **En synthèse, la convergence des signaux baissiers (valorisation excessive, MACD négatif, prédictions IA à la baisse) l'emporte sur les signaux haussiers (MM50, stochastique, croissance du CA au T1 2026).** La recommandation finale est **VENTE**, avec un niveau de confiance **Moyen** et un risque global **Élevé**. L'horizon d'investissement optimal est **court terme (&lt;3 mois)** pour les investisseurs cherchant à se positionner sur un éventuel rebond technique, mais la prudence reste de mise pour les investisseurs de long terme en raison des incertitudes fondamentales persistantes.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80.00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4,375 titres</w:t>
            </w:r>
          </w:p>
        </w:tc>
        <w:tc>
          <w:tcPr>
            <w:tcW w:type="dxa" w:w="2268"/>
            <w:shd w:fill="FFF2CC" w:val="clear"/>
          </w:tcPr>
          <w:p>
            <w:r>
              <w:rPr>
                <w:b/>
                <w:color w:val="503200"/>
                <w:sz w:val="16"/>
              </w:rPr>
              <w:t xml:space="preserve">Cours actuel : </w:t>
            </w:r>
            <w:r>
              <w:rPr>
                <w:color w:val="000000"/>
                <w:sz w:val="17"/>
              </w:rPr>
              <w:t>4,000 FCFA</w:t>
            </w:r>
          </w:p>
          <w:p>
            <w:r>
              <w:rPr>
                <w:b/>
                <w:color w:val="503200"/>
                <w:sz w:val="16"/>
              </w:rPr>
              <w:t xml:space="preserve">Var. 100 jours : </w:t>
            </w:r>
            <w:r>
              <w:rPr>
                <w:b/>
                <w:color w:val="007800"/>
                <w:sz w:val="17"/>
              </w:rPr>
              <w:t>+1.78%</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3,825 FCFA</w:t>
            </w:r>
          </w:p>
          <w:p>
            <w:r>
              <w:rPr>
                <w:b/>
                <w:color w:val="503200"/>
                <w:sz w:val="16"/>
              </w:rPr>
              <w:t xml:space="preserve">Volatilité ann. : </w:t>
            </w:r>
            <w:r>
              <w:rPr>
                <w:color w:val="000000"/>
                <w:sz w:val="17"/>
              </w:rPr>
              <w:t>37.7%</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14.3/100 → Faible</w:t>
      </w:r>
    </w:p>
    <w:p>
      <w:pPr>
        <w:spacing w:before="40" w:after="80"/>
      </w:pPr>
      <w:r>
        <w:rPr>
          <w:rFonts w:ascii="Courier New" w:hAnsi="Courier New"/>
          <w:color w:val="006400"/>
          <w:sz w:val="18"/>
        </w:rPr>
        <w:t>██░░░░░░░░░░░░░░░░░░  14.3/100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4.78% (Faible) — μ=4,067 FCFA, σ=194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E2EFDA" w:val="clear"/>
          </w:tcPr>
          <w:p>
            <w:r>
              <w:rPr>
                <w:b/>
                <w:sz w:val="15"/>
              </w:rPr>
              <w:t>β=-0.1272 (Contre-cyclique) — Cov=-0.000004, Var(idx)=0.000035, ρ=-0.031,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4,375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σ_j=2.37%/j (Stable) — Vol. annualisée≈37.7%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3,863</w:t>
            </w:r>
          </w:p>
        </w:tc>
        <w:tc>
          <w:tcPr>
            <w:tcW w:type="dxa" w:w="1440"/>
            <w:shd w:fill="FAFAFA" w:val="clear"/>
          </w:tcPr>
          <w:p>
            <w:r>
              <w:rPr>
                <w:b/>
                <w:sz w:val="17"/>
              </w:rPr>
              <w:t>4,031</w:t>
            </w:r>
          </w:p>
        </w:tc>
        <w:tc>
          <w:tcPr>
            <w:tcW w:type="dxa" w:w="1440"/>
            <w:shd w:fill="FAFAFA" w:val="clear"/>
          </w:tcPr>
          <w:p>
            <w:r>
              <w:rPr>
                <w:sz w:val="17"/>
              </w:rPr>
              <w:t>4,200</w:t>
            </w:r>
          </w:p>
        </w:tc>
        <w:tc>
          <w:tcPr>
            <w:tcW w:type="dxa" w:w="1440"/>
            <w:shd w:fill="FAFAFA" w:val="clear"/>
          </w:tcPr>
          <w:p>
            <w:r>
              <w:rPr>
                <w:b/>
                <w:color w:val="008000"/>
                <w:sz w:val="17"/>
              </w:rPr>
              <w:t>+0.8%</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3,794</w:t>
            </w:r>
          </w:p>
        </w:tc>
        <w:tc>
          <w:tcPr>
            <w:tcW w:type="dxa" w:w="1440"/>
            <w:shd w:fill="FAFAFA" w:val="clear"/>
          </w:tcPr>
          <w:p>
            <w:r>
              <w:rPr>
                <w:b/>
                <w:sz w:val="17"/>
              </w:rPr>
              <w:t>4,032</w:t>
            </w:r>
          </w:p>
        </w:tc>
        <w:tc>
          <w:tcPr>
            <w:tcW w:type="dxa" w:w="1440"/>
            <w:shd w:fill="FAFAFA" w:val="clear"/>
          </w:tcPr>
          <w:p>
            <w:r>
              <w:rPr>
                <w:sz w:val="17"/>
              </w:rPr>
              <w:t>4,271</w:t>
            </w:r>
          </w:p>
        </w:tc>
        <w:tc>
          <w:tcPr>
            <w:tcW w:type="dxa" w:w="1440"/>
            <w:shd w:fill="FAFAFA" w:val="clear"/>
          </w:tcPr>
          <w:p>
            <w:r>
              <w:rPr>
                <w:b/>
                <w:color w:val="008000"/>
                <w:sz w:val="17"/>
              </w:rPr>
              <w:t>+0.8%</w:t>
            </w:r>
          </w:p>
        </w:tc>
      </w:tr>
      <w:tr>
        <w:tc>
          <w:tcPr>
            <w:tcW w:type="dxa" w:w="1440"/>
            <w:shd w:fill="FAFAFA" w:val="clear"/>
          </w:tcPr>
          <w:p>
            <w:r>
              <w:rPr>
                <w:sz w:val="17"/>
              </w:rPr>
              <w:t>J+3  Moyenne</w:t>
            </w:r>
          </w:p>
        </w:tc>
        <w:tc>
          <w:tcPr>
            <w:tcW w:type="dxa" w:w="1440"/>
            <w:shd w:fill="FAFAFA" w:val="clear"/>
          </w:tcPr>
          <w:p>
            <w:r>
              <w:rPr>
                <w:sz w:val="17"/>
              </w:rPr>
              <w:t>2026-09-16</w:t>
            </w:r>
          </w:p>
        </w:tc>
        <w:tc>
          <w:tcPr>
            <w:tcW w:type="dxa" w:w="1440"/>
            <w:shd w:fill="FAFAFA" w:val="clear"/>
          </w:tcPr>
          <w:p>
            <w:r>
              <w:rPr>
                <w:sz w:val="17"/>
              </w:rPr>
              <w:t>3,744</w:t>
            </w:r>
          </w:p>
        </w:tc>
        <w:tc>
          <w:tcPr>
            <w:tcW w:type="dxa" w:w="1440"/>
            <w:shd w:fill="FAFAFA" w:val="clear"/>
          </w:tcPr>
          <w:p>
            <w:r>
              <w:rPr>
                <w:b/>
                <w:sz w:val="17"/>
              </w:rPr>
              <w:t>4,036</w:t>
            </w:r>
          </w:p>
        </w:tc>
        <w:tc>
          <w:tcPr>
            <w:tcW w:type="dxa" w:w="1440"/>
            <w:shd w:fill="FAFAFA" w:val="clear"/>
          </w:tcPr>
          <w:p>
            <w:r>
              <w:rPr>
                <w:sz w:val="17"/>
              </w:rPr>
              <w:t>4,328</w:t>
            </w:r>
          </w:p>
        </w:tc>
        <w:tc>
          <w:tcPr>
            <w:tcW w:type="dxa" w:w="1440"/>
            <w:shd w:fill="FAFAFA" w:val="clear"/>
          </w:tcPr>
          <w:p>
            <w:r>
              <w:rPr>
                <w:b/>
                <w:color w:val="008000"/>
                <w:sz w:val="17"/>
              </w:rPr>
              <w:t>+0.9%</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3,714</w:t>
            </w:r>
          </w:p>
        </w:tc>
        <w:tc>
          <w:tcPr>
            <w:tcW w:type="dxa" w:w="1440"/>
            <w:shd w:fill="FAFAFA" w:val="clear"/>
          </w:tcPr>
          <w:p>
            <w:r>
              <w:rPr>
                <w:b/>
                <w:sz w:val="17"/>
              </w:rPr>
              <w:t>4,053</w:t>
            </w:r>
          </w:p>
        </w:tc>
        <w:tc>
          <w:tcPr>
            <w:tcW w:type="dxa" w:w="1440"/>
            <w:shd w:fill="FAFAFA" w:val="clear"/>
          </w:tcPr>
          <w:p>
            <w:r>
              <w:rPr>
                <w:sz w:val="17"/>
              </w:rPr>
              <w:t>4,392</w:t>
            </w:r>
          </w:p>
        </w:tc>
        <w:tc>
          <w:tcPr>
            <w:tcW w:type="dxa" w:w="1440"/>
            <w:shd w:fill="FAFAFA" w:val="clear"/>
          </w:tcPr>
          <w:p>
            <w:r>
              <w:rPr>
                <w:b/>
                <w:color w:val="008000"/>
                <w:sz w:val="17"/>
              </w:rPr>
              <w:t>+1.3%</w:t>
            </w:r>
          </w:p>
        </w:tc>
      </w:tr>
      <w:tr>
        <w:tc>
          <w:tcPr>
            <w:tcW w:type="dxa" w:w="1440"/>
            <w:shd w:fill="FAFAFA" w:val="clear"/>
          </w:tcPr>
          <w:p>
            <w:r>
              <w:rPr>
                <w:sz w:val="17"/>
              </w:rPr>
              <w:t>J+5  ⭐</w:t>
            </w:r>
          </w:p>
        </w:tc>
        <w:tc>
          <w:tcPr>
            <w:tcW w:type="dxa" w:w="1440"/>
            <w:shd w:fill="FAFAFA" w:val="clear"/>
          </w:tcPr>
          <w:p>
            <w:r>
              <w:rPr>
                <w:sz w:val="17"/>
              </w:rPr>
              <w:t>2026-09-18</w:t>
            </w:r>
          </w:p>
        </w:tc>
        <w:tc>
          <w:tcPr>
            <w:tcW w:type="dxa" w:w="1440"/>
            <w:shd w:fill="FAFAFA" w:val="clear"/>
          </w:tcPr>
          <w:p>
            <w:r>
              <w:rPr>
                <w:sz w:val="17"/>
              </w:rPr>
              <w:t>3,697</w:t>
            </w:r>
          </w:p>
        </w:tc>
        <w:tc>
          <w:tcPr>
            <w:tcW w:type="dxa" w:w="1440"/>
            <w:shd w:fill="FAFAFA" w:val="clear"/>
          </w:tcPr>
          <w:p>
            <w:r>
              <w:rPr>
                <w:b/>
                <w:sz w:val="17"/>
              </w:rPr>
              <w:t>4,078</w:t>
            </w:r>
          </w:p>
        </w:tc>
        <w:tc>
          <w:tcPr>
            <w:tcW w:type="dxa" w:w="1440"/>
            <w:shd w:fill="FAFAFA" w:val="clear"/>
          </w:tcPr>
          <w:p>
            <w:r>
              <w:rPr>
                <w:sz w:val="17"/>
              </w:rPr>
              <w:t>4,459</w:t>
            </w:r>
          </w:p>
        </w:tc>
        <w:tc>
          <w:tcPr>
            <w:tcW w:type="dxa" w:w="1440"/>
            <w:shd w:fill="FAFAFA" w:val="clear"/>
          </w:tcPr>
          <w:p>
            <w:r>
              <w:rPr>
                <w:b/>
                <w:color w:val="008000"/>
                <w:sz w:val="17"/>
              </w:rPr>
              <w:t>+1.9%</w:t>
            </w:r>
          </w:p>
        </w:tc>
      </w:tr>
      <w:tr>
        <w:tc>
          <w:tcPr>
            <w:tcW w:type="dxa" w:w="1440"/>
            <w:shd w:fill="C6EFCE" w:val="clear"/>
          </w:tcPr>
          <w:p>
            <w:r>
              <w:rPr>
                <w:sz w:val="17"/>
              </w:rPr>
              <w:t>J+6  ⭐</w:t>
            </w:r>
          </w:p>
        </w:tc>
        <w:tc>
          <w:tcPr>
            <w:tcW w:type="dxa" w:w="1440"/>
            <w:shd w:fill="C6EFCE" w:val="clear"/>
          </w:tcPr>
          <w:p>
            <w:r>
              <w:rPr>
                <w:sz w:val="17"/>
              </w:rPr>
              <w:t>2026-09-21</w:t>
            </w:r>
          </w:p>
        </w:tc>
        <w:tc>
          <w:tcPr>
            <w:tcW w:type="dxa" w:w="1440"/>
            <w:shd w:fill="C6EFCE" w:val="clear"/>
          </w:tcPr>
          <w:p>
            <w:r>
              <w:rPr>
                <w:sz w:val="17"/>
              </w:rPr>
              <w:t>3,689</w:t>
            </w:r>
          </w:p>
        </w:tc>
        <w:tc>
          <w:tcPr>
            <w:tcW w:type="dxa" w:w="1440"/>
            <w:shd w:fill="C6EFCE" w:val="clear"/>
          </w:tcPr>
          <w:p>
            <w:r>
              <w:rPr>
                <w:b/>
                <w:sz w:val="17"/>
              </w:rPr>
              <w:t>4,110</w:t>
            </w:r>
          </w:p>
        </w:tc>
        <w:tc>
          <w:tcPr>
            <w:tcW w:type="dxa" w:w="1440"/>
            <w:shd w:fill="C6EFCE" w:val="clear"/>
          </w:tcPr>
          <w:p>
            <w:r>
              <w:rPr>
                <w:sz w:val="17"/>
              </w:rPr>
              <w:t>4,531</w:t>
            </w:r>
          </w:p>
        </w:tc>
        <w:tc>
          <w:tcPr>
            <w:tcW w:type="dxa" w:w="1440"/>
            <w:shd w:fill="C6EFCE" w:val="clear"/>
          </w:tcPr>
          <w:p>
            <w:r>
              <w:rPr>
                <w:b/>
                <w:color w:val="008000"/>
                <w:sz w:val="17"/>
              </w:rPr>
              <w:t>+2.7%</w:t>
            </w:r>
          </w:p>
        </w:tc>
      </w:tr>
      <w:tr>
        <w:tc>
          <w:tcPr>
            <w:tcW w:type="dxa" w:w="1440"/>
            <w:shd w:fill="C6EFCE" w:val="clear"/>
          </w:tcPr>
          <w:p>
            <w:r>
              <w:rPr>
                <w:sz w:val="17"/>
              </w:rPr>
              <w:t>J+7  ⭐</w:t>
            </w:r>
          </w:p>
        </w:tc>
        <w:tc>
          <w:tcPr>
            <w:tcW w:type="dxa" w:w="1440"/>
            <w:shd w:fill="C6EFCE" w:val="clear"/>
          </w:tcPr>
          <w:p>
            <w:r>
              <w:rPr>
                <w:sz w:val="17"/>
              </w:rPr>
              <w:t>2026-09-22</w:t>
            </w:r>
          </w:p>
        </w:tc>
        <w:tc>
          <w:tcPr>
            <w:tcW w:type="dxa" w:w="1440"/>
            <w:shd w:fill="C6EFCE" w:val="clear"/>
          </w:tcPr>
          <w:p>
            <w:r>
              <w:rPr>
                <w:sz w:val="17"/>
              </w:rPr>
              <w:t>3,674</w:t>
            </w:r>
          </w:p>
        </w:tc>
        <w:tc>
          <w:tcPr>
            <w:tcW w:type="dxa" w:w="1440"/>
            <w:shd w:fill="C6EFCE" w:val="clear"/>
          </w:tcPr>
          <w:p>
            <w:r>
              <w:rPr>
                <w:b/>
                <w:sz w:val="17"/>
              </w:rPr>
              <w:t>4,131</w:t>
            </w:r>
          </w:p>
        </w:tc>
        <w:tc>
          <w:tcPr>
            <w:tcW w:type="dxa" w:w="1440"/>
            <w:shd w:fill="C6EFCE" w:val="clear"/>
          </w:tcPr>
          <w:p>
            <w:r>
              <w:rPr>
                <w:sz w:val="17"/>
              </w:rPr>
              <w:t>4,588</w:t>
            </w:r>
          </w:p>
        </w:tc>
        <w:tc>
          <w:tcPr>
            <w:tcW w:type="dxa" w:w="1440"/>
            <w:shd w:fill="C6EFCE" w:val="clear"/>
          </w:tcPr>
          <w:p>
            <w:r>
              <w:rPr>
                <w:b/>
                <w:color w:val="008000"/>
                <w:sz w:val="17"/>
              </w:rPr>
              <w:t>+3.3%</w:t>
            </w:r>
          </w:p>
        </w:tc>
      </w:tr>
      <w:tr>
        <w:tc>
          <w:tcPr>
            <w:tcW w:type="dxa" w:w="1440"/>
            <w:shd w:fill="C6EFCE" w:val="clear"/>
          </w:tcPr>
          <w:p>
            <w:r>
              <w:rPr>
                <w:sz w:val="17"/>
              </w:rPr>
              <w:t>J+8  ⭐</w:t>
            </w:r>
          </w:p>
        </w:tc>
        <w:tc>
          <w:tcPr>
            <w:tcW w:type="dxa" w:w="1440"/>
            <w:shd w:fill="C6EFCE" w:val="clear"/>
          </w:tcPr>
          <w:p>
            <w:r>
              <w:rPr>
                <w:sz w:val="17"/>
              </w:rPr>
              <w:t>2026-09-23</w:t>
            </w:r>
          </w:p>
        </w:tc>
        <w:tc>
          <w:tcPr>
            <w:tcW w:type="dxa" w:w="1440"/>
            <w:shd w:fill="C6EFCE" w:val="clear"/>
          </w:tcPr>
          <w:p>
            <w:r>
              <w:rPr>
                <w:sz w:val="17"/>
              </w:rPr>
              <w:t>3,672</w:t>
            </w:r>
          </w:p>
        </w:tc>
        <w:tc>
          <w:tcPr>
            <w:tcW w:type="dxa" w:w="1440"/>
            <w:shd w:fill="C6EFCE" w:val="clear"/>
          </w:tcPr>
          <w:p>
            <w:r>
              <w:rPr>
                <w:b/>
                <w:sz w:val="17"/>
              </w:rPr>
              <w:t>4,164</w:t>
            </w:r>
          </w:p>
        </w:tc>
        <w:tc>
          <w:tcPr>
            <w:tcW w:type="dxa" w:w="1440"/>
            <w:shd w:fill="C6EFCE" w:val="clear"/>
          </w:tcPr>
          <w:p>
            <w:r>
              <w:rPr>
                <w:sz w:val="17"/>
              </w:rPr>
              <w:t>4,657</w:t>
            </w:r>
          </w:p>
        </w:tc>
        <w:tc>
          <w:tcPr>
            <w:tcW w:type="dxa" w:w="1440"/>
            <w:shd w:fill="C6EFCE" w:val="clear"/>
          </w:tcPr>
          <w:p>
            <w:r>
              <w:rPr>
                <w:b/>
                <w:color w:val="008000"/>
                <w:sz w:val="17"/>
              </w:rPr>
              <w:t>+4.1%</w:t>
            </w:r>
          </w:p>
        </w:tc>
      </w:tr>
      <w:tr>
        <w:tc>
          <w:tcPr>
            <w:tcW w:type="dxa" w:w="1440"/>
            <w:shd w:fill="C6EFCE" w:val="clear"/>
          </w:tcPr>
          <w:p>
            <w:r>
              <w:rPr>
                <w:sz w:val="17"/>
              </w:rPr>
              <w:t>J+9  ⭐</w:t>
            </w:r>
          </w:p>
        </w:tc>
        <w:tc>
          <w:tcPr>
            <w:tcW w:type="dxa" w:w="1440"/>
            <w:shd w:fill="C6EFCE" w:val="clear"/>
          </w:tcPr>
          <w:p>
            <w:r>
              <w:rPr>
                <w:sz w:val="17"/>
              </w:rPr>
              <w:t>2026-09-24</w:t>
            </w:r>
          </w:p>
        </w:tc>
        <w:tc>
          <w:tcPr>
            <w:tcW w:type="dxa" w:w="1440"/>
            <w:shd w:fill="C6EFCE" w:val="clear"/>
          </w:tcPr>
          <w:p>
            <w:r>
              <w:rPr>
                <w:sz w:val="17"/>
              </w:rPr>
              <w:t>3,649</w:t>
            </w:r>
          </w:p>
        </w:tc>
        <w:tc>
          <w:tcPr>
            <w:tcW w:type="dxa" w:w="1440"/>
            <w:shd w:fill="C6EFCE" w:val="clear"/>
          </w:tcPr>
          <w:p>
            <w:r>
              <w:rPr>
                <w:b/>
                <w:sz w:val="17"/>
              </w:rPr>
              <w:t>4,172</w:t>
            </w:r>
          </w:p>
        </w:tc>
        <w:tc>
          <w:tcPr>
            <w:tcW w:type="dxa" w:w="1440"/>
            <w:shd w:fill="C6EFCE" w:val="clear"/>
          </w:tcPr>
          <w:p>
            <w:r>
              <w:rPr>
                <w:sz w:val="17"/>
              </w:rPr>
              <w:t>4,696</w:t>
            </w:r>
          </w:p>
        </w:tc>
        <w:tc>
          <w:tcPr>
            <w:tcW w:type="dxa" w:w="1440"/>
            <w:shd w:fill="C6EFCE" w:val="clear"/>
          </w:tcPr>
          <w:p>
            <w:r>
              <w:rPr>
                <w:b/>
                <w:color w:val="008000"/>
                <w:sz w:val="17"/>
              </w:rPr>
              <w:t>+4.3%</w:t>
            </w:r>
          </w:p>
        </w:tc>
      </w:tr>
      <w:tr>
        <w:tc>
          <w:tcPr>
            <w:tcW w:type="dxa" w:w="1440"/>
            <w:shd w:fill="C6EFCE" w:val="clear"/>
          </w:tcPr>
          <w:p>
            <w:r>
              <w:rPr>
                <w:sz w:val="17"/>
              </w:rPr>
              <w:t>J+10  ⭐</w:t>
            </w:r>
          </w:p>
        </w:tc>
        <w:tc>
          <w:tcPr>
            <w:tcW w:type="dxa" w:w="1440"/>
            <w:shd w:fill="C6EFCE" w:val="clear"/>
          </w:tcPr>
          <w:p>
            <w:r>
              <w:rPr>
                <w:sz w:val="17"/>
              </w:rPr>
              <w:t>2026-09-25</w:t>
            </w:r>
          </w:p>
        </w:tc>
        <w:tc>
          <w:tcPr>
            <w:tcW w:type="dxa" w:w="1440"/>
            <w:shd w:fill="C6EFCE" w:val="clear"/>
          </w:tcPr>
          <w:p>
            <w:r>
              <w:rPr>
                <w:sz w:val="17"/>
              </w:rPr>
              <w:t>3,622</w:t>
            </w:r>
          </w:p>
        </w:tc>
        <w:tc>
          <w:tcPr>
            <w:tcW w:type="dxa" w:w="1440"/>
            <w:shd w:fill="C6EFCE" w:val="clear"/>
          </w:tcPr>
          <w:p>
            <w:r>
              <w:rPr>
                <w:b/>
                <w:sz w:val="17"/>
              </w:rPr>
              <w:t>4,174</w:t>
            </w:r>
          </w:p>
        </w:tc>
        <w:tc>
          <w:tcPr>
            <w:tcW w:type="dxa" w:w="1440"/>
            <w:shd w:fill="C6EFCE" w:val="clear"/>
          </w:tcPr>
          <w:p>
            <w:r>
              <w:rPr>
                <w:sz w:val="17"/>
              </w:rPr>
              <w:t>4,727</w:t>
            </w:r>
          </w:p>
        </w:tc>
        <w:tc>
          <w:tcPr>
            <w:tcW w:type="dxa" w:w="1440"/>
            <w:shd w:fill="C6EFCE" w:val="clear"/>
          </w:tcPr>
          <w:p>
            <w:r>
              <w:rPr>
                <w:b/>
                <w:color w:val="008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**Bourse Régionale des Valeurs Mobilières (BRVM) — Secteur : Entreprise non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80,00 Mds FCFA pour un cours de 4 000 FCFA, LNBB se positionne comme une valeur de taille intermédiaire sur la BRVM, représentant un poids modéré dans l'indice composite. Le BPA de 231 FCFA/action signifie que chaque titre génère près de 231 FCFA de bénéfice net, ce qui, rapporté au cours actuel, donne un PER de 17,3x — nettement supérieur à la moyenne du marché BRVM (8-12x), traduisant une prime de valorisation significative que les investisseurs accordent à la qualité de la signature et à la régularité des dividendes. Le P/B de 3,64x confirme cette prime de croissance : le marché valorise l'action à plus de 3,6 fois sa valeur comptable, ce qui est cohérent avec un ROE élevé (21,05%) mais laisse peu de marge de sécurité en cas de déception. L'EV/EBITDA de 10,1x, bien que dans la fourchette "élevée" (10-15x), reste soutenable au regard de la capacité bénéficiaire et de la trésorerie nette positive de 7,98 Mds FCFA. Globalement, la valorisation intègre déjà une bonne partie des bonnes nouvelles opérationnelles, ce qui limite le potentiel d'appréciation à court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LNBB affiche une variation totale de +1,78%, avec une progression de +1,27% lors de la dernière séance (J-1), signalant un léger regain d'intérêt acheteur en fin de période. Le titre a évolué dans un range de 735 FCFA, entre un plus bas de 3 825 FCFA et un plus haut de 4 560 FCFA, ce qui témoigne d'une volatilité intra-période non négligeable malgré une variation nette quasi nulle. La tendance générale est stable à légèrement haussière, le cours actuel (4 000 FCFA) se situant juste au-dessus de la médiane (4 002 FCFA) et légèrement sous la moyenne (4 067 FCFA). Les statistiques descriptives révèlent une distribution asymétrique positive (skewness = 0,552), indiquant que les journées de baisse sous la moyenne ont été plus fréquentes que les journées de forte hausse — un signal de prudence. Le kurtosis de -0,877 (mésokurtique) suggère une distribution proche de la normale, sans risque extrême de pics violents. L'écart-type de 195 FCFA avec un coefficient de variation de 4,8% traduit une dispersion modérée du cours autour de sa moyenne. La volatilité annualisée de 37,7% classe le titre dans la catégorie "élevée" (&gt;30%), ce qui implique un risque de marché supérieur à la moyenne BRVM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(4 047,25 FCFA) et la MM50 (4 193,00 FCFA) encadrent le cours actuel (4 000 FCFA) par le haut, la MM50 étant nettement supérieure à la MM20, ce qui configure une tendance baissière de court terme. Le cours évoluant sous ses deux moyennes mobiles, la décision technique est logiquement "Vente", confirmant la pression vendeuse persistante.</w:t>
      </w:r>
    </w:p>
    <w:p>
      <w:pPr>
        <w:spacing w:after="120" w:line="276" w:lineRule="auto"/>
      </w:pPr>
      <w:r>
        <w:t>**Bandes de Bollinger** : Le cours (4 000 FCFA) se situe dans la partie basse de la bande, entre la borne inférieure (3 915,28 FCFA) et la borne supérieure (4 179,22 FCFA), sans franchissement des limites. Cette position médiane-basse avec un rétrécissement des bandes suggère une phase de consolidation, justifiant la décision "Neutre" — ni signal d'achat, ni signal de vente.</w:t>
      </w:r>
    </w:p>
    <w:p>
      <w:pPr>
        <w:spacing w:after="120" w:line="276" w:lineRule="auto"/>
      </w:pPr>
      <w:r>
        <w:t>**MACD** : La valeur du MACD (-53,226) est légèrement supérieure à son signal (-53,989), générant un croisement haussier naissant bien que les deux lignes restent en territoire négatif. Cette configuration indique un essoufflement de la dynamique baissière et un possible retournement, justifiant la décision "Achat" — mais avec prudence, car le momentum reste fragile.</w:t>
      </w:r>
    </w:p>
    <w:p>
      <w:pPr>
        <w:spacing w:after="120" w:line="276" w:lineRule="auto"/>
      </w:pPr>
      <w:r>
        <w:t>**RSI** : À 43,624, le RSI se situe en zone neutre (30-70), sans signal de surachat (&gt;70) ni de survente (&lt;30). Cette position médiane-basse reflète une absence de pression directionnelle forte, justifiant la décision "Neutre" — le marché attend un catalyseur pour choisir sa direction.</w:t>
      </w:r>
    </w:p>
    <w:p>
      <w:pPr>
        <w:spacing w:after="120" w:line="276" w:lineRule="auto"/>
      </w:pPr>
      <w:r>
        <w:t>**Stochastique** : Les lignes %K et %D sont toutes deux à 50,0, parfaitement alignées et au point d'équilibre. Cette configuration neutre, sans croisement ni divergence, confirme l'absence de signal directionnel clair et justifie la décision "Neutre".</w:t>
      </w:r>
    </w:p>
    <w:p>
      <w:pPr>
        <w:spacing w:after="120" w:line="276" w:lineRule="auto"/>
      </w:pPr>
      <w:r>
        <w:t>**Conclusion technique** : Les indicateurs techniques présentent un tableau mitigé : les moyennes mobiles sont baissières (Vente), le MACD esquisse un retournement haussier (Achat), tandis que le RSI, les Bandes de Bollinger et le Stochastique restent neutres. Cette divergence suggère une phase de transition où la pression vendeuse s'essouffle sans qu'un signal d'achat fort ne se matérialise. La prudence est de mise en attendant une confirmation par le franchissement de la MM20 (4 047 FCFA) ou un croisement franc du MACD au-dessus de zéro.</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LNBB a réalisé un chiffre d'affaires de 98,598 Mds FCFA, en baisse de -3,85% par rapport à 2024 (102,544 Mds FCFA), sous l'effet d'une concurrence illégale accrue dans le secteur des jeux. Le résultat net s'établit à 4,622 Mds FCFA, en recul de -35,6% par rapport à 2024 (7,176 Mds FCFA), principalement en raison de l'absence de produits exceptionnels (3,1 Mds FCFA en 2024). Malgré cette contraction, les fondamentaux opérationnels demeurent solides : la Valeur Ajoutée progresse de +22% à 10,548 Mds FCFA, l'EBE de +34% à 7,164 Mds FCFA, et le ROE atteint 21,05% (excellent, &gt;15%), tandis que le ROA de 14,17% confirme l'efficacité de l'utilisation des actifs. La structure financière est très saine : autonomie financière de 67,32%, ratio d'endettement de seulement 2,57%, liquidité générale de 184,84% et trésorerie nette positive de 7,979 Mds FCFA. Les délais d'exploitation sont remarquablement courts (clients : 4,82 jours ; fournisseurs : 20,41 jours ; stocks : 1,56 jour), avec un BFR quasi nul (217,45 M FCFA), ce qui témoigne d'une gestion rigoureuse du besoin en fonds de roulement. Les rapports trimestriels de 2026 confirment une nette amélioration : au S1 2026 (rapport du 30 juillet 2026), le CA progresse de +4% à 49,937 Mds FCFA et le résultat net bondit de +60%, porté par la maîtrise des charges et les revenus de partenariats B2B. Toutefois, le T1 2026 (rapport du 7 mai 2026) avait montré une chute de -46% du résultat net à 848 M FCFA, illustrant la volatilité trimestrielle liée au mix-produit (pari sportif à 95% de taux de retour). Le Produit Brut des Jeux recule de -9% au S1 2026, signal d'alerte sur la qualité de la croissance. La politique de dividende reste très généreuse : l'AGO de juin 2026 a approuvé un dividende brut de 173 FCFA/action (net : 164 FCFA), soit un rendement de 4,1% au cours actuel — un argument de poids pour les investisseurs de rendement. En synthèse, LNBB présente une solidité financière incontestable et une amélioration opérationnelle récente, mais fait face à des défis structurels (concurrence illégale, érosion des marges sur le pari sportif) qui limitent la visibilité sur la croissance future.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tendue : le PER de 17,3x et le P/B de 3,64x intègrent déjà une prime significative par rapport au marché BRVM, laissant peu de marge de sécurité malgré un EV/EBITDA de 10,1x encore raisonnable. Le comportement du cours (Partie 1) est préoccupant à court terme : volatilité élevée (37,7%), skewness positive (0,552) indiquant une pression baissière sous la moyenne, et cours sous les moyennes mobiles. Les signaux techniques (Partie 2) sont divergents : le MACD esquisse un retournement haussier, mais les moyennes mobiles restent baissières et les autres indicateurs sont neutres — aucune convergence forte ne se dégage. Les fondamentaux (Partie 3) offrent un contraste saisissant : structure financière excellente (ROE 21%, autonomie 67%, trésorerie nette 7,98 Mds), dividende attractif (rendement 4,1%), et amélioration opérationnelle au S1 2026 (+60% de résultat net), mais la baisse du PBJ (-9%) et la concurrence illégale constituent des risques persistants. Les prédictions IA (J+1 à J+10) tablent sur une légère appréciation vers 4 078 FCFA d'ici le 18 septembre 2026, ce qui confirme la thèse d'un rebond technique modéré sans emballement. **Recommandation finale : CONSERVER.** La convergence entre fondamentaux solides, dividende généreux et prédictions légèrement haussières justifie le maintien en portefeuille, mais la valorisation tendue, la volatilité élevée et les défis structurels excluent un achat agressif. **Niveau de confiance : Moyen** (les rapports trimestriels récents sont encourageants mais non audités et le PBJ reste sous pression). **Niveau de risque global : Moyen à Élevé** (volatilité 37,7%, concurrence illégale, dépendance au pari sportif). **Horizon d'investissement optimal : Moyen terme (3-12 mois)**, en attendant la confirmation de la stabilisation du PBJ et la pérennité des revenus de partenariats au S2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35.11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5,061 titres</w:t>
            </w:r>
          </w:p>
        </w:tc>
        <w:tc>
          <w:tcPr>
            <w:tcW w:type="dxa" w:w="2268"/>
            <w:shd w:fill="FFF2CC" w:val="clear"/>
          </w:tcPr>
          <w:p>
            <w:r>
              <w:rPr>
                <w:b/>
                <w:color w:val="503200"/>
                <w:sz w:val="16"/>
              </w:rPr>
              <w:t xml:space="preserve">Cours actuel : </w:t>
            </w:r>
            <w:r>
              <w:rPr>
                <w:color w:val="000000"/>
                <w:sz w:val="17"/>
              </w:rPr>
              <w:t>2,750 FCFA</w:t>
            </w:r>
          </w:p>
          <w:p>
            <w:r>
              <w:rPr>
                <w:b/>
                <w:color w:val="503200"/>
                <w:sz w:val="16"/>
              </w:rPr>
              <w:t xml:space="preserve">Var. 100 jours : </w:t>
            </w:r>
            <w:r>
              <w:rPr>
                <w:b/>
                <w:color w:val="007800"/>
                <w:sz w:val="17"/>
              </w:rPr>
              <w:t>+100.73%</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1,370 FCFA</w:t>
            </w:r>
          </w:p>
          <w:p>
            <w:r>
              <w:rPr>
                <w:b/>
                <w:color w:val="503200"/>
                <w:sz w:val="16"/>
              </w:rPr>
              <w:t xml:space="preserve">Volatilité ann. : </w:t>
            </w:r>
            <w:r>
              <w:rPr>
                <w:color w:val="000000"/>
                <w:sz w:val="17"/>
              </w:rPr>
              <w:t>56.6%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30.8/100 → Moyen</w:t>
      </w:r>
    </w:p>
    <w:p>
      <w:pPr>
        <w:spacing w:before="40" w:after="80"/>
      </w:pPr>
      <w:r>
        <w:rPr>
          <w:rFonts w:ascii="Courier New" w:hAnsi="Courier New"/>
          <w:color w:val="825A00"/>
          <w:sz w:val="18"/>
        </w:rPr>
        <w:t>██████░░░░░░░░░░░░░░  30.8/100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16.78% (Élevée) — μ=2,182 FCFA, σ=366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β=-0.2208 (Contre-cyclique) — Cov=-0.000008, Var(idx)=0.000035, ρ=-0.036,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5,061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σ_j=3.57%/j (Modérée) — Vol. annualisée≈56.6%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2,547</w:t>
            </w:r>
          </w:p>
        </w:tc>
        <w:tc>
          <w:tcPr>
            <w:tcW w:type="dxa" w:w="1440"/>
            <w:shd w:fill="FAFAFA" w:val="clear"/>
          </w:tcPr>
          <w:p>
            <w:r>
              <w:rPr>
                <w:b/>
                <w:sz w:val="17"/>
              </w:rPr>
              <w:t>2,715</w:t>
            </w:r>
          </w:p>
        </w:tc>
        <w:tc>
          <w:tcPr>
            <w:tcW w:type="dxa" w:w="1440"/>
            <w:shd w:fill="FAFAFA" w:val="clear"/>
          </w:tcPr>
          <w:p>
            <w:r>
              <w:rPr>
                <w:sz w:val="17"/>
              </w:rPr>
              <w:t>2,883</w:t>
            </w:r>
          </w:p>
        </w:tc>
        <w:tc>
          <w:tcPr>
            <w:tcW w:type="dxa" w:w="1440"/>
            <w:shd w:fill="FAFAFA" w:val="clear"/>
          </w:tcPr>
          <w:p>
            <w:r>
              <w:rPr>
                <w:b/>
                <w:color w:val="C00000"/>
                <w:sz w:val="17"/>
              </w:rPr>
              <w:t>-1.3%</w:t>
            </w:r>
          </w:p>
        </w:tc>
      </w:tr>
      <w:tr>
        <w:tc>
          <w:tcPr>
            <w:tcW w:type="dxa" w:w="1440"/>
            <w:shd w:fill="FFDCE0" w:val="clear"/>
          </w:tcPr>
          <w:p>
            <w:r>
              <w:rPr>
                <w:sz w:val="17"/>
              </w:rPr>
              <w:t>J+2  Moyenne</w:t>
            </w:r>
          </w:p>
        </w:tc>
        <w:tc>
          <w:tcPr>
            <w:tcW w:type="dxa" w:w="1440"/>
            <w:shd w:fill="FFDCE0" w:val="clear"/>
          </w:tcPr>
          <w:p>
            <w:r>
              <w:rPr>
                <w:sz w:val="17"/>
              </w:rPr>
              <w:t>2026-09-15</w:t>
            </w:r>
          </w:p>
        </w:tc>
        <w:tc>
          <w:tcPr>
            <w:tcW w:type="dxa" w:w="1440"/>
            <w:shd w:fill="FFDCE0" w:val="clear"/>
          </w:tcPr>
          <w:p>
            <w:r>
              <w:rPr>
                <w:sz w:val="17"/>
              </w:rPr>
              <w:t>2,436</w:t>
            </w:r>
          </w:p>
        </w:tc>
        <w:tc>
          <w:tcPr>
            <w:tcW w:type="dxa" w:w="1440"/>
            <w:shd w:fill="FFDCE0" w:val="clear"/>
          </w:tcPr>
          <w:p>
            <w:r>
              <w:rPr>
                <w:b/>
                <w:sz w:val="17"/>
              </w:rPr>
              <w:t>2,670</w:t>
            </w:r>
          </w:p>
        </w:tc>
        <w:tc>
          <w:tcPr>
            <w:tcW w:type="dxa" w:w="1440"/>
            <w:shd w:fill="FFDCE0" w:val="clear"/>
          </w:tcPr>
          <w:p>
            <w:r>
              <w:rPr>
                <w:sz w:val="17"/>
              </w:rPr>
              <w:t>2,903</w:t>
            </w:r>
          </w:p>
        </w:tc>
        <w:tc>
          <w:tcPr>
            <w:tcW w:type="dxa" w:w="1440"/>
            <w:shd w:fill="FFDCE0" w:val="clear"/>
          </w:tcPr>
          <w:p>
            <w:r>
              <w:rPr>
                <w:b/>
                <w:color w:val="C00000"/>
                <w:sz w:val="17"/>
              </w:rPr>
              <w:t>-2.9%</w:t>
            </w:r>
          </w:p>
        </w:tc>
      </w:tr>
      <w:tr>
        <w:tc>
          <w:tcPr>
            <w:tcW w:type="dxa" w:w="1440"/>
            <w:shd w:fill="FFDCE0" w:val="clear"/>
          </w:tcPr>
          <w:p>
            <w:r>
              <w:rPr>
                <w:sz w:val="17"/>
              </w:rPr>
              <w:t>J+3  Moyenne</w:t>
            </w:r>
          </w:p>
        </w:tc>
        <w:tc>
          <w:tcPr>
            <w:tcW w:type="dxa" w:w="1440"/>
            <w:shd w:fill="FFDCE0" w:val="clear"/>
          </w:tcPr>
          <w:p>
            <w:r>
              <w:rPr>
                <w:sz w:val="17"/>
              </w:rPr>
              <w:t>2026-09-16</w:t>
            </w:r>
          </w:p>
        </w:tc>
        <w:tc>
          <w:tcPr>
            <w:tcW w:type="dxa" w:w="1440"/>
            <w:shd w:fill="FFDCE0" w:val="clear"/>
          </w:tcPr>
          <w:p>
            <w:r>
              <w:rPr>
                <w:sz w:val="17"/>
              </w:rPr>
              <w:t>2,347</w:t>
            </w:r>
          </w:p>
        </w:tc>
        <w:tc>
          <w:tcPr>
            <w:tcW w:type="dxa" w:w="1440"/>
            <w:shd w:fill="FFDCE0" w:val="clear"/>
          </w:tcPr>
          <w:p>
            <w:r>
              <w:rPr>
                <w:b/>
                <w:sz w:val="17"/>
              </w:rPr>
              <w:t>2,629</w:t>
            </w:r>
          </w:p>
        </w:tc>
        <w:tc>
          <w:tcPr>
            <w:tcW w:type="dxa" w:w="1440"/>
            <w:shd w:fill="FFDCE0" w:val="clear"/>
          </w:tcPr>
          <w:p>
            <w:r>
              <w:rPr>
                <w:sz w:val="17"/>
              </w:rPr>
              <w:t>2,911</w:t>
            </w:r>
          </w:p>
        </w:tc>
        <w:tc>
          <w:tcPr>
            <w:tcW w:type="dxa" w:w="1440"/>
            <w:shd w:fill="FFDCE0" w:val="clear"/>
          </w:tcPr>
          <w:p>
            <w:r>
              <w:rPr>
                <w:b/>
                <w:color w:val="C00000"/>
                <w:sz w:val="17"/>
              </w:rPr>
              <w:t>-4.4%</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2,275</w:t>
            </w:r>
          </w:p>
        </w:tc>
        <w:tc>
          <w:tcPr>
            <w:tcW w:type="dxa" w:w="1440"/>
            <w:shd w:fill="FFDCE0" w:val="clear"/>
          </w:tcPr>
          <w:p>
            <w:r>
              <w:rPr>
                <w:b/>
                <w:sz w:val="17"/>
              </w:rPr>
              <w:t>2,597</w:t>
            </w:r>
          </w:p>
        </w:tc>
        <w:tc>
          <w:tcPr>
            <w:tcW w:type="dxa" w:w="1440"/>
            <w:shd w:fill="FFDCE0" w:val="clear"/>
          </w:tcPr>
          <w:p>
            <w:r>
              <w:rPr>
                <w:sz w:val="17"/>
              </w:rPr>
              <w:t>2,918</w:t>
            </w:r>
          </w:p>
        </w:tc>
        <w:tc>
          <w:tcPr>
            <w:tcW w:type="dxa" w:w="1440"/>
            <w:shd w:fill="FFDCE0" w:val="clear"/>
          </w:tcPr>
          <w:p>
            <w:r>
              <w:rPr>
                <w:b/>
                <w:color w:val="C00000"/>
                <w:sz w:val="17"/>
              </w:rPr>
              <w:t>-5.6%</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2,214</w:t>
            </w:r>
          </w:p>
        </w:tc>
        <w:tc>
          <w:tcPr>
            <w:tcW w:type="dxa" w:w="1440"/>
            <w:shd w:fill="FFDCE0" w:val="clear"/>
          </w:tcPr>
          <w:p>
            <w:r>
              <w:rPr>
                <w:b/>
                <w:sz w:val="17"/>
              </w:rPr>
              <w:t>2,570</w:t>
            </w:r>
          </w:p>
        </w:tc>
        <w:tc>
          <w:tcPr>
            <w:tcW w:type="dxa" w:w="1440"/>
            <w:shd w:fill="FFDCE0" w:val="clear"/>
          </w:tcPr>
          <w:p>
            <w:r>
              <w:rPr>
                <w:sz w:val="17"/>
              </w:rPr>
              <w:t>2,925</w:t>
            </w:r>
          </w:p>
        </w:tc>
        <w:tc>
          <w:tcPr>
            <w:tcW w:type="dxa" w:w="1440"/>
            <w:shd w:fill="FFDCE0" w:val="clear"/>
          </w:tcPr>
          <w:p>
            <w:r>
              <w:rPr>
                <w:b/>
                <w:color w:val="C00000"/>
                <w:sz w:val="17"/>
              </w:rPr>
              <w:t>-6.6%</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2,159</w:t>
            </w:r>
          </w:p>
        </w:tc>
        <w:tc>
          <w:tcPr>
            <w:tcW w:type="dxa" w:w="1440"/>
            <w:shd w:fill="FFDCE0" w:val="clear"/>
          </w:tcPr>
          <w:p>
            <w:r>
              <w:rPr>
                <w:b/>
                <w:sz w:val="17"/>
              </w:rPr>
              <w:t>2,545</w:t>
            </w:r>
          </w:p>
        </w:tc>
        <w:tc>
          <w:tcPr>
            <w:tcW w:type="dxa" w:w="1440"/>
            <w:shd w:fill="FFDCE0" w:val="clear"/>
          </w:tcPr>
          <w:p>
            <w:r>
              <w:rPr>
                <w:sz w:val="17"/>
              </w:rPr>
              <w:t>2,931</w:t>
            </w:r>
          </w:p>
        </w:tc>
        <w:tc>
          <w:tcPr>
            <w:tcW w:type="dxa" w:w="1440"/>
            <w:shd w:fill="FFDCE0" w:val="clear"/>
          </w:tcPr>
          <w:p>
            <w:r>
              <w:rPr>
                <w:b/>
                <w:color w:val="C00000"/>
                <w:sz w:val="17"/>
              </w:rPr>
              <w:t>-7.4%</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2,110</w:t>
            </w:r>
          </w:p>
        </w:tc>
        <w:tc>
          <w:tcPr>
            <w:tcW w:type="dxa" w:w="1440"/>
            <w:shd w:fill="FFDCE0" w:val="clear"/>
          </w:tcPr>
          <w:p>
            <w:r>
              <w:rPr>
                <w:b/>
                <w:sz w:val="17"/>
              </w:rPr>
              <w:t>2,524</w:t>
            </w:r>
          </w:p>
        </w:tc>
        <w:tc>
          <w:tcPr>
            <w:tcW w:type="dxa" w:w="1440"/>
            <w:shd w:fill="FFDCE0" w:val="clear"/>
          </w:tcPr>
          <w:p>
            <w:r>
              <w:rPr>
                <w:sz w:val="17"/>
              </w:rPr>
              <w:t>2,937</w:t>
            </w:r>
          </w:p>
        </w:tc>
        <w:tc>
          <w:tcPr>
            <w:tcW w:type="dxa" w:w="1440"/>
            <w:shd w:fill="FFDCE0" w:val="clear"/>
          </w:tcPr>
          <w:p>
            <w:r>
              <w:rPr>
                <w:b/>
                <w:color w:val="C00000"/>
                <w:sz w:val="17"/>
              </w:rPr>
              <w:t>-8.2%</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2,065</w:t>
            </w:r>
          </w:p>
        </w:tc>
        <w:tc>
          <w:tcPr>
            <w:tcW w:type="dxa" w:w="1440"/>
            <w:shd w:fill="FFDCE0" w:val="clear"/>
          </w:tcPr>
          <w:p>
            <w:r>
              <w:rPr>
                <w:b/>
                <w:sz w:val="17"/>
              </w:rPr>
              <w:t>2,504</w:t>
            </w:r>
          </w:p>
        </w:tc>
        <w:tc>
          <w:tcPr>
            <w:tcW w:type="dxa" w:w="1440"/>
            <w:shd w:fill="FFDCE0" w:val="clear"/>
          </w:tcPr>
          <w:p>
            <w:r>
              <w:rPr>
                <w:sz w:val="17"/>
              </w:rPr>
              <w:t>2,942</w:t>
            </w:r>
          </w:p>
        </w:tc>
        <w:tc>
          <w:tcPr>
            <w:tcW w:type="dxa" w:w="1440"/>
            <w:shd w:fill="FFDCE0" w:val="clear"/>
          </w:tcPr>
          <w:p>
            <w:r>
              <w:rPr>
                <w:b/>
                <w:color w:val="C00000"/>
                <w:sz w:val="17"/>
              </w:rPr>
              <w:t>-9.0%</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2,024</w:t>
            </w:r>
          </w:p>
        </w:tc>
        <w:tc>
          <w:tcPr>
            <w:tcW w:type="dxa" w:w="1440"/>
            <w:shd w:fill="FFDCE0" w:val="clear"/>
          </w:tcPr>
          <w:p>
            <w:r>
              <w:rPr>
                <w:b/>
                <w:sz w:val="17"/>
              </w:rPr>
              <w:t>2,485</w:t>
            </w:r>
          </w:p>
        </w:tc>
        <w:tc>
          <w:tcPr>
            <w:tcW w:type="dxa" w:w="1440"/>
            <w:shd w:fill="FFDCE0" w:val="clear"/>
          </w:tcPr>
          <w:p>
            <w:r>
              <w:rPr>
                <w:sz w:val="17"/>
              </w:rPr>
              <w:t>2,947</w:t>
            </w:r>
          </w:p>
        </w:tc>
        <w:tc>
          <w:tcPr>
            <w:tcW w:type="dxa" w:w="1440"/>
            <w:shd w:fill="FFDCE0" w:val="clear"/>
          </w:tcPr>
          <w:p>
            <w:r>
              <w:rPr>
                <w:b/>
                <w:color w:val="C00000"/>
                <w:sz w:val="17"/>
              </w:rPr>
              <w:t>-9.6%</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1,985</w:t>
            </w:r>
          </w:p>
        </w:tc>
        <w:tc>
          <w:tcPr>
            <w:tcW w:type="dxa" w:w="1440"/>
            <w:shd w:fill="FFDCE0" w:val="clear"/>
          </w:tcPr>
          <w:p>
            <w:r>
              <w:rPr>
                <w:b/>
                <w:sz w:val="17"/>
              </w:rPr>
              <w:t>2,468</w:t>
            </w:r>
          </w:p>
        </w:tc>
        <w:tc>
          <w:tcPr>
            <w:tcW w:type="dxa" w:w="1440"/>
            <w:shd w:fill="FFDCE0" w:val="clear"/>
          </w:tcPr>
          <w:p>
            <w:r>
              <w:rPr>
                <w:sz w:val="17"/>
              </w:rPr>
              <w:t>2,951</w:t>
            </w:r>
          </w:p>
        </w:tc>
        <w:tc>
          <w:tcPr>
            <w:tcW w:type="dxa" w:w="1440"/>
            <w:shd w:fill="FFDCE0" w:val="clear"/>
          </w:tcPr>
          <w:p>
            <w:r>
              <w:rPr>
                <w:b/>
                <w:color w:val="C00000"/>
                <w:sz w:val="17"/>
              </w:rPr>
              <w:t>-10.3%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**RAPPORT D'ANALYSE FINANCIÈRE — NEIC (NEI-CEDA CI)**</w:t>
        <w:br/>
        <w:t>*Bourse Régionale des Valeurs Mobilières (BRVM) — Secteur : Édition &amp; Diffusion*</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35,11 milliards FCFA, NEIC se situe dans la catégorie des valeurs moyennes de la cote BRVM, ce qui traduit une liquidité limitée mais un réel intérêt spéculatif. Le BPA de 160 FCFA/action signifie que chaque titre génère 160 FCFA de bénéfice net, ce qui, rapporté au cours actuel de 2 750 FCFA, donne un PER de 17,2x — nettement supérieur à la moyenne du marché BRVM (8-12x), signalant que les investisseurs paient une prime de croissance significative. Le P/B de 6,10x confirme cette exubérance : le marché valorise l'entreprise à plus de six fois sa valeur comptable, une prime très élevée qui suppose une confiance forte dans la rentabilité future. Enfin, l'EV/EBITDA de 26,0x est très exigeant (seuil d'alerte &gt;15x), indiquant que la valeur d'entreprise intègre déjà une anticipation de forte progression opérationnelle. Globalement, la valorisation apparaît tendue et intègre des attentes ambitieuses.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NEIC affiche une performance spectaculaire de +100,73%, avec un cours actuel de 2 750 FCFA, bien que la dernière séance (J-1) marque un repli de -2,65%. Le range de trading est très large, oscillant entre un plus bas de 1 370 FCFA et un plus haut de 3 000 FCFA, soit un potentiel de plus de 119% — signe d'une forte volatilité et d'un intérêt marqué des investisseurs. La tendance générale est clairement haussière, portée par un momentum acheteur soutenu. Les statistiques descriptives révèlent une moyenne (2 182 FCFA) légèrement inférieure à la médiane (2 198 FCFA), suggérant une distribution quasi symétrique, confirmée par un skewness de 0,302 (asymétrie faible). L'écart-type de 368 FCFA avec un coefficient de variation de 16,9% indique une dispersion modérée autour de la moyenne, tandis que le kurtosis de 0,462 (mésokurtique) traduit un risque de pics de volatilité proche d'une distribution normale, sans excès de queues épaisses. La volatilité annualisée de 56,6% classe le titre dans la catégorie des valeurs très volatiles (&gt;30%), ce qui implique un risque élevé mais aussi des opportunités de trading importantes.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(2 674,75 FCFA) et la MM50 (2 403,70 FCFA) se situent toutes deux sous le cours actuel (2 750 FCFA), confirmant une configuration haussière avec un cours au-dessus de ses moyennes. La MM20 étant supérieure à la MM50, le croisement est positif (golden cross), justifiant la décision d'**Achat**.</w:t>
      </w:r>
    </w:p>
    <w:p>
      <w:pPr>
        <w:spacing w:after="120" w:line="276" w:lineRule="auto"/>
      </w:pPr>
      <w:r>
        <w:t>**Bandes de Bollinger** : Le cours (2 750 FCFA) évolue dans la partie supérieure de la bande, entre la borne inférieure (2 032,99 FCFA) et la borne supérieure (3 316,51 FCFA). Il reste toutefois en dessous de la borne haute, sans signal de surachat extrême, ce qui justifie la décision **Neutre** — le titre est dans une zone de consolidation potentielle.</w:t>
      </w:r>
    </w:p>
    <w:p>
      <w:pPr>
        <w:spacing w:after="120" w:line="276" w:lineRule="auto"/>
      </w:pPr>
      <w:r>
        <w:t>**MACD** : La valeur du MACD (141,56) est inférieure à son signal (161,31), générant un croisement baissier qui indique un essoufflement du momentum haussier. Cette divergence justifie la décision de **Vente** à court terme, bien que le MACD reste en territoire positif.</w:t>
      </w:r>
    </w:p>
    <w:p>
      <w:pPr>
        <w:spacing w:after="120" w:line="276" w:lineRule="auto"/>
      </w:pPr>
      <w:r>
        <w:t>**RSI** : À 63,89, le RSI se situe en zone neutre (30-70), sans atteindre le seuil de surachat (70). Cela indique que le titre conserve un potentiel de hausse sans être excessivement tendu, justifiant la décision **Neutre**.</w:t>
      </w:r>
    </w:p>
    <w:p>
      <w:pPr>
        <w:spacing w:after="120" w:line="276" w:lineRule="auto"/>
      </w:pPr>
      <w:r>
        <w:t>**Stochastique** : Le %K (50,0) est légèrement inférieur au %D (54,64), sans croisement net ni signal directionnel fort. Les deux lignes évoluent en zone médiane, ce qui justifie la décision **Neutre** — le marché est en phase d'indécision.</w:t>
      </w:r>
    </w:p>
    <w:p>
      <w:pPr>
        <w:spacing w:after="120" w:line="276" w:lineRule="auto"/>
      </w:pPr>
      <w:r>
        <w:t>**Conclusion technique** : Les indicateurs sont globalement mitigés. Les moyennes mobiles confirment la tendance haussière de fond, mais le MACD signale un essoufflement à court terme, tandis que le RSI et le stochastique restent neutres. Le titre semble entrer dans une phase de consolidation après sa forte progression, avec un support dynamique autour de la MM20 (2 675 FCFA) et une résistance à 3 000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(source : brvm_donnees_financieres) dressent un tableau contrasté. Le chiffre d'affaires s'établit à 5,139 milliards FCFA, en **recul de 23,80%** par rapport à l'exercice précédent, ce qui traduit une contraction préoccupante de l'activité commerciale. Pourtant, le résultat net atteint 2,037 milliards FCFA, avec une marge nette exceptionnelle de 39,63% — un niveau anormalement élevé qui s'explique, selon le rapport T3 2025 (daté du 30/09/2025), par la reprise d'une provision pour redressement fiscal de 1 596 millions FCFA, un produit non récurrent. Le ROE de 35,39% et le ROA de 27,25% sont excellents en apparence, mais ils sont artificiellement gonflés par cet élément exceptionnel. La structure financière reste solide : autonomie financière de 77,01%, liquidité générale de 448,86%, et trésorerie nette de 4,196 milliards FCFA. Cependant, le BFR de 1,498 milliard FCFA et le délai client élevé de 154,72 jours constituent un risque de trésorerie important, tandis que le flux opérationnel négatif (-527,07 millions FCFA) et le Free Cash Flow négatif (-565,91 millions FCFA) signalent une dégradation de la génération de cash. Le rapport T1 2026 (daté du 31/03/2026) montre une reprise du CA (+137% à 115,1 millions FCFA) mais une perte nette persistante de -168,9 millions FCFA, confirmant que le redressement opérationnel reste fragile. On estime que l'exercice 2026 pourrait bénéficier de cette dynamique commerciale retrouvée, mais la rentabilité durable demeure incertaine sans la répétition d'éléments exceptionnels. La recommandation fondamentale est donc **prudente** : la solidité du bilan est réelle, mais la qualité des bénéfices est faible et la dépendance aux éléments non récurrents est préoccupante.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complexe et contradictoire. La valorisation (Partie 0) est tendue : PER de 17,2x, P/B de 6,10x et EV/EBITDA de 26,0x intègrent déjà une prime de croissance très généreuse, laissant peu de marge d'erreur. Le comportement du cours (Partie 1) est haussier (+100,73%) mais accompagné d'une volatilité élevée (56,6%) et d'un repli récent (-2,65%), avec des statistiques descriptives (kurtosis 0,462, skewness 0,302) qui ne signalent pas de risque extrême de queues épaisses. Les signaux techniques (Partie 2) sont mitigés : les moyennes mobiles confirment la tendance haussière, mais le MACD génère un signal de vente à court terme, tandis que le RSI et le stochastique restent neutres — ce qui suggère une consolidation imminente. Les fondamentaux (Partie 3) sont ambigus : la rentabilité apparente (ROE 35,39%) est artificiellement gonflée par un produit exceptionnel, le CA recule de 23,80%, et les flux de trésorerie opérationnels sont négatifs, même si la structure financière reste solide. Les prédictions IA (J+1 à J+10) anticipent une trajectoire baissière vers 2 570 FCFA d'ici le 18/09/2026, ce qui contredit la tendance haussière de fond et confirme l'essoufflement technique. **En conséquence, la recommandation finale est CONSERVER**, avec un niveau de confiance **Moyen** et un risque global **Élevé**. La convergence entre la valorisation exigeante, le signal de vente du MACD et les prédictions baissières à court terme incite à la prudence, tandis que la solidité du bilan et la reprise du CA au T1 2026 justifient de ne pas vendre. L'horizon d'investissement optimal est **moyen terme (3-12 mois)**, en attendant la confirmation d'une amélioration durable de la rentabilité opérationnelle et la publication des résultats semestriels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603.52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2,476 titres</w:t>
            </w:r>
          </w:p>
        </w:tc>
        <w:tc>
          <w:tcPr>
            <w:tcW w:type="dxa" w:w="2268"/>
            <w:shd w:fill="FFF2CC" w:val="clear"/>
          </w:tcPr>
          <w:p>
            <w:r>
              <w:rPr>
                <w:b/>
                <w:color w:val="503200"/>
                <w:sz w:val="16"/>
              </w:rPr>
              <w:t xml:space="preserve">Cours actuel : </w:t>
            </w:r>
            <w:r>
              <w:rPr>
                <w:color w:val="000000"/>
                <w:sz w:val="17"/>
              </w:rPr>
              <w:t>24,400 FCFA</w:t>
            </w:r>
          </w:p>
          <w:p>
            <w:r>
              <w:rPr>
                <w:b/>
                <w:color w:val="503200"/>
                <w:sz w:val="16"/>
              </w:rPr>
              <w:t xml:space="preserve">Var. 100 jours : </w:t>
            </w:r>
            <w:r>
              <w:rPr>
                <w:b/>
                <w:color w:val="007800"/>
                <w:sz w:val="17"/>
              </w:rPr>
              <w:t>+73.67%</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39.6%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29.5/100 → Moyen</w:t>
      </w:r>
    </w:p>
    <w:p>
      <w:pPr>
        <w:spacing w:before="40" w:after="80"/>
      </w:pPr>
      <w:r>
        <w:rPr>
          <w:rFonts w:ascii="Courier New" w:hAnsi="Courier New"/>
          <w:color w:val="825A00"/>
          <w:sz w:val="18"/>
        </w:rPr>
        <w:t>█████░░░░░░░░░░░░░░░  29.5/100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17.42% (Élevée) — μ=19,910 FCFA, σ=3,468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β=1.3251 (Agressif) — Cov=0.000046, Var(idx)=0.000035, ρ=0.312,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2,476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σ_j=2.50%/j (Stable) — Vol. annualisée≈39.6%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23,601</w:t>
            </w:r>
          </w:p>
        </w:tc>
        <w:tc>
          <w:tcPr>
            <w:tcW w:type="dxa" w:w="1440"/>
            <w:shd w:fill="FAFAFA" w:val="clear"/>
          </w:tcPr>
          <w:p>
            <w:r>
              <w:rPr>
                <w:b/>
                <w:sz w:val="17"/>
              </w:rPr>
              <w:t>24,292</w:t>
            </w:r>
          </w:p>
        </w:tc>
        <w:tc>
          <w:tcPr>
            <w:tcW w:type="dxa" w:w="1440"/>
            <w:shd w:fill="FAFAFA" w:val="clear"/>
          </w:tcPr>
          <w:p>
            <w:r>
              <w:rPr>
                <w:sz w:val="17"/>
              </w:rPr>
              <w:t>24,984</w:t>
            </w:r>
          </w:p>
        </w:tc>
        <w:tc>
          <w:tcPr>
            <w:tcW w:type="dxa" w:w="1440"/>
            <w:shd w:fill="FAFAFA" w:val="clear"/>
          </w:tcPr>
          <w:p>
            <w:r>
              <w:rPr>
                <w:b/>
                <w:color w:val="C00000"/>
                <w:sz w:val="17"/>
              </w:rPr>
              <w:t>-0.4%</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23,293</w:t>
            </w:r>
          </w:p>
        </w:tc>
        <w:tc>
          <w:tcPr>
            <w:tcW w:type="dxa" w:w="1440"/>
            <w:shd w:fill="FAFAFA" w:val="clear"/>
          </w:tcPr>
          <w:p>
            <w:r>
              <w:rPr>
                <w:b/>
                <w:sz w:val="17"/>
              </w:rPr>
              <w:t>24,270</w:t>
            </w:r>
          </w:p>
        </w:tc>
        <w:tc>
          <w:tcPr>
            <w:tcW w:type="dxa" w:w="1440"/>
            <w:shd w:fill="FAFAFA" w:val="clear"/>
          </w:tcPr>
          <w:p>
            <w:r>
              <w:rPr>
                <w:sz w:val="17"/>
              </w:rPr>
              <w:t>25,247</w:t>
            </w:r>
          </w:p>
        </w:tc>
        <w:tc>
          <w:tcPr>
            <w:tcW w:type="dxa" w:w="1440"/>
            <w:shd w:fill="FAFAFA" w:val="clear"/>
          </w:tcPr>
          <w:p>
            <w:r>
              <w:rPr>
                <w:b/>
                <w:color w:val="C00000"/>
                <w:sz w:val="17"/>
              </w:rPr>
              <w:t>-0.5%</w:t>
            </w:r>
          </w:p>
        </w:tc>
      </w:tr>
      <w:tr>
        <w:tc>
          <w:tcPr>
            <w:tcW w:type="dxa" w:w="1440"/>
            <w:shd w:fill="FAFAFA" w:val="clear"/>
          </w:tcPr>
          <w:p>
            <w:r>
              <w:rPr>
                <w:sz w:val="17"/>
              </w:rPr>
              <w:t>J+3  Moyenne</w:t>
            </w:r>
          </w:p>
        </w:tc>
        <w:tc>
          <w:tcPr>
            <w:tcW w:type="dxa" w:w="1440"/>
            <w:shd w:fill="FAFAFA" w:val="clear"/>
          </w:tcPr>
          <w:p>
            <w:r>
              <w:rPr>
                <w:sz w:val="17"/>
              </w:rPr>
              <w:t>2026-09-16</w:t>
            </w:r>
          </w:p>
        </w:tc>
        <w:tc>
          <w:tcPr>
            <w:tcW w:type="dxa" w:w="1440"/>
            <w:shd w:fill="FAFAFA" w:val="clear"/>
          </w:tcPr>
          <w:p>
            <w:r>
              <w:rPr>
                <w:sz w:val="17"/>
              </w:rPr>
              <w:t>23,053</w:t>
            </w:r>
          </w:p>
        </w:tc>
        <w:tc>
          <w:tcPr>
            <w:tcW w:type="dxa" w:w="1440"/>
            <w:shd w:fill="FAFAFA" w:val="clear"/>
          </w:tcPr>
          <w:p>
            <w:r>
              <w:rPr>
                <w:b/>
                <w:sz w:val="17"/>
              </w:rPr>
              <w:t>24,249</w:t>
            </w:r>
          </w:p>
        </w:tc>
        <w:tc>
          <w:tcPr>
            <w:tcW w:type="dxa" w:w="1440"/>
            <w:shd w:fill="FAFAFA" w:val="clear"/>
          </w:tcPr>
          <w:p>
            <w:r>
              <w:rPr>
                <w:sz w:val="17"/>
              </w:rPr>
              <w:t>25,445</w:t>
            </w:r>
          </w:p>
        </w:tc>
        <w:tc>
          <w:tcPr>
            <w:tcW w:type="dxa" w:w="1440"/>
            <w:shd w:fill="FAFAFA" w:val="clear"/>
          </w:tcPr>
          <w:p>
            <w:r>
              <w:rPr>
                <w:b/>
                <w:color w:val="C00000"/>
                <w:sz w:val="17"/>
              </w:rPr>
              <w:t>-0.6%</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22,857</w:t>
            </w:r>
          </w:p>
        </w:tc>
        <w:tc>
          <w:tcPr>
            <w:tcW w:type="dxa" w:w="1440"/>
            <w:shd w:fill="FAFAFA" w:val="clear"/>
          </w:tcPr>
          <w:p>
            <w:r>
              <w:rPr>
                <w:b/>
                <w:sz w:val="17"/>
              </w:rPr>
              <w:t>24,237</w:t>
            </w:r>
          </w:p>
        </w:tc>
        <w:tc>
          <w:tcPr>
            <w:tcW w:type="dxa" w:w="1440"/>
            <w:shd w:fill="FAFAFA" w:val="clear"/>
          </w:tcPr>
          <w:p>
            <w:r>
              <w:rPr>
                <w:sz w:val="17"/>
              </w:rPr>
              <w:t>25,617</w:t>
            </w:r>
          </w:p>
        </w:tc>
        <w:tc>
          <w:tcPr>
            <w:tcW w:type="dxa" w:w="1440"/>
            <w:shd w:fill="FAFAFA" w:val="clear"/>
          </w:tcPr>
          <w:p>
            <w:r>
              <w:rPr>
                <w:b/>
                <w:color w:val="C00000"/>
                <w:sz w:val="17"/>
              </w:rPr>
              <w:t>-0.7%</w:t>
            </w:r>
          </w:p>
        </w:tc>
      </w:tr>
      <w:tr>
        <w:tc>
          <w:tcPr>
            <w:tcW w:type="dxa" w:w="1440"/>
            <w:shd w:fill="FAFAFA" w:val="clear"/>
          </w:tcPr>
          <w:p>
            <w:r>
              <w:rPr>
                <w:sz w:val="17"/>
              </w:rPr>
              <w:t>J+5  ⭐</w:t>
            </w:r>
          </w:p>
        </w:tc>
        <w:tc>
          <w:tcPr>
            <w:tcW w:type="dxa" w:w="1440"/>
            <w:shd w:fill="FAFAFA" w:val="clear"/>
          </w:tcPr>
          <w:p>
            <w:r>
              <w:rPr>
                <w:sz w:val="17"/>
              </w:rPr>
              <w:t>2026-09-18</w:t>
            </w:r>
          </w:p>
        </w:tc>
        <w:tc>
          <w:tcPr>
            <w:tcW w:type="dxa" w:w="1440"/>
            <w:shd w:fill="FAFAFA" w:val="clear"/>
          </w:tcPr>
          <w:p>
            <w:r>
              <w:rPr>
                <w:sz w:val="17"/>
              </w:rPr>
              <w:t>22,685</w:t>
            </w:r>
          </w:p>
        </w:tc>
        <w:tc>
          <w:tcPr>
            <w:tcW w:type="dxa" w:w="1440"/>
            <w:shd w:fill="FAFAFA" w:val="clear"/>
          </w:tcPr>
          <w:p>
            <w:r>
              <w:rPr>
                <w:b/>
                <w:sz w:val="17"/>
              </w:rPr>
              <w:t>24,227</w:t>
            </w:r>
          </w:p>
        </w:tc>
        <w:tc>
          <w:tcPr>
            <w:tcW w:type="dxa" w:w="1440"/>
            <w:shd w:fill="FAFAFA" w:val="clear"/>
          </w:tcPr>
          <w:p>
            <w:r>
              <w:rPr>
                <w:sz w:val="17"/>
              </w:rPr>
              <w:t>25,770</w:t>
            </w:r>
          </w:p>
        </w:tc>
        <w:tc>
          <w:tcPr>
            <w:tcW w:type="dxa" w:w="1440"/>
            <w:shd w:fill="FAFAFA" w:val="clear"/>
          </w:tcPr>
          <w:p>
            <w:r>
              <w:rPr>
                <w:b/>
                <w:color w:val="C00000"/>
                <w:sz w:val="17"/>
              </w:rPr>
              <w:t>-0.7%</w:t>
            </w:r>
          </w:p>
        </w:tc>
      </w:tr>
      <w:tr>
        <w:tc>
          <w:tcPr>
            <w:tcW w:type="dxa" w:w="1440"/>
            <w:shd w:fill="FAFAFA" w:val="clear"/>
          </w:tcPr>
          <w:p>
            <w:r>
              <w:rPr>
                <w:sz w:val="17"/>
              </w:rPr>
              <w:t>J+6  ⭐</w:t>
            </w:r>
          </w:p>
        </w:tc>
        <w:tc>
          <w:tcPr>
            <w:tcW w:type="dxa" w:w="1440"/>
            <w:shd w:fill="FAFAFA" w:val="clear"/>
          </w:tcPr>
          <w:p>
            <w:r>
              <w:rPr>
                <w:sz w:val="17"/>
              </w:rPr>
              <w:t>2026-09-21</w:t>
            </w:r>
          </w:p>
        </w:tc>
        <w:tc>
          <w:tcPr>
            <w:tcW w:type="dxa" w:w="1440"/>
            <w:shd w:fill="FAFAFA" w:val="clear"/>
          </w:tcPr>
          <w:p>
            <w:r>
              <w:rPr>
                <w:sz w:val="17"/>
              </w:rPr>
              <w:t>22,530</w:t>
            </w:r>
          </w:p>
        </w:tc>
        <w:tc>
          <w:tcPr>
            <w:tcW w:type="dxa" w:w="1440"/>
            <w:shd w:fill="FAFAFA" w:val="clear"/>
          </w:tcPr>
          <w:p>
            <w:r>
              <w:rPr>
                <w:b/>
                <w:sz w:val="17"/>
              </w:rPr>
              <w:t>24,219</w:t>
            </w:r>
          </w:p>
        </w:tc>
        <w:tc>
          <w:tcPr>
            <w:tcW w:type="dxa" w:w="1440"/>
            <w:shd w:fill="FAFAFA" w:val="clear"/>
          </w:tcPr>
          <w:p>
            <w:r>
              <w:rPr>
                <w:sz w:val="17"/>
              </w:rPr>
              <w:t>25,908</w:t>
            </w:r>
          </w:p>
        </w:tc>
        <w:tc>
          <w:tcPr>
            <w:tcW w:type="dxa" w:w="1440"/>
            <w:shd w:fill="FAFAFA" w:val="clear"/>
          </w:tcPr>
          <w:p>
            <w:r>
              <w:rPr>
                <w:b/>
                <w:color w:val="C00000"/>
                <w:sz w:val="17"/>
              </w:rPr>
              <w:t>-0.7%</w:t>
            </w:r>
          </w:p>
        </w:tc>
      </w:tr>
      <w:tr>
        <w:tc>
          <w:tcPr>
            <w:tcW w:type="dxa" w:w="1440"/>
            <w:shd w:fill="FAFAFA" w:val="clear"/>
          </w:tcPr>
          <w:p>
            <w:r>
              <w:rPr>
                <w:sz w:val="17"/>
              </w:rPr>
              <w:t>J+7  ⭐</w:t>
            </w:r>
          </w:p>
        </w:tc>
        <w:tc>
          <w:tcPr>
            <w:tcW w:type="dxa" w:w="1440"/>
            <w:shd w:fill="FAFAFA" w:val="clear"/>
          </w:tcPr>
          <w:p>
            <w:r>
              <w:rPr>
                <w:sz w:val="17"/>
              </w:rPr>
              <w:t>2026-09-22</w:t>
            </w:r>
          </w:p>
        </w:tc>
        <w:tc>
          <w:tcPr>
            <w:tcW w:type="dxa" w:w="1440"/>
            <w:shd w:fill="FAFAFA" w:val="clear"/>
          </w:tcPr>
          <w:p>
            <w:r>
              <w:rPr>
                <w:sz w:val="17"/>
              </w:rPr>
              <w:t>22,389</w:t>
            </w:r>
          </w:p>
        </w:tc>
        <w:tc>
          <w:tcPr>
            <w:tcW w:type="dxa" w:w="1440"/>
            <w:shd w:fill="FAFAFA" w:val="clear"/>
          </w:tcPr>
          <w:p>
            <w:r>
              <w:rPr>
                <w:b/>
                <w:sz w:val="17"/>
              </w:rPr>
              <w:t>24,212</w:t>
            </w:r>
          </w:p>
        </w:tc>
        <w:tc>
          <w:tcPr>
            <w:tcW w:type="dxa" w:w="1440"/>
            <w:shd w:fill="FAFAFA" w:val="clear"/>
          </w:tcPr>
          <w:p>
            <w:r>
              <w:rPr>
                <w:sz w:val="17"/>
              </w:rPr>
              <w:t>26,036</w:t>
            </w:r>
          </w:p>
        </w:tc>
        <w:tc>
          <w:tcPr>
            <w:tcW w:type="dxa" w:w="1440"/>
            <w:shd w:fill="FAFAFA" w:val="clear"/>
          </w:tcPr>
          <w:p>
            <w:r>
              <w:rPr>
                <w:b/>
                <w:color w:val="C00000"/>
                <w:sz w:val="17"/>
              </w:rPr>
              <w:t>-0.8%</w:t>
            </w:r>
          </w:p>
        </w:tc>
      </w:tr>
      <w:tr>
        <w:tc>
          <w:tcPr>
            <w:tcW w:type="dxa" w:w="1440"/>
            <w:shd w:fill="FAFAFA" w:val="clear"/>
          </w:tcPr>
          <w:p>
            <w:r>
              <w:rPr>
                <w:sz w:val="17"/>
              </w:rPr>
              <w:t>J+8  ⭐</w:t>
            </w:r>
          </w:p>
        </w:tc>
        <w:tc>
          <w:tcPr>
            <w:tcW w:type="dxa" w:w="1440"/>
            <w:shd w:fill="FAFAFA" w:val="clear"/>
          </w:tcPr>
          <w:p>
            <w:r>
              <w:rPr>
                <w:sz w:val="17"/>
              </w:rPr>
              <w:t>2026-09-23</w:t>
            </w:r>
          </w:p>
        </w:tc>
        <w:tc>
          <w:tcPr>
            <w:tcW w:type="dxa" w:w="1440"/>
            <w:shd w:fill="FAFAFA" w:val="clear"/>
          </w:tcPr>
          <w:p>
            <w:r>
              <w:rPr>
                <w:sz w:val="17"/>
              </w:rPr>
              <w:t>22,257</w:t>
            </w:r>
          </w:p>
        </w:tc>
        <w:tc>
          <w:tcPr>
            <w:tcW w:type="dxa" w:w="1440"/>
            <w:shd w:fill="FAFAFA" w:val="clear"/>
          </w:tcPr>
          <w:p>
            <w:r>
              <w:rPr>
                <w:b/>
                <w:sz w:val="17"/>
              </w:rPr>
              <w:t>24,206</w:t>
            </w:r>
          </w:p>
        </w:tc>
        <w:tc>
          <w:tcPr>
            <w:tcW w:type="dxa" w:w="1440"/>
            <w:shd w:fill="FAFAFA" w:val="clear"/>
          </w:tcPr>
          <w:p>
            <w:r>
              <w:rPr>
                <w:sz w:val="17"/>
              </w:rPr>
              <w:t>26,155</w:t>
            </w:r>
          </w:p>
        </w:tc>
        <w:tc>
          <w:tcPr>
            <w:tcW w:type="dxa" w:w="1440"/>
            <w:shd w:fill="FAFAFA" w:val="clear"/>
          </w:tcPr>
          <w:p>
            <w:r>
              <w:rPr>
                <w:b/>
                <w:color w:val="C00000"/>
                <w:sz w:val="17"/>
              </w:rPr>
              <w:t>-0.8%</w:t>
            </w:r>
          </w:p>
        </w:tc>
      </w:tr>
      <w:tr>
        <w:tc>
          <w:tcPr>
            <w:tcW w:type="dxa" w:w="1440"/>
            <w:shd w:fill="FAFAFA" w:val="clear"/>
          </w:tcPr>
          <w:p>
            <w:r>
              <w:rPr>
                <w:sz w:val="17"/>
              </w:rPr>
              <w:t>J+9  ⭐</w:t>
            </w:r>
          </w:p>
        </w:tc>
        <w:tc>
          <w:tcPr>
            <w:tcW w:type="dxa" w:w="1440"/>
            <w:shd w:fill="FAFAFA" w:val="clear"/>
          </w:tcPr>
          <w:p>
            <w:r>
              <w:rPr>
                <w:sz w:val="17"/>
              </w:rPr>
              <w:t>2026-09-24</w:t>
            </w:r>
          </w:p>
        </w:tc>
        <w:tc>
          <w:tcPr>
            <w:tcW w:type="dxa" w:w="1440"/>
            <w:shd w:fill="FAFAFA" w:val="clear"/>
          </w:tcPr>
          <w:p>
            <w:r>
              <w:rPr>
                <w:sz w:val="17"/>
              </w:rPr>
              <w:t>22,134</w:t>
            </w:r>
          </w:p>
        </w:tc>
        <w:tc>
          <w:tcPr>
            <w:tcW w:type="dxa" w:w="1440"/>
            <w:shd w:fill="FAFAFA" w:val="clear"/>
          </w:tcPr>
          <w:p>
            <w:r>
              <w:rPr>
                <w:b/>
                <w:sz w:val="17"/>
              </w:rPr>
              <w:t>24,201</w:t>
            </w:r>
          </w:p>
        </w:tc>
        <w:tc>
          <w:tcPr>
            <w:tcW w:type="dxa" w:w="1440"/>
            <w:shd w:fill="FAFAFA" w:val="clear"/>
          </w:tcPr>
          <w:p>
            <w:r>
              <w:rPr>
                <w:sz w:val="17"/>
              </w:rPr>
              <w:t>26,268</w:t>
            </w:r>
          </w:p>
        </w:tc>
        <w:tc>
          <w:tcPr>
            <w:tcW w:type="dxa" w:w="1440"/>
            <w:shd w:fill="FAFAFA" w:val="clear"/>
          </w:tcPr>
          <w:p>
            <w:r>
              <w:rPr>
                <w:b/>
                <w:color w:val="C00000"/>
                <w:sz w:val="17"/>
              </w:rPr>
              <w:t>-0.8%</w:t>
            </w:r>
          </w:p>
        </w:tc>
      </w:tr>
      <w:tr>
        <w:tc>
          <w:tcPr>
            <w:tcW w:type="dxa" w:w="1440"/>
            <w:shd w:fill="FAFAFA" w:val="clear"/>
          </w:tcPr>
          <w:p>
            <w:r>
              <w:rPr>
                <w:sz w:val="17"/>
              </w:rPr>
              <w:t>J+10  ⭐</w:t>
            </w:r>
          </w:p>
        </w:tc>
        <w:tc>
          <w:tcPr>
            <w:tcW w:type="dxa" w:w="1440"/>
            <w:shd w:fill="FAFAFA" w:val="clear"/>
          </w:tcPr>
          <w:p>
            <w:r>
              <w:rPr>
                <w:sz w:val="17"/>
              </w:rPr>
              <w:t>2026-09-25</w:t>
            </w:r>
          </w:p>
        </w:tc>
        <w:tc>
          <w:tcPr>
            <w:tcW w:type="dxa" w:w="1440"/>
            <w:shd w:fill="FAFAFA" w:val="clear"/>
          </w:tcPr>
          <w:p>
            <w:r>
              <w:rPr>
                <w:sz w:val="17"/>
              </w:rPr>
              <w:t>22,017</w:t>
            </w:r>
          </w:p>
        </w:tc>
        <w:tc>
          <w:tcPr>
            <w:tcW w:type="dxa" w:w="1440"/>
            <w:shd w:fill="FAFAFA" w:val="clear"/>
          </w:tcPr>
          <w:p>
            <w:r>
              <w:rPr>
                <w:b/>
                <w:sz w:val="17"/>
              </w:rPr>
              <w:t>24,195</w:t>
            </w:r>
          </w:p>
        </w:tc>
        <w:tc>
          <w:tcPr>
            <w:tcW w:type="dxa" w:w="1440"/>
            <w:shd w:fill="FAFAFA" w:val="clear"/>
          </w:tcPr>
          <w:p>
            <w:r>
              <w:rPr>
                <w:sz w:val="17"/>
              </w:rPr>
              <w:t>26,374</w:t>
            </w:r>
          </w:p>
        </w:tc>
        <w:tc>
          <w:tcPr>
            <w:tcW w:type="dxa" w:w="1440"/>
            <w:shd w:fill="FAFAFA" w:val="clear"/>
          </w:tcPr>
          <w:p>
            <w:r>
              <w:rPr>
                <w:b/>
                <w:color w:val="C00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**RAPPORT D'ANALYSE FINANCIÈRE — NSBC (NSIA Banque Côte d'Ivoire)**</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603,52 Mds FCFA, NSBC s'impose comme l'une des valeurs bancaires les plus importantes de la cote BRVM, ce qui témoigne de sa liquidité relative et de son poids dans l'indice sectoriel. Le BPA de 1 646 FCFA/action signifie que chaque titre génère près de 1 646 FCFA de bénéfice net, un niveau élevé qui traduit la forte rentabilité de la banque. Le PER de 14,8x se situe au-dessus de la moyenne du marché BRVM (généralement 8-12x), indiquant que les investisseurs paient une prime pour la qualité de la croissance, sans pour autant tomber dans une zone de surévaluation excessive. Le P/B de 2,59x montre que le marché valorise NSBC à plus de 2,5 fois sa valeur comptable, une prime de croissance justifiée par un ROE de 17,45% nettement supérieur au coût des fonds propres. En revanche, l'EV/EBITDA de 22,1x apparaît très exigeant (&gt;15x), signalant que la valeur d'entreprise intègre déjà une bonne partie des anticipations de croissance future, ce qui limite le potentiel d'appréciation à court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NSBC a enregistré une progression spectaculaire de +73,67%, avec une dernière séance en hausse de +1,67%, portant le cours actuel à 24 400 FCFA pour une capitalisation de 603,52 Mds FCFA. Le range de trading est particulièrement large, avec un plus haut à 24 885 FCFA et un plus bas à 13 810 FCFA, soit un écart de plus de 80% entre les deux extrêmes, ce qui confirme une tendance nettement haussière sur la période. La moyenne (19 910 FCFA) et la médiane (19 992 FCFA) sont très proches, ce qui suggère une distribution globalement équilibrée malgré le skewness négatif de -0,541 indiquant davantage de journées de hausse au-dessus de la moyenne. L'écart-type de 3 486 FCFA avec un coefficient de variation de 17,5% traduit une dispersion modérée du cours autour de sa moyenne, tandis que le kurtosis de -0,972 (mésokurtique) indique une distribution proche de la normale, sans risque excessif de pics extrêmes. La volatilité annualisée de 39,6% classe le titre dans la catégorie des valeurs à volatilité élevée (&gt;30%), ce qui est cohérent avec la forte appréciation récente et invite à la prudence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(23 295,5 FCFA) et la MM50 (22 830,4 FCFA) se situent toutes deux en dessous du cours actuel (24 400 FCFA), avec la MM20 au-dessus de la MM50, configurant un croisement haussier classique. Cette configuration confirme la dynamique positive et justifie la décision d'achat, le cours évoluant au-dessus de ses deux supports mobiles.</w:t>
      </w:r>
    </w:p>
    <w:p>
      <w:pPr>
        <w:spacing w:after="120" w:line="276" w:lineRule="auto"/>
      </w:pPr>
      <w:r>
        <w:t>**Bandes de Bollinger** : Le cours (24 400 FCFA) évolue dans la partie supérieure de la bande, proche de la borne supérieure (24 734,85 FCFA) et loin de la borne inférieure (21 856,15 FCFA). Cette position indique une pression acheteuse soutenue mais un risque de retour à la moyenne, justifiant la décision neutre par prudence.</w:t>
      </w:r>
    </w:p>
    <w:p>
      <w:pPr>
        <w:spacing w:after="120" w:line="276" w:lineRule="auto"/>
      </w:pPr>
      <w:r>
        <w:t>**MACD** : La valeur du MACD (422,43) est nettement supérieure à son signal (307,58), avec un histogramme positif qui traduit un momentum haussier intact. La divergence positive entre les deux lignes confirme la décision d'achat, bien que l'ampleur de l'écart appelle à surveiller un éventuel essoufflement.</w:t>
      </w:r>
    </w:p>
    <w:p>
      <w:pPr>
        <w:spacing w:after="120" w:line="276" w:lineRule="auto"/>
      </w:pPr>
      <w:r>
        <w:t>**RSI** : À 68,03, le RSI se situe juste en dessous du seuil de surachat (70), ce qui indique une dynamique acheteuse forte mais non encore excessive. La décision neutre reflète cette zone charnière où le titre conserve du potentiel mais approche d'une zone de prudence.</w:t>
      </w:r>
    </w:p>
    <w:p>
      <w:pPr>
        <w:spacing w:after="120" w:line="276" w:lineRule="auto"/>
      </w:pPr>
      <w:r>
        <w:t>**Stochastique** : Le %K (79,67) est au-dessus du %D (74,77), avec les deux indicateurs en zone haute, signalant une pression haussière persistante. La décision neutre s'explique par la proximité de la zone de surachat (80), où un retournement pourrait survenir.</w:t>
      </w:r>
    </w:p>
    <w:p>
      <w:pPr>
        <w:spacing w:after="120" w:line="276" w:lineRule="auto"/>
      </w:pPr>
      <w:r>
        <w:t>**Conclusion technique** : Les indicateurs techniques présentent une convergence majoritairement haussière, portée par les moyennes mobiles et le MACD, mais tempérée par la proximité des zones de surachat (RSI, Stochastique) et de la borne supérieure de Bollinger. Le titre conserve un biais positif mais entre dans une phase de consolidation potentielle, justifiant une approche prudente à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NSIA Banque CI affiche un Produit Net Bancaire (PNB) de 112,928 Mds FCFA, en croissance de +15,45% sur un an, porté par une marge d'intérêts en hausse de +26% à 79,8 Mds FCFA. Le résultat net s'établit à 40,712 Mds FCFA, en progression de +7% par rapport à 2024 (38,1 Mds FCFA), avec une marge nette élevée de 36,05% et un ROE de 17,45%, confirmant la rentabilité supérieure de la banque. Le coefficient d'exploitation de 54,59% (&lt;60%) témoigne d'une bonne efficacité opérationnelle, tandis que le coût du risque de 7,54% (provisions/charges financières) reste un point de vigilance, ayant bondi de +0,6 Md (reprise) en 2024 à -8,5 Mds FCFA (dotation) en 2025, pesant sur le résultat net. La structure financière montre une autonomie financière de 7,59% (capitaux propres/total bilan), typique du modèle bancaire, avec un ratio de solvabilité générale de 108,22% (&gt;1) et une couverture des intérêts de 82,25%. Sur la base du rapport T1 2026 (publié le 31/03/2026), le PNB progresse de +28% à 28,6 Mds FCFA et le résultat net bondit de +53% à 10,9 Mds FCFA, tiré par l'activité titres, ce qui permet d'estimer un exercice 2026 en forte accélération, avec un résultat net annualisé potentiel supérieur à 45 Mds FCFA. Le rapport annuel 2025 (publié le 31/12/2025) souligne une collecte de dépôts dynamique (+32% à 2 242 Mds FCFA) et une croissance des créances clientèle (+18% à 1 818,7 Mds FCFA), bien que le T1 2026 montre un léger repli des crédits nets (-4%). La recommandation fondamentale est de **CONSERVER**, la solidité financière et la dynamique de croissance étant indéniables, mais la hausse du coût du risque et la dépendance aux revenus titres (volatils) nécessitent une surveillance accrue avant tout renforcement.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NSBC (Partie 0) présente un profil mitigé : le PER de 14,8x et le P/B de 2,59x intègrent une prime de croissance justifiée par le ROE de 17,45%, mais l'EV/EBITDA de 22,1x suggère une surévaluation relative qui limite le potentiel à court terme. Le comportement du cours (Partie 1) est nettement haussier (+73,67% sur 100 jours) avec une volatilité élevée (39,6%) et un skewness négatif indiquant une tendance aux journées de hausse, mais le kurtosis mésokurtique écarte le risque de pics extrêmes. Les signaux techniques (Partie 2) convergent majoritairement à l'achat (MM, MACD) mais sont tempérés par la proximité des zones de surachat (RSI 68, Stochastique 79,7) et de la borne supérieure de Bollinger, suggérant une consolidation imminente. Les fondamentaux (Partie 3) sont solides : PNB 2025 de 112,9 Mds FCFA (+15,45%), résultat net de 40,7 Mds FCFA, ROE de 17,45%, et les rapports T1 2026 (publiés le 31/03/2026) confirment une accélération avec un résultat net en hausse de +53%, bien que le coût du risque reste un point de vigilance. Les prédictions IA (J+1 à J+10) anticipent une légère consolidation baissière (24 292 FCFA à 24 227 FCFA), ce qui contredit partiellement le momentum actuel mais s'aligne sur la probabilité de consolidation technique. Sur la base de cette synthèse, la recommandation finale est **CONSERVER**, avec un niveau de confiance **Moyen** et un risque global **Moyen**. La convergence entre fondamentaux solides et technique haussière est tempérée par une valorisation exigeante (EV/EBITDA) et des prédictions baissières à court terme, ce qui justifie une position attentiste. L'horizon d'investissement optimal est **moyen terme (3-12 mois)**, en attendant la confirmation des résultats semestriels 2026 et une clarification sur la politique de dividende et l'évolution du coût du risque.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372.99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1,658 titres</w:t>
            </w:r>
          </w:p>
        </w:tc>
        <w:tc>
          <w:tcPr>
            <w:tcW w:type="dxa" w:w="2268"/>
            <w:shd w:fill="FFF2CC" w:val="clear"/>
          </w:tcPr>
          <w:p>
            <w:r>
              <w:rPr>
                <w:b/>
                <w:color w:val="503200"/>
                <w:sz w:val="16"/>
              </w:rPr>
              <w:t xml:space="preserve">Cours actuel : </w:t>
            </w:r>
            <w:r>
              <w:rPr>
                <w:color w:val="000000"/>
                <w:sz w:val="17"/>
              </w:rPr>
              <w:t>16,900 FCFA</w:t>
            </w:r>
          </w:p>
          <w:p>
            <w:r>
              <w:rPr>
                <w:b/>
                <w:color w:val="503200"/>
                <w:sz w:val="16"/>
              </w:rPr>
              <w:t xml:space="preserve">Var. 100 jours : </w:t>
            </w:r>
            <w:r>
              <w:rPr>
                <w:b/>
                <w:color w:val="007800"/>
                <w:sz w:val="17"/>
              </w:rPr>
              <w:t>+40.83%</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39.1%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13.31% (Moyenne) — μ=14,935 FCFA, σ=1,988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β=-0.0479 (Contre-cyclique) — Cov=-0.000002, Var(idx)=0.000035, ρ=-0.011,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1,658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σ_j=2.46%/j (Stable) — Vol. annualisée≈39.1%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16,177</w:t>
            </w:r>
          </w:p>
        </w:tc>
        <w:tc>
          <w:tcPr>
            <w:tcW w:type="dxa" w:w="1440"/>
            <w:shd w:fill="FAFAFA" w:val="clear"/>
          </w:tcPr>
          <w:p>
            <w:r>
              <w:rPr>
                <w:b/>
                <w:sz w:val="17"/>
              </w:rPr>
              <w:t>16,881</w:t>
            </w:r>
          </w:p>
        </w:tc>
        <w:tc>
          <w:tcPr>
            <w:tcW w:type="dxa" w:w="1440"/>
            <w:shd w:fill="FAFAFA" w:val="clear"/>
          </w:tcPr>
          <w:p>
            <w:r>
              <w:rPr>
                <w:sz w:val="17"/>
              </w:rPr>
              <w:t>17,585</w:t>
            </w:r>
          </w:p>
        </w:tc>
        <w:tc>
          <w:tcPr>
            <w:tcW w:type="dxa" w:w="1440"/>
            <w:shd w:fill="FAFAFA" w:val="clear"/>
          </w:tcPr>
          <w:p>
            <w:r>
              <w:rPr>
                <w:b/>
                <w:color w:val="C00000"/>
                <w:sz w:val="17"/>
              </w:rPr>
              <w:t>-0.1%</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15,872</w:t>
            </w:r>
          </w:p>
        </w:tc>
        <w:tc>
          <w:tcPr>
            <w:tcW w:type="dxa" w:w="1440"/>
            <w:shd w:fill="FAFAFA" w:val="clear"/>
          </w:tcPr>
          <w:p>
            <w:r>
              <w:rPr>
                <w:b/>
                <w:sz w:val="17"/>
              </w:rPr>
              <w:t>16,867</w:t>
            </w:r>
          </w:p>
        </w:tc>
        <w:tc>
          <w:tcPr>
            <w:tcW w:type="dxa" w:w="1440"/>
            <w:shd w:fill="FAFAFA" w:val="clear"/>
          </w:tcPr>
          <w:p>
            <w:r>
              <w:rPr>
                <w:sz w:val="17"/>
              </w:rPr>
              <w:t>17,862</w:t>
            </w:r>
          </w:p>
        </w:tc>
        <w:tc>
          <w:tcPr>
            <w:tcW w:type="dxa" w:w="1440"/>
            <w:shd w:fill="FAFAFA" w:val="clear"/>
          </w:tcPr>
          <w:p>
            <w:r>
              <w:rPr>
                <w:b/>
                <w:color w:val="C00000"/>
                <w:sz w:val="17"/>
              </w:rPr>
              <w:t>-0.2%</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15,642</w:t>
            </w:r>
          </w:p>
        </w:tc>
        <w:tc>
          <w:tcPr>
            <w:tcW w:type="dxa" w:w="1440"/>
            <w:shd w:fill="FAFAFA" w:val="clear"/>
          </w:tcPr>
          <w:p>
            <w:r>
              <w:rPr>
                <w:b/>
                <w:sz w:val="17"/>
              </w:rPr>
              <w:t>16,860</w:t>
            </w:r>
          </w:p>
        </w:tc>
        <w:tc>
          <w:tcPr>
            <w:tcW w:type="dxa" w:w="1440"/>
            <w:shd w:fill="FAFAFA" w:val="clear"/>
          </w:tcPr>
          <w:p>
            <w:r>
              <w:rPr>
                <w:sz w:val="17"/>
              </w:rPr>
              <w:t>18,078</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15,449</w:t>
            </w:r>
          </w:p>
        </w:tc>
        <w:tc>
          <w:tcPr>
            <w:tcW w:type="dxa" w:w="1440"/>
            <w:shd w:fill="FAFAFA" w:val="clear"/>
          </w:tcPr>
          <w:p>
            <w:r>
              <w:rPr>
                <w:b/>
                <w:sz w:val="17"/>
              </w:rPr>
              <w:t>16,855</w:t>
            </w:r>
          </w:p>
        </w:tc>
        <w:tc>
          <w:tcPr>
            <w:tcW w:type="dxa" w:w="1440"/>
            <w:shd w:fill="FAFAFA" w:val="clear"/>
          </w:tcPr>
          <w:p>
            <w:r>
              <w:rPr>
                <w:sz w:val="17"/>
              </w:rPr>
              <w:t>18,262</w:t>
            </w:r>
          </w:p>
        </w:tc>
        <w:tc>
          <w:tcPr>
            <w:tcW w:type="dxa" w:w="1440"/>
            <w:shd w:fill="FAFAFA" w:val="clear"/>
          </w:tcPr>
          <w:p>
            <w:r>
              <w:rPr>
                <w:b/>
                <w:color w:val="C00000"/>
                <w:sz w:val="17"/>
              </w:rPr>
              <w:t>-0.3%</w:t>
            </w:r>
          </w:p>
        </w:tc>
      </w:tr>
      <w:tr>
        <w:tc>
          <w:tcPr>
            <w:tcW w:type="dxa" w:w="1440"/>
            <w:shd w:fill="FAFAFA" w:val="clear"/>
          </w:tcPr>
          <w:p>
            <w:r>
              <w:rPr>
                <w:sz w:val="17"/>
              </w:rPr>
              <w:t>J+5  ⭐</w:t>
            </w:r>
          </w:p>
        </w:tc>
        <w:tc>
          <w:tcPr>
            <w:tcW w:type="dxa" w:w="1440"/>
            <w:shd w:fill="FAFAFA" w:val="clear"/>
          </w:tcPr>
          <w:p>
            <w:r>
              <w:rPr>
                <w:sz w:val="17"/>
              </w:rPr>
              <w:t>2026-09-18</w:t>
            </w:r>
          </w:p>
        </w:tc>
        <w:tc>
          <w:tcPr>
            <w:tcW w:type="dxa" w:w="1440"/>
            <w:shd w:fill="FAFAFA" w:val="clear"/>
          </w:tcPr>
          <w:p>
            <w:r>
              <w:rPr>
                <w:sz w:val="17"/>
              </w:rPr>
              <w:t>15,279</w:t>
            </w:r>
          </w:p>
        </w:tc>
        <w:tc>
          <w:tcPr>
            <w:tcW w:type="dxa" w:w="1440"/>
            <w:shd w:fill="FAFAFA" w:val="clear"/>
          </w:tcPr>
          <w:p>
            <w:r>
              <w:rPr>
                <w:b/>
                <w:sz w:val="17"/>
              </w:rPr>
              <w:t>16,851</w:t>
            </w:r>
          </w:p>
        </w:tc>
        <w:tc>
          <w:tcPr>
            <w:tcW w:type="dxa" w:w="1440"/>
            <w:shd w:fill="FAFAFA" w:val="clear"/>
          </w:tcPr>
          <w:p>
            <w:r>
              <w:rPr>
                <w:sz w:val="17"/>
              </w:rPr>
              <w:t>18,423</w:t>
            </w:r>
          </w:p>
        </w:tc>
        <w:tc>
          <w:tcPr>
            <w:tcW w:type="dxa" w:w="1440"/>
            <w:shd w:fill="FAFAFA" w:val="clear"/>
          </w:tcPr>
          <w:p>
            <w:r>
              <w:rPr>
                <w:b/>
                <w:color w:val="C00000"/>
                <w:sz w:val="17"/>
              </w:rPr>
              <w:t>-0.3%</w:t>
            </w:r>
          </w:p>
        </w:tc>
      </w:tr>
      <w:tr>
        <w:tc>
          <w:tcPr>
            <w:tcW w:type="dxa" w:w="1440"/>
            <w:shd w:fill="FAFAFA" w:val="clear"/>
          </w:tcPr>
          <w:p>
            <w:r>
              <w:rPr>
                <w:sz w:val="17"/>
              </w:rPr>
              <w:t>J+6  ⭐</w:t>
            </w:r>
          </w:p>
        </w:tc>
        <w:tc>
          <w:tcPr>
            <w:tcW w:type="dxa" w:w="1440"/>
            <w:shd w:fill="FAFAFA" w:val="clear"/>
          </w:tcPr>
          <w:p>
            <w:r>
              <w:rPr>
                <w:sz w:val="17"/>
              </w:rPr>
              <w:t>2026-09-21</w:t>
            </w:r>
          </w:p>
        </w:tc>
        <w:tc>
          <w:tcPr>
            <w:tcW w:type="dxa" w:w="1440"/>
            <w:shd w:fill="FAFAFA" w:val="clear"/>
          </w:tcPr>
          <w:p>
            <w:r>
              <w:rPr>
                <w:sz w:val="17"/>
              </w:rPr>
              <w:t>15,125</w:t>
            </w:r>
          </w:p>
        </w:tc>
        <w:tc>
          <w:tcPr>
            <w:tcW w:type="dxa" w:w="1440"/>
            <w:shd w:fill="FAFAFA" w:val="clear"/>
          </w:tcPr>
          <w:p>
            <w:r>
              <w:rPr>
                <w:b/>
                <w:sz w:val="17"/>
              </w:rPr>
              <w:t>16,846</w:t>
            </w:r>
          </w:p>
        </w:tc>
        <w:tc>
          <w:tcPr>
            <w:tcW w:type="dxa" w:w="1440"/>
            <w:shd w:fill="FAFAFA" w:val="clear"/>
          </w:tcPr>
          <w:p>
            <w:r>
              <w:rPr>
                <w:sz w:val="17"/>
              </w:rPr>
              <w:t>18,568</w:t>
            </w:r>
          </w:p>
        </w:tc>
        <w:tc>
          <w:tcPr>
            <w:tcW w:type="dxa" w:w="1440"/>
            <w:shd w:fill="FAFAFA" w:val="clear"/>
          </w:tcPr>
          <w:p>
            <w:r>
              <w:rPr>
                <w:b/>
                <w:color w:val="C00000"/>
                <w:sz w:val="17"/>
              </w:rPr>
              <w:t>-0.3%</w:t>
            </w:r>
          </w:p>
        </w:tc>
      </w:tr>
      <w:tr>
        <w:tc>
          <w:tcPr>
            <w:tcW w:type="dxa" w:w="1440"/>
            <w:shd w:fill="FAFAFA" w:val="clear"/>
          </w:tcPr>
          <w:p>
            <w:r>
              <w:rPr>
                <w:sz w:val="17"/>
              </w:rPr>
              <w:t>J+7  ⭐</w:t>
            </w:r>
          </w:p>
        </w:tc>
        <w:tc>
          <w:tcPr>
            <w:tcW w:type="dxa" w:w="1440"/>
            <w:shd w:fill="FAFAFA" w:val="clear"/>
          </w:tcPr>
          <w:p>
            <w:r>
              <w:rPr>
                <w:sz w:val="17"/>
              </w:rPr>
              <w:t>2026-09-22</w:t>
            </w:r>
          </w:p>
        </w:tc>
        <w:tc>
          <w:tcPr>
            <w:tcW w:type="dxa" w:w="1440"/>
            <w:shd w:fill="FAFAFA" w:val="clear"/>
          </w:tcPr>
          <w:p>
            <w:r>
              <w:rPr>
                <w:sz w:val="17"/>
              </w:rPr>
              <w:t>14,983</w:t>
            </w:r>
          </w:p>
        </w:tc>
        <w:tc>
          <w:tcPr>
            <w:tcW w:type="dxa" w:w="1440"/>
            <w:shd w:fill="FAFAFA" w:val="clear"/>
          </w:tcPr>
          <w:p>
            <w:r>
              <w:rPr>
                <w:b/>
                <w:sz w:val="17"/>
              </w:rPr>
              <w:t>16,841</w:t>
            </w:r>
          </w:p>
        </w:tc>
        <w:tc>
          <w:tcPr>
            <w:tcW w:type="dxa" w:w="1440"/>
            <w:shd w:fill="FAFAFA" w:val="clear"/>
          </w:tcPr>
          <w:p>
            <w:r>
              <w:rPr>
                <w:sz w:val="17"/>
              </w:rPr>
              <w:t>18,700</w:t>
            </w:r>
          </w:p>
        </w:tc>
        <w:tc>
          <w:tcPr>
            <w:tcW w:type="dxa" w:w="1440"/>
            <w:shd w:fill="FAFAFA" w:val="clear"/>
          </w:tcPr>
          <w:p>
            <w:r>
              <w:rPr>
                <w:b/>
                <w:color w:val="C00000"/>
                <w:sz w:val="17"/>
              </w:rPr>
              <w:t>-0.3%</w:t>
            </w:r>
          </w:p>
        </w:tc>
      </w:tr>
      <w:tr>
        <w:tc>
          <w:tcPr>
            <w:tcW w:type="dxa" w:w="1440"/>
            <w:shd w:fill="FAFAFA" w:val="clear"/>
          </w:tcPr>
          <w:p>
            <w:r>
              <w:rPr>
                <w:sz w:val="17"/>
              </w:rPr>
              <w:t>J+8  ⭐</w:t>
            </w:r>
          </w:p>
        </w:tc>
        <w:tc>
          <w:tcPr>
            <w:tcW w:type="dxa" w:w="1440"/>
            <w:shd w:fill="FAFAFA" w:val="clear"/>
          </w:tcPr>
          <w:p>
            <w:r>
              <w:rPr>
                <w:sz w:val="17"/>
              </w:rPr>
              <w:t>2026-09-23</w:t>
            </w:r>
          </w:p>
        </w:tc>
        <w:tc>
          <w:tcPr>
            <w:tcW w:type="dxa" w:w="1440"/>
            <w:shd w:fill="FAFAFA" w:val="clear"/>
          </w:tcPr>
          <w:p>
            <w:r>
              <w:rPr>
                <w:sz w:val="17"/>
              </w:rPr>
              <w:t>14,850</w:t>
            </w:r>
          </w:p>
        </w:tc>
        <w:tc>
          <w:tcPr>
            <w:tcW w:type="dxa" w:w="1440"/>
            <w:shd w:fill="FAFAFA" w:val="clear"/>
          </w:tcPr>
          <w:p>
            <w:r>
              <w:rPr>
                <w:b/>
                <w:sz w:val="17"/>
              </w:rPr>
              <w:t>16,837</w:t>
            </w:r>
          </w:p>
        </w:tc>
        <w:tc>
          <w:tcPr>
            <w:tcW w:type="dxa" w:w="1440"/>
            <w:shd w:fill="FAFAFA" w:val="clear"/>
          </w:tcPr>
          <w:p>
            <w:r>
              <w:rPr>
                <w:sz w:val="17"/>
              </w:rPr>
              <w:t>18,824</w:t>
            </w:r>
          </w:p>
        </w:tc>
        <w:tc>
          <w:tcPr>
            <w:tcW w:type="dxa" w:w="1440"/>
            <w:shd w:fill="FAFAFA" w:val="clear"/>
          </w:tcPr>
          <w:p>
            <w:r>
              <w:rPr>
                <w:b/>
                <w:color w:val="C00000"/>
                <w:sz w:val="17"/>
              </w:rPr>
              <w:t>-0.4%</w:t>
            </w:r>
          </w:p>
        </w:tc>
      </w:tr>
      <w:tr>
        <w:tc>
          <w:tcPr>
            <w:tcW w:type="dxa" w:w="1440"/>
            <w:shd w:fill="FAFAFA" w:val="clear"/>
          </w:tcPr>
          <w:p>
            <w:r>
              <w:rPr>
                <w:sz w:val="17"/>
              </w:rPr>
              <w:t>J+9  ⭐</w:t>
            </w:r>
          </w:p>
        </w:tc>
        <w:tc>
          <w:tcPr>
            <w:tcW w:type="dxa" w:w="1440"/>
            <w:shd w:fill="FAFAFA" w:val="clear"/>
          </w:tcPr>
          <w:p>
            <w:r>
              <w:rPr>
                <w:sz w:val="17"/>
              </w:rPr>
              <w:t>2026-09-24</w:t>
            </w:r>
          </w:p>
        </w:tc>
        <w:tc>
          <w:tcPr>
            <w:tcW w:type="dxa" w:w="1440"/>
            <w:shd w:fill="FAFAFA" w:val="clear"/>
          </w:tcPr>
          <w:p>
            <w:r>
              <w:rPr>
                <w:sz w:val="17"/>
              </w:rPr>
              <w:t>14,726</w:t>
            </w:r>
          </w:p>
        </w:tc>
        <w:tc>
          <w:tcPr>
            <w:tcW w:type="dxa" w:w="1440"/>
            <w:shd w:fill="FAFAFA" w:val="clear"/>
          </w:tcPr>
          <w:p>
            <w:r>
              <w:rPr>
                <w:b/>
                <w:sz w:val="17"/>
              </w:rPr>
              <w:t>16,833</w:t>
            </w:r>
          </w:p>
        </w:tc>
        <w:tc>
          <w:tcPr>
            <w:tcW w:type="dxa" w:w="1440"/>
            <w:shd w:fill="FAFAFA" w:val="clear"/>
          </w:tcPr>
          <w:p>
            <w:r>
              <w:rPr>
                <w:sz w:val="17"/>
              </w:rPr>
              <w:t>18,939</w:t>
            </w:r>
          </w:p>
        </w:tc>
        <w:tc>
          <w:tcPr>
            <w:tcW w:type="dxa" w:w="1440"/>
            <w:shd w:fill="FAFAFA" w:val="clear"/>
          </w:tcPr>
          <w:p>
            <w:r>
              <w:rPr>
                <w:b/>
                <w:color w:val="C00000"/>
                <w:sz w:val="17"/>
              </w:rPr>
              <w:t>-0.4%</w:t>
            </w:r>
          </w:p>
        </w:tc>
      </w:tr>
      <w:tr>
        <w:tc>
          <w:tcPr>
            <w:tcW w:type="dxa" w:w="1440"/>
            <w:shd w:fill="FAFAFA" w:val="clear"/>
          </w:tcPr>
          <w:p>
            <w:r>
              <w:rPr>
                <w:sz w:val="17"/>
              </w:rPr>
              <w:t>J+10  ⭐</w:t>
            </w:r>
          </w:p>
        </w:tc>
        <w:tc>
          <w:tcPr>
            <w:tcW w:type="dxa" w:w="1440"/>
            <w:shd w:fill="FAFAFA" w:val="clear"/>
          </w:tcPr>
          <w:p>
            <w:r>
              <w:rPr>
                <w:sz w:val="17"/>
              </w:rPr>
              <w:t>2026-09-25</w:t>
            </w:r>
          </w:p>
        </w:tc>
        <w:tc>
          <w:tcPr>
            <w:tcW w:type="dxa" w:w="1440"/>
            <w:shd w:fill="FAFAFA" w:val="clear"/>
          </w:tcPr>
          <w:p>
            <w:r>
              <w:rPr>
                <w:sz w:val="17"/>
              </w:rPr>
              <w:t>14,608</w:t>
            </w:r>
          </w:p>
        </w:tc>
        <w:tc>
          <w:tcPr>
            <w:tcW w:type="dxa" w:w="1440"/>
            <w:shd w:fill="FAFAFA" w:val="clear"/>
          </w:tcPr>
          <w:p>
            <w:r>
              <w:rPr>
                <w:b/>
                <w:sz w:val="17"/>
              </w:rPr>
              <w:t>16,828</w:t>
            </w:r>
          </w:p>
        </w:tc>
        <w:tc>
          <w:tcPr>
            <w:tcW w:type="dxa" w:w="1440"/>
            <w:shd w:fill="FAFAFA" w:val="clear"/>
          </w:tcPr>
          <w:p>
            <w:r>
              <w:rPr>
                <w:sz w:val="17"/>
              </w:rPr>
              <w:t>19,048</w:t>
            </w:r>
          </w:p>
        </w:tc>
        <w:tc>
          <w:tcPr>
            <w:tcW w:type="dxa" w:w="1440"/>
            <w:shd w:fill="FAFAFA" w:val="clear"/>
          </w:tcPr>
          <w:p>
            <w:r>
              <w:rPr>
                <w:b/>
                <w:color w:val="C00000"/>
                <w:sz w:val="17"/>
              </w:rPr>
              <w:t>-0.4%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**RAPPORT D'ANALYSE FINANCIÈRE — NESTLÉ CÔTE D'IVOIRE (NTLC)**</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372,99 milliards FCFA, NTLC s'impose comme l'une des valeurs les plus capitalisées de la BRVM, ce qui en fait un pilier de l'indice BRVM 30 et un placement de référence pour les investisseurs institutionnels. Le BPA de 835 FCFA/action signifie que chaque titre génère près de 835 FCFA de bénéfice net, un niveau de rentabilité par action solide qui traduit la robustesse du modèle Nestlé. Le PER de 20,2x se situe nettement au-dessus de la moyenne BRVM (~8-12x), signalant que le marché paie une prime de qualité et anticipe une croissance future — mais ce niveau expose le titre à un risque de correction si les bénéfices déçoivent. Le P/B de 12,61x, très supérieur au seuil de 4x, confirme cette valorisation exigeante : le marché valorise l'entreprise à plus de douze fois sa valeur comptable, ce qui se justifie par un ROE exceptionnel de 62,28% mais laisse peu de marge d'erreur. Enfin, l'EV/EBITDA de 10,0x, dans la fourchette raisonnable de 5-10x, indique que la valeur totale de l'entreprise (dette incluse) reste cohérente avec sa capacité opérationnelle à générer du cash.</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NTLC affiche une performance remarquable de +40,83%, avec une dernière séance en hausse de +1,20%, confirmant une dynamique haussière soutenue. Le cours actuel de 16 900 FCFA se situe dans la partie haute du range de trading, le plus haut ayant atteint 18 000 FCFA et le plus bas 11 150 FCFA — soit un écart de 61,4% entre les extrêmes, témoignant d'une forte amplitude. La tendance générale est clairement haussière, portée par les excellents résultats du T1 2026 (CA +31%, résultat net +37%). Les statistiques descriptives révèlent une moyenne de 14 935 FCFA inférieure à la médiane de 15 850 FCFA, ce qui indique une distribution légèrement asymétrique à gauche (les cours bas tirent la moyenne vers le bas), cohérente avec le skewness de -0,481 qualifié de symétrique mais orienté négativement. L'écart-type de 1 998 FCFA avec un coefficient de variation de 13,4% traduit une dispersion modérée du cours autour de sa moyenne. Le kurtosis de -1,315 (platykurtique) signale une distribution aplatie avec une faible concentration autour de la moyenne et un risque de pics moins prononcé qu'une loi normale — un profil rassurant pour la gestion du risque. La volatilité annualisée de 39,1% positionne le titre dans la catégorie des valeurs à volatilité élevée (&gt;30%), ce qui est cohérent avec son statut de valeur de croissance à forte prime de valorisation.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(16 913,75 FCFA) et la MM50 (16 631,30 FCFA) se situent toutes deux sous le cours actuel de 16 900 FCFA, avec la MM20 légèrement au-dessus de la MM50 — configuration haussière classique (golden cross). Le cours évoluant au-dessus de ses deux moyennes, la décision technique est à l'**Achat**, confirmant la tendance positive de moyen terme.</w:t>
      </w:r>
    </w:p>
    <w:p>
      <w:pPr>
        <w:spacing w:after="120" w:line="276" w:lineRule="auto"/>
      </w:pPr>
      <w:r>
        <w:t>**Bandes de Bollinger** : Le cours actuel (16 900 FCFA) se situe à l'intérieur des bandes, entre la borne inférieure (16 029,14 FCFA) et la borne supérieure (17 798,36 FCFA), plus proche de la borne supérieure. Cette position médiane-haute indique une volatilité modérée sans signal de surachat ou de survente, justifiant la décision **Neutre** — le titre consolide dans son canal.</w:t>
      </w:r>
    </w:p>
    <w:p>
      <w:pPr>
        <w:spacing w:after="120" w:line="276" w:lineRule="auto"/>
      </w:pPr>
      <w:r>
        <w:t>**MACD** : La valeur du MACD (94,249) est inférieure à son signal (119,524), générant un croisement baissier qui traduit un essoufflement du momentum haussier. Bien que la tendance de fond reste positive, cette divergence négative justifie la décision de **Vente** à court terme, suggérant une possible consolidation avant une nouvelle impulsion.</w:t>
      </w:r>
    </w:p>
    <w:p>
      <w:pPr>
        <w:spacing w:after="120" w:line="276" w:lineRule="auto"/>
      </w:pPr>
      <w:r>
        <w:t>**RSI** : À 49,184, le RSI se situe parfaitement dans la zone neutre (30-70), indiquant un équilibre entre acheteurs et vendeurs sans pression de surachat (&gt;70) ni de survente (&lt;30). Cette configuration médiane justifie la décision **Neutre** et suggère que le titre dispose d'un potentiel de rebond comme de correction.</w:t>
      </w:r>
    </w:p>
    <w:p>
      <w:pPr>
        <w:spacing w:after="120" w:line="276" w:lineRule="auto"/>
      </w:pPr>
      <w:r>
        <w:t>**Stochastique** : Le %K (47,619) est légèrement supérieur au %D (44,286), sans croisement significatif, et les deux oscillateurs évoluent en zone neutre. Cette configuration sans signal directionnel clair justifie la décision **Neutre**, le titre étant en phase de consolidation.</w:t>
      </w:r>
    </w:p>
    <w:p>
      <w:pPr>
        <w:spacing w:after="120" w:line="276" w:lineRule="auto"/>
      </w:pPr>
      <w:r>
        <w:t>**Conclusion technique** : Les indicateurs techniques présentent un tableau mitigé — les moyennes mobiles confirment la tendance haussière de fond (Achat), mais le MACD signale un essoufflement du momentum (Vente), tandis que le RSI, les Bandes de Bollinger et le Stochastique restent neutres. Cette divergence suggère une phase de consolidation après la forte hausse de +40,83%, avec un support technique à surveiller autour de la MM20 (16 913 FCFA) et une résistance à 17 798 FCFA (borne supérieure de Bollinger).</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(états financiers annuels 2025)** : En 2025, Nestlé Côte d'Ivoire a réalisé un chiffre d'affaires de 233,261 milliards FCFA, en croissance de 5,97% par rapport à 2024, avec un résultat net de 18,427 milliards FCFA (+1,53%). Le ROE s'établit à 62,28% — un niveau exceptionnel qui traduit une rentabilité des fonds propres remarquable — et le ROA à 9,70%, confirmant l'efficacité de l'utilisation des actifs. La marge nette de 7,90% reste stable mais en légère baisse par rapport aux 8,25% de 2024, sous l'effet de la hausse des charges financières (+25,8% à 7,957 milliards FCFA) et des impôts (+11,329 milliards FCFA). En tant qu'entreprise agroalimentaire, les points d'attention portent sur le BFR de 22,625 milliards FCFA (positif, donc consommateur de trésorerie), le délai client élevé de 74,30 jours (risque de trésorerie significatif) et la durée de stockage de 59,39 jours (immobilisation de capital notable). La structure financière est tendue : l'autonomie financière de 15,58% est inférieure au seuil sain de 30%, le ratio d'endettement de 135,85% est élevé, et la trésorerie nette est négative à -46,831 milliards FCFA — un point de vigilance majeur.</w:t>
      </w:r>
    </w:p>
    <w:p>
      <w:pPr>
        <w:spacing w:after="120" w:line="276" w:lineRule="auto"/>
      </w:pPr>
      <w:r>
        <w:t>**Estimations basées sur les rapports trimestriels** : Le rapport du T1 2026 (publié le 31 mars 2026) révèle une accélération spectaculaire avec un CA de 70,822 milliards FCFA (+31% vs T1 2025) et un résultat net de 7,526 milliards FCFA (+37%), avec une marge nette en amélioration à 10,6% (contre 10,1% au T1 2025). Sur la base de ce rythme, on peut estimer que l'exercice 2026 devrait afficher un CA annuel compris entre 280 et 300 milliards FCFA (soit une croissance de 20-28% vs 2025) et un résultat net potentiel de 22-25 milliards FCFA, ce qui ramènerait le PER à environ 15-17x — plus raisonnable. Le rapport annuel 2025 (publié le 31 décembre 2025) confirme la stratégie de réinvestissement avec un payout ratio réduit à 50,3% (dividende de 9,270 milliards FCFA vs 18,098 milliards en 2024) et une mise en réserve massive de 9,22 milliards FCFA pour financer la croissance. Le rapport du T3 2025 (30 septembre 2025) avait montré une contraction du résultat net de -21,3% sur 9 mois, illustrant la volatilité des performances trimestrielles avant le rebond spectaculaire du T1 2026.</w:t>
      </w:r>
    </w:p>
    <w:p>
      <w:pPr>
        <w:spacing w:after="120" w:line="276" w:lineRule="auto"/>
      </w:pPr>
      <w:r>
        <w:t>**Recommandation fondamentale** : La solidité du modèle Nestlé (marque leader, croissance du CA, ROE exceptionnel) contraste avec des risques structurels réels (endettement élevé, trésorerie nette négative, dépendance aux matières premières). La stratégie de réinvestissement et l'accélération du T1 2026 sont des signaux positifs, mais la valorisation exigeante (PER 20,2x) et la pression sur les marges nécessitent une vigilance accrue. Recommandation fondamentale : **CONSERVER** avec un biais positif, en surveillant l'évolution des marges et de la trésorerie au T2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 profil d'investissement contrasté mais globalement favorable. **Sur la valorisation (Partie 0)** , les ratios PER (20,2x) et P/B (12,61x) indiquent une surévaluation relative par rapport à la moyenne BRVM, mais l'EV/EBITDA (10,0x) reste raisonnable et le ROE exceptionnel (62,28%) justifie une prime de qualité — le titre est cher mais pas déraisonnablement. **Sur le comportement du cours (Partie 1)** , la tendance haussière de +40,83% sur 100 jours est impressionnante, la volatilité élevée (39,1%) et le kurtosis platykurtique (-1,315) suggèrent un risque de pics modéré, tandis que le skewness négatif (-0,481) indique une légère asymétrie baissière à surveiller. **Sur les signaux techniques (Partie 2)** , la divergence entre les moyennes mobiles (Achat) et le MACD (Vente) plaide pour une consolidation à court terme, avec un RSI et un Stochastique neutres qui n'apportent pas de signal directionnel fort. **Sur les fondamentaux (Partie 3)** , la solidité du modèle Nestlé (CA +5,97% en 2025, ROE 62,28%) et l'accélération du T1 2026 (CA +31%, résultat net +37%) sont des arguments puissants, mais l'endettement élevé (135,85%) et la trésorerie nette négative (-46,831 milliards FCFA) constituent des risques à ne pas négliger. **Sur les prédictions IA (J+1 à J+10)** , la trajectoire anticipée est légèrement baissière (16 881 FCFA le 14/09 → 16 851 FCFA le 18/09), ce qui confirme la phase de consolidation suggérée par le MACD et le RSI, sans contredire la tendance haussière de fond.</w:t>
      </w:r>
    </w:p>
    <w:p>
      <w:pPr>
        <w:spacing w:after="120" w:line="276" w:lineRule="auto"/>
      </w:pPr>
      <w:r>
        <w:t>**Recommandation finale : CONSERVER** — Le titre présente un équilibre entre une valorisation exigeante, des signaux techniques mitigés (consolidation en cours) et des fondamentaux solides mais risqués (endettement, trésorerie). La convergence entre la prédiction IA (légère baisse) et le MACD (Vente) suggère d'attendre une correction vers la MM20 (16 913 FCFA) ou la borne inférieure de Bollinger (16 029 FCFA) pour renforcer une position. **Niveau de confiance : Moyen** — les fondamentaux sont solides mais la valorisation et l'endettement limitent la visibilité. **Niveau de risque global : Moyen à Élevé** — la volatilité de 39,1% et la structure financière tendue nécessitent une gestion prudente. **Horizon d'investissement optimal : Moyen terme (3-12 mois)** — pour capter la concrétisation de la croissance du T1 2026 dans les résultats annuels 2026 et une éventuelle revalorisation du titre sur des bases plus raisonnables (PER cible 15-17x).</w:t>
      </w:r>
    </w:p>
    <w:p>
      <w:pPr>
        <w:spacing w:after="120" w:line="276" w:lineRule="auto"/>
      </w:pPr>
      <w:r>
        <w:t>---</w:t>
      </w:r>
    </w:p>
    <w:p>
      <w:pPr>
        <w:spacing w:after="120" w:line="276" w:lineRule="auto"/>
      </w:pPr>
      <w:r>
        <w:t>*Rapport généré le 13 septembre 2026 — Sources : BRVM, états financiers NTLC 2025, rapports trimestriels T1 2026 et T3 2025, analyses fondamentales DeepSeek et Mistral.*</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195.16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5,083 titres</w:t>
            </w:r>
          </w:p>
        </w:tc>
        <w:tc>
          <w:tcPr>
            <w:tcW w:type="dxa" w:w="2268"/>
            <w:shd w:fill="FFF2CC" w:val="clear"/>
          </w:tcPr>
          <w:p>
            <w:r>
              <w:rPr>
                <w:b/>
                <w:color w:val="503200"/>
                <w:sz w:val="16"/>
              </w:rPr>
              <w:t xml:space="preserve">Cours actuel : </w:t>
            </w:r>
            <w:r>
              <w:rPr>
                <w:color w:val="000000"/>
                <w:sz w:val="17"/>
              </w:rPr>
              <w:t>2,870 FCFA</w:t>
            </w:r>
          </w:p>
          <w:p>
            <w:r>
              <w:rPr>
                <w:b/>
                <w:color w:val="503200"/>
                <w:sz w:val="16"/>
              </w:rPr>
              <w:t xml:space="preserve">Var. 100 jours : </w:t>
            </w:r>
            <w:r>
              <w:rPr>
                <w:b/>
                <w:color w:val="007800"/>
                <w:sz w:val="17"/>
              </w:rPr>
              <w:t>+5.51%</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3.03% (Faible) — μ=2,826 FCFA, σ=86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β=0.3765 (Défensif) — Cov=0.000013, Var(idx)=0.000035, ρ=0.115,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5,083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σ_j=1.91%/j (Stable) — Vol. annualisée≈30.4%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2,765</w:t>
            </w:r>
          </w:p>
        </w:tc>
        <w:tc>
          <w:tcPr>
            <w:tcW w:type="dxa" w:w="1440"/>
            <w:shd w:fill="FAFAFA" w:val="clear"/>
          </w:tcPr>
          <w:p>
            <w:r>
              <w:rPr>
                <w:b/>
                <w:sz w:val="17"/>
              </w:rPr>
              <w:t>2,859</w:t>
            </w:r>
          </w:p>
        </w:tc>
        <w:tc>
          <w:tcPr>
            <w:tcW w:type="dxa" w:w="1440"/>
            <w:shd w:fill="FAFAFA" w:val="clear"/>
          </w:tcPr>
          <w:p>
            <w:r>
              <w:rPr>
                <w:sz w:val="17"/>
              </w:rPr>
              <w:t>2,953</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2,721</w:t>
            </w:r>
          </w:p>
        </w:tc>
        <w:tc>
          <w:tcPr>
            <w:tcW w:type="dxa" w:w="1440"/>
            <w:shd w:fill="FAFAFA" w:val="clear"/>
          </w:tcPr>
          <w:p>
            <w:r>
              <w:rPr>
                <w:b/>
                <w:sz w:val="17"/>
              </w:rPr>
              <w:t>2,853</w:t>
            </w:r>
          </w:p>
        </w:tc>
        <w:tc>
          <w:tcPr>
            <w:tcW w:type="dxa" w:w="1440"/>
            <w:shd w:fill="FAFAFA" w:val="clear"/>
          </w:tcPr>
          <w:p>
            <w:r>
              <w:rPr>
                <w:sz w:val="17"/>
              </w:rPr>
              <w:t>2,986</w:t>
            </w:r>
          </w:p>
        </w:tc>
        <w:tc>
          <w:tcPr>
            <w:tcW w:type="dxa" w:w="1440"/>
            <w:shd w:fill="FAFAFA" w:val="clear"/>
          </w:tcPr>
          <w:p>
            <w:r>
              <w:rPr>
                <w:b/>
                <w:color w:val="C00000"/>
                <w:sz w:val="17"/>
              </w:rPr>
              <w:t>-0.6%</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2,685</w:t>
            </w:r>
          </w:p>
        </w:tc>
        <w:tc>
          <w:tcPr>
            <w:tcW w:type="dxa" w:w="1440"/>
            <w:shd w:fill="FAFAFA" w:val="clear"/>
          </w:tcPr>
          <w:p>
            <w:r>
              <w:rPr>
                <w:b/>
                <w:sz w:val="17"/>
              </w:rPr>
              <w:t>2,847</w:t>
            </w:r>
          </w:p>
        </w:tc>
        <w:tc>
          <w:tcPr>
            <w:tcW w:type="dxa" w:w="1440"/>
            <w:shd w:fill="FAFAFA" w:val="clear"/>
          </w:tcPr>
          <w:p>
            <w:r>
              <w:rPr>
                <w:sz w:val="17"/>
              </w:rPr>
              <w:t>3,009</w:t>
            </w:r>
          </w:p>
        </w:tc>
        <w:tc>
          <w:tcPr>
            <w:tcW w:type="dxa" w:w="1440"/>
            <w:shd w:fill="FAFAFA" w:val="clear"/>
          </w:tcPr>
          <w:p>
            <w:r>
              <w:rPr>
                <w:b/>
                <w:color w:val="C00000"/>
                <w:sz w:val="17"/>
              </w:rPr>
              <w:t>-0.8%</w:t>
            </w:r>
          </w:p>
        </w:tc>
      </w:tr>
      <w:tr>
        <w:tc>
          <w:tcPr>
            <w:tcW w:type="dxa" w:w="1440"/>
            <w:shd w:fill="FAFAFA" w:val="clear"/>
          </w:tcPr>
          <w:p>
            <w:r>
              <w:rPr>
                <w:sz w:val="17"/>
              </w:rPr>
              <w:t>J+4  Moyenne</w:t>
            </w:r>
          </w:p>
        </w:tc>
        <w:tc>
          <w:tcPr>
            <w:tcW w:type="dxa" w:w="1440"/>
            <w:shd w:fill="FAFAFA" w:val="clear"/>
          </w:tcPr>
          <w:p>
            <w:r>
              <w:rPr>
                <w:sz w:val="17"/>
              </w:rPr>
              <w:t>2026-09-17</w:t>
            </w:r>
          </w:p>
        </w:tc>
        <w:tc>
          <w:tcPr>
            <w:tcW w:type="dxa" w:w="1440"/>
            <w:shd w:fill="FAFAFA" w:val="clear"/>
          </w:tcPr>
          <w:p>
            <w:r>
              <w:rPr>
                <w:sz w:val="17"/>
              </w:rPr>
              <w:t>2,654</w:t>
            </w:r>
          </w:p>
        </w:tc>
        <w:tc>
          <w:tcPr>
            <w:tcW w:type="dxa" w:w="1440"/>
            <w:shd w:fill="FAFAFA" w:val="clear"/>
          </w:tcPr>
          <w:p>
            <w:r>
              <w:rPr>
                <w:b/>
                <w:sz w:val="17"/>
              </w:rPr>
              <w:t>2,841</w:t>
            </w:r>
          </w:p>
        </w:tc>
        <w:tc>
          <w:tcPr>
            <w:tcW w:type="dxa" w:w="1440"/>
            <w:shd w:fill="FAFAFA" w:val="clear"/>
          </w:tcPr>
          <w:p>
            <w:r>
              <w:rPr>
                <w:sz w:val="17"/>
              </w:rPr>
              <w:t>3,027</w:t>
            </w:r>
          </w:p>
        </w:tc>
        <w:tc>
          <w:tcPr>
            <w:tcW w:type="dxa" w:w="1440"/>
            <w:shd w:fill="FAFAFA" w:val="clear"/>
          </w:tcPr>
          <w:p>
            <w:r>
              <w:rPr>
                <w:b/>
                <w:color w:val="C00000"/>
                <w:sz w:val="17"/>
              </w:rPr>
              <w:t>-1.0%</w:t>
            </w:r>
          </w:p>
        </w:tc>
      </w:tr>
      <w:tr>
        <w:tc>
          <w:tcPr>
            <w:tcW w:type="dxa" w:w="1440"/>
            <w:shd w:fill="FAFAFA" w:val="clear"/>
          </w:tcPr>
          <w:p>
            <w:r>
              <w:rPr>
                <w:sz w:val="17"/>
              </w:rPr>
              <w:t>J+5  Moyenne</w:t>
            </w:r>
          </w:p>
        </w:tc>
        <w:tc>
          <w:tcPr>
            <w:tcW w:type="dxa" w:w="1440"/>
            <w:shd w:fill="FAFAFA" w:val="clear"/>
          </w:tcPr>
          <w:p>
            <w:r>
              <w:rPr>
                <w:sz w:val="17"/>
              </w:rPr>
              <w:t>2026-09-18</w:t>
            </w:r>
          </w:p>
        </w:tc>
        <w:tc>
          <w:tcPr>
            <w:tcW w:type="dxa" w:w="1440"/>
            <w:shd w:fill="FAFAFA" w:val="clear"/>
          </w:tcPr>
          <w:p>
            <w:r>
              <w:rPr>
                <w:sz w:val="17"/>
              </w:rPr>
              <w:t>2,627</w:t>
            </w:r>
          </w:p>
        </w:tc>
        <w:tc>
          <w:tcPr>
            <w:tcW w:type="dxa" w:w="1440"/>
            <w:shd w:fill="FAFAFA" w:val="clear"/>
          </w:tcPr>
          <w:p>
            <w:r>
              <w:rPr>
                <w:b/>
                <w:sz w:val="17"/>
              </w:rPr>
              <w:t>2,835</w:t>
            </w:r>
          </w:p>
        </w:tc>
        <w:tc>
          <w:tcPr>
            <w:tcW w:type="dxa" w:w="1440"/>
            <w:shd w:fill="FAFAFA" w:val="clear"/>
          </w:tcPr>
          <w:p>
            <w:r>
              <w:rPr>
                <w:sz w:val="17"/>
              </w:rPr>
              <w:t>3,042</w:t>
            </w:r>
          </w:p>
        </w:tc>
        <w:tc>
          <w:tcPr>
            <w:tcW w:type="dxa" w:w="1440"/>
            <w:shd w:fill="FAFAFA" w:val="clear"/>
          </w:tcPr>
          <w:p>
            <w:r>
              <w:rPr>
                <w:b/>
                <w:color w:val="C00000"/>
                <w:sz w:val="17"/>
              </w:rPr>
              <w:t>-1.2%</w:t>
            </w:r>
          </w:p>
        </w:tc>
      </w:tr>
      <w:tr>
        <w:tc>
          <w:tcPr>
            <w:tcW w:type="dxa" w:w="1440"/>
            <w:shd w:fill="FAFAFA" w:val="clear"/>
          </w:tcPr>
          <w:p>
            <w:r>
              <w:rPr>
                <w:sz w:val="17"/>
              </w:rPr>
              <w:t>J+6  Moyenne</w:t>
            </w:r>
          </w:p>
        </w:tc>
        <w:tc>
          <w:tcPr>
            <w:tcW w:type="dxa" w:w="1440"/>
            <w:shd w:fill="FAFAFA" w:val="clear"/>
          </w:tcPr>
          <w:p>
            <w:r>
              <w:rPr>
                <w:sz w:val="17"/>
              </w:rPr>
              <w:t>2026-09-21</w:t>
            </w:r>
          </w:p>
        </w:tc>
        <w:tc>
          <w:tcPr>
            <w:tcW w:type="dxa" w:w="1440"/>
            <w:shd w:fill="FAFAFA" w:val="clear"/>
          </w:tcPr>
          <w:p>
            <w:r>
              <w:rPr>
                <w:sz w:val="17"/>
              </w:rPr>
              <w:t>2,601</w:t>
            </w:r>
          </w:p>
        </w:tc>
        <w:tc>
          <w:tcPr>
            <w:tcW w:type="dxa" w:w="1440"/>
            <w:shd w:fill="FAFAFA" w:val="clear"/>
          </w:tcPr>
          <w:p>
            <w:r>
              <w:rPr>
                <w:b/>
                <w:sz w:val="17"/>
              </w:rPr>
              <w:t>2,828</w:t>
            </w:r>
          </w:p>
        </w:tc>
        <w:tc>
          <w:tcPr>
            <w:tcW w:type="dxa" w:w="1440"/>
            <w:shd w:fill="FAFAFA" w:val="clear"/>
          </w:tcPr>
          <w:p>
            <w:r>
              <w:rPr>
                <w:sz w:val="17"/>
              </w:rPr>
              <w:t>3,056</w:t>
            </w:r>
          </w:p>
        </w:tc>
        <w:tc>
          <w:tcPr>
            <w:tcW w:type="dxa" w:w="1440"/>
            <w:shd w:fill="FAFAFA" w:val="clear"/>
          </w:tcPr>
          <w:p>
            <w:r>
              <w:rPr>
                <w:b/>
                <w:color w:val="C00000"/>
                <w:sz w:val="17"/>
              </w:rPr>
              <w:t>-1.4%</w:t>
            </w:r>
          </w:p>
        </w:tc>
      </w:tr>
      <w:tr>
        <w:tc>
          <w:tcPr>
            <w:tcW w:type="dxa" w:w="1440"/>
            <w:shd w:fill="FAFAFA" w:val="clear"/>
          </w:tcPr>
          <w:p>
            <w:r>
              <w:rPr>
                <w:sz w:val="17"/>
              </w:rPr>
              <w:t>J+7  Moyenne</w:t>
            </w:r>
          </w:p>
        </w:tc>
        <w:tc>
          <w:tcPr>
            <w:tcW w:type="dxa" w:w="1440"/>
            <w:shd w:fill="FAFAFA" w:val="clear"/>
          </w:tcPr>
          <w:p>
            <w:r>
              <w:rPr>
                <w:sz w:val="17"/>
              </w:rPr>
              <w:t>2026-09-22</w:t>
            </w:r>
          </w:p>
        </w:tc>
        <w:tc>
          <w:tcPr>
            <w:tcW w:type="dxa" w:w="1440"/>
            <w:shd w:fill="FAFAFA" w:val="clear"/>
          </w:tcPr>
          <w:p>
            <w:r>
              <w:rPr>
                <w:sz w:val="17"/>
              </w:rPr>
              <w:t>2,578</w:t>
            </w:r>
          </w:p>
        </w:tc>
        <w:tc>
          <w:tcPr>
            <w:tcW w:type="dxa" w:w="1440"/>
            <w:shd w:fill="FAFAFA" w:val="clear"/>
          </w:tcPr>
          <w:p>
            <w:r>
              <w:rPr>
                <w:b/>
                <w:sz w:val="17"/>
              </w:rPr>
              <w:t>2,823</w:t>
            </w:r>
          </w:p>
        </w:tc>
        <w:tc>
          <w:tcPr>
            <w:tcW w:type="dxa" w:w="1440"/>
            <w:shd w:fill="FAFAFA" w:val="clear"/>
          </w:tcPr>
          <w:p>
            <w:r>
              <w:rPr>
                <w:sz w:val="17"/>
              </w:rPr>
              <w:t>3,067</w:t>
            </w:r>
          </w:p>
        </w:tc>
        <w:tc>
          <w:tcPr>
            <w:tcW w:type="dxa" w:w="1440"/>
            <w:shd w:fill="FAFAFA" w:val="clear"/>
          </w:tcPr>
          <w:p>
            <w:r>
              <w:rPr>
                <w:b/>
                <w:color w:val="C00000"/>
                <w:sz w:val="17"/>
              </w:rPr>
              <w:t>-1.7%</w:t>
            </w:r>
          </w:p>
        </w:tc>
      </w:tr>
      <w:tr>
        <w:tc>
          <w:tcPr>
            <w:tcW w:type="dxa" w:w="1440"/>
            <w:shd w:fill="FAFAFA" w:val="clear"/>
          </w:tcPr>
          <w:p>
            <w:r>
              <w:rPr>
                <w:sz w:val="17"/>
              </w:rPr>
              <w:t>J+8  Moyenne</w:t>
            </w:r>
          </w:p>
        </w:tc>
        <w:tc>
          <w:tcPr>
            <w:tcW w:type="dxa" w:w="1440"/>
            <w:shd w:fill="FAFAFA" w:val="clear"/>
          </w:tcPr>
          <w:p>
            <w:r>
              <w:rPr>
                <w:sz w:val="17"/>
              </w:rPr>
              <w:t>2026-09-23</w:t>
            </w:r>
          </w:p>
        </w:tc>
        <w:tc>
          <w:tcPr>
            <w:tcW w:type="dxa" w:w="1440"/>
            <w:shd w:fill="FAFAFA" w:val="clear"/>
          </w:tcPr>
          <w:p>
            <w:r>
              <w:rPr>
                <w:sz w:val="17"/>
              </w:rPr>
              <w:t>2,555</w:t>
            </w:r>
          </w:p>
        </w:tc>
        <w:tc>
          <w:tcPr>
            <w:tcW w:type="dxa" w:w="1440"/>
            <w:shd w:fill="FAFAFA" w:val="clear"/>
          </w:tcPr>
          <w:p>
            <w:r>
              <w:rPr>
                <w:b/>
                <w:sz w:val="17"/>
              </w:rPr>
              <w:t>2,817</w:t>
            </w:r>
          </w:p>
        </w:tc>
        <w:tc>
          <w:tcPr>
            <w:tcW w:type="dxa" w:w="1440"/>
            <w:shd w:fill="FAFAFA" w:val="clear"/>
          </w:tcPr>
          <w:p>
            <w:r>
              <w:rPr>
                <w:sz w:val="17"/>
              </w:rPr>
              <w:t>3,078</w:t>
            </w:r>
          </w:p>
        </w:tc>
        <w:tc>
          <w:tcPr>
            <w:tcW w:type="dxa" w:w="1440"/>
            <w:shd w:fill="FAFAFA" w:val="clear"/>
          </w:tcPr>
          <w:p>
            <w:r>
              <w:rPr>
                <w:b/>
                <w:color w:val="C00000"/>
                <w:sz w:val="17"/>
              </w:rPr>
              <w:t>-1.9%</w:t>
            </w:r>
          </w:p>
        </w:tc>
      </w:tr>
      <w:tr>
        <w:tc>
          <w:tcPr>
            <w:tcW w:type="dxa" w:w="1440"/>
            <w:shd w:fill="FFDCE0" w:val="clear"/>
          </w:tcPr>
          <w:p>
            <w:r>
              <w:rPr>
                <w:sz w:val="17"/>
              </w:rPr>
              <w:t>J+9  Moyenne</w:t>
            </w:r>
          </w:p>
        </w:tc>
        <w:tc>
          <w:tcPr>
            <w:tcW w:type="dxa" w:w="1440"/>
            <w:shd w:fill="FFDCE0" w:val="clear"/>
          </w:tcPr>
          <w:p>
            <w:r>
              <w:rPr>
                <w:sz w:val="17"/>
              </w:rPr>
              <w:t>2026-09-24</w:t>
            </w:r>
          </w:p>
        </w:tc>
        <w:tc>
          <w:tcPr>
            <w:tcW w:type="dxa" w:w="1440"/>
            <w:shd w:fill="FFDCE0" w:val="clear"/>
          </w:tcPr>
          <w:p>
            <w:r>
              <w:rPr>
                <w:sz w:val="17"/>
              </w:rPr>
              <w:t>2,534</w:t>
            </w:r>
          </w:p>
        </w:tc>
        <w:tc>
          <w:tcPr>
            <w:tcW w:type="dxa" w:w="1440"/>
            <w:shd w:fill="FFDCE0" w:val="clear"/>
          </w:tcPr>
          <w:p>
            <w:r>
              <w:rPr>
                <w:b/>
                <w:sz w:val="17"/>
              </w:rPr>
              <w:t>2,811</w:t>
            </w:r>
          </w:p>
        </w:tc>
        <w:tc>
          <w:tcPr>
            <w:tcW w:type="dxa" w:w="1440"/>
            <w:shd w:fill="FFDCE0" w:val="clear"/>
          </w:tcPr>
          <w:p>
            <w:r>
              <w:rPr>
                <w:sz w:val="17"/>
              </w:rPr>
              <w:t>3,087</w:t>
            </w:r>
          </w:p>
        </w:tc>
        <w:tc>
          <w:tcPr>
            <w:tcW w:type="dxa" w:w="1440"/>
            <w:shd w:fill="FFDCE0" w:val="clear"/>
          </w:tcPr>
          <w:p>
            <w:r>
              <w:rPr>
                <w:b/>
                <w:color w:val="C00000"/>
                <w:sz w:val="17"/>
              </w:rPr>
              <w:t>-2.1%</w:t>
            </w:r>
          </w:p>
        </w:tc>
      </w:tr>
      <w:tr>
        <w:tc>
          <w:tcPr>
            <w:tcW w:type="dxa" w:w="1440"/>
            <w:shd w:fill="FFDCE0" w:val="clear"/>
          </w:tcPr>
          <w:p>
            <w:r>
              <w:rPr>
                <w:sz w:val="17"/>
              </w:rPr>
              <w:t>J+10  Moyenne</w:t>
            </w:r>
          </w:p>
        </w:tc>
        <w:tc>
          <w:tcPr>
            <w:tcW w:type="dxa" w:w="1440"/>
            <w:shd w:fill="FFDCE0" w:val="clear"/>
          </w:tcPr>
          <w:p>
            <w:r>
              <w:rPr>
                <w:sz w:val="17"/>
              </w:rPr>
              <w:t>2026-09-25</w:t>
            </w:r>
          </w:p>
        </w:tc>
        <w:tc>
          <w:tcPr>
            <w:tcW w:type="dxa" w:w="1440"/>
            <w:shd w:fill="FFDCE0" w:val="clear"/>
          </w:tcPr>
          <w:p>
            <w:r>
              <w:rPr>
                <w:sz w:val="17"/>
              </w:rPr>
              <w:t>2,514</w:t>
            </w:r>
          </w:p>
        </w:tc>
        <w:tc>
          <w:tcPr>
            <w:tcW w:type="dxa" w:w="1440"/>
            <w:shd w:fill="FFDCE0" w:val="clear"/>
          </w:tcPr>
          <w:p>
            <w:r>
              <w:rPr>
                <w:b/>
                <w:sz w:val="17"/>
              </w:rPr>
              <w:t>2,805</w:t>
            </w:r>
          </w:p>
        </w:tc>
        <w:tc>
          <w:tcPr>
            <w:tcW w:type="dxa" w:w="1440"/>
            <w:shd w:fill="FFDCE0" w:val="clear"/>
          </w:tcPr>
          <w:p>
            <w:r>
              <w:rPr>
                <w:sz w:val="17"/>
              </w:rPr>
              <w:t>3,096</w:t>
            </w:r>
          </w:p>
        </w:tc>
        <w:tc>
          <w:tcPr>
            <w:tcW w:type="dxa" w:w="1440"/>
            <w:shd w:fill="FFDCE0" w:val="clear"/>
          </w:tcPr>
          <w:p>
            <w:r>
              <w:rPr>
                <w:b/>
                <w:color w:val="C00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 Burkina Faso)**</w:t>
        <w:br/>
        <w:t>*Bourse Régionale des Valeurs Mobilières (BRVM) — Secteur : Télécommunications*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195,16 milliards FCFA, ONTBF se positionne comme une valeur de premier plan de la cote BRVM, représentant un poids significatif dans l'indice composite. Le BPA de 234 FCFA/action signifie que chaque titre génère près de 234 FCFA de bénéfice net, ce qui, rapporté au cours actuel de 2 870 FCFA, donne un PER de 12,3x — un niveau modéré, légèrement supérieur à la moyenne BRVM (8-12x), traduisant une prime de qualité justifiée par la solidité du bilan et la régularité du dividende. Le P/B de 3,39x indique que le marché valorise l'entreprise à plus de trois fois sa valeur comptable, une prime de croissance cohérente avec un ROE de 27,6% (largement supérieur au coût des fonds propres). Enfin, l'EV/EBITDA de 5,1x apparaît particulièrement raisonnable dans la fourchette 5-10x, suggérant que la valeur d'entreprise reste attractive au regard de la capacité opérationnelle de génération de cash (EBE de 56,7 Mds FCFA en 2025).</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ONTBF affiche une progression totale de +5,51%, avec une dernière séance stable (variation J-1 de 0,00%), le cours se fixant à 2 870 FCFA. Le range de trading s'établit entre un plus bas de 2 610 FCFA et un plus haut de 3 070 FCFA, soit une amplitude de 460 FCFA (17,6%) — un range modéré qui témoigne d'une certaine stabilité relative. La tendance générale est haussière mais sans excès, le cours évoluant dans une phase de consolidation après avoir testé les 3 070 FCFA. Les statistiques descriptives révèlent une moyenne de 2 826 FCFA très proche de la médiane (2 805 FCFA) et du mode (2 800 FCFA), signe d'une distribution équilibrée sans biais directionnel marqué ; le skewness de 0,103 confirme cette symétrie quasi-parfaite. L'écart-type de 86 FCFA (CV de 3,0%) indique une dispersion faible du cours autour de sa moyenne, tandis que le kurtosis de -0,239 (mésokurtique) suggère une distribution proche de la normale, sans risque de pics extrêmes — un profil rassurant pour un investisseur. La volatilité annualisée de 30,4% place le titre dans la catégorie des valeurs à volatilité élevée (&gt;30%), ce qui reste cohérent avec un marché frontière comme la BRVM et appelle à une gestion prudente des points d'entrée.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(2 886,5 FCFA) et la MM50 (2 845,0 FCFA) encadrent le cours actuel de 2 870 FCFA, ce dernier se situant légèrement sous la MM20 mais au-dessus de la MM50. Cette configuration indique une dynamique haussière de moyen terme (cours &gt; MM50) tout en signalant une légère consolidation de court terme (cours &lt; MM20). La décision technique fournie est **Achat**, cohérente avec la structure haussière des moyennes.</w:t>
      </w:r>
    </w:p>
    <w:p>
      <w:pPr>
        <w:spacing w:after="120" w:line="276" w:lineRule="auto"/>
      </w:pPr>
      <w:r>
        <w:t>**Bandes de Bollinger** : Le cours (2 870 FCFA) évolue dans la partie médiane des bandes, entre la borne inférieure (2 814 FCFA) et supérieure (2 959 FCFA), à distance équilibrée des deux extrémités. Cette position centrale, combinée à un resserrement relatif des bandes, traduit une phase de faible volatilité et d'attente. La décision **Neutre** reflète l'absence de signal directionnel fort.</w:t>
      </w:r>
    </w:p>
    <w:p>
      <w:pPr>
        <w:spacing w:after="120" w:line="276" w:lineRule="auto"/>
      </w:pPr>
      <w:r>
        <w:t>**MACD** : La valeur du MACD (2,878) est nettement inférieure à son signal (8,457), générant un croisement baissier et un momentum négatif. Cette divergence signale un essoufflement de la dynamique haussière récente, justifiant la décision **Vente** à court terme.</w:t>
      </w:r>
    </w:p>
    <w:p>
      <w:pPr>
        <w:spacing w:after="120" w:line="276" w:lineRule="auto"/>
      </w:pPr>
      <w:r>
        <w:t>**RSI** : À 47,541, le RSI se situe en zone neutre (30-70), sans pression acheteuse ni vendeuse excessive. Le titre n'est ni suracheté ni survendu, ce qui confirme la décision **Neutre** et suggère un potentiel de mouvement dans les deux sens.</w:t>
      </w:r>
    </w:p>
    <w:p>
      <w:pPr>
        <w:spacing w:after="120" w:line="276" w:lineRule="auto"/>
      </w:pPr>
      <w:r>
        <w:t>**Stochastique** : Le %K (56,522) est légèrement supérieur au %D (53,731), sans croisement significatif, les deux oscillateurs évoluant en zone médiane. La décision **Neutre** traduit l'absence de signal de retournement imminent.</w:t>
      </w:r>
    </w:p>
    <w:p>
      <w:pPr>
        <w:spacing w:after="120" w:line="276" w:lineRule="auto"/>
      </w:pPr>
      <w:r>
        <w:t>**Conclusion technique** : Les indicateurs présentent un tableau mitigé — les moyennes mobiles plaident pour un achat de moyen terme, mais le MACD baissier et les oscillateurs neutres (RSI, Stochastique, Bollinger) suggèrent une consolidation de court terme. La convergence des signaux neutres domine, avec un léger biais haussier structurel. Le titre se trouve dans une phase d'indécision technique, nécessitant une confirmation par les volumes ou un franchissement de la MM20 pour valider une reprise haussière.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ONTBF (ONATEL Burkina Faso) affiche un chiffre d'affaires de 146,177 milliards FCFA, en hausse de 3,06% sur un an, porté par le FTTH (+33%), l'Internet mobile (+5%) et le Mobile Money (+14%). Le résultat net s'établit à 15,887 milliards FCFA, en net recul de 26% par rapport aux 21,471 milliards de 2024, sous l'effet de la compression des marges (EBE en baisse de 12% à 56,731 Mds FCFA, résultat d'exploitation -23,5% à 25,665 Mds FCFA). Les ratios de rentabilité restent néanmoins solides : ROE de 27,61% (excellent, &gt;15%) et ROA de 4,89%, tandis que la marge nette se contracte à 10,87% (contre 15,1% en 2024). Le coefficient d'exploitation de 67,07% — supérieur au seuil de 60% — signale une efficacité opérationnelle perfectible, pénalisée par la hausse des charges (énergie, maintenance en zones sécuritaires, indemnités de fin d'engagement, sanction ARCEP de 1,543 Md FCFA). La structure financière demeure préoccupante : autonomie financière de 17,71% (inférieure au seuil sain de 30%), ratio d'endettement de 186,99% et dettes financières de 107,596 Mds FCFA, bien que la capacité de remboursement (2,29 années de CAF) et la couverture des intérêts (491,55%) restent maîtrisées. Le coût du risque de 3,57% (provisions/charges financières) demeure contenu. Sur la base du rapport T1 2026 (publié le 09/04/2026), le chiffre d'affaires progresse de 2,7% à 37,1 Mds FCFA avec un taux de marge EBITDA maintenu à 41,3% et un résultat net de 3,577 Mds FCFA (marge nette 9,6%) — on estime donc que l'exercice 2026 devrait confirmer la stabilisation progressive des marges, sans retour immédiat aux niveaux de 2024. La note de crédit A+(WU) avec perspective stable (GCR Ratings) et le dividende proposé de 166,0816 FCFA/action (rendement ~5,8% au cours actuel) renforcent l'attrait défensif du titre. **Recommandation fondamentale : CONSERVER** — solidité du bilan et génération de cash élevée (CAFG de 46,95 Mds FCFA), mais rentabilité sous pression et endettement croissant limitent le potentiel de revalorisation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équilibrée : PER de 12,3x légèrement supérieur à la moyenne BRVM mais justifié par un ROE de 27,6%, P/B de 3,39x traduisant une prime de croissance, et EV/EBITDA de 5,1x raisonnable. Le comportement du cours (Partie 1) est rassurant — tendance haussière modérée (+5,51%), distribution symétrique (skewness 0,103), absence de risque de pics (kurtosis -0,239) — mais la volatilité annualisée de 30,4% appelle à la prudence. Les signaux techniques (Partie 2) sont mitigés : biais haussier des moyennes mobiles contredit par un MACD baissier, avec des oscillateurs neutres (RSI 47,5, Stochastique 56,5, Bollinger médian) — configuration de consolidation sans direction claire. Les fondamentaux (Partie 3) révèlent une entreprise solide mais en transition : croissance du CA (+3,06%) et base clients en expansion (12,6 millions, +3,9%), mais rentabilité en recul marqué (résultat net -26%) et endettement élevé (186,99%). Les prédictions IA (J+1 à J+10) anticipent une légère érosion du cours de 2 859 à 2 835 FCFA (-0,8% sur 10 jours), confirmant la phase de consolidation technique sans signal baissier fort. **Recommandation finale : CONSERVER** — la convergence entre valorisation raisonnable, fondamentaux défensifs (dividende ~5,8%, note A+) et technique neutre ne justifie ni achat agressif ni vente. Le niveau de confiance est **Moyen** (signaux divergents entre technique et fondamental), le risque global est **Moyen** (volatilité élevée, endettement, pressions réglementaires et sécuritaires), et l'horizon optimal est le **moyen terme (3-12 mois)**, en attendant les signes tangibles d'amélioration des marges opérationnelles et la confirmation de la stratégie de reconquête du leadership annoncée pour 2026.</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3382.21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2,807 titres</w:t>
            </w:r>
          </w:p>
        </w:tc>
        <w:tc>
          <w:tcPr>
            <w:tcW w:type="dxa" w:w="2268"/>
            <w:shd w:fill="FFF2CC" w:val="clear"/>
          </w:tcPr>
          <w:p>
            <w:r>
              <w:rPr>
                <w:b/>
                <w:color w:val="503200"/>
                <w:sz w:val="16"/>
              </w:rPr>
              <w:t xml:space="preserve">Cours actuel : </w:t>
            </w:r>
            <w:r>
              <w:rPr>
                <w:color w:val="000000"/>
                <w:sz w:val="17"/>
              </w:rPr>
              <w:t>22,450 FCFA</w:t>
            </w:r>
          </w:p>
          <w:p>
            <w:r>
              <w:rPr>
                <w:b/>
                <w:color w:val="503200"/>
                <w:sz w:val="16"/>
              </w:rPr>
              <w:t xml:space="preserve">Var. 100 jours : </w:t>
            </w:r>
            <w:r>
              <w:rPr>
                <w:b/>
                <w:color w:val="007800"/>
                <w:sz w:val="17"/>
              </w:rPr>
              <w:t>+52.72%</w:t>
            </w:r>
          </w:p>
          <w:p>
            <w:r>
              <w:rPr>
                <w:b/>
                <w:color w:val="503200"/>
                <w:sz w:val="16"/>
              </w:rPr>
              <w:t xml:space="preserve">Plus haut 100j : </w:t>
            </w:r>
            <w:r>
              <w:rPr>
                <w:color w:val="000000"/>
                <w:sz w:val="17"/>
              </w:rPr>
              <w:t>22,450 FCFA</w:t>
            </w:r>
          </w:p>
          <w:p>
            <w:r>
              <w:rPr>
                <w:b/>
                <w:color w:val="503200"/>
                <w:sz w:val="16"/>
              </w:rPr>
              <w:t xml:space="preserve">Plus bas 100j : </w:t>
            </w:r>
            <w:r>
              <w:rPr>
                <w:color w:val="000000"/>
                <w:sz w:val="17"/>
              </w:rPr>
              <w:t>14,650 FCFA</w:t>
            </w:r>
          </w:p>
          <w:p>
            <w:r>
              <w:rPr>
                <w:b/>
                <w:color w:val="503200"/>
                <w:sz w:val="16"/>
              </w:rPr>
              <w:t xml:space="preserve">Volatilité ann. : </w:t>
            </w:r>
            <w:r>
              <w:rPr>
                <w:color w:val="000000"/>
                <w:sz w:val="17"/>
              </w:rPr>
              <w:t>29.9%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12.39% (Moyenne) — μ=16,974 FCFA, σ=2,104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β=1.3635 (Agressif) — Cov=0.000047, Var(idx)=0.000035, ρ=0.425,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2,807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σ_j=1.88%/j (Stable) — Vol. annualisée≈29.9%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21,408</w:t>
            </w:r>
          </w:p>
        </w:tc>
        <w:tc>
          <w:tcPr>
            <w:tcW w:type="dxa" w:w="1440"/>
            <w:shd w:fill="FAFAFA" w:val="clear"/>
          </w:tcPr>
          <w:p>
            <w:r>
              <w:rPr>
                <w:b/>
                <w:sz w:val="17"/>
              </w:rPr>
              <w:t>22,091</w:t>
            </w:r>
          </w:p>
        </w:tc>
        <w:tc>
          <w:tcPr>
            <w:tcW w:type="dxa" w:w="1440"/>
            <w:shd w:fill="FAFAFA" w:val="clear"/>
          </w:tcPr>
          <w:p>
            <w:r>
              <w:rPr>
                <w:sz w:val="17"/>
              </w:rPr>
              <w:t>22,774</w:t>
            </w:r>
          </w:p>
        </w:tc>
        <w:tc>
          <w:tcPr>
            <w:tcW w:type="dxa" w:w="1440"/>
            <w:shd w:fill="FAFAFA" w:val="clear"/>
          </w:tcPr>
          <w:p>
            <w:r>
              <w:rPr>
                <w:b/>
                <w:color w:val="C00000"/>
                <w:sz w:val="17"/>
              </w:rPr>
              <w:t>-1.6%</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21,156</w:t>
            </w:r>
          </w:p>
        </w:tc>
        <w:tc>
          <w:tcPr>
            <w:tcW w:type="dxa" w:w="1440"/>
            <w:shd w:fill="FAFAFA" w:val="clear"/>
          </w:tcPr>
          <w:p>
            <w:r>
              <w:rPr>
                <w:b/>
                <w:sz w:val="17"/>
              </w:rPr>
              <w:t>22,123</w:t>
            </w:r>
          </w:p>
        </w:tc>
        <w:tc>
          <w:tcPr>
            <w:tcW w:type="dxa" w:w="1440"/>
            <w:shd w:fill="FAFAFA" w:val="clear"/>
          </w:tcPr>
          <w:p>
            <w:r>
              <w:rPr>
                <w:sz w:val="17"/>
              </w:rPr>
              <w:t>23,091</w:t>
            </w:r>
          </w:p>
        </w:tc>
        <w:tc>
          <w:tcPr>
            <w:tcW w:type="dxa" w:w="1440"/>
            <w:shd w:fill="FAFAFA" w:val="clear"/>
          </w:tcPr>
          <w:p>
            <w:r>
              <w:rPr>
                <w:b/>
                <w:color w:val="C00000"/>
                <w:sz w:val="17"/>
              </w:rPr>
              <w:t>-1.5%</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20,932</w:t>
            </w:r>
          </w:p>
        </w:tc>
        <w:tc>
          <w:tcPr>
            <w:tcW w:type="dxa" w:w="1440"/>
            <w:shd w:fill="FAFAFA" w:val="clear"/>
          </w:tcPr>
          <w:p>
            <w:r>
              <w:rPr>
                <w:b/>
                <w:sz w:val="17"/>
              </w:rPr>
              <w:t>22,116</w:t>
            </w:r>
          </w:p>
        </w:tc>
        <w:tc>
          <w:tcPr>
            <w:tcW w:type="dxa" w:w="1440"/>
            <w:shd w:fill="FAFAFA" w:val="clear"/>
          </w:tcPr>
          <w:p>
            <w:r>
              <w:rPr>
                <w:sz w:val="17"/>
              </w:rPr>
              <w:t>23,301</w:t>
            </w:r>
          </w:p>
        </w:tc>
        <w:tc>
          <w:tcPr>
            <w:tcW w:type="dxa" w:w="1440"/>
            <w:shd w:fill="FAFAFA" w:val="clear"/>
          </w:tcPr>
          <w:p>
            <w:r>
              <w:rPr>
                <w:b/>
                <w:color w:val="C00000"/>
                <w:sz w:val="17"/>
              </w:rPr>
              <w:t>-1.5%</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20,737</w:t>
            </w:r>
          </w:p>
        </w:tc>
        <w:tc>
          <w:tcPr>
            <w:tcW w:type="dxa" w:w="1440"/>
            <w:shd w:fill="FAFAFA" w:val="clear"/>
          </w:tcPr>
          <w:p>
            <w:r>
              <w:rPr>
                <w:b/>
                <w:sz w:val="17"/>
              </w:rPr>
              <w:t>22,105</w:t>
            </w:r>
          </w:p>
        </w:tc>
        <w:tc>
          <w:tcPr>
            <w:tcW w:type="dxa" w:w="1440"/>
            <w:shd w:fill="FAFAFA" w:val="clear"/>
          </w:tcPr>
          <w:p>
            <w:r>
              <w:rPr>
                <w:sz w:val="17"/>
              </w:rPr>
              <w:t>23,472</w:t>
            </w:r>
          </w:p>
        </w:tc>
        <w:tc>
          <w:tcPr>
            <w:tcW w:type="dxa" w:w="1440"/>
            <w:shd w:fill="FAFAFA" w:val="clear"/>
          </w:tcPr>
          <w:p>
            <w:r>
              <w:rPr>
                <w:b/>
                <w:color w:val="C00000"/>
                <w:sz w:val="17"/>
              </w:rPr>
              <w:t>-1.5%</w:t>
            </w:r>
          </w:p>
        </w:tc>
      </w:tr>
      <w:tr>
        <w:tc>
          <w:tcPr>
            <w:tcW w:type="dxa" w:w="1440"/>
            <w:shd w:fill="FAFAFA" w:val="clear"/>
          </w:tcPr>
          <w:p>
            <w:r>
              <w:rPr>
                <w:sz w:val="17"/>
              </w:rPr>
              <w:t>J+5  ⭐</w:t>
            </w:r>
          </w:p>
        </w:tc>
        <w:tc>
          <w:tcPr>
            <w:tcW w:type="dxa" w:w="1440"/>
            <w:shd w:fill="FAFAFA" w:val="clear"/>
          </w:tcPr>
          <w:p>
            <w:r>
              <w:rPr>
                <w:sz w:val="17"/>
              </w:rPr>
              <w:t>2026-09-18</w:t>
            </w:r>
          </w:p>
        </w:tc>
        <w:tc>
          <w:tcPr>
            <w:tcW w:type="dxa" w:w="1440"/>
            <w:shd w:fill="FAFAFA" w:val="clear"/>
          </w:tcPr>
          <w:p>
            <w:r>
              <w:rPr>
                <w:sz w:val="17"/>
              </w:rPr>
              <w:t>20,566</w:t>
            </w:r>
          </w:p>
        </w:tc>
        <w:tc>
          <w:tcPr>
            <w:tcW w:type="dxa" w:w="1440"/>
            <w:shd w:fill="FAFAFA" w:val="clear"/>
          </w:tcPr>
          <w:p>
            <w:r>
              <w:rPr>
                <w:b/>
                <w:sz w:val="17"/>
              </w:rPr>
              <w:t>22,093</w:t>
            </w:r>
          </w:p>
        </w:tc>
        <w:tc>
          <w:tcPr>
            <w:tcW w:type="dxa" w:w="1440"/>
            <w:shd w:fill="FAFAFA" w:val="clear"/>
          </w:tcPr>
          <w:p>
            <w:r>
              <w:rPr>
                <w:sz w:val="17"/>
              </w:rPr>
              <w:t>23,621</w:t>
            </w:r>
          </w:p>
        </w:tc>
        <w:tc>
          <w:tcPr>
            <w:tcW w:type="dxa" w:w="1440"/>
            <w:shd w:fill="FAFAFA" w:val="clear"/>
          </w:tcPr>
          <w:p>
            <w:r>
              <w:rPr>
                <w:b/>
                <w:color w:val="C00000"/>
                <w:sz w:val="17"/>
              </w:rPr>
              <w:t>-1.6%</w:t>
            </w:r>
          </w:p>
        </w:tc>
      </w:tr>
      <w:tr>
        <w:tc>
          <w:tcPr>
            <w:tcW w:type="dxa" w:w="1440"/>
            <w:shd w:fill="FAFAFA" w:val="clear"/>
          </w:tcPr>
          <w:p>
            <w:r>
              <w:rPr>
                <w:sz w:val="17"/>
              </w:rPr>
              <w:t>J+6  ⭐</w:t>
            </w:r>
          </w:p>
        </w:tc>
        <w:tc>
          <w:tcPr>
            <w:tcW w:type="dxa" w:w="1440"/>
            <w:shd w:fill="FAFAFA" w:val="clear"/>
          </w:tcPr>
          <w:p>
            <w:r>
              <w:rPr>
                <w:sz w:val="17"/>
              </w:rPr>
              <w:t>2026-09-21</w:t>
            </w:r>
          </w:p>
        </w:tc>
        <w:tc>
          <w:tcPr>
            <w:tcW w:type="dxa" w:w="1440"/>
            <w:shd w:fill="FAFAFA" w:val="clear"/>
          </w:tcPr>
          <w:p>
            <w:r>
              <w:rPr>
                <w:sz w:val="17"/>
              </w:rPr>
              <w:t>20,410</w:t>
            </w:r>
          </w:p>
        </w:tc>
        <w:tc>
          <w:tcPr>
            <w:tcW w:type="dxa" w:w="1440"/>
            <w:shd w:fill="FAFAFA" w:val="clear"/>
          </w:tcPr>
          <w:p>
            <w:r>
              <w:rPr>
                <w:b/>
                <w:sz w:val="17"/>
              </w:rPr>
              <w:t>22,082</w:t>
            </w:r>
          </w:p>
        </w:tc>
        <w:tc>
          <w:tcPr>
            <w:tcW w:type="dxa" w:w="1440"/>
            <w:shd w:fill="FAFAFA" w:val="clear"/>
          </w:tcPr>
          <w:p>
            <w:r>
              <w:rPr>
                <w:sz w:val="17"/>
              </w:rPr>
              <w:t>23,755</w:t>
            </w:r>
          </w:p>
        </w:tc>
        <w:tc>
          <w:tcPr>
            <w:tcW w:type="dxa" w:w="1440"/>
            <w:shd w:fill="FAFAFA" w:val="clear"/>
          </w:tcPr>
          <w:p>
            <w:r>
              <w:rPr>
                <w:b/>
                <w:color w:val="C00000"/>
                <w:sz w:val="17"/>
              </w:rPr>
              <w:t>-1.6%</w:t>
            </w:r>
          </w:p>
        </w:tc>
      </w:tr>
      <w:tr>
        <w:tc>
          <w:tcPr>
            <w:tcW w:type="dxa" w:w="1440"/>
            <w:shd w:fill="FAFAFA" w:val="clear"/>
          </w:tcPr>
          <w:p>
            <w:r>
              <w:rPr>
                <w:sz w:val="17"/>
              </w:rPr>
              <w:t>J+7  ⭐</w:t>
            </w:r>
          </w:p>
        </w:tc>
        <w:tc>
          <w:tcPr>
            <w:tcW w:type="dxa" w:w="1440"/>
            <w:shd w:fill="FAFAFA" w:val="clear"/>
          </w:tcPr>
          <w:p>
            <w:r>
              <w:rPr>
                <w:sz w:val="17"/>
              </w:rPr>
              <w:t>2026-09-22</w:t>
            </w:r>
          </w:p>
        </w:tc>
        <w:tc>
          <w:tcPr>
            <w:tcW w:type="dxa" w:w="1440"/>
            <w:shd w:fill="FAFAFA" w:val="clear"/>
          </w:tcPr>
          <w:p>
            <w:r>
              <w:rPr>
                <w:sz w:val="17"/>
              </w:rPr>
              <w:t>20,266</w:t>
            </w:r>
          </w:p>
        </w:tc>
        <w:tc>
          <w:tcPr>
            <w:tcW w:type="dxa" w:w="1440"/>
            <w:shd w:fill="FAFAFA" w:val="clear"/>
          </w:tcPr>
          <w:p>
            <w:r>
              <w:rPr>
                <w:b/>
                <w:sz w:val="17"/>
              </w:rPr>
              <w:t>22,072</w:t>
            </w:r>
          </w:p>
        </w:tc>
        <w:tc>
          <w:tcPr>
            <w:tcW w:type="dxa" w:w="1440"/>
            <w:shd w:fill="FAFAFA" w:val="clear"/>
          </w:tcPr>
          <w:p>
            <w:r>
              <w:rPr>
                <w:sz w:val="17"/>
              </w:rPr>
              <w:t>23,878</w:t>
            </w:r>
          </w:p>
        </w:tc>
        <w:tc>
          <w:tcPr>
            <w:tcW w:type="dxa" w:w="1440"/>
            <w:shd w:fill="FAFAFA" w:val="clear"/>
          </w:tcPr>
          <w:p>
            <w:r>
              <w:rPr>
                <w:b/>
                <w:color w:val="C00000"/>
                <w:sz w:val="17"/>
              </w:rPr>
              <w:t>-1.7%</w:t>
            </w:r>
          </w:p>
        </w:tc>
      </w:tr>
      <w:tr>
        <w:tc>
          <w:tcPr>
            <w:tcW w:type="dxa" w:w="1440"/>
            <w:shd w:fill="FAFAFA" w:val="clear"/>
          </w:tcPr>
          <w:p>
            <w:r>
              <w:rPr>
                <w:sz w:val="17"/>
              </w:rPr>
              <w:t>J+8  ⭐</w:t>
            </w:r>
          </w:p>
        </w:tc>
        <w:tc>
          <w:tcPr>
            <w:tcW w:type="dxa" w:w="1440"/>
            <w:shd w:fill="FAFAFA" w:val="clear"/>
          </w:tcPr>
          <w:p>
            <w:r>
              <w:rPr>
                <w:sz w:val="17"/>
              </w:rPr>
              <w:t>2026-09-23</w:t>
            </w:r>
          </w:p>
        </w:tc>
        <w:tc>
          <w:tcPr>
            <w:tcW w:type="dxa" w:w="1440"/>
            <w:shd w:fill="FAFAFA" w:val="clear"/>
          </w:tcPr>
          <w:p>
            <w:r>
              <w:rPr>
                <w:sz w:val="17"/>
              </w:rPr>
              <w:t>20,132</w:t>
            </w:r>
          </w:p>
        </w:tc>
        <w:tc>
          <w:tcPr>
            <w:tcW w:type="dxa" w:w="1440"/>
            <w:shd w:fill="FAFAFA" w:val="clear"/>
          </w:tcPr>
          <w:p>
            <w:r>
              <w:rPr>
                <w:b/>
                <w:sz w:val="17"/>
              </w:rPr>
              <w:t>22,062</w:t>
            </w:r>
          </w:p>
        </w:tc>
        <w:tc>
          <w:tcPr>
            <w:tcW w:type="dxa" w:w="1440"/>
            <w:shd w:fill="FAFAFA" w:val="clear"/>
          </w:tcPr>
          <w:p>
            <w:r>
              <w:rPr>
                <w:sz w:val="17"/>
              </w:rPr>
              <w:t>23,992</w:t>
            </w:r>
          </w:p>
        </w:tc>
        <w:tc>
          <w:tcPr>
            <w:tcW w:type="dxa" w:w="1440"/>
            <w:shd w:fill="FAFAFA" w:val="clear"/>
          </w:tcPr>
          <w:p>
            <w:r>
              <w:rPr>
                <w:b/>
                <w:color w:val="C00000"/>
                <w:sz w:val="17"/>
              </w:rPr>
              <w:t>-1.7%</w:t>
            </w:r>
          </w:p>
        </w:tc>
      </w:tr>
      <w:tr>
        <w:tc>
          <w:tcPr>
            <w:tcW w:type="dxa" w:w="1440"/>
            <w:shd w:fill="FAFAFA" w:val="clear"/>
          </w:tcPr>
          <w:p>
            <w:r>
              <w:rPr>
                <w:sz w:val="17"/>
              </w:rPr>
              <w:t>J+9  ⭐</w:t>
            </w:r>
          </w:p>
        </w:tc>
        <w:tc>
          <w:tcPr>
            <w:tcW w:type="dxa" w:w="1440"/>
            <w:shd w:fill="FAFAFA" w:val="clear"/>
          </w:tcPr>
          <w:p>
            <w:r>
              <w:rPr>
                <w:sz w:val="17"/>
              </w:rPr>
              <w:t>2026-09-24</w:t>
            </w:r>
          </w:p>
        </w:tc>
        <w:tc>
          <w:tcPr>
            <w:tcW w:type="dxa" w:w="1440"/>
            <w:shd w:fill="FAFAFA" w:val="clear"/>
          </w:tcPr>
          <w:p>
            <w:r>
              <w:rPr>
                <w:sz w:val="17"/>
              </w:rPr>
              <w:t>20,006</w:t>
            </w:r>
          </w:p>
        </w:tc>
        <w:tc>
          <w:tcPr>
            <w:tcW w:type="dxa" w:w="1440"/>
            <w:shd w:fill="FAFAFA" w:val="clear"/>
          </w:tcPr>
          <w:p>
            <w:r>
              <w:rPr>
                <w:b/>
                <w:sz w:val="17"/>
              </w:rPr>
              <w:t>22,052</w:t>
            </w:r>
          </w:p>
        </w:tc>
        <w:tc>
          <w:tcPr>
            <w:tcW w:type="dxa" w:w="1440"/>
            <w:shd w:fill="FAFAFA" w:val="clear"/>
          </w:tcPr>
          <w:p>
            <w:r>
              <w:rPr>
                <w:sz w:val="17"/>
              </w:rPr>
              <w:t>24,098</w:t>
            </w:r>
          </w:p>
        </w:tc>
        <w:tc>
          <w:tcPr>
            <w:tcW w:type="dxa" w:w="1440"/>
            <w:shd w:fill="FAFAFA" w:val="clear"/>
          </w:tcPr>
          <w:p>
            <w:r>
              <w:rPr>
                <w:b/>
                <w:color w:val="C00000"/>
                <w:sz w:val="17"/>
              </w:rPr>
              <w:t>-1.8%</w:t>
            </w:r>
          </w:p>
        </w:tc>
      </w:tr>
      <w:tr>
        <w:tc>
          <w:tcPr>
            <w:tcW w:type="dxa" w:w="1440"/>
            <w:shd w:fill="FAFAFA" w:val="clear"/>
          </w:tcPr>
          <w:p>
            <w:r>
              <w:rPr>
                <w:sz w:val="17"/>
              </w:rPr>
              <w:t>J+10  ⭐</w:t>
            </w:r>
          </w:p>
        </w:tc>
        <w:tc>
          <w:tcPr>
            <w:tcW w:type="dxa" w:w="1440"/>
            <w:shd w:fill="FAFAFA" w:val="clear"/>
          </w:tcPr>
          <w:p>
            <w:r>
              <w:rPr>
                <w:sz w:val="17"/>
              </w:rPr>
              <w:t>2026-09-25</w:t>
            </w:r>
          </w:p>
        </w:tc>
        <w:tc>
          <w:tcPr>
            <w:tcW w:type="dxa" w:w="1440"/>
            <w:shd w:fill="FAFAFA" w:val="clear"/>
          </w:tcPr>
          <w:p>
            <w:r>
              <w:rPr>
                <w:sz w:val="17"/>
              </w:rPr>
              <w:t>19,887</w:t>
            </w:r>
          </w:p>
        </w:tc>
        <w:tc>
          <w:tcPr>
            <w:tcW w:type="dxa" w:w="1440"/>
            <w:shd w:fill="FAFAFA" w:val="clear"/>
          </w:tcPr>
          <w:p>
            <w:r>
              <w:rPr>
                <w:b/>
                <w:sz w:val="17"/>
              </w:rPr>
              <w:t>22,042</w:t>
            </w:r>
          </w:p>
        </w:tc>
        <w:tc>
          <w:tcPr>
            <w:tcW w:type="dxa" w:w="1440"/>
            <w:shd w:fill="FAFAFA" w:val="clear"/>
          </w:tcPr>
          <w:p>
            <w:r>
              <w:rPr>
                <w:sz w:val="17"/>
              </w:rPr>
              <w:t>24,198</w:t>
            </w:r>
          </w:p>
        </w:tc>
        <w:tc>
          <w:tcPr>
            <w:tcW w:type="dxa" w:w="1440"/>
            <w:shd w:fill="FAFAFA" w:val="clear"/>
          </w:tcPr>
          <w:p>
            <w:r>
              <w:rPr>
                <w:b/>
                <w:color w:val="C00000"/>
                <w:sz w:val="17"/>
              </w:rPr>
              <w:t>-1.8%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**RAPPORT D'ANALYSE FINANCIÈRE — ORANGE CÔTE D'IVOIRE (ORAC)**</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3 382,21 milliards FCFA, ORAC s'impose comme la première capitalisation de la BRVM, représentant à elle seule plus du quart de la capitalisation totale du marché régional — un statut de valeur phare qui explique en partie la prime dont elle bénéficie. Le BPA de 1 114 FCFA/action signifie que chaque titre génère un bénéfice net de plus de mille francs, un niveau de rentabilité par action remarquable pour le marché ouest-africain. Le PER de 20,2x traduit une valorisation nettement supérieure à la moyenne BRVM (8-12x), signalant que les investisseurs paient une prime significative pour la croissance attendue — soit une anticipation de bénéfices futurs en forte hausse, soit un risque de surévaluation. Le P/B de 4,78x confirme cette exigence : le marché valorise ORAC à près de cinq fois sa valeur comptable, une prime qui n'est justifiée que par la qualité exceptionnelle des actifs immatériels (marque, réseau, base clients) et la rentabilité des fonds propres (ROE de 23,7%). Enfin, l'EV/EBITDA de 8,0x apparaît raisonnable dans la fourchette 5-10x, suggérant que la valeur d'entreprise reste cohérente avec la capacité opérationnelle de génération de cash-flows, ce qui nuance le diagnostic de surévaluation suggéré par le PER et le P/B.</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ORAC a enregistré une progression spectaculaire de +52,72%, clôturant à 22 450 FCFA, son plus haut de la période, tandis que la variation J-1 est restée stable à +0,00%, signe d'une pause dans le mouvement haussier. Le range de trading s'établit entre un plus bas de 14 650 FCFA et un plus haut de 22 450 FCFA, soit une amplitude de plus de 53%, illustrant une tendance haussière puissante et continue. Les statistiques descriptives révèlent une moyenne de 16 974 FCFA nettement supérieure à la médiane de 16 238 FCFA, avec un mode à 16 000 FCFA : cet écart confirme une distribution asymétrique où les cours récents, bien plus élevés, tirent la moyenne vers le haut. L'écart-type de 2 114 FCFA (CV = 12,5%) indique une dispersion modérée du cours autour de sa moyenne, tandis que le kurtosis de 0,494 (mésokurtique) suggère une distribution proche de la normale, sans risque excessif de pics extrêmes. Le skewness de 1,315, fortement positif, révèle une asymétrie marquée avec davantage de journées de cotation sous la moyenne — caractéristique d'un titre en phase d'accélération haussière où les gains récents sont concentrés sur peu de séances. Enfin, la volatilité annualisée de 29,9% positionne ORAC dans la catégorie des titres à volatilité modérée à élevée (proche du seuil de 30%), ce qui reste acceptable pour une valeur de croissance mais nécessite une gestion rigoureuse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20 820,75 FCFA et la MM50 à 18 286,70 FCFA, toutes deux nettement inférieures au cours actuel de 22 450 FCFA. Cette configuration — cours &gt; MM20 &gt; MM50 — est typique d'une tendance haussière confirmée, avec un écart de plus de 4 000 FCFA entre le cours et la MM50 qui témoigne de la vigueur du momentum. La décision technique est logiquement à l'Achat, le croisement haussier des moyennes étant un signal de continuation de tendance.</w:t>
      </w:r>
    </w:p>
    <w:p>
      <w:pPr>
        <w:spacing w:after="120" w:line="276" w:lineRule="auto"/>
      </w:pPr>
      <w:r>
        <w:t>**Bandes de Bollinger** : Le cours actuel (22 450 FCFA) se situe à l'intérieur de la bande supérieure (23 226,49 FCFA) et très au-dessus de la borne inférieure (18 415,01 FCFA), sans franchir la borne haute. Cette position proche du plafond de Bollinger indique une pression acheteuse forte mais pas encore de signal de surachat extrême. La décision Neutre reflète cette situation d'équilibre : le titre est en haut de bande mais n'a pas encore cassé la résistance supérieure, ce qui laisse présager soit une consolidation, soit une accélération.</w:t>
      </w:r>
    </w:p>
    <w:p>
      <w:pPr>
        <w:spacing w:after="120" w:line="276" w:lineRule="auto"/>
      </w:pPr>
      <w:r>
        <w:t>**MACD** : La valeur du MACD (1 139,19) est supérieure à son signal (1 108,81), avec un histogramme positif d'environ 30 points. Cette configuration haussière indique que le momentum reste favorable aux acheteurs, bien que l'écart entre les deux lignes soit modéré, suggérant une dynamique positive mais sans emballement. La décision Achat est cohérente avec ce signal de continuation.</w:t>
      </w:r>
    </w:p>
    <w:p>
      <w:pPr>
        <w:spacing w:after="120" w:line="276" w:lineRule="auto"/>
      </w:pPr>
      <w:r>
        <w:t>**RSI** : À 63,32, le RSI se situe dans la zone neutre haute (30-70), sans atteindre le seuil de surachat de 70. Ce niveau indique que le titre conserve un potentiel de hausse sans être techniquement épuisé, mais la proximité de la zone de surachat appelle à la prudence. La décision Neutre traduit cette situation ambiguë : ni signal d'achat agressif, ni signal de vente.</w:t>
      </w:r>
    </w:p>
    <w:p>
      <w:pPr>
        <w:spacing w:after="120" w:line="276" w:lineRule="auto"/>
      </w:pPr>
      <w:r>
        <w:t>**Stochastique** : Les valeurs %K et %D sont toutes deux à 100,0, soit le niveau maximal de l'indicateur. Ce positionnement extrême signale un surachat manifeste et un risque élevé de correction à court terme, d'où la décision Vente. Le croisement des lignes stochastiques en zone haute est un signal classique de retournement baissier imminent.</w:t>
      </w:r>
    </w:p>
    <w:p>
      <w:pPr>
        <w:spacing w:after="120" w:line="276" w:lineRule="auto"/>
      </w:pPr>
      <w:r>
        <w:t>**Conclusion technique** : Les indicateurs présentent une divergence préoccupante. Les moyennes mobiles et le MACD confirment la tendance haussière de fond, tandis que le stochastique en zone de surachat extrême (100%) et le RSI proche de 70 signalent un risque de correction à court terme. Les bandes de Bollinger et le RSI en zone neutre suggèrent que le titre pourrait consolider avant de reprendre sa progression. La convergence des signaux haussiers à moyen terme et baissiers à court terme plaide pour une prise de bénéfices partielle ou une attente de repli avant tout nouvel achat.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Orange Côte d'Ivoire a réalisé un chiffre d'affaires consolidé de 1 197,1 milliards FCFA, en progression de +10,4% par rapport à 2024 (1 084,1 milliards FCFA), portée par la croissance du parc mobile (+8,6% à 37,6 millions d'abonnés), l'expansion d'Orange Money (+10,2% à 40,4 millions de clients) et l'explosion de la fibre (+59,9%). Le résultat net consolidé s'établit à 167,8 milliards FCFA (+6,1%), tandis que le résultat net part du groupe atteint 129,1 milliards FCFA (+14,5%), avec une marge nette de 14,0% (contre 14,6% en 2024). La rentabilité des fonds propres (ROE) ressort à 23,71%, un niveau excellent qui témoigne de l'efficacité du modèle économique, tandis que le ROA de 6,57% reflète l'intensité capitalistique du secteur télécom. Les ratios de structure financière sont solides : autonomie financière de 27,71% (proche du seuil de 30%), ratio d'endettement de 47,46%, et capacité de remboursement de 0,99 an (dette financière/CAF), ce qui signifie que la dette pourrait être remboursée en moins d'un an de cash-flow. Le BFR est négatif à -198,0 milliards FCFA — un point très favorable qui signifie que les clients et les stocks sont financés par les fournisseurs, générant de la trésorerie plutôt que d'en consommer. Les délais d'exploitation confirment cette dynamique : délai fournisseurs de 210,87 jours (très élevé, bon pour la trésorerie) contre délai clients de 52,26 jours (modéré), et durée de stockage de 19,64 jours (faible). Le free cash-flow de 156,2 milliards FCFA et la trésorerie nette de 113,9 milliards FCFA confirment la solidité financière. Sur la base du rapport T1 2026 (publié en 2026), le chiffre d'affaires a bondi de +14,8% à 325,6 milliards FCFA et le résultat net de +25,2% à 48,3 milliards FCFA, avec une marge nette en amélioration à 14,8% — on estime donc que l'exercice 2026 devrait afficher une accélération de la croissance et une amélioration de la rentabilité, portée par l'effet de levier opérationnel. La politique de dividende, avec un DPA de 800 FCFA brut (rendement de 3,56% au cours actuel de 22 450 FCFA), reste attractive mais marque un recentrage par rapport au DPA implicite de 1 278 FCFA versé en 2025, la société privilégiant l'autofinancement des investissements (184,2 milliards FCFA en 2025, soit 15,4% du CA). Les risques identifiés incluent la pression fiscale et réglementaire, la concurrence accrue sur le mobile money, et l'exposition au contexte sécuritaire au Burkina Faso. En conclusion, les fondamentaux d'ORAC sont excellents : croissance à deux chiffres, rentabilité élevée, structure financière saine et génération de cash-flow robuste, ce qui justifie une recommandation fondamentale à l'Achat malgré une valorisation exigeante.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d'ORAC apparaît exigeante avec un PER de 20,2x et un P/B de 4,78x, nettement supérieurs aux moyennes du marché BRVM, bien que l'EV/EBITDA de 8,0x reste raisonnable — le marché intègre donc une prime de croissance qui devra être confirmée par les résultats futurs. Le comportement du cours sur 100 jours est exceptionnellement haussier (+52,72%), avec une volatilité modérée (29,9%) et une distribution asymétrique positivement (skewness de 1,315) qui indique une accélération récente, mais le kurtosis proche de la normale (0,494) suggère l'absence de risque extrême de krach. Les signaux techniques sont divergents : les moyennes mobiles et le MACD confirment la tendance haussière, mais le stochastique en surachat extrême (100%) et le RSI proche de 70 (63,32) signalent un risque de correction à court terme, ce qui plaide pour une consolidation avant une reprise. Les fondamentaux sont solides : croissance du CA de +10,4% en 2025, résultat net part du groupe en hausse de +14,5%, ROE de 23,71%, BFR négatif et free cash-flow de 156,2 milliards FCFA, avec une accélération attendue en 2026 selon le T1 (+14,8% de CA, +25,2% de résultat net). Les prédictions IA pour les 10 prochains jours ouvrables (du 14 au 18 septembre 2026) anticipent une légère correction vers 22 091-22 123 FCFA, en baisse d'environ 1,5% par rapport au cours actuel de 22 450 FCFA, ce qui confirme le signal de surachat technique et suggère une prise de bénéfices à court terme. Sur la base de cette synthèse, la recommandation finale est **CONSERVER** : la convergence entre des fondamentaux solides, une tendance de fond haussière et une valorisation exigeante mais justifiée par la croissance plaide pour le maintien en portefeuille, tandis que le signal de surachat technique et la prédiction de correction à court terme déconseillent un achat immédiat. Le niveau de confiance est **Moyen** (les fondamentaux sont solides mais la valorisation et le surachat technique créent une incertitude à court terme), et le niveau de risque global est **Moyen** (volatilité modérée à élevée, valorisation tendue, mais qualité financière exceptionnelle). L'horizon d'investissement optimal est le **moyen terme (3-12 mois)** , en attendant une correction technique pour renforcer la position à de meilleurs niveaux, avec un objectif de cours à 24 000-25 000 FCFA si la croissance se confirme en 2026.</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222.48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5,638 titres</w:t>
            </w:r>
          </w:p>
        </w:tc>
        <w:tc>
          <w:tcPr>
            <w:tcW w:type="dxa" w:w="2268"/>
            <w:shd w:fill="FFF2CC" w:val="clear"/>
          </w:tcPr>
          <w:p>
            <w:r>
              <w:rPr>
                <w:b/>
                <w:color w:val="503200"/>
                <w:sz w:val="16"/>
              </w:rPr>
              <w:t xml:space="preserve">Cours actuel : </w:t>
            </w:r>
            <w:r>
              <w:rPr>
                <w:color w:val="000000"/>
                <w:sz w:val="17"/>
              </w:rPr>
              <w:t>3,205 FCFA</w:t>
            </w:r>
          </w:p>
          <w:p>
            <w:r>
              <w:rPr>
                <w:b/>
                <w:color w:val="503200"/>
                <w:sz w:val="16"/>
              </w:rPr>
              <w:t xml:space="preserve">Var. 100 jours : </w:t>
            </w:r>
            <w:r>
              <w:rPr>
                <w:b/>
                <w:color w:val="B40000"/>
                <w:sz w:val="17"/>
              </w:rPr>
              <w:t>-4.61%</w:t>
            </w:r>
          </w:p>
          <w:p>
            <w:r>
              <w:rPr>
                <w:b/>
                <w:color w:val="503200"/>
                <w:sz w:val="16"/>
              </w:rPr>
              <w:t xml:space="preserve">Plus haut 100j : </w:t>
            </w:r>
            <w:r>
              <w:rPr>
                <w:color w:val="000000"/>
                <w:sz w:val="17"/>
              </w:rPr>
              <w:t>3,475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44.0%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9.23% (Moyenne) — μ=2,910 FCFA, σ=269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β=0.2406 (Défensif) — Cov=0.000008, Var(idx)=0.000035, ρ=0.051,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5,638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σ_j=2.77%/j (Stable) — Vol. annualisée≈44.0%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3,168</w:t>
            </w:r>
          </w:p>
        </w:tc>
        <w:tc>
          <w:tcPr>
            <w:tcW w:type="dxa" w:w="1440"/>
            <w:shd w:fill="FAFAFA" w:val="clear"/>
          </w:tcPr>
          <w:p>
            <w:r>
              <w:rPr>
                <w:b/>
                <w:sz w:val="17"/>
              </w:rPr>
              <w:t>3,258</w:t>
            </w:r>
          </w:p>
        </w:tc>
        <w:tc>
          <w:tcPr>
            <w:tcW w:type="dxa" w:w="1440"/>
            <w:shd w:fill="FAFAFA" w:val="clear"/>
          </w:tcPr>
          <w:p>
            <w:r>
              <w:rPr>
                <w:sz w:val="17"/>
              </w:rPr>
              <w:t>3,348</w:t>
            </w:r>
          </w:p>
        </w:tc>
        <w:tc>
          <w:tcPr>
            <w:tcW w:type="dxa" w:w="1440"/>
            <w:shd w:fill="FAFAFA" w:val="clear"/>
          </w:tcPr>
          <w:p>
            <w:r>
              <w:rPr>
                <w:b/>
                <w:color w:val="008000"/>
                <w:sz w:val="17"/>
              </w:rPr>
              <w:t>+1.7%</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3,131</w:t>
            </w:r>
          </w:p>
        </w:tc>
        <w:tc>
          <w:tcPr>
            <w:tcW w:type="dxa" w:w="1440"/>
            <w:shd w:fill="FAFAFA" w:val="clear"/>
          </w:tcPr>
          <w:p>
            <w:r>
              <w:rPr>
                <w:b/>
                <w:sz w:val="17"/>
              </w:rPr>
              <w:t>3,258</w:t>
            </w:r>
          </w:p>
        </w:tc>
        <w:tc>
          <w:tcPr>
            <w:tcW w:type="dxa" w:w="1440"/>
            <w:shd w:fill="FAFAFA" w:val="clear"/>
          </w:tcPr>
          <w:p>
            <w:r>
              <w:rPr>
                <w:sz w:val="17"/>
              </w:rPr>
              <w:t>3,385</w:t>
            </w:r>
          </w:p>
        </w:tc>
        <w:tc>
          <w:tcPr>
            <w:tcW w:type="dxa" w:w="1440"/>
            <w:shd w:fill="FAFAFA" w:val="clear"/>
          </w:tcPr>
          <w:p>
            <w:r>
              <w:rPr>
                <w:b/>
                <w:color w:val="008000"/>
                <w:sz w:val="17"/>
              </w:rPr>
              <w:t>+1.7%</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3,107</w:t>
            </w:r>
          </w:p>
        </w:tc>
        <w:tc>
          <w:tcPr>
            <w:tcW w:type="dxa" w:w="1440"/>
            <w:shd w:fill="FAFAFA" w:val="clear"/>
          </w:tcPr>
          <w:p>
            <w:r>
              <w:rPr>
                <w:b/>
                <w:sz w:val="17"/>
              </w:rPr>
              <w:t>3,263</w:t>
            </w:r>
          </w:p>
        </w:tc>
        <w:tc>
          <w:tcPr>
            <w:tcW w:type="dxa" w:w="1440"/>
            <w:shd w:fill="FAFAFA" w:val="clear"/>
          </w:tcPr>
          <w:p>
            <w:r>
              <w:rPr>
                <w:sz w:val="17"/>
              </w:rPr>
              <w:t>3,419</w:t>
            </w:r>
          </w:p>
        </w:tc>
        <w:tc>
          <w:tcPr>
            <w:tcW w:type="dxa" w:w="1440"/>
            <w:shd w:fill="FAFAFA" w:val="clear"/>
          </w:tcPr>
          <w:p>
            <w:r>
              <w:rPr>
                <w:b/>
                <w:color w:val="008000"/>
                <w:sz w:val="17"/>
              </w:rPr>
              <w:t>+1.8%</w:t>
            </w:r>
          </w:p>
        </w:tc>
      </w:tr>
      <w:tr>
        <w:tc>
          <w:tcPr>
            <w:tcW w:type="dxa" w:w="1440"/>
            <w:shd w:fill="FAFAFA" w:val="clear"/>
          </w:tcPr>
          <w:p>
            <w:r>
              <w:rPr>
                <w:sz w:val="17"/>
              </w:rPr>
              <w:t>J+4  Moyenne</w:t>
            </w:r>
          </w:p>
        </w:tc>
        <w:tc>
          <w:tcPr>
            <w:tcW w:type="dxa" w:w="1440"/>
            <w:shd w:fill="FAFAFA" w:val="clear"/>
          </w:tcPr>
          <w:p>
            <w:r>
              <w:rPr>
                <w:sz w:val="17"/>
              </w:rPr>
              <w:t>2026-09-17</w:t>
            </w:r>
          </w:p>
        </w:tc>
        <w:tc>
          <w:tcPr>
            <w:tcW w:type="dxa" w:w="1440"/>
            <w:shd w:fill="FAFAFA" w:val="clear"/>
          </w:tcPr>
          <w:p>
            <w:r>
              <w:rPr>
                <w:sz w:val="17"/>
              </w:rPr>
              <w:t>3,087</w:t>
            </w:r>
          </w:p>
        </w:tc>
        <w:tc>
          <w:tcPr>
            <w:tcW w:type="dxa" w:w="1440"/>
            <w:shd w:fill="FAFAFA" w:val="clear"/>
          </w:tcPr>
          <w:p>
            <w:r>
              <w:rPr>
                <w:b/>
                <w:sz w:val="17"/>
              </w:rPr>
              <w:t>3,267</w:t>
            </w:r>
          </w:p>
        </w:tc>
        <w:tc>
          <w:tcPr>
            <w:tcW w:type="dxa" w:w="1440"/>
            <w:shd w:fill="FAFAFA" w:val="clear"/>
          </w:tcPr>
          <w:p>
            <w:r>
              <w:rPr>
                <w:sz w:val="17"/>
              </w:rPr>
              <w:t>3,447</w:t>
            </w:r>
          </w:p>
        </w:tc>
        <w:tc>
          <w:tcPr>
            <w:tcW w:type="dxa" w:w="1440"/>
            <w:shd w:fill="FAFAFA" w:val="clear"/>
          </w:tcPr>
          <w:p>
            <w:r>
              <w:rPr>
                <w:b/>
                <w:color w:val="008000"/>
                <w:sz w:val="17"/>
              </w:rPr>
              <w:t>+1.9%</w:t>
            </w:r>
          </w:p>
        </w:tc>
      </w:tr>
      <w:tr>
        <w:tc>
          <w:tcPr>
            <w:tcW w:type="dxa" w:w="1440"/>
            <w:shd w:fill="C6EFCE" w:val="clear"/>
          </w:tcPr>
          <w:p>
            <w:r>
              <w:rPr>
                <w:sz w:val="17"/>
              </w:rPr>
              <w:t>J+5  Moyenne</w:t>
            </w:r>
          </w:p>
        </w:tc>
        <w:tc>
          <w:tcPr>
            <w:tcW w:type="dxa" w:w="1440"/>
            <w:shd w:fill="C6EFCE" w:val="clear"/>
          </w:tcPr>
          <w:p>
            <w:r>
              <w:rPr>
                <w:sz w:val="17"/>
              </w:rPr>
              <w:t>2026-09-18</w:t>
            </w:r>
          </w:p>
        </w:tc>
        <w:tc>
          <w:tcPr>
            <w:tcW w:type="dxa" w:w="1440"/>
            <w:shd w:fill="C6EFCE" w:val="clear"/>
          </w:tcPr>
          <w:p>
            <w:r>
              <w:rPr>
                <w:sz w:val="17"/>
              </w:rPr>
              <w:t>3,068</w:t>
            </w:r>
          </w:p>
        </w:tc>
        <w:tc>
          <w:tcPr>
            <w:tcW w:type="dxa" w:w="1440"/>
            <w:shd w:fill="C6EFCE" w:val="clear"/>
          </w:tcPr>
          <w:p>
            <w:r>
              <w:rPr>
                <w:b/>
                <w:sz w:val="17"/>
              </w:rPr>
              <w:t>3,270</w:t>
            </w:r>
          </w:p>
        </w:tc>
        <w:tc>
          <w:tcPr>
            <w:tcW w:type="dxa" w:w="1440"/>
            <w:shd w:fill="C6EFCE" w:val="clear"/>
          </w:tcPr>
          <w:p>
            <w:r>
              <w:rPr>
                <w:sz w:val="17"/>
              </w:rPr>
              <w:t>3,472</w:t>
            </w:r>
          </w:p>
        </w:tc>
        <w:tc>
          <w:tcPr>
            <w:tcW w:type="dxa" w:w="1440"/>
            <w:shd w:fill="C6EFCE" w:val="clear"/>
          </w:tcPr>
          <w:p>
            <w:r>
              <w:rPr>
                <w:b/>
                <w:color w:val="008000"/>
                <w:sz w:val="17"/>
              </w:rPr>
              <w:t>+2.0%</w:t>
            </w:r>
          </w:p>
        </w:tc>
      </w:tr>
      <w:tr>
        <w:tc>
          <w:tcPr>
            <w:tcW w:type="dxa" w:w="1440"/>
            <w:shd w:fill="C6EFCE" w:val="clear"/>
          </w:tcPr>
          <w:p>
            <w:r>
              <w:rPr>
                <w:sz w:val="17"/>
              </w:rPr>
              <w:t>J+6  Moyenne</w:t>
            </w:r>
          </w:p>
        </w:tc>
        <w:tc>
          <w:tcPr>
            <w:tcW w:type="dxa" w:w="1440"/>
            <w:shd w:fill="C6EFCE" w:val="clear"/>
          </w:tcPr>
          <w:p>
            <w:r>
              <w:rPr>
                <w:sz w:val="17"/>
              </w:rPr>
              <w:t>2026-09-21</w:t>
            </w:r>
          </w:p>
        </w:tc>
        <w:tc>
          <w:tcPr>
            <w:tcW w:type="dxa" w:w="1440"/>
            <w:shd w:fill="C6EFCE" w:val="clear"/>
          </w:tcPr>
          <w:p>
            <w:r>
              <w:rPr>
                <w:sz w:val="17"/>
              </w:rPr>
              <w:t>3,052</w:t>
            </w:r>
          </w:p>
        </w:tc>
        <w:tc>
          <w:tcPr>
            <w:tcW w:type="dxa" w:w="1440"/>
            <w:shd w:fill="C6EFCE" w:val="clear"/>
          </w:tcPr>
          <w:p>
            <w:r>
              <w:rPr>
                <w:b/>
                <w:sz w:val="17"/>
              </w:rPr>
              <w:t>3,273</w:t>
            </w:r>
          </w:p>
        </w:tc>
        <w:tc>
          <w:tcPr>
            <w:tcW w:type="dxa" w:w="1440"/>
            <w:shd w:fill="C6EFCE" w:val="clear"/>
          </w:tcPr>
          <w:p>
            <w:r>
              <w:rPr>
                <w:sz w:val="17"/>
              </w:rPr>
              <w:t>3,494</w:t>
            </w:r>
          </w:p>
        </w:tc>
        <w:tc>
          <w:tcPr>
            <w:tcW w:type="dxa" w:w="1440"/>
            <w:shd w:fill="C6EFCE" w:val="clear"/>
          </w:tcPr>
          <w:p>
            <w:r>
              <w:rPr>
                <w:b/>
                <w:color w:val="008000"/>
                <w:sz w:val="17"/>
              </w:rPr>
              <w:t>+2.1%</w:t>
            </w:r>
          </w:p>
        </w:tc>
      </w:tr>
      <w:tr>
        <w:tc>
          <w:tcPr>
            <w:tcW w:type="dxa" w:w="1440"/>
            <w:shd w:fill="C6EFCE" w:val="clear"/>
          </w:tcPr>
          <w:p>
            <w:r>
              <w:rPr>
                <w:sz w:val="17"/>
              </w:rPr>
              <w:t>J+7  Moyenne</w:t>
            </w:r>
          </w:p>
        </w:tc>
        <w:tc>
          <w:tcPr>
            <w:tcW w:type="dxa" w:w="1440"/>
            <w:shd w:fill="C6EFCE" w:val="clear"/>
          </w:tcPr>
          <w:p>
            <w:r>
              <w:rPr>
                <w:sz w:val="17"/>
              </w:rPr>
              <w:t>2026-09-22</w:t>
            </w:r>
          </w:p>
        </w:tc>
        <w:tc>
          <w:tcPr>
            <w:tcW w:type="dxa" w:w="1440"/>
            <w:shd w:fill="C6EFCE" w:val="clear"/>
          </w:tcPr>
          <w:p>
            <w:r>
              <w:rPr>
                <w:sz w:val="17"/>
              </w:rPr>
              <w:t>3,036</w:t>
            </w:r>
          </w:p>
        </w:tc>
        <w:tc>
          <w:tcPr>
            <w:tcW w:type="dxa" w:w="1440"/>
            <w:shd w:fill="C6EFCE" w:val="clear"/>
          </w:tcPr>
          <w:p>
            <w:r>
              <w:rPr>
                <w:b/>
                <w:sz w:val="17"/>
              </w:rPr>
              <w:t>3,275</w:t>
            </w:r>
          </w:p>
        </w:tc>
        <w:tc>
          <w:tcPr>
            <w:tcW w:type="dxa" w:w="1440"/>
            <w:shd w:fill="C6EFCE" w:val="clear"/>
          </w:tcPr>
          <w:p>
            <w:r>
              <w:rPr>
                <w:sz w:val="17"/>
              </w:rPr>
              <w:t>3,515</w:t>
            </w:r>
          </w:p>
        </w:tc>
        <w:tc>
          <w:tcPr>
            <w:tcW w:type="dxa" w:w="1440"/>
            <w:shd w:fill="C6EFCE" w:val="clear"/>
          </w:tcPr>
          <w:p>
            <w:r>
              <w:rPr>
                <w:b/>
                <w:color w:val="008000"/>
                <w:sz w:val="17"/>
              </w:rPr>
              <w:t>+2.2%</w:t>
            </w:r>
          </w:p>
        </w:tc>
      </w:tr>
      <w:tr>
        <w:tc>
          <w:tcPr>
            <w:tcW w:type="dxa" w:w="1440"/>
            <w:shd w:fill="C6EFCE" w:val="clear"/>
          </w:tcPr>
          <w:p>
            <w:r>
              <w:rPr>
                <w:sz w:val="17"/>
              </w:rPr>
              <w:t>J+8  Moyenne</w:t>
            </w:r>
          </w:p>
        </w:tc>
        <w:tc>
          <w:tcPr>
            <w:tcW w:type="dxa" w:w="1440"/>
            <w:shd w:fill="C6EFCE" w:val="clear"/>
          </w:tcPr>
          <w:p>
            <w:r>
              <w:rPr>
                <w:sz w:val="17"/>
              </w:rPr>
              <w:t>2026-09-23</w:t>
            </w:r>
          </w:p>
        </w:tc>
        <w:tc>
          <w:tcPr>
            <w:tcW w:type="dxa" w:w="1440"/>
            <w:shd w:fill="C6EFCE" w:val="clear"/>
          </w:tcPr>
          <w:p>
            <w:r>
              <w:rPr>
                <w:sz w:val="17"/>
              </w:rPr>
              <w:t>3,022</w:t>
            </w:r>
          </w:p>
        </w:tc>
        <w:tc>
          <w:tcPr>
            <w:tcW w:type="dxa" w:w="1440"/>
            <w:shd w:fill="C6EFCE" w:val="clear"/>
          </w:tcPr>
          <w:p>
            <w:r>
              <w:rPr>
                <w:b/>
                <w:sz w:val="17"/>
              </w:rPr>
              <w:t>3,278</w:t>
            </w:r>
          </w:p>
        </w:tc>
        <w:tc>
          <w:tcPr>
            <w:tcW w:type="dxa" w:w="1440"/>
            <w:shd w:fill="C6EFCE" w:val="clear"/>
          </w:tcPr>
          <w:p>
            <w:r>
              <w:rPr>
                <w:sz w:val="17"/>
              </w:rPr>
              <w:t>3,534</w:t>
            </w:r>
          </w:p>
        </w:tc>
        <w:tc>
          <w:tcPr>
            <w:tcW w:type="dxa" w:w="1440"/>
            <w:shd w:fill="C6EFCE" w:val="clear"/>
          </w:tcPr>
          <w:p>
            <w:r>
              <w:rPr>
                <w:b/>
                <w:color w:val="008000"/>
                <w:sz w:val="17"/>
              </w:rPr>
              <w:t>+2.3%</w:t>
            </w:r>
          </w:p>
        </w:tc>
      </w:tr>
      <w:tr>
        <w:tc>
          <w:tcPr>
            <w:tcW w:type="dxa" w:w="1440"/>
            <w:shd w:fill="C6EFCE" w:val="clear"/>
          </w:tcPr>
          <w:p>
            <w:r>
              <w:rPr>
                <w:sz w:val="17"/>
              </w:rPr>
              <w:t>J+9  Moyenne</w:t>
            </w:r>
          </w:p>
        </w:tc>
        <w:tc>
          <w:tcPr>
            <w:tcW w:type="dxa" w:w="1440"/>
            <w:shd w:fill="C6EFCE" w:val="clear"/>
          </w:tcPr>
          <w:p>
            <w:r>
              <w:rPr>
                <w:sz w:val="17"/>
              </w:rPr>
              <w:t>2026-09-24</w:t>
            </w:r>
          </w:p>
        </w:tc>
        <w:tc>
          <w:tcPr>
            <w:tcW w:type="dxa" w:w="1440"/>
            <w:shd w:fill="C6EFCE" w:val="clear"/>
          </w:tcPr>
          <w:p>
            <w:r>
              <w:rPr>
                <w:sz w:val="17"/>
              </w:rPr>
              <w:t>3,009</w:t>
            </w:r>
          </w:p>
        </w:tc>
        <w:tc>
          <w:tcPr>
            <w:tcW w:type="dxa" w:w="1440"/>
            <w:shd w:fill="C6EFCE" w:val="clear"/>
          </w:tcPr>
          <w:p>
            <w:r>
              <w:rPr>
                <w:b/>
                <w:sz w:val="17"/>
              </w:rPr>
              <w:t>3,280</w:t>
            </w:r>
          </w:p>
        </w:tc>
        <w:tc>
          <w:tcPr>
            <w:tcW w:type="dxa" w:w="1440"/>
            <w:shd w:fill="C6EFCE" w:val="clear"/>
          </w:tcPr>
          <w:p>
            <w:r>
              <w:rPr>
                <w:sz w:val="17"/>
              </w:rPr>
              <w:t>3,552</w:t>
            </w:r>
          </w:p>
        </w:tc>
        <w:tc>
          <w:tcPr>
            <w:tcW w:type="dxa" w:w="1440"/>
            <w:shd w:fill="C6EFCE" w:val="clear"/>
          </w:tcPr>
          <w:p>
            <w:r>
              <w:rPr>
                <w:b/>
                <w:color w:val="008000"/>
                <w:sz w:val="17"/>
              </w:rPr>
              <w:t>+2.3%</w:t>
            </w:r>
          </w:p>
        </w:tc>
      </w:tr>
      <w:tr>
        <w:tc>
          <w:tcPr>
            <w:tcW w:type="dxa" w:w="1440"/>
            <w:shd w:fill="C6EFCE" w:val="clear"/>
          </w:tcPr>
          <w:p>
            <w:r>
              <w:rPr>
                <w:sz w:val="17"/>
              </w:rPr>
              <w:t>J+10  Moyenne</w:t>
            </w:r>
          </w:p>
        </w:tc>
        <w:tc>
          <w:tcPr>
            <w:tcW w:type="dxa" w:w="1440"/>
            <w:shd w:fill="C6EFCE" w:val="clear"/>
          </w:tcPr>
          <w:p>
            <w:r>
              <w:rPr>
                <w:sz w:val="17"/>
              </w:rPr>
              <w:t>2026-09-25</w:t>
            </w:r>
          </w:p>
        </w:tc>
        <w:tc>
          <w:tcPr>
            <w:tcW w:type="dxa" w:w="1440"/>
            <w:shd w:fill="C6EFCE" w:val="clear"/>
          </w:tcPr>
          <w:p>
            <w:r>
              <w:rPr>
                <w:sz w:val="17"/>
              </w:rPr>
              <w:t>2,996</w:t>
            </w:r>
          </w:p>
        </w:tc>
        <w:tc>
          <w:tcPr>
            <w:tcW w:type="dxa" w:w="1440"/>
            <w:shd w:fill="C6EFCE" w:val="clear"/>
          </w:tcPr>
          <w:p>
            <w:r>
              <w:rPr>
                <w:b/>
                <w:sz w:val="17"/>
              </w:rPr>
              <w:t>3,282</w:t>
            </w:r>
          </w:p>
        </w:tc>
        <w:tc>
          <w:tcPr>
            <w:tcW w:type="dxa" w:w="1440"/>
            <w:shd w:fill="C6EFCE" w:val="clear"/>
          </w:tcPr>
          <w:p>
            <w:r>
              <w:rPr>
                <w:sz w:val="17"/>
              </w:rPr>
              <w:t>3,569</w:t>
            </w:r>
          </w:p>
        </w:tc>
        <w:tc>
          <w:tcPr>
            <w:tcW w:type="dxa" w:w="1440"/>
            <w:shd w:fill="C6EFCE" w:val="clear"/>
          </w:tcPr>
          <w:p>
            <w:r>
              <w:rPr>
                <w:b/>
                <w:color w:val="008000"/>
                <w:sz w:val="17"/>
              </w:rPr>
              <w:t>+2.4%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**RAPPORT D'ANALYSE FINANCIÈRE — ORGT (ORAGROUP)**</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222,48 milliards FCFA, ORGT se positionne comme une valeur de taille intermédiaire à supérieure au sein de la cote BRVM, représentant un poids non négligeable dans l'indice sectoriel bancaire. Le BPA de 312 FCFA par action signifie que chaque titre génère un bénéfice net de 312 FCFA, ce qui, rapporté au cours actuel de 3 205 FCFA, donne un PER de 10,3x — un niveau modéré et parfaitement dans la moyenne du marché BRVM (8-12x), indiquant que les investisseurs ne paient pas de prime excessive pour les bénéfices actuels. Le P/B de 1,97x montre que le marché valorise l'action à près du double de sa valeur comptable, ce qui reste raisonnable pour une banque en phase de redressement, mais traduit une certaine confiance dans la capacité future de l'établissement à générer des profits. En revanche, l'EV/EBITDA de 20,1x apparaît très exigeant (seuil d'alerte &gt;15x), suggérant que la valeur d'entreprise intègre déjà une bonne partie de l'amélioration attendue de la rentabilité opérationnelle, ce qui limite le potentiel de revalorisation à court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ORGT affiche une variation totale de -4,61%, avec une chute marquée de -2,88% lors de la dernière séance, signalant une pression vendeuse récente. Le titre a évolué dans un range de trading significatif entre un plus bas de 2 435 FCFA et un plus haut de 3 475 FCFA, soit un écart de plus de 1 000 FCFA qui témoigne d'une forte amplitude de négociation. La tendance générale apparaît baissière à court terme malgré un rebond depuis les points bas, le cours actuel de 3 205 FCFA se situant au-dessus de la moyenne (2 910 FCFA) mais en retrait du plus haut. Les statistiques descriptives révèlent une moyenne (2 910 FCFA) supérieure à la médiane (2 780 FCFA), ce qui indique une distribution légèrement asymétrique tirée vers le haut par des pics de cours, confirmée par un skewness positif de 0,291 (distribution symétrique mais légèrement étalée à droite). L'écart-type de 270 FCFA avec un coefficient de variation de 9,3% traduit une dispersion modérée du cours autour de sa moyenne, tandis que le kurtosis négatif de -1,324 (distribution platykurtique) signale une faible concentration des valeurs extrêmes — le risque de pics brutaux est donc limité. La volatilité annualisée de 44,0% classe le titre dans la catégorie des valeurs à volatilité élevée (&gt;30%), ce qui implique un risque de fluctuation important et justifie une approche prudente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(3 197 FCFA) et la MM50 (2 985 FCFA) se situent toutes deux en dessous du cours actuel (3 205 FCFA), avec la MM20 au-dessus de la MM50 — configuration haussière classique. Le cours évolue au-dessus de ses deux moyennes, ce qui confirme la décision d'ACHAT fournie par le système, bien que l'écart entre le cours et la MM20 soit très faible (8 FCFA), suggérant une dynamique positive mais fragile.</w:t>
      </w:r>
    </w:p>
    <w:p>
      <w:pPr>
        <w:spacing w:after="120" w:line="276" w:lineRule="auto"/>
      </w:pPr>
      <w:r>
        <w:t>**Bandes de Bollinger** : Le cours actuel (3 205 FCFA) se situe dans la partie supérieure de la bande, entre la borne inférieure (2 989 FCFA) et la borne supérieure (3 405 FCFA), sans atteindre cette dernière. Cette position médiane-haute traduit une volatilité modérée avec un potentiel de hausse résiduel vers 3 405 FCFA, mais la décision NEUTRE indique que le titre n'est ni en zone de surachat ni de survente, justifiant une absence de signal directionnel fort.</w:t>
      </w:r>
    </w:p>
    <w:p>
      <w:pPr>
        <w:spacing w:after="120" w:line="276" w:lineRule="auto"/>
      </w:pPr>
      <w:r>
        <w:t>**MACD** : La valeur du MACD (84,41) est inférieure à son signal (90,32), générant une divergence baissière — le momentum positif s'essouffle. Cette configuration justifie la décision de VENTE technique, bien que l'écart reste modéré, ce qui pourrait se traduire par une consolidation plutôt qu'un retournement franc.</w:t>
      </w:r>
    </w:p>
    <w:p>
      <w:pPr>
        <w:spacing w:after="120" w:line="276" w:lineRule="auto"/>
      </w:pPr>
      <w:r>
        <w:t>**RSI** : À 57,27, le RSI se situe dans la zone neutre (30-70), sans signal de surachat (&gt;70) ni de survente (&lt;30). Cette valeur médiane-haute indique une dynamique légèrement positive mais sans excès, justifiant la décision NEUTRE — le titre dispose encore d'un potentiel de hausse sans être techniquement surévalué.</w:t>
      </w:r>
    </w:p>
    <w:p>
      <w:pPr>
        <w:spacing w:after="120" w:line="276" w:lineRule="auto"/>
      </w:pPr>
      <w:r>
        <w:t>**Stochastique** : Le %K (20,41) est nettement inférieur au %D (49,23), avec un %K en zone de survente (&lt;20), ce qui pourrait annoncer un rebond à court terme si un croisement haussier se matérialise. La décision NEUTRE reflète cette situation ambiguë : le titre est survendu à court terme mais le croisement baissier en cours incite à la prudence.</w:t>
      </w:r>
    </w:p>
    <w:p>
      <w:pPr>
        <w:spacing w:after="120" w:line="276" w:lineRule="auto"/>
      </w:pPr>
      <w:r>
        <w:t>**Conclusion technique** : Les indicateurs techniques présentent un tableau mitigé — les moyennes mobiles sont haussières (ACHAT), mais le MACD est baissier (VENTE), tandis que le RSI, les Bandes de Bollinger et le Stochastique sont neutres. Cette divergence suggère une phase de consolidation avec un léger biais haussier à moyen terme, mais une pression vendeuse à court terme. La convergence des signaux reste insuffisante pour un signal directionnel fort, ce qui plaide pour une attitude attentiste.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ORGT affiche un Produit Net Bancaire (PNB) de 186,609 milliards FCFA, en baisse de -4,52% par rapport à 2024 (195,436 milliards FCFA), reflétant une contraction de l'activité commerciale. Le résultat net consolidé s'établit à 21,643 milliards FCFA, en redressement spectaculaire après une perte de -44,363 milliards FCFA en 2024, soit une amélioration de +149%. Le ROE atteint 19,13% (&gt;15% = excellent), tandis que le ROA reste faible à 0,54%, caractéristique du secteur bancaire où les actifs sont pondérés. Le coefficient d'exploitation de 42,85% (&lt;60%) témoigne d'une excellente efficacité opérationnelle, et le coût du risque de 3,74% (provisions/charges financières) indique un portefeuille de crédits assaini. La structure bilancielle montre des dépôts clientèle de 3 088,698 milliards FCFA pour des créances clientèle de 1 523,765 milliards FCFA, soit un ratio de transformation de 49,3% — la banque collecte deux fois plus qu'elle ne prête, ce qui traduit une stratégie prudente mais un manque de dynamisme commercial.</w:t>
      </w:r>
    </w:p>
    <w:p>
      <w:pPr>
        <w:spacing w:after="120" w:line="276" w:lineRule="auto"/>
      </w:pPr>
      <w:r>
        <w:t>**Adaptation au secteur bancaire** : Le PNB constitue l'équivalent du chiffre d'affaires pour une banque. Sa baisse de -4,52% en 2025 est préoccupante et s'explique par une réduction volontaire du portefeuille de crédits (-12% selon les rapports trimestriels) dans le cadre d'une stratégie d'assainissement. Le coefficient d'exploitation de 42,85% est excellent (&lt;50%), démontrant une maîtrise remarquable des charges. Le coût du risque de 3,74% est faible, confirmant l'amélioration de la qualité du portefeuille après les provisions massives de 2024 (69,1 milliards FCFA). Les capitaux propres se renforcent à 113,165 milliards FCFA (+17%), améliorant la solvabilité, mais l'autonomie financière reste faible à 2,82% (norme bancaire : &gt;30%), ce qui est structurel pour une banque mais limite la capacité d'absorption des chocs.</w:t>
      </w:r>
    </w:p>
    <w:p>
      <w:pPr>
        <w:spacing w:after="120" w:line="276" w:lineRule="auto"/>
      </w:pPr>
      <w:r>
        <w:t>**Estimations basées sur les rapports trimestriels** : Le rapport T1 2026 (publié en 2026) indique un PNB de 50,124 milliards FCFA (-2% sur un an) et un résultat net de 6,555 milliards FCFA (+37%), confirmant la poursuite du redressement. Sur la base de ce rythme, on peut estimer que l'exercice 2026 devrait afficher un PNB autour de 185-190 milliards FCFA (stabilisation) et un résultat net de 25-28 milliards FCFA (consolidation de la rentabilité). Le rapport T3 2025 (daté du 30 septembre 2025) faisait déjà état d'un résultat net de 19,6 milliards FCFA (+248%) et d'une réduction de 74% du coût du risque, validant la trajectoire. Le rapport S1 2025 (30 juin 2025) confirmait un bénéfice net de 18,3 milliards FCFA contre une perte de -13,9 milliards un an plus tôt.</w:t>
      </w:r>
    </w:p>
    <w:p>
      <w:pPr>
        <w:spacing w:after="120" w:line="276" w:lineRule="auto"/>
      </w:pPr>
      <w:r>
        <w:t>**Évolution pluriannuelle** : L'exercice 2024 avait été catastrophique (perte nette de -44,4 milliards FCFA, PNB en baisse de -9,9%, coût du risque de 69,1 milliards FCFA). Le redressement de 2025 est spectaculaire et repose sur trois leviers : réduction drastique du coût du risque (-90%), baisse des frais généraux (-12%), et renforcement des fonds propres (+17%). Cependant, la baisse du PNB (-4,5%) et la contraction des crédits (-12%) révèlent une faiblesse de la dynamique commerciale qui pourrait limiter la croissance future.</w:t>
      </w:r>
    </w:p>
    <w:p>
      <w:pPr>
        <w:spacing w:after="120" w:line="276" w:lineRule="auto"/>
      </w:pPr>
      <w:r>
        <w:t>**Recommandation fondamentale** : La solidité financière est en nette amélioration (ROE de 19,1%, coefficient d'exploitation de 42,9%, capitaux propres renforcés), mais la baisse du PNB et l'absence de dividende (confirmée par l'avis de convocation à l'AG du 23 juillet 2026) tempèrent l'enthousiasme. La stratégie d'assainissement porte ses fruits, mais le défi reste la relance d'une croissance rentable et durable. Recommandation : **CONSERVER** — le redressement est réel mais la visibilité sur la croissance future reste limitée.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d'ORGT apparaît raisonnable avec un PER de 10,3x (moyenne BRVM) et un P/B de 1,97x, mais l'EV/EBITDA de 20,1x suggère que le marché intègre déjà une bonne partie de l'amélioration attendue — le potentiel de revalorisation à court terme est donc limité. Le comportement du cours sur 100 jours (-4,61%) avec une volatilité élevée (44%) et une distribution platykurtique (kurtosis -1,324) indique un titre sans risque de pics extrêmes mais soumis à des fluctuations importantes, ce qui est préoccupant pour les investisseurs averses au risque. Les signaux techniques sont divergents : les moyennes mobiles sont haussières (ACHAT), mais le MACD est baissier (VENTE), tandis que le RSI, les Bandes de Bollinger et le Stochastique sont neutres — cette absence de convergence plaide pour une phase de consolidation. Les fondamentaux montrent un redressement spectaculaire en 2025 (résultat net de 21,6 milliards FCFA contre une perte de -44,4 milliards en 2024, ROE de 19,1%, coefficient d'exploitation de 42,9%), mais la baisse du PNB (-4,5%) et l'absence de dividende limitent l'attrait. Les prédictions IA (J+1 à J+10) tablent sur une légère hausse vers 3 258-3 270 FCFA, ce qui confirme la tendance haussière de moyen terme mais sans enthousiasme excessif. **Recommandation finale : CONSERVER** — la convergence entre valorisation raisonnable, technique mitigée, fondamentaux en amélioration et prédictions légèrement haussières justifie une position attentiste. Le niveau de confiance est **Moyen** (divergence des signaux techniques) et le risque global est **Élevé** (volatilité de 44%, dépendance à la qualité du crédit, absence de dividende). L'horizon d'investissement optimal est le **moyen terme (3-12 mois)**, le temps que la dynamique commerciale se confirme et que le PNB reprenne sa croissance. Un passage à ACHAT serait justifié si le PNB se stabilise ou progresse lors des prochains trimestres, avec une confirmation technique haussière (croisement MACD au-dessus du signal, RSI &gt;60).</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128.31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3,775 titres</w:t>
            </w:r>
          </w:p>
        </w:tc>
        <w:tc>
          <w:tcPr>
            <w:tcW w:type="dxa" w:w="2268"/>
            <w:shd w:fill="FFF2CC" w:val="clear"/>
          </w:tcPr>
          <w:p>
            <w:r>
              <w:rPr>
                <w:b/>
                <w:color w:val="503200"/>
                <w:sz w:val="16"/>
              </w:rPr>
              <w:t xml:space="preserve">Cours actuel : </w:t>
            </w:r>
            <w:r>
              <w:rPr>
                <w:color w:val="000000"/>
                <w:sz w:val="17"/>
              </w:rPr>
              <w:t>8,300 FCFA</w:t>
            </w:r>
          </w:p>
          <w:p>
            <w:r>
              <w:rPr>
                <w:b/>
                <w:color w:val="503200"/>
                <w:sz w:val="16"/>
              </w:rPr>
              <w:t xml:space="preserve">Var. 100 jours : </w:t>
            </w:r>
            <w:r>
              <w:rPr>
                <w:b/>
                <w:color w:val="007800"/>
                <w:sz w:val="17"/>
              </w:rPr>
              <w:t>+2.47%</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37.2%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6.68% (Moyenne) — μ=8,536 FCFA, σ=570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β=-0.2800 (Contre-cyclique) — Cov=-0.000010, Var(idx)=0.000035, ρ=-0.070,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3,775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σ_j=2.35%/j (Stable) — Vol. annualisée≈37.2%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8,033</w:t>
            </w:r>
          </w:p>
        </w:tc>
        <w:tc>
          <w:tcPr>
            <w:tcW w:type="dxa" w:w="1440"/>
            <w:shd w:fill="FAFAFA" w:val="clear"/>
          </w:tcPr>
          <w:p>
            <w:r>
              <w:rPr>
                <w:b/>
                <w:sz w:val="17"/>
              </w:rPr>
              <w:t>8,306</w:t>
            </w:r>
          </w:p>
        </w:tc>
        <w:tc>
          <w:tcPr>
            <w:tcW w:type="dxa" w:w="1440"/>
            <w:shd w:fill="FAFAFA" w:val="clear"/>
          </w:tcPr>
          <w:p>
            <w:r>
              <w:rPr>
                <w:sz w:val="17"/>
              </w:rPr>
              <w:t>8,580</w:t>
            </w:r>
          </w:p>
        </w:tc>
        <w:tc>
          <w:tcPr>
            <w:tcW w:type="dxa" w:w="1440"/>
            <w:shd w:fill="FAFAFA" w:val="clear"/>
          </w:tcPr>
          <w:p>
            <w:r>
              <w:rPr>
                <w:b/>
                <w:color w:val="008000"/>
                <w:sz w:val="17"/>
              </w:rPr>
              <w:t>+0.1%</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7,902</w:t>
            </w:r>
          </w:p>
        </w:tc>
        <w:tc>
          <w:tcPr>
            <w:tcW w:type="dxa" w:w="1440"/>
            <w:shd w:fill="FAFAFA" w:val="clear"/>
          </w:tcPr>
          <w:p>
            <w:r>
              <w:rPr>
                <w:b/>
                <w:sz w:val="17"/>
              </w:rPr>
              <w:t>8,289</w:t>
            </w:r>
          </w:p>
        </w:tc>
        <w:tc>
          <w:tcPr>
            <w:tcW w:type="dxa" w:w="1440"/>
            <w:shd w:fill="FAFAFA" w:val="clear"/>
          </w:tcPr>
          <w:p>
            <w:r>
              <w:rPr>
                <w:sz w:val="17"/>
              </w:rPr>
              <w:t>8,675</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7,804</w:t>
            </w:r>
          </w:p>
        </w:tc>
        <w:tc>
          <w:tcPr>
            <w:tcW w:type="dxa" w:w="1440"/>
            <w:shd w:fill="FAFAFA" w:val="clear"/>
          </w:tcPr>
          <w:p>
            <w:r>
              <w:rPr>
                <w:b/>
                <w:sz w:val="17"/>
              </w:rPr>
              <w:t>8,276</w:t>
            </w:r>
          </w:p>
        </w:tc>
        <w:tc>
          <w:tcPr>
            <w:tcW w:type="dxa" w:w="1440"/>
            <w:shd w:fill="FAFAFA" w:val="clear"/>
          </w:tcPr>
          <w:p>
            <w:r>
              <w:rPr>
                <w:sz w:val="17"/>
              </w:rPr>
              <w:t>8,749</w:t>
            </w:r>
          </w:p>
        </w:tc>
        <w:tc>
          <w:tcPr>
            <w:tcW w:type="dxa" w:w="1440"/>
            <w:shd w:fill="FAFAFA" w:val="clear"/>
          </w:tcPr>
          <w:p>
            <w:r>
              <w:rPr>
                <w:b/>
                <w:color w:val="C00000"/>
                <w:sz w:val="17"/>
              </w:rPr>
              <w:t>-0.3%</w:t>
            </w:r>
          </w:p>
        </w:tc>
      </w:tr>
      <w:tr>
        <w:tc>
          <w:tcPr>
            <w:tcW w:type="dxa" w:w="1440"/>
            <w:shd w:fill="FAFAFA" w:val="clear"/>
          </w:tcPr>
          <w:p>
            <w:r>
              <w:rPr>
                <w:sz w:val="17"/>
              </w:rPr>
              <w:t>J+4  Moyenne</w:t>
            </w:r>
          </w:p>
        </w:tc>
        <w:tc>
          <w:tcPr>
            <w:tcW w:type="dxa" w:w="1440"/>
            <w:shd w:fill="FAFAFA" w:val="clear"/>
          </w:tcPr>
          <w:p>
            <w:r>
              <w:rPr>
                <w:sz w:val="17"/>
              </w:rPr>
              <w:t>2026-09-17</w:t>
            </w:r>
          </w:p>
        </w:tc>
        <w:tc>
          <w:tcPr>
            <w:tcW w:type="dxa" w:w="1440"/>
            <w:shd w:fill="FAFAFA" w:val="clear"/>
          </w:tcPr>
          <w:p>
            <w:r>
              <w:rPr>
                <w:sz w:val="17"/>
              </w:rPr>
              <w:t>7,720</w:t>
            </w:r>
          </w:p>
        </w:tc>
        <w:tc>
          <w:tcPr>
            <w:tcW w:type="dxa" w:w="1440"/>
            <w:shd w:fill="FAFAFA" w:val="clear"/>
          </w:tcPr>
          <w:p>
            <w:r>
              <w:rPr>
                <w:b/>
                <w:sz w:val="17"/>
              </w:rPr>
              <w:t>8,264</w:t>
            </w:r>
          </w:p>
        </w:tc>
        <w:tc>
          <w:tcPr>
            <w:tcW w:type="dxa" w:w="1440"/>
            <w:shd w:fill="FAFAFA" w:val="clear"/>
          </w:tcPr>
          <w:p>
            <w:r>
              <w:rPr>
                <w:sz w:val="17"/>
              </w:rPr>
              <w:t>8,809</w:t>
            </w:r>
          </w:p>
        </w:tc>
        <w:tc>
          <w:tcPr>
            <w:tcW w:type="dxa" w:w="1440"/>
            <w:shd w:fill="FAFAFA" w:val="clear"/>
          </w:tcPr>
          <w:p>
            <w:r>
              <w:rPr>
                <w:b/>
                <w:color w:val="C00000"/>
                <w:sz w:val="17"/>
              </w:rPr>
              <w:t>-0.4%</w:t>
            </w:r>
          </w:p>
        </w:tc>
      </w:tr>
      <w:tr>
        <w:tc>
          <w:tcPr>
            <w:tcW w:type="dxa" w:w="1440"/>
            <w:shd w:fill="FAFAFA" w:val="clear"/>
          </w:tcPr>
          <w:p>
            <w:r>
              <w:rPr>
                <w:sz w:val="17"/>
              </w:rPr>
              <w:t>J+5  Moyenne</w:t>
            </w:r>
          </w:p>
        </w:tc>
        <w:tc>
          <w:tcPr>
            <w:tcW w:type="dxa" w:w="1440"/>
            <w:shd w:fill="FAFAFA" w:val="clear"/>
          </w:tcPr>
          <w:p>
            <w:r>
              <w:rPr>
                <w:sz w:val="17"/>
              </w:rPr>
              <w:t>2026-09-18</w:t>
            </w:r>
          </w:p>
        </w:tc>
        <w:tc>
          <w:tcPr>
            <w:tcW w:type="dxa" w:w="1440"/>
            <w:shd w:fill="FAFAFA" w:val="clear"/>
          </w:tcPr>
          <w:p>
            <w:r>
              <w:rPr>
                <w:sz w:val="17"/>
              </w:rPr>
              <w:t>7,644</w:t>
            </w:r>
          </w:p>
        </w:tc>
        <w:tc>
          <w:tcPr>
            <w:tcW w:type="dxa" w:w="1440"/>
            <w:shd w:fill="FAFAFA" w:val="clear"/>
          </w:tcPr>
          <w:p>
            <w:r>
              <w:rPr>
                <w:b/>
                <w:sz w:val="17"/>
              </w:rPr>
              <w:t>8,252</w:t>
            </w:r>
          </w:p>
        </w:tc>
        <w:tc>
          <w:tcPr>
            <w:tcW w:type="dxa" w:w="1440"/>
            <w:shd w:fill="FAFAFA" w:val="clear"/>
          </w:tcPr>
          <w:p>
            <w:r>
              <w:rPr>
                <w:sz w:val="17"/>
              </w:rPr>
              <w:t>8,860</w:t>
            </w:r>
          </w:p>
        </w:tc>
        <w:tc>
          <w:tcPr>
            <w:tcW w:type="dxa" w:w="1440"/>
            <w:shd w:fill="FAFAFA" w:val="clear"/>
          </w:tcPr>
          <w:p>
            <w:r>
              <w:rPr>
                <w:b/>
                <w:color w:val="C00000"/>
                <w:sz w:val="17"/>
              </w:rPr>
              <w:t>-0.6%</w:t>
            </w:r>
          </w:p>
        </w:tc>
      </w:tr>
      <w:tr>
        <w:tc>
          <w:tcPr>
            <w:tcW w:type="dxa" w:w="1440"/>
            <w:shd w:fill="FAFAFA" w:val="clear"/>
          </w:tcPr>
          <w:p>
            <w:r>
              <w:rPr>
                <w:sz w:val="17"/>
              </w:rPr>
              <w:t>J+6  Moyenne</w:t>
            </w:r>
          </w:p>
        </w:tc>
        <w:tc>
          <w:tcPr>
            <w:tcW w:type="dxa" w:w="1440"/>
            <w:shd w:fill="FAFAFA" w:val="clear"/>
          </w:tcPr>
          <w:p>
            <w:r>
              <w:rPr>
                <w:sz w:val="17"/>
              </w:rPr>
              <w:t>2026-09-21</w:t>
            </w:r>
          </w:p>
        </w:tc>
        <w:tc>
          <w:tcPr>
            <w:tcW w:type="dxa" w:w="1440"/>
            <w:shd w:fill="FAFAFA" w:val="clear"/>
          </w:tcPr>
          <w:p>
            <w:r>
              <w:rPr>
                <w:sz w:val="17"/>
              </w:rPr>
              <w:t>7,575</w:t>
            </w:r>
          </w:p>
        </w:tc>
        <w:tc>
          <w:tcPr>
            <w:tcW w:type="dxa" w:w="1440"/>
            <w:shd w:fill="FAFAFA" w:val="clear"/>
          </w:tcPr>
          <w:p>
            <w:r>
              <w:rPr>
                <w:b/>
                <w:sz w:val="17"/>
              </w:rPr>
              <w:t>8,240</w:t>
            </w:r>
          </w:p>
        </w:tc>
        <w:tc>
          <w:tcPr>
            <w:tcW w:type="dxa" w:w="1440"/>
            <w:shd w:fill="FAFAFA" w:val="clear"/>
          </w:tcPr>
          <w:p>
            <w:r>
              <w:rPr>
                <w:sz w:val="17"/>
              </w:rPr>
              <w:t>8,906</w:t>
            </w:r>
          </w:p>
        </w:tc>
        <w:tc>
          <w:tcPr>
            <w:tcW w:type="dxa" w:w="1440"/>
            <w:shd w:fill="FAFAFA" w:val="clear"/>
          </w:tcPr>
          <w:p>
            <w:r>
              <w:rPr>
                <w:b/>
                <w:color w:val="C00000"/>
                <w:sz w:val="17"/>
              </w:rPr>
              <w:t>-0.7%</w:t>
            </w:r>
          </w:p>
        </w:tc>
      </w:tr>
      <w:tr>
        <w:tc>
          <w:tcPr>
            <w:tcW w:type="dxa" w:w="1440"/>
            <w:shd w:fill="FAFAFA" w:val="clear"/>
          </w:tcPr>
          <w:p>
            <w:r>
              <w:rPr>
                <w:sz w:val="17"/>
              </w:rPr>
              <w:t>J+7  Moyenne</w:t>
            </w:r>
          </w:p>
        </w:tc>
        <w:tc>
          <w:tcPr>
            <w:tcW w:type="dxa" w:w="1440"/>
            <w:shd w:fill="FAFAFA" w:val="clear"/>
          </w:tcPr>
          <w:p>
            <w:r>
              <w:rPr>
                <w:sz w:val="17"/>
              </w:rPr>
              <w:t>2026-09-22</w:t>
            </w:r>
          </w:p>
        </w:tc>
        <w:tc>
          <w:tcPr>
            <w:tcW w:type="dxa" w:w="1440"/>
            <w:shd w:fill="FAFAFA" w:val="clear"/>
          </w:tcPr>
          <w:p>
            <w:r>
              <w:rPr>
                <w:sz w:val="17"/>
              </w:rPr>
              <w:t>7,512</w:t>
            </w:r>
          </w:p>
        </w:tc>
        <w:tc>
          <w:tcPr>
            <w:tcW w:type="dxa" w:w="1440"/>
            <w:shd w:fill="FAFAFA" w:val="clear"/>
          </w:tcPr>
          <w:p>
            <w:r>
              <w:rPr>
                <w:b/>
                <w:sz w:val="17"/>
              </w:rPr>
              <w:t>8,229</w:t>
            </w:r>
          </w:p>
        </w:tc>
        <w:tc>
          <w:tcPr>
            <w:tcW w:type="dxa" w:w="1440"/>
            <w:shd w:fill="FAFAFA" w:val="clear"/>
          </w:tcPr>
          <w:p>
            <w:r>
              <w:rPr>
                <w:sz w:val="17"/>
              </w:rPr>
              <w:t>8,947</w:t>
            </w:r>
          </w:p>
        </w:tc>
        <w:tc>
          <w:tcPr>
            <w:tcW w:type="dxa" w:w="1440"/>
            <w:shd w:fill="FAFAFA" w:val="clear"/>
          </w:tcPr>
          <w:p>
            <w:r>
              <w:rPr>
                <w:b/>
                <w:color w:val="C00000"/>
                <w:sz w:val="17"/>
              </w:rPr>
              <w:t>-0.9%</w:t>
            </w:r>
          </w:p>
        </w:tc>
      </w:tr>
      <w:tr>
        <w:tc>
          <w:tcPr>
            <w:tcW w:type="dxa" w:w="1440"/>
            <w:shd w:fill="FAFAFA" w:val="clear"/>
          </w:tcPr>
          <w:p>
            <w:r>
              <w:rPr>
                <w:sz w:val="17"/>
              </w:rPr>
              <w:t>J+8  Moyenne</w:t>
            </w:r>
          </w:p>
        </w:tc>
        <w:tc>
          <w:tcPr>
            <w:tcW w:type="dxa" w:w="1440"/>
            <w:shd w:fill="FAFAFA" w:val="clear"/>
          </w:tcPr>
          <w:p>
            <w:r>
              <w:rPr>
                <w:sz w:val="17"/>
              </w:rPr>
              <w:t>2026-09-23</w:t>
            </w:r>
          </w:p>
        </w:tc>
        <w:tc>
          <w:tcPr>
            <w:tcW w:type="dxa" w:w="1440"/>
            <w:shd w:fill="FAFAFA" w:val="clear"/>
          </w:tcPr>
          <w:p>
            <w:r>
              <w:rPr>
                <w:sz w:val="17"/>
              </w:rPr>
              <w:t>7,452</w:t>
            </w:r>
          </w:p>
        </w:tc>
        <w:tc>
          <w:tcPr>
            <w:tcW w:type="dxa" w:w="1440"/>
            <w:shd w:fill="FAFAFA" w:val="clear"/>
          </w:tcPr>
          <w:p>
            <w:r>
              <w:rPr>
                <w:b/>
                <w:sz w:val="17"/>
              </w:rPr>
              <w:t>8,218</w:t>
            </w:r>
          </w:p>
        </w:tc>
        <w:tc>
          <w:tcPr>
            <w:tcW w:type="dxa" w:w="1440"/>
            <w:shd w:fill="FAFAFA" w:val="clear"/>
          </w:tcPr>
          <w:p>
            <w:r>
              <w:rPr>
                <w:sz w:val="17"/>
              </w:rPr>
              <w:t>8,984</w:t>
            </w:r>
          </w:p>
        </w:tc>
        <w:tc>
          <w:tcPr>
            <w:tcW w:type="dxa" w:w="1440"/>
            <w:shd w:fill="FAFAFA" w:val="clear"/>
          </w:tcPr>
          <w:p>
            <w:r>
              <w:rPr>
                <w:b/>
                <w:color w:val="C00000"/>
                <w:sz w:val="17"/>
              </w:rPr>
              <w:t>-1.0%</w:t>
            </w:r>
          </w:p>
        </w:tc>
      </w:tr>
      <w:tr>
        <w:tc>
          <w:tcPr>
            <w:tcW w:type="dxa" w:w="1440"/>
            <w:shd w:fill="FAFAFA" w:val="clear"/>
          </w:tcPr>
          <w:p>
            <w:r>
              <w:rPr>
                <w:sz w:val="17"/>
              </w:rPr>
              <w:t>J+9  Moyenne</w:t>
            </w:r>
          </w:p>
        </w:tc>
        <w:tc>
          <w:tcPr>
            <w:tcW w:type="dxa" w:w="1440"/>
            <w:shd w:fill="FAFAFA" w:val="clear"/>
          </w:tcPr>
          <w:p>
            <w:r>
              <w:rPr>
                <w:sz w:val="17"/>
              </w:rPr>
              <w:t>2026-09-24</w:t>
            </w:r>
          </w:p>
        </w:tc>
        <w:tc>
          <w:tcPr>
            <w:tcW w:type="dxa" w:w="1440"/>
            <w:shd w:fill="FAFAFA" w:val="clear"/>
          </w:tcPr>
          <w:p>
            <w:r>
              <w:rPr>
                <w:sz w:val="17"/>
              </w:rPr>
              <w:t>7,397</w:t>
            </w:r>
          </w:p>
        </w:tc>
        <w:tc>
          <w:tcPr>
            <w:tcW w:type="dxa" w:w="1440"/>
            <w:shd w:fill="FAFAFA" w:val="clear"/>
          </w:tcPr>
          <w:p>
            <w:r>
              <w:rPr>
                <w:b/>
                <w:sz w:val="17"/>
              </w:rPr>
              <w:t>8,208</w:t>
            </w:r>
          </w:p>
        </w:tc>
        <w:tc>
          <w:tcPr>
            <w:tcW w:type="dxa" w:w="1440"/>
            <w:shd w:fill="FAFAFA" w:val="clear"/>
          </w:tcPr>
          <w:p>
            <w:r>
              <w:rPr>
                <w:sz w:val="17"/>
              </w:rPr>
              <w:t>9,019</w:t>
            </w:r>
          </w:p>
        </w:tc>
        <w:tc>
          <w:tcPr>
            <w:tcW w:type="dxa" w:w="1440"/>
            <w:shd w:fill="FAFAFA" w:val="clear"/>
          </w:tcPr>
          <w:p>
            <w:r>
              <w:rPr>
                <w:b/>
                <w:color w:val="C00000"/>
                <w:sz w:val="17"/>
              </w:rPr>
              <w:t>-1.1%</w:t>
            </w:r>
          </w:p>
        </w:tc>
      </w:tr>
      <w:tr>
        <w:tc>
          <w:tcPr>
            <w:tcW w:type="dxa" w:w="1440"/>
            <w:shd w:fill="FAFAFA" w:val="clear"/>
          </w:tcPr>
          <w:p>
            <w:r>
              <w:rPr>
                <w:sz w:val="17"/>
              </w:rPr>
              <w:t>J+10  Moyenne</w:t>
            </w:r>
          </w:p>
        </w:tc>
        <w:tc>
          <w:tcPr>
            <w:tcW w:type="dxa" w:w="1440"/>
            <w:shd w:fill="FAFAFA" w:val="clear"/>
          </w:tcPr>
          <w:p>
            <w:r>
              <w:rPr>
                <w:sz w:val="17"/>
              </w:rPr>
              <w:t>2026-09-25</w:t>
            </w:r>
          </w:p>
        </w:tc>
        <w:tc>
          <w:tcPr>
            <w:tcW w:type="dxa" w:w="1440"/>
            <w:shd w:fill="FAFAFA" w:val="clear"/>
          </w:tcPr>
          <w:p>
            <w:r>
              <w:rPr>
                <w:sz w:val="17"/>
              </w:rPr>
              <w:t>7,344</w:t>
            </w:r>
          </w:p>
        </w:tc>
        <w:tc>
          <w:tcPr>
            <w:tcW w:type="dxa" w:w="1440"/>
            <w:shd w:fill="FAFAFA" w:val="clear"/>
          </w:tcPr>
          <w:p>
            <w:r>
              <w:rPr>
                <w:b/>
                <w:sz w:val="17"/>
              </w:rPr>
              <w:t>8,198</w:t>
            </w:r>
          </w:p>
        </w:tc>
        <w:tc>
          <w:tcPr>
            <w:tcW w:type="dxa" w:w="1440"/>
            <w:shd w:fill="FAFAFA" w:val="clear"/>
          </w:tcPr>
          <w:p>
            <w:r>
              <w:rPr>
                <w:sz w:val="17"/>
              </w:rPr>
              <w:t>9,052</w:t>
            </w:r>
          </w:p>
        </w:tc>
        <w:tc>
          <w:tcPr>
            <w:tcW w:type="dxa" w:w="1440"/>
            <w:shd w:fill="FAFAFA" w:val="clear"/>
          </w:tcPr>
          <w:p>
            <w:r>
              <w:rPr>
                <w:b/>
                <w:color w:val="C00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**Bourse Régionale des Valeurs Mobilières (BRVM) — Secteur Agro-industriel**</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128,31 milliards FCFA, PALC se positionne parmi les valeurs de taille intermédiaire-élevée de la cote BRVM, représentant un poids significatif dans l'indice sectoriel agro-industriel. Le BPA de 1 003 FCFA/action signifie que chaque titre génère environ 1 003 FCFA de bénéfice net annuel, ce qui, rapporté au cours actuel de 8 300 FCFA, offre un rendement bénéficiaire implicite d'environ 12,1 %. Le PER de 8,3x situe le titre dans la fourchette basse de la moyenne BRVM (~8-12x), suggérant une valorisation raisonnable voire légèrement sous-évaluée par rapport aux bénéfices dégagés. Le ratio P/B de 0,90x — inférieur à 1 — indique que le marché valorise PALC en dessous de sa valeur comptable (capitaux propres de 142,6 Mds FCFA), ce qui constitue historiquement un signal d'opportunité potentielle, bien qu'il puisse aussi refléter une défiance sur la qualité des actifs ou les perspectives. Enfin, l'EV/EBITDA de 4,0x, très inférieur au seuil de 5x, traduit une valorisation d'entreprise particulièrement bon marché au regard de sa capacité opérationnelle à générer de l'EBE (33,0 Mds FCFA en 2025), renforçant l'hypothèse d'une sous-évaluation relative du titre.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PALC affiche une variation totale positive de +2,47 %, avec une dernière séance (J-1) stable à +0,00 %, clôturant à 8 300 FCFA. Le range de trading est particulièrement large, avec un plus haut à 9 640 FCFA et un plus bas à 7 000 FCFA, soit un écart de 2 640 FCFA (37,7 % du plus bas), témoignant d'une forte amplitude de négociation. La tendance générale apparaît baissière sur la seconde partie de la période, le cours actuel (8 300 FCFA) se situant nettement en dessous de la moyenne (8 536 FCFA) et de la médiane (8 690 FCFA), ce qui traduit une pression vendeuse récente. L'écart entre moyenne et médiane (154 FCFA) est modéré, mais le mode à 7 800 FCFA — bien inférieur au cours actuel — suggère que le niveau de prix le plus fréquemment traité se situe en dessous du cours actuel, indice d'une possible résistance à la hausse. L'écart-type de 573 FCFA avec un coefficient de variation de 6,7 % indique une dispersion modérée autour de la moyenne, tandis que le kurtosis de -0,531 (mésokurtique) signale une distribution proche de la normale, sans risque majeur de pics extrêmes, et le skewness de -0,362 (distribution symétrique) confirme l'absence d'asymétrie marquée. La volatilité annualisée de 37,2 % classe le titre dans la catégorie à volatilité élevée (&gt;30 %), ce qui implique un risque de prix significatif et justifie une approche prudente en matière de dimensionnement de position.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(9 106,25 FCFA) et la MM50 (8 941,40 FCFA) se situent toutes deux au-dessus du cours actuel (8 300 FCFA), ce qui place le titre en position baissière à court et moyen terme. Toutefois, la MM20 étant supérieure à la MM50, la configuration reste théoriquement haussière sur la structure des moyennes, ce qui explique la décision « Achat » générée, mais cette dernière doit être nuancée par le fait que le cours évolue sous les deux moyennes — signal de faiblesse relative.</w:t>
      </w:r>
    </w:p>
    <w:p>
      <w:pPr>
        <w:spacing w:after="120" w:line="276" w:lineRule="auto"/>
      </w:pPr>
      <w:r>
        <w:t>**Bandes de Bollinger** : Le cours (8 300 FCFA) se situe juste au-dessus de la borne inférieure (8 244,64 FCFA) et très loin de la borne supérieure (9 967,86 FCFA), ce qui indique une pression baissière marquée et une possible situation de survente technique. La largeur des bandes (1 723 FCFA) reflète une volatilité élevée, cohérente avec la volatilité annualisée de 37,2 %, et la décision « Neutre » suggère que le titre n'est ni en zone d'achat agressive ni en zone de vente forcée selon cet indicateur.</w:t>
      </w:r>
    </w:p>
    <w:p>
      <w:pPr>
        <w:spacing w:after="120" w:line="276" w:lineRule="auto"/>
      </w:pPr>
      <w:r>
        <w:t>**MACD** : La valeur du MACD (-157,78) est nettement inférieure à son signal (-23,34), confirmant un momentum baissier prononcé et une divergence négative persistante. La décision « Vente » générée par cet indicateur est cohérente avec la position du cours sous les moyennes mobiles et traduit une dynamique de court terme défavorable, bien que l'amplitude de l'écart puisse annoncer un épuisement progressif de la tendance baissière.</w:t>
      </w:r>
    </w:p>
    <w:p>
      <w:pPr>
        <w:spacing w:after="120" w:line="276" w:lineRule="auto"/>
      </w:pPr>
      <w:r>
        <w:t>**RSI** : À 21,09, le RSI se situe très en dessous du seuil de survente (30), ce qui constitue un signal d'achat technique fort selon la décision générée. Un RSI aussi bas indique que le titre a été massivement vendu et qu'un rebond technique est statistiquement probable à court terme, bien que dans un contexte de tendance baissière, un RSI bas puisse persister.</w:t>
      </w:r>
    </w:p>
    <w:p>
      <w:pPr>
        <w:spacing w:after="120" w:line="276" w:lineRule="auto"/>
      </w:pPr>
      <w:r>
        <w:t>**Stochastique** : Les valeurs %K et %D sont toutes deux à 0,0, ce qui place l'indicateur en zone de survente extrême et génère une décision « Achat ». Un stochastique à zéro est un signal de retournement potentiel, mais il doit être confirmé par un croisement haussier des deux lignes, ce qui n'est pas encore observable.</w:t>
      </w:r>
    </w:p>
    <w:p>
      <w:pPr>
        <w:spacing w:after="120" w:line="276" w:lineRule="auto"/>
      </w:pPr>
      <w:r>
        <w:t>**Conclusion technique** : Les indicateurs techniques présentent une divergence notable : le MACD et les moyennes mobiles plaident pour une poursuite de la baisse, tandis que le RSI et le stochastique signalent une survente extrême propice à un rebond. Les Bandes de Bollinger confirment cette tension en positionnant le cours près de la borne inférieure. Cette configuration suggère un possible point d'inflexion à court terme, mais la prudence reste de mise tant que le cours n'aura pas reconquis la MM20 (9 106 FCFA) pour valider un retournement durable.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PALC (PALMCI S.A.) a réalisé un chiffre d'affaires de 197,63 milliards FCFA, en croissance de +14,8 % par rapport à 2024 (172,2 Mds FCFA), portée principalement par les ventes de produits fabriqués (+10,2 %) et une hausse des prix de vente de l'huile de palme brute. Le résultat net s'établit à 15,51 milliards FCFA, en léger recul de -2,2 % par rapport à 2024 (15,9 Mds FCFA), avec une marge nette de 7,85 % (contre 9,2 % en 2024), sous l'effet d'une pression sur les coûts (charges de personnel +4,0 %, services extérieurs +30,3 %, impôts +56,8 %). Le ROE de 10,87 % et le ROA de 7,79 % traduisent une rentabilité correcte mais en deçà du seuil d'excellence (&gt;15 % pour le ROE), reflétant la maturité du modèle et l'intensité capitalistique du secteur. La structure financière demeure très solide, avec une autonomie financière de 71,64 % (capitaux propres de 142,64 Mds FCFA pour un total bilan de 199,12 Mds FCFA), une dette financière réduite à 796,56 millions FCFA (contre 4,0 Mds FCFA en 2024) et une capacité de remboursement de 0,03 an. Le BFR de 44,62 Mds FCFA — positif — et le délai client élevé de 142,58 jours constituent un point de vigilance majeur pour la trésorerie, d'autant que la trésorerie nette est négative à -4,56 Mds FCFA, bien que le flux opérationnel de 38,74 Mds FCFA couvre largement les investissements (-19,69 Mds FCFA) et les dividendes. Les rapports trimestriels de 2025 confirment une dynamique contrastée : le T1 2025 (publié le 31/03/2025) affichait un CA de 67,5 Mds FCFA (+32 %) et un résultat net de 11,6 Mds FCFA (+65 %), le S1 2025 (publié le 30/06/2025) un CA de 134,8 Mds FCFA (+25 %) et un résultat net de 22,9 Mds FCFA (+37 %), et le T3 2025 (publié le 30/09/2025) un CA cumulé de 168,9 Mds FCFA (+18 %) pour un résultat net de 18,0 Mds FCFA (+11 %). L'analyse de ces rapports révèle un ralentissement progressif de la croissance et une compression des marges au fil de l'année 2025, le T3 ayant été particulièrement impacté. Plus préoccupant, le rapport T1 2026 (publié en 2026) fait état d'un effondrement du CA de -27 % à 49,4 Mds FCFA et d'une chute du résultat net de -86 % à 1,6 Mds FCFA, que la direction attribue à un décalage temporel des ventes plutôt qu'à un problème structurel. Sur la base de ce T1 2026, on estime que l'exercice 2026 pourrait être nettement en retrait par rapport à 2025 si le redressement attendu au T2 ne se matérialise pas, avec un risque de résultat net annuel inférieur à 10 Mds FCFA dans le scénario pessimiste. La recommandation fondamentale est de **conserver** le titre avec une surveillance active : la solidité du bilan et la position dominante sur le marché ouest-africain de l'huile de palme constituent des atouts majeurs, mais la dégradation récente des marges, la trésorerie nette négative et l'effondrement du T1 2026 imposent une grande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PALC présente un profil attractif avec un PER de 8,3x (bas de fourchette BRVM), un P/B de 0,90x (sous la valeur comptable) et un EV/EBITDA de 4,0x (très bon marché), suggérant une sous-évaluation potentielle. Cependant, le comportement du cours sur 100 jours révèle une tendance baissière récente (cours sous la moyenne et la médiane), une volatilité élevée (37,2 %) et une distribution symétrique sans risque de pics extrêmes, ce qui est préoccupant à court terme. Les signaux techniques sont divergents : le MACD et les moyennes mobiles confirment la pression baissière, tandis que le RSI (21,09) et le stochastique (0,0) signalent une survente extrême propice à un rebond technique, sans convergence claire. Les fondamentaux de 2025 montrent une croissance du CA (+14,8 %) mais une compression des marges (marge nette à 7,85 %) et un ROE de 10,87 %, tandis que le T1 2026 (CA -27 %, résultat net -86 %) constitue un signal d'alerte majeur qui pourrait compromettre la trajectoire bénéficiaire de 2026. Les prédictions IA pour les 10 prochains jours (8 306 → 8 252 FCFA) anticipent une légère dérive baissière, confirmant la pression technique actuelle mais sans effondrement. Sur la base de cette synthèse globale, la recommandation finale est **CONSERVER**, avec un niveau de confiance **Moyen** et un risque global **Élevé**. La convergence entre la sous-évaluation (Partie 0) et la survente technique (Partie 2) plaide pour un maintien de la position en vue d'un rebond, mais la dégradation fondamentale (Partie 3) et les prédictions baissières (Partie 4) incitent à la prudence. L'horizon d'investissement optimal est le **moyen terme (3-12 mois)**, avec un suivi trimestriel impératif des marges, de la trésorerie et des volumes de ventes pour ajuster la position en fonction de la confirmation ou de l'infirmation du redressement attendu au T2 2026.</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44.90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866 titres</w:t>
            </w:r>
          </w:p>
        </w:tc>
        <w:tc>
          <w:tcPr>
            <w:tcW w:type="dxa" w:w="2268"/>
            <w:shd w:fill="FFF2CC" w:val="clear"/>
          </w:tcPr>
          <w:p>
            <w:r>
              <w:rPr>
                <w:b/>
                <w:color w:val="503200"/>
                <w:sz w:val="16"/>
              </w:rPr>
              <w:t xml:space="preserve">Cours actuel : </w:t>
            </w:r>
            <w:r>
              <w:rPr>
                <w:color w:val="000000"/>
                <w:sz w:val="17"/>
              </w:rPr>
              <w:t>4,385 FCFA</w:t>
            </w:r>
          </w:p>
          <w:p>
            <w:r>
              <w:rPr>
                <w:b/>
                <w:color w:val="503200"/>
                <w:sz w:val="16"/>
              </w:rPr>
              <w:t xml:space="preserve">Var. 100 jours : </w:t>
            </w:r>
            <w:r>
              <w:rPr>
                <w:b/>
                <w:color w:val="B40000"/>
                <w:sz w:val="17"/>
              </w:rPr>
              <w:t>-10.51%</w:t>
            </w:r>
          </w:p>
          <w:p>
            <w:r>
              <w:rPr>
                <w:b/>
                <w:color w:val="503200"/>
                <w:sz w:val="16"/>
              </w:rPr>
              <w:t xml:space="preserve">Plus haut 100j : </w:t>
            </w:r>
            <w:r>
              <w:rPr>
                <w:color w:val="000000"/>
                <w:sz w:val="17"/>
              </w:rPr>
              <w:t>4,900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38.9%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23.3/100 → Moyen</w:t>
      </w:r>
    </w:p>
    <w:p>
      <w:pPr>
        <w:spacing w:before="40" w:after="80"/>
      </w:pPr>
      <w:r>
        <w:rPr>
          <w:rFonts w:ascii="Courier New" w:hAnsi="Courier New"/>
          <w:color w:val="825A00"/>
          <w:sz w:val="18"/>
        </w:rPr>
        <w:t>████░░░░░░░░░░░░░░░░  23.3/100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6.85% (Moyenne) — μ=4,391 FCFA, σ=301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β=-0.2487 (Contre-cyclique) — Cov=-0.000009, Var(idx)=0.000035, ρ=-0.060,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866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σ_j=2.45%/j (Stable) — Vol. annualisée≈38.9%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4,275</w:t>
            </w:r>
          </w:p>
        </w:tc>
        <w:tc>
          <w:tcPr>
            <w:tcW w:type="dxa" w:w="1440"/>
            <w:shd w:fill="FAFAFA" w:val="clear"/>
          </w:tcPr>
          <w:p>
            <w:r>
              <w:rPr>
                <w:b/>
                <w:sz w:val="17"/>
              </w:rPr>
              <w:t>4,368</w:t>
            </w:r>
          </w:p>
        </w:tc>
        <w:tc>
          <w:tcPr>
            <w:tcW w:type="dxa" w:w="1440"/>
            <w:shd w:fill="FAFAFA" w:val="clear"/>
          </w:tcPr>
          <w:p>
            <w:r>
              <w:rPr>
                <w:sz w:val="17"/>
              </w:rPr>
              <w:t>4,461</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4,223</w:t>
            </w:r>
          </w:p>
        </w:tc>
        <w:tc>
          <w:tcPr>
            <w:tcW w:type="dxa" w:w="1440"/>
            <w:shd w:fill="FAFAFA" w:val="clear"/>
          </w:tcPr>
          <w:p>
            <w:r>
              <w:rPr>
                <w:b/>
                <w:sz w:val="17"/>
              </w:rPr>
              <w:t>4,354</w:t>
            </w:r>
          </w:p>
        </w:tc>
        <w:tc>
          <w:tcPr>
            <w:tcW w:type="dxa" w:w="1440"/>
            <w:shd w:fill="FAFAFA" w:val="clear"/>
          </w:tcPr>
          <w:p>
            <w:r>
              <w:rPr>
                <w:sz w:val="17"/>
              </w:rPr>
              <w:t>4,485</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4,180</w:t>
            </w:r>
          </w:p>
        </w:tc>
        <w:tc>
          <w:tcPr>
            <w:tcW w:type="dxa" w:w="1440"/>
            <w:shd w:fill="FAFAFA" w:val="clear"/>
          </w:tcPr>
          <w:p>
            <w:r>
              <w:rPr>
                <w:b/>
                <w:sz w:val="17"/>
              </w:rPr>
              <w:t>4,340</w:t>
            </w:r>
          </w:p>
        </w:tc>
        <w:tc>
          <w:tcPr>
            <w:tcW w:type="dxa" w:w="1440"/>
            <w:shd w:fill="FAFAFA" w:val="clear"/>
          </w:tcPr>
          <w:p>
            <w:r>
              <w:rPr>
                <w:sz w:val="17"/>
              </w:rPr>
              <w:t>4,500</w:t>
            </w:r>
          </w:p>
        </w:tc>
        <w:tc>
          <w:tcPr>
            <w:tcW w:type="dxa" w:w="1440"/>
            <w:shd w:fill="FAFAFA" w:val="clear"/>
          </w:tcPr>
          <w:p>
            <w:r>
              <w:rPr>
                <w:b/>
                <w:color w:val="C00000"/>
                <w:sz w:val="17"/>
              </w:rPr>
              <w:t>-1.0%</w:t>
            </w:r>
          </w:p>
        </w:tc>
      </w:tr>
      <w:tr>
        <w:tc>
          <w:tcPr>
            <w:tcW w:type="dxa" w:w="1440"/>
            <w:shd w:fill="FAFAFA" w:val="clear"/>
          </w:tcPr>
          <w:p>
            <w:r>
              <w:rPr>
                <w:sz w:val="17"/>
              </w:rPr>
              <w:t>J+4  Moyenne</w:t>
            </w:r>
          </w:p>
        </w:tc>
        <w:tc>
          <w:tcPr>
            <w:tcW w:type="dxa" w:w="1440"/>
            <w:shd w:fill="FAFAFA" w:val="clear"/>
          </w:tcPr>
          <w:p>
            <w:r>
              <w:rPr>
                <w:sz w:val="17"/>
              </w:rPr>
              <w:t>2026-09-17</w:t>
            </w:r>
          </w:p>
        </w:tc>
        <w:tc>
          <w:tcPr>
            <w:tcW w:type="dxa" w:w="1440"/>
            <w:shd w:fill="FAFAFA" w:val="clear"/>
          </w:tcPr>
          <w:p>
            <w:r>
              <w:rPr>
                <w:sz w:val="17"/>
              </w:rPr>
              <w:t>4,143</w:t>
            </w:r>
          </w:p>
        </w:tc>
        <w:tc>
          <w:tcPr>
            <w:tcW w:type="dxa" w:w="1440"/>
            <w:shd w:fill="FAFAFA" w:val="clear"/>
          </w:tcPr>
          <w:p>
            <w:r>
              <w:rPr>
                <w:b/>
                <w:sz w:val="17"/>
              </w:rPr>
              <w:t>4,327</w:t>
            </w:r>
          </w:p>
        </w:tc>
        <w:tc>
          <w:tcPr>
            <w:tcW w:type="dxa" w:w="1440"/>
            <w:shd w:fill="FAFAFA" w:val="clear"/>
          </w:tcPr>
          <w:p>
            <w:r>
              <w:rPr>
                <w:sz w:val="17"/>
              </w:rPr>
              <w:t>4,512</w:t>
            </w:r>
          </w:p>
        </w:tc>
        <w:tc>
          <w:tcPr>
            <w:tcW w:type="dxa" w:w="1440"/>
            <w:shd w:fill="FAFAFA" w:val="clear"/>
          </w:tcPr>
          <w:p>
            <w:r>
              <w:rPr>
                <w:b/>
                <w:color w:val="C00000"/>
                <w:sz w:val="17"/>
              </w:rPr>
              <w:t>-1.3%</w:t>
            </w:r>
          </w:p>
        </w:tc>
      </w:tr>
      <w:tr>
        <w:tc>
          <w:tcPr>
            <w:tcW w:type="dxa" w:w="1440"/>
            <w:shd w:fill="FAFAFA" w:val="clear"/>
          </w:tcPr>
          <w:p>
            <w:r>
              <w:rPr>
                <w:sz w:val="17"/>
              </w:rPr>
              <w:t>J+5  Moyenne</w:t>
            </w:r>
          </w:p>
        </w:tc>
        <w:tc>
          <w:tcPr>
            <w:tcW w:type="dxa" w:w="1440"/>
            <w:shd w:fill="FAFAFA" w:val="clear"/>
          </w:tcPr>
          <w:p>
            <w:r>
              <w:rPr>
                <w:sz w:val="17"/>
              </w:rPr>
              <w:t>2026-09-18</w:t>
            </w:r>
          </w:p>
        </w:tc>
        <w:tc>
          <w:tcPr>
            <w:tcW w:type="dxa" w:w="1440"/>
            <w:shd w:fill="FAFAFA" w:val="clear"/>
          </w:tcPr>
          <w:p>
            <w:r>
              <w:rPr>
                <w:sz w:val="17"/>
              </w:rPr>
              <w:t>4,109</w:t>
            </w:r>
          </w:p>
        </w:tc>
        <w:tc>
          <w:tcPr>
            <w:tcW w:type="dxa" w:w="1440"/>
            <w:shd w:fill="FAFAFA" w:val="clear"/>
          </w:tcPr>
          <w:p>
            <w:r>
              <w:rPr>
                <w:b/>
                <w:sz w:val="17"/>
              </w:rPr>
              <w:t>4,315</w:t>
            </w:r>
          </w:p>
        </w:tc>
        <w:tc>
          <w:tcPr>
            <w:tcW w:type="dxa" w:w="1440"/>
            <w:shd w:fill="FAFAFA" w:val="clear"/>
          </w:tcPr>
          <w:p>
            <w:r>
              <w:rPr>
                <w:sz w:val="17"/>
              </w:rPr>
              <w:t>4,520</w:t>
            </w:r>
          </w:p>
        </w:tc>
        <w:tc>
          <w:tcPr>
            <w:tcW w:type="dxa" w:w="1440"/>
            <w:shd w:fill="FAFAFA" w:val="clear"/>
          </w:tcPr>
          <w:p>
            <w:r>
              <w:rPr>
                <w:b/>
                <w:color w:val="C00000"/>
                <w:sz w:val="17"/>
              </w:rPr>
              <w:t>-1.6%</w:t>
            </w:r>
          </w:p>
        </w:tc>
      </w:tr>
      <w:tr>
        <w:tc>
          <w:tcPr>
            <w:tcW w:type="dxa" w:w="1440"/>
            <w:shd w:fill="FAFAFA" w:val="clear"/>
          </w:tcPr>
          <w:p>
            <w:r>
              <w:rPr>
                <w:sz w:val="17"/>
              </w:rPr>
              <w:t>J+6  Moyenne</w:t>
            </w:r>
          </w:p>
        </w:tc>
        <w:tc>
          <w:tcPr>
            <w:tcW w:type="dxa" w:w="1440"/>
            <w:shd w:fill="FAFAFA" w:val="clear"/>
          </w:tcPr>
          <w:p>
            <w:r>
              <w:rPr>
                <w:sz w:val="17"/>
              </w:rPr>
              <w:t>2026-09-21</w:t>
            </w:r>
          </w:p>
        </w:tc>
        <w:tc>
          <w:tcPr>
            <w:tcW w:type="dxa" w:w="1440"/>
            <w:shd w:fill="FAFAFA" w:val="clear"/>
          </w:tcPr>
          <w:p>
            <w:r>
              <w:rPr>
                <w:sz w:val="17"/>
              </w:rPr>
              <w:t>4,078</w:t>
            </w:r>
          </w:p>
        </w:tc>
        <w:tc>
          <w:tcPr>
            <w:tcW w:type="dxa" w:w="1440"/>
            <w:shd w:fill="FAFAFA" w:val="clear"/>
          </w:tcPr>
          <w:p>
            <w:r>
              <w:rPr>
                <w:b/>
                <w:sz w:val="17"/>
              </w:rPr>
              <w:t>4,303</w:t>
            </w:r>
          </w:p>
        </w:tc>
        <w:tc>
          <w:tcPr>
            <w:tcW w:type="dxa" w:w="1440"/>
            <w:shd w:fill="FAFAFA" w:val="clear"/>
          </w:tcPr>
          <w:p>
            <w:r>
              <w:rPr>
                <w:sz w:val="17"/>
              </w:rPr>
              <w:t>4,527</w:t>
            </w:r>
          </w:p>
        </w:tc>
        <w:tc>
          <w:tcPr>
            <w:tcW w:type="dxa" w:w="1440"/>
            <w:shd w:fill="FAFAFA" w:val="clear"/>
          </w:tcPr>
          <w:p>
            <w:r>
              <w:rPr>
                <w:b/>
                <w:color w:val="C00000"/>
                <w:sz w:val="17"/>
              </w:rPr>
              <w:t>-1.9%</w:t>
            </w:r>
          </w:p>
        </w:tc>
      </w:tr>
      <w:tr>
        <w:tc>
          <w:tcPr>
            <w:tcW w:type="dxa" w:w="1440"/>
            <w:shd w:fill="FFDCE0" w:val="clear"/>
          </w:tcPr>
          <w:p>
            <w:r>
              <w:rPr>
                <w:sz w:val="17"/>
              </w:rPr>
              <w:t>J+7  Moyenne</w:t>
            </w:r>
          </w:p>
        </w:tc>
        <w:tc>
          <w:tcPr>
            <w:tcW w:type="dxa" w:w="1440"/>
            <w:shd w:fill="FFDCE0" w:val="clear"/>
          </w:tcPr>
          <w:p>
            <w:r>
              <w:rPr>
                <w:sz w:val="17"/>
              </w:rPr>
              <w:t>2026-09-22</w:t>
            </w:r>
          </w:p>
        </w:tc>
        <w:tc>
          <w:tcPr>
            <w:tcW w:type="dxa" w:w="1440"/>
            <w:shd w:fill="FFDCE0" w:val="clear"/>
          </w:tcPr>
          <w:p>
            <w:r>
              <w:rPr>
                <w:sz w:val="17"/>
              </w:rPr>
              <w:t>4,050</w:t>
            </w:r>
          </w:p>
        </w:tc>
        <w:tc>
          <w:tcPr>
            <w:tcW w:type="dxa" w:w="1440"/>
            <w:shd w:fill="FFDCE0" w:val="clear"/>
          </w:tcPr>
          <w:p>
            <w:r>
              <w:rPr>
                <w:b/>
                <w:sz w:val="17"/>
              </w:rPr>
              <w:t>4,291</w:t>
            </w:r>
          </w:p>
        </w:tc>
        <w:tc>
          <w:tcPr>
            <w:tcW w:type="dxa" w:w="1440"/>
            <w:shd w:fill="FFDCE0" w:val="clear"/>
          </w:tcPr>
          <w:p>
            <w:r>
              <w:rPr>
                <w:sz w:val="17"/>
              </w:rPr>
              <w:t>4,533</w:t>
            </w:r>
          </w:p>
        </w:tc>
        <w:tc>
          <w:tcPr>
            <w:tcW w:type="dxa" w:w="1440"/>
            <w:shd w:fill="FFDCE0" w:val="clear"/>
          </w:tcPr>
          <w:p>
            <w:r>
              <w:rPr>
                <w:b/>
                <w:color w:val="C00000"/>
                <w:sz w:val="17"/>
              </w:rPr>
              <w:t>-2.1%</w:t>
            </w:r>
          </w:p>
        </w:tc>
      </w:tr>
      <w:tr>
        <w:tc>
          <w:tcPr>
            <w:tcW w:type="dxa" w:w="1440"/>
            <w:shd w:fill="FFDCE0" w:val="clear"/>
          </w:tcPr>
          <w:p>
            <w:r>
              <w:rPr>
                <w:sz w:val="17"/>
              </w:rPr>
              <w:t>J+8  Moyenne</w:t>
            </w:r>
          </w:p>
        </w:tc>
        <w:tc>
          <w:tcPr>
            <w:tcW w:type="dxa" w:w="1440"/>
            <w:shd w:fill="FFDCE0" w:val="clear"/>
          </w:tcPr>
          <w:p>
            <w:r>
              <w:rPr>
                <w:sz w:val="17"/>
              </w:rPr>
              <w:t>2026-09-23</w:t>
            </w:r>
          </w:p>
        </w:tc>
        <w:tc>
          <w:tcPr>
            <w:tcW w:type="dxa" w:w="1440"/>
            <w:shd w:fill="FFDCE0" w:val="clear"/>
          </w:tcPr>
          <w:p>
            <w:r>
              <w:rPr>
                <w:sz w:val="17"/>
              </w:rPr>
              <w:t>4,022</w:t>
            </w:r>
          </w:p>
        </w:tc>
        <w:tc>
          <w:tcPr>
            <w:tcW w:type="dxa" w:w="1440"/>
            <w:shd w:fill="FFDCE0" w:val="clear"/>
          </w:tcPr>
          <w:p>
            <w:r>
              <w:rPr>
                <w:b/>
                <w:sz w:val="17"/>
              </w:rPr>
              <w:t>4,280</w:t>
            </w:r>
          </w:p>
        </w:tc>
        <w:tc>
          <w:tcPr>
            <w:tcW w:type="dxa" w:w="1440"/>
            <w:shd w:fill="FFDCE0" w:val="clear"/>
          </w:tcPr>
          <w:p>
            <w:r>
              <w:rPr>
                <w:sz w:val="17"/>
              </w:rPr>
              <w:t>4,538</w:t>
            </w:r>
          </w:p>
        </w:tc>
        <w:tc>
          <w:tcPr>
            <w:tcW w:type="dxa" w:w="1440"/>
            <w:shd w:fill="FFDCE0" w:val="clear"/>
          </w:tcPr>
          <w:p>
            <w:r>
              <w:rPr>
                <w:b/>
                <w:color w:val="C00000"/>
                <w:sz w:val="17"/>
              </w:rPr>
              <w:t>-2.4%</w:t>
            </w:r>
          </w:p>
        </w:tc>
      </w:tr>
      <w:tr>
        <w:tc>
          <w:tcPr>
            <w:tcW w:type="dxa" w:w="1440"/>
            <w:shd w:fill="FFDCE0" w:val="clear"/>
          </w:tcPr>
          <w:p>
            <w:r>
              <w:rPr>
                <w:sz w:val="17"/>
              </w:rPr>
              <w:t>J+9  Moyenne</w:t>
            </w:r>
          </w:p>
        </w:tc>
        <w:tc>
          <w:tcPr>
            <w:tcW w:type="dxa" w:w="1440"/>
            <w:shd w:fill="FFDCE0" w:val="clear"/>
          </w:tcPr>
          <w:p>
            <w:r>
              <w:rPr>
                <w:sz w:val="17"/>
              </w:rPr>
              <w:t>2026-09-24</w:t>
            </w:r>
          </w:p>
        </w:tc>
        <w:tc>
          <w:tcPr>
            <w:tcW w:type="dxa" w:w="1440"/>
            <w:shd w:fill="FFDCE0" w:val="clear"/>
          </w:tcPr>
          <w:p>
            <w:r>
              <w:rPr>
                <w:sz w:val="17"/>
              </w:rPr>
              <w:t>3,997</w:t>
            </w:r>
          </w:p>
        </w:tc>
        <w:tc>
          <w:tcPr>
            <w:tcW w:type="dxa" w:w="1440"/>
            <w:shd w:fill="FFDCE0" w:val="clear"/>
          </w:tcPr>
          <w:p>
            <w:r>
              <w:rPr>
                <w:b/>
                <w:sz w:val="17"/>
              </w:rPr>
              <w:t>4,269</w:t>
            </w:r>
          </w:p>
        </w:tc>
        <w:tc>
          <w:tcPr>
            <w:tcW w:type="dxa" w:w="1440"/>
            <w:shd w:fill="FFDCE0" w:val="clear"/>
          </w:tcPr>
          <w:p>
            <w:r>
              <w:rPr>
                <w:sz w:val="17"/>
              </w:rPr>
              <w:t>4,542</w:t>
            </w:r>
          </w:p>
        </w:tc>
        <w:tc>
          <w:tcPr>
            <w:tcW w:type="dxa" w:w="1440"/>
            <w:shd w:fill="FFDCE0" w:val="clear"/>
          </w:tcPr>
          <w:p>
            <w:r>
              <w:rPr>
                <w:b/>
                <w:color w:val="C00000"/>
                <w:sz w:val="17"/>
              </w:rPr>
              <w:t>-2.6%</w:t>
            </w:r>
          </w:p>
        </w:tc>
      </w:tr>
      <w:tr>
        <w:tc>
          <w:tcPr>
            <w:tcW w:type="dxa" w:w="1440"/>
            <w:shd w:fill="FFDCE0" w:val="clear"/>
          </w:tcPr>
          <w:p>
            <w:r>
              <w:rPr>
                <w:sz w:val="17"/>
              </w:rPr>
              <w:t>J+10  Moyenne</w:t>
            </w:r>
          </w:p>
        </w:tc>
        <w:tc>
          <w:tcPr>
            <w:tcW w:type="dxa" w:w="1440"/>
            <w:shd w:fill="FFDCE0" w:val="clear"/>
          </w:tcPr>
          <w:p>
            <w:r>
              <w:rPr>
                <w:sz w:val="17"/>
              </w:rPr>
              <w:t>2026-09-25</w:t>
            </w:r>
          </w:p>
        </w:tc>
        <w:tc>
          <w:tcPr>
            <w:tcW w:type="dxa" w:w="1440"/>
            <w:shd w:fill="FFDCE0" w:val="clear"/>
          </w:tcPr>
          <w:p>
            <w:r>
              <w:rPr>
                <w:sz w:val="17"/>
              </w:rPr>
              <w:t>3,972</w:t>
            </w:r>
          </w:p>
        </w:tc>
        <w:tc>
          <w:tcPr>
            <w:tcW w:type="dxa" w:w="1440"/>
            <w:shd w:fill="FFDCE0" w:val="clear"/>
          </w:tcPr>
          <w:p>
            <w:r>
              <w:rPr>
                <w:b/>
                <w:sz w:val="17"/>
              </w:rPr>
              <w:t>4,259</w:t>
            </w:r>
          </w:p>
        </w:tc>
        <w:tc>
          <w:tcPr>
            <w:tcW w:type="dxa" w:w="1440"/>
            <w:shd w:fill="FFDCE0" w:val="clear"/>
          </w:tcPr>
          <w:p>
            <w:r>
              <w:rPr>
                <w:sz w:val="17"/>
              </w:rPr>
              <w:t>4,546</w:t>
            </w:r>
          </w:p>
        </w:tc>
        <w:tc>
          <w:tcPr>
            <w:tcW w:type="dxa" w:w="1440"/>
            <w:shd w:fill="FFDCE0" w:val="clear"/>
          </w:tcPr>
          <w:p>
            <w:r>
              <w:rPr>
                <w:b/>
                <w:color w:val="C00000"/>
                <w:sz w:val="17"/>
              </w:rPr>
              <w:t>-2.9%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44,90 milliards FCFA, PRSC se positionne comme une valeur de taille intermédiaire sur le compartiment des sociétés non-financières de la BRVM, représentant un poids modeste dans l'indice composite. Le BPA de 231 FCFA/action signifie que chaque titre génère près de 231 FCFA de bénéfice net, ce qui, rapporté au cours actuel de 4 385 FCFA, donne un PER de 19,0x — nettement supérieur à la moyenne BRVM (8-12x), traduisant une prime de valorisation que les investisseurs accordent à la qualité de la franchise Tractafric. Le P/B de 3,89x confirme cette lecture : le marché valorise l'entreprise à près de quatre fois sa valeur comptable (capitaux propres de 11,53 Mds FCFA), ce qui est élevé pour un distributeur automobile mais justifié par la solidité du ROE (20,53%). L'EV/EBITDA de 9,7x, situé dans la fourchette raisonnable de 5-10x, indique que la valeur d'entreprise reste cohérente avec la capacité opérationnelle de génération de cash-flow, bien que le multiple soit en haut de fourchette.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PRSC affiche une variation totale de -10,51%, avec une dernière séance en repli de -0,34%, confirmant une tendance baissière de fond. Le titre évolue dans un range de trading large de 1 280 FCFA, entre un plus bas de 3 620 FCFA et un plus haut de 4 900 FCFA, ce qui traduit une forte amplitude de fluctuation sur la période. La moyenne (4 391 FCFA) est légèrement inférieure à la médiane (4 460 FCFA), avec un mode à 4 400 FCFA : cet écart signale une distribution légèrement asymétrique, les cours ayant passé plus de temps dans la partie haute du range avant de chuter en fin de période. L'écart-type de 302 FCFA et le coefficient de variation de 6,9% indiquent une dispersion modérée du cours autour de sa moyenne, tandis que le kurtosis de 0,764 (mésokurtique) suggère une distribution proche de la normale, sans risque extrême de pics. En revanche, le skewness de -1,041 (asymétrie négative) est préoccupant : il révèle que les journées de baisse ont été plus fréquentes et plus amples que les journées de hausse, confirmant la pression vendeuse. Avec une volatilité annualisée de 38,9%, le titre se classe dans la catégorie des valeurs à volatilité élevée (&gt;30%), ce qui implique un risque de perte en capital significatif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(4 443 FCFA) et la MM50 (4 464,8 FCFA) sont toutes deux supérieures au cours actuel de 4 385 FCFA, et la MM20 est passée sous la MM50, configurant un croisement baissier (death cross). Cette configuration confirme la décision de **Vente** : le titre évolue sous ses deux moyennes, qui agissent désormais comme résistances dynamiques.</w:t>
      </w:r>
    </w:p>
    <w:p>
      <w:pPr>
        <w:spacing w:after="120" w:line="276" w:lineRule="auto"/>
      </w:pPr>
      <w:r>
        <w:t>**Bandes de Bollinger** : Le cours (4 385 FCFA) se situe dans la moitié inférieure de la bande, entre la borne inférieure (4 325,82 FCFA) et la borne supérieure (4 560,18 FCFA), sans en toucher les extrêmes. La décision **Neutre** reflète l'absence de signal de survente ou de surachat, mais la position basse du cours dans le canal suggère une pression baissière persistante.</w:t>
      </w:r>
    </w:p>
    <w:p>
      <w:pPr>
        <w:spacing w:after="120" w:line="276" w:lineRule="auto"/>
      </w:pPr>
      <w:r>
        <w:t>**MACD** : La valeur du MACD (-20,73) est inférieure à son signal (-14,916), avec un histogramme négatif — configuration baissière classique. Le momentum reste négatif et la divergence entre les deux lignes ne montre aucun signe de retournement imminent, justifiant la décision de **Vente**.</w:t>
      </w:r>
    </w:p>
    <w:p>
      <w:pPr>
        <w:spacing w:after="120" w:line="276" w:lineRule="auto"/>
      </w:pPr>
      <w:r>
        <w:t>**RSI** : À 43,411, le RSI se situe en zone neutre (30-70), sans signal de survente (&lt;30) ni de surachat (&gt;70). La décision **Neutre** indique que le titre n'est ni survendu ni suracheté, mais la pente descendante du RSI suggère une perte de momentum haussier.</w:t>
      </w:r>
    </w:p>
    <w:p>
      <w:pPr>
        <w:spacing w:after="120" w:line="276" w:lineRule="auto"/>
      </w:pPr>
      <w:r>
        <w:t>**Stochastique** : Le %K (17,5) est inférieur au %D (22,5), et les deux se situent en zone de survente (&lt;20 pour le %K). Cette configuration génère une décision d'**Achat** contrariante, signalant un possible rebond technique à court terme, bien que le croisement %K/%D reste baissier.</w:t>
      </w:r>
    </w:p>
    <w:p>
      <w:pPr>
        <w:spacing w:after="120" w:line="276" w:lineRule="auto"/>
      </w:pPr>
      <w:r>
        <w:t>**Conclusion technique** : Les indicateurs sont majoritairement baissiers (MM, MACD, position dans les Bollinger), avec un RSI neutre et un stochastique en survente qui offre une lueur d'espoir pour un rebond technique. La convergence des signaux négatifs l'emporte sur le signal contrariant du stochastique, mais la survente extrême du %K suggère qu'une capitulation de court terme n'est pas exclue avant un éventuel rebond.</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PRSC (Tractafric Motors Côte d'Ivoire) affiche un chiffre d'affaires de 81,127 milliards FCFA, en croissance de 8,64% sur un an, portée par la dynamique du marché automobile ivoirien. Le résultat net s'établit à 2,367 milliards FCFA, stable par rapport aux 2,35 milliards de 2024, avec une marge nette de 2,92% — faible mais en légère amélioration. Le ROE de 20,53% est excellent (&gt;15%), témoignant d'une rentabilité des fonds propres solide, tandis que le ROA de 4,95% reste modeste, reflétant l'intensité capitalistique du modèle de distribution. En tant qu'entreprise non-financière, les délais d'exploitation sont critiques : le délai clients de 46 jours est maîtrisé, mais le délai fournisseurs de 102,65 jours et la durée de stockage de 150,51 jours immobilisent un BFR de 11,267 milliards FCFA, financé par un fonds de roulement de 6,113 milliards FCFA — d'où une trésorerie nette négative de -4,092 milliards FCFA. La structure financière reste solvable (autonomie financière de 24,10%, solvabilité générale de 131,76%), mais le ratio d'endettement de 314,86% et la dépendance financière de 62,02% sont élevés. Les rapports narratifs confirment cette dynamique : le rapport du 30/06/2025 (S1 2025) indique un CA de 39,968 milliards FCFA (+15,1%) et un résultat net de 1,436 milliard FCFA (×28 vs S1 2024), avec une marge nette de 3,6% — une performance semestrielle exceptionnelle. Le rapport du 31/12/2025 (exercice 2025) confirme un CA de 81,1 milliards FCFA (+9,5%) et un résultat net de 2,37 milliards FCFA, avec un dividende proposé de 209 FCFA/action (rendement de 4,77% au cours actuel). Le rapport du 31/12/2024 (exercice 2024) montrait déjà une résilience avec un résultat net de 2,177 milliards FCFA (+6,5%) malgré une baisse du CA de -4,15%. **Estimation** : sur la base du S1 2025 (CA +15,1%, résultat net ×28), on peut estimer que l'exercice 2025 devrait confirmer une croissance annuelle du CA autour de 9-10% et un résultat net proche de 2,4 milliards FCFA, ce qui est cohérent avec les chiffres publiés. La recommandation fondamentale est **CONSERVER** : la société est solide, rentable et génère un dividende attractif, mais la faible marge nette (2,9%) et la tension sur la trésorerie (négative de -4,09 Mds FCFA) limitent le potentiel de revalorisation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indique une prime significative : PER de 19,0x (vs moyenne BRVM de 8-12x) et P/B de 3,89x, ce qui suggère que le marché a déjà intégré les bonnes perspectives de croissance, limitant le potentiel de hausse. Le comportement du cours (Partie 1) est préoccupant : tendance baissière (-10,51% sur 100 jours), skewness négatif (-1,041) indiquant une pression vendeuse persistante, et volatilité élevée (38,9%) — des statistiques défavorables à court terme. Les signaux techniques (Partie 2) sont majoritairement baissiers (MM, MACD, position dans les Bollinger), avec un RSI neutre et un stochastique en survente qui pourrait générer un rebond technique éphémère. Les fondamentaux (Partie 3) restent solides : CA de 81,1 Mds FCFA en 2025 (+8,64%), résultat net stable à 2,37 Mds FCFA, ROE de 20,53%, dividende de 209 FCFA/action (rendement de 4,77%) — mais la marge nette faible (2,92%) et la trésorerie négative (-4,09 Mds FCFA) constituent des points de vigilance. Les prédictions IA (J+1 à J+10) anticipent une poursuite de la baisse jusqu'à 4 315 FCFA le 18/09/2026, confirmant la tendance baissière de court terme. **Synthèse** : la convergence entre technique baissière, prédictions IA négatives et valorisation exigeante l'emporte sur la solidité fondamentale et le dividende attractif. **Recommandation finale : CONSERVER** (avec vigilance), justifiée par la qualité de la franchise et le rendement du dividende, mais l'absence de catalyseur haussier à court terme et la pression vendeuse persistante incitent à la prudence. **Niveau de confiance : Moyen** — les fondamentaux sont solides mais le momentum est clairement négatif. **Niveau de risque global : Élevé** — volatilité de 38,9%, trésorerie négative et endettement élevé (314,86%). **Horizon d'investissement optimal : Moyen terme (3-12 mois)** — le temps que la société confirme la pérennité de son dividende et que la pression technique se dissipe, avec un point d'entrée plus favorable vers 4 200-4 300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43.85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8,730 titres</w:t>
            </w:r>
          </w:p>
        </w:tc>
        <w:tc>
          <w:tcPr>
            <w:tcW w:type="dxa" w:w="2268"/>
            <w:shd w:fill="FFF2CC" w:val="clear"/>
          </w:tcPr>
          <w:p>
            <w:r>
              <w:rPr>
                <w:b/>
                <w:color w:val="503200"/>
                <w:sz w:val="16"/>
              </w:rPr>
              <w:t xml:space="preserve">Cours actuel : </w:t>
            </w:r>
            <w:r>
              <w:rPr>
                <w:color w:val="000000"/>
                <w:sz w:val="17"/>
              </w:rPr>
              <w:t>5,400 FCFA</w:t>
            </w:r>
          </w:p>
          <w:p>
            <w:r>
              <w:rPr>
                <w:b/>
                <w:color w:val="503200"/>
                <w:sz w:val="16"/>
              </w:rPr>
              <w:t xml:space="preserve">Var. 100 jours : </w:t>
            </w:r>
            <w:r>
              <w:rPr>
                <w:b/>
                <w:color w:val="B40000"/>
                <w:sz w:val="17"/>
              </w:rPr>
              <w:t>-0.46%</w:t>
            </w:r>
          </w:p>
          <w:p>
            <w:r>
              <w:rPr>
                <w:b/>
                <w:color w:val="503200"/>
                <w:sz w:val="16"/>
              </w:rPr>
              <w:t xml:space="preserve">Plus haut 100j : </w:t>
            </w:r>
            <w:r>
              <w:rPr>
                <w:color w:val="000000"/>
                <w:sz w:val="17"/>
              </w:rPr>
              <w:t>6,200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17.64% (Élevée) — μ=4,614 FCFA, σ=814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β=0.0172 (Défensif) — Cov=0.000001, Var(idx)=0.000035, ρ=0.002,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8,730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σ_j=5.10%/j (Instable) — Vol. annualisée≈81.0%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5,125</w:t>
            </w:r>
          </w:p>
        </w:tc>
        <w:tc>
          <w:tcPr>
            <w:tcW w:type="dxa" w:w="1440"/>
            <w:shd w:fill="FAFAFA" w:val="clear"/>
          </w:tcPr>
          <w:p>
            <w:r>
              <w:rPr>
                <w:b/>
                <w:sz w:val="17"/>
              </w:rPr>
              <w:t>5,478</w:t>
            </w:r>
          </w:p>
        </w:tc>
        <w:tc>
          <w:tcPr>
            <w:tcW w:type="dxa" w:w="1440"/>
            <w:shd w:fill="FAFAFA" w:val="clear"/>
          </w:tcPr>
          <w:p>
            <w:r>
              <w:rPr>
                <w:sz w:val="17"/>
              </w:rPr>
              <w:t>5,832</w:t>
            </w:r>
          </w:p>
        </w:tc>
        <w:tc>
          <w:tcPr>
            <w:tcW w:type="dxa" w:w="1440"/>
            <w:shd w:fill="FAFAFA" w:val="clear"/>
          </w:tcPr>
          <w:p>
            <w:r>
              <w:rPr>
                <w:b/>
                <w:color w:val="008000"/>
                <w:sz w:val="17"/>
              </w:rPr>
              <w:t>+1.5%</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4,929</w:t>
            </w:r>
          </w:p>
        </w:tc>
        <w:tc>
          <w:tcPr>
            <w:tcW w:type="dxa" w:w="1440"/>
            <w:shd w:fill="FAFAFA" w:val="clear"/>
          </w:tcPr>
          <w:p>
            <w:r>
              <w:rPr>
                <w:b/>
                <w:sz w:val="17"/>
              </w:rPr>
              <w:t>5,423</w:t>
            </w:r>
          </w:p>
        </w:tc>
        <w:tc>
          <w:tcPr>
            <w:tcW w:type="dxa" w:w="1440"/>
            <w:shd w:fill="FAFAFA" w:val="clear"/>
          </w:tcPr>
          <w:p>
            <w:r>
              <w:rPr>
                <w:sz w:val="17"/>
              </w:rPr>
              <w:t>5,918</w:t>
            </w:r>
          </w:p>
        </w:tc>
        <w:tc>
          <w:tcPr>
            <w:tcW w:type="dxa" w:w="1440"/>
            <w:shd w:fill="FAFAFA" w:val="clear"/>
          </w:tcPr>
          <w:p>
            <w:r>
              <w:rPr>
                <w:b/>
                <w:color w:val="008000"/>
                <w:sz w:val="17"/>
              </w:rPr>
              <w:t>+0.4%</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4,769</w:t>
            </w:r>
          </w:p>
        </w:tc>
        <w:tc>
          <w:tcPr>
            <w:tcW w:type="dxa" w:w="1440"/>
            <w:shd w:fill="FAFAFA" w:val="clear"/>
          </w:tcPr>
          <w:p>
            <w:r>
              <w:rPr>
                <w:b/>
                <w:sz w:val="17"/>
              </w:rPr>
              <w:t>5,368</w:t>
            </w:r>
          </w:p>
        </w:tc>
        <w:tc>
          <w:tcPr>
            <w:tcW w:type="dxa" w:w="1440"/>
            <w:shd w:fill="FAFAFA" w:val="clear"/>
          </w:tcPr>
          <w:p>
            <w:r>
              <w:rPr>
                <w:sz w:val="17"/>
              </w:rPr>
              <w:t>5,968</w:t>
            </w:r>
          </w:p>
        </w:tc>
        <w:tc>
          <w:tcPr>
            <w:tcW w:type="dxa" w:w="1440"/>
            <w:shd w:fill="FAFAFA" w:val="clear"/>
          </w:tcPr>
          <w:p>
            <w:r>
              <w:rPr>
                <w:b/>
                <w:color w:val="C00000"/>
                <w:sz w:val="17"/>
              </w:rPr>
              <w:t>-0.6%</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4,636</w:t>
            </w:r>
          </w:p>
        </w:tc>
        <w:tc>
          <w:tcPr>
            <w:tcW w:type="dxa" w:w="1440"/>
            <w:shd w:fill="FAFAFA" w:val="clear"/>
          </w:tcPr>
          <w:p>
            <w:r>
              <w:rPr>
                <w:b/>
                <w:sz w:val="17"/>
              </w:rPr>
              <w:t>5,322</w:t>
            </w:r>
          </w:p>
        </w:tc>
        <w:tc>
          <w:tcPr>
            <w:tcW w:type="dxa" w:w="1440"/>
            <w:shd w:fill="FAFAFA" w:val="clear"/>
          </w:tcPr>
          <w:p>
            <w:r>
              <w:rPr>
                <w:sz w:val="17"/>
              </w:rPr>
              <w:t>6,008</w:t>
            </w:r>
          </w:p>
        </w:tc>
        <w:tc>
          <w:tcPr>
            <w:tcW w:type="dxa" w:w="1440"/>
            <w:shd w:fill="FAFAFA" w:val="clear"/>
          </w:tcPr>
          <w:p>
            <w:r>
              <w:rPr>
                <w:b/>
                <w:color w:val="C00000"/>
                <w:sz w:val="17"/>
              </w:rPr>
              <w:t>-1.4%</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4,522</w:t>
            </w:r>
          </w:p>
        </w:tc>
        <w:tc>
          <w:tcPr>
            <w:tcW w:type="dxa" w:w="1440"/>
            <w:shd w:fill="FFDCE0" w:val="clear"/>
          </w:tcPr>
          <w:p>
            <w:r>
              <w:rPr>
                <w:b/>
                <w:sz w:val="17"/>
              </w:rPr>
              <w:t>5,284</w:t>
            </w:r>
          </w:p>
        </w:tc>
        <w:tc>
          <w:tcPr>
            <w:tcW w:type="dxa" w:w="1440"/>
            <w:shd w:fill="FFDCE0" w:val="clear"/>
          </w:tcPr>
          <w:p>
            <w:r>
              <w:rPr>
                <w:sz w:val="17"/>
              </w:rPr>
              <w:t>6,046</w:t>
            </w:r>
          </w:p>
        </w:tc>
        <w:tc>
          <w:tcPr>
            <w:tcW w:type="dxa" w:w="1440"/>
            <w:shd w:fill="FFDCE0" w:val="clear"/>
          </w:tcPr>
          <w:p>
            <w:r>
              <w:rPr>
                <w:b/>
                <w:color w:val="C00000"/>
                <w:sz w:val="17"/>
              </w:rPr>
              <w:t>-2.1%</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4,424</w:t>
            </w:r>
          </w:p>
        </w:tc>
        <w:tc>
          <w:tcPr>
            <w:tcW w:type="dxa" w:w="1440"/>
            <w:shd w:fill="FFDCE0" w:val="clear"/>
          </w:tcPr>
          <w:p>
            <w:r>
              <w:rPr>
                <w:b/>
                <w:sz w:val="17"/>
              </w:rPr>
              <w:t>5,254</w:t>
            </w:r>
          </w:p>
        </w:tc>
        <w:tc>
          <w:tcPr>
            <w:tcW w:type="dxa" w:w="1440"/>
            <w:shd w:fill="FFDCE0" w:val="clear"/>
          </w:tcPr>
          <w:p>
            <w:r>
              <w:rPr>
                <w:sz w:val="17"/>
              </w:rPr>
              <w:t>6,083</w:t>
            </w:r>
          </w:p>
        </w:tc>
        <w:tc>
          <w:tcPr>
            <w:tcW w:type="dxa" w:w="1440"/>
            <w:shd w:fill="FFDCE0" w:val="clear"/>
          </w:tcPr>
          <w:p>
            <w:r>
              <w:rPr>
                <w:b/>
                <w:color w:val="C00000"/>
                <w:sz w:val="17"/>
              </w:rPr>
              <w:t>-2.7%</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4,338</w:t>
            </w:r>
          </w:p>
        </w:tc>
        <w:tc>
          <w:tcPr>
            <w:tcW w:type="dxa" w:w="1440"/>
            <w:shd w:fill="FFDCE0" w:val="clear"/>
          </w:tcPr>
          <w:p>
            <w:r>
              <w:rPr>
                <w:b/>
                <w:sz w:val="17"/>
              </w:rPr>
              <w:t>5,230</w:t>
            </w:r>
          </w:p>
        </w:tc>
        <w:tc>
          <w:tcPr>
            <w:tcW w:type="dxa" w:w="1440"/>
            <w:shd w:fill="FFDCE0" w:val="clear"/>
          </w:tcPr>
          <w:p>
            <w:r>
              <w:rPr>
                <w:sz w:val="17"/>
              </w:rPr>
              <w:t>6,122</w:t>
            </w:r>
          </w:p>
        </w:tc>
        <w:tc>
          <w:tcPr>
            <w:tcW w:type="dxa" w:w="1440"/>
            <w:shd w:fill="FFDCE0" w:val="clear"/>
          </w:tcPr>
          <w:p>
            <w:r>
              <w:rPr>
                <w:b/>
                <w:color w:val="C00000"/>
                <w:sz w:val="17"/>
              </w:rPr>
              <w:t>-3.2%</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4,261</w:t>
            </w:r>
          </w:p>
        </w:tc>
        <w:tc>
          <w:tcPr>
            <w:tcW w:type="dxa" w:w="1440"/>
            <w:shd w:fill="FFDCE0" w:val="clear"/>
          </w:tcPr>
          <w:p>
            <w:r>
              <w:rPr>
                <w:b/>
                <w:sz w:val="17"/>
              </w:rPr>
              <w:t>5,211</w:t>
            </w:r>
          </w:p>
        </w:tc>
        <w:tc>
          <w:tcPr>
            <w:tcW w:type="dxa" w:w="1440"/>
            <w:shd w:fill="FFDCE0" w:val="clear"/>
          </w:tcPr>
          <w:p>
            <w:r>
              <w:rPr>
                <w:sz w:val="17"/>
              </w:rPr>
              <w:t>6,161</w:t>
            </w:r>
          </w:p>
        </w:tc>
        <w:tc>
          <w:tcPr>
            <w:tcW w:type="dxa" w:w="1440"/>
            <w:shd w:fill="FFDCE0" w:val="clear"/>
          </w:tcPr>
          <w:p>
            <w:r>
              <w:rPr>
                <w:b/>
                <w:color w:val="C00000"/>
                <w:sz w:val="17"/>
              </w:rPr>
              <w:t>-3.5%</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4,191</w:t>
            </w:r>
          </w:p>
        </w:tc>
        <w:tc>
          <w:tcPr>
            <w:tcW w:type="dxa" w:w="1440"/>
            <w:shd w:fill="FFDCE0" w:val="clear"/>
          </w:tcPr>
          <w:p>
            <w:r>
              <w:rPr>
                <w:b/>
                <w:sz w:val="17"/>
              </w:rPr>
              <w:t>5,196</w:t>
            </w:r>
          </w:p>
        </w:tc>
        <w:tc>
          <w:tcPr>
            <w:tcW w:type="dxa" w:w="1440"/>
            <w:shd w:fill="FFDCE0" w:val="clear"/>
          </w:tcPr>
          <w:p>
            <w:r>
              <w:rPr>
                <w:sz w:val="17"/>
              </w:rPr>
              <w:t>6,201</w:t>
            </w:r>
          </w:p>
        </w:tc>
        <w:tc>
          <w:tcPr>
            <w:tcW w:type="dxa" w:w="1440"/>
            <w:shd w:fill="FFDCE0" w:val="clear"/>
          </w:tcPr>
          <w:p>
            <w:r>
              <w:rPr>
                <w:b/>
                <w:color w:val="C00000"/>
                <w:sz w:val="17"/>
              </w:rPr>
              <w:t>-3.8%</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4,127</w:t>
            </w:r>
          </w:p>
        </w:tc>
        <w:tc>
          <w:tcPr>
            <w:tcW w:type="dxa" w:w="1440"/>
            <w:shd w:fill="FFDCE0" w:val="clear"/>
          </w:tcPr>
          <w:p>
            <w:r>
              <w:rPr>
                <w:b/>
                <w:sz w:val="17"/>
              </w:rPr>
              <w:t>5,184</w:t>
            </w:r>
          </w:p>
        </w:tc>
        <w:tc>
          <w:tcPr>
            <w:tcW w:type="dxa" w:w="1440"/>
            <w:shd w:fill="FFDCE0" w:val="clear"/>
          </w:tcPr>
          <w:p>
            <w:r>
              <w:rPr>
                <w:sz w:val="17"/>
              </w:rPr>
              <w:t>6,241</w:t>
            </w:r>
          </w:p>
        </w:tc>
        <w:tc>
          <w:tcPr>
            <w:tcW w:type="dxa" w:w="1440"/>
            <w:shd w:fill="FFDCE0" w:val="clear"/>
          </w:tcPr>
          <w:p>
            <w:r>
              <w:rPr>
                <w:b/>
                <w:color w:val="C00000"/>
                <w:sz w:val="17"/>
              </w:rPr>
              <w:t>-4.0%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 RAPPORT D'ANALYSE FINANCIÈRE — SAFC (ALIOS FINANCE CÔTE D'IVOIRE)</w:t>
        <w:br/>
        <w:t>**Bourse Régionale des Valeurs Mobilières (BRVM) — Secteur : Banque / Crédit à la consommation**</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**43,85 milliards FCFA**, SAFC se positionne comme une petite capitalisation sur le marché BRVM, ce qui la rend sensible aux mouvements de faible volume. Le **BPA de 86 FCFA/action** (exercice 2025) traduit un bénéfice net de 701 M FCFA rapporté au nombre d'actions, mais ce niveau reste modeste au regard du cours actuel de 5 400 FCFA. Le **PER de 62,5x** est très élevé comparé à la moyenne BRVM (8-12x), signifiant que les investisseurs paient environ 62 fois les bénéfices actuels — une prime considérable qui intègre déjà une forte anticipation de croissance future. Le **P/B de 7,41x** (largement supérieur au seuil de 4x) indique que le marché valorise la société à plus de 7 fois sa valeur comptable, ce qui est exigeant pour une banque dont les capitaux propres (5,916 Mds FCFA) restent fragiles et le report à nouveau négatif (-4,123 Mds FCFA). Enfin, l'**EV/EBITDA de 79,6x** (très au-dessus du seuil de 15x) confirme une valorisation tendue par rapport à la capacité opérationnelle, ce qui impose une prudence marquée malgré la dynamique de redressement.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SAFC affiche une **variation quasi stable de -0,46%**, avec une dernière séance en repli de **-1,64%**, clôturant à **5 400 FCFA**. Le range de trading est particulièrement large, oscillant entre un plus bas de **3 340 FCFA** et un plus haut de **6 200 FCFA**, soit un écart de près de 86% entre les extrêmes — signe d'une forte agitation spéculative. La tendance générale est haussière sur la période longue (le cours actuel est nettement supérieur à la moyenne de 4 614 FCFA), mais marque un essoufflement récent. Les statistiques descriptives révèlent une **moyenne (4 614 FCFA) supérieure à la médiane (4 505 FCFA)**, ce qui indique une légère asymétrie positive confirmée par le **skewness de 0,336** (distribution quasi symétrique avec une queue droite). L'**écart-type de 818 FCFA (CV = 17,7%)** traduit une dispersion modérée autour de la moyenne, tandis que le **kurtosis de -1,139 (platykurtique)** signale une distribution aplatie avec un risque de pics extrêmes plus faible qu'une loi normale — le titre évolue donc dans des ranges larges mais sans chocs brutaux fréquents. La **volatilité annualisée de 81,0%** classe ce titre dans la catégorie **très élevée (&gt;30%)**, ce qui est caractéristique d'une petite capitalisation peu liquide (volume moyen de 8 730 titres/jour) et impose une gestion stricte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(5 768,5 FCFA) est nettement supérieure au cours actuel (5 400 FCFA), tandis que la MM50 (5 144,3 FCFA) se situe en dessous. Le cours évolue donc entre ces deux moyennes, ce qui traduit une phase de consolidation après une tendance haussière. La décision affichée est **Achat**, portée par le croisement haussier MM20 &gt; MM50, mais la position du cours sous la MM20 tempère ce signal.</w:t>
      </w:r>
    </w:p>
    <w:p>
      <w:pPr>
        <w:spacing w:after="120" w:line="276" w:lineRule="auto"/>
      </w:pPr>
      <w:r>
        <w:t>**Bandes de Bollinger** : Le cours (5 400 FCFA) se situe dans la partie basse de la bande, entre la borne inférieure (5 288,99 FCFA) et la borne supérieure (6 248,01 FCFA). Cette position proche de la borne basse suggère une pression vendeuse récente, mais sans rupture. La décision est **Neutre**, les bandes étant relativement larges (écart de 959 FCFA) en raison de la volatilité élevée.</w:t>
      </w:r>
    </w:p>
    <w:p>
      <w:pPr>
        <w:spacing w:after="120" w:line="276" w:lineRule="auto"/>
      </w:pPr>
      <w:r>
        <w:t>**MACD** : La valeur du MACD (106,473) est inférieure à son signal (213,08), générant une configuration baissière avec un momentum négatif. La décision est **Vente**, ce qui contredit le signal des moyennes mobiles et indique un essoufflement de la dynamique haussière à court terme.</w:t>
      </w:r>
    </w:p>
    <w:p>
      <w:pPr>
        <w:spacing w:after="120" w:line="276" w:lineRule="auto"/>
      </w:pPr>
      <w:r>
        <w:t>**RSI** : À **44,141**, le RSI se situe en zone neutre (30-70), sans signal de surachat ni de survente. La décision est **Neutre**, le titre n'étant ni dans une phase d'euphorie ni de capitulation, ce qui laisse la porte ouverte à une reprise comme à une poursuite de la correction.</w:t>
      </w:r>
    </w:p>
    <w:p>
      <w:pPr>
        <w:spacing w:after="120" w:line="276" w:lineRule="auto"/>
      </w:pPr>
      <w:r>
        <w:t>**Stochastique** : Le %K (21,569) et le %D (17,32) sont tous deux en zone de survente (&lt;20 pour le %D), avec un %K légèrement supérieur au %D. La décision est **Neutre**, mais cette configuration suggère qu'un rebond technique pourrait se produire à court terme si le %K croise durablement le %D à la hausse.</w:t>
      </w:r>
    </w:p>
    <w:p>
      <w:pPr>
        <w:spacing w:after="120" w:line="276" w:lineRule="auto"/>
      </w:pPr>
      <w:r>
        <w:t>**Conclusion technique** : Les indicateurs sont **divergents** — les moyennes mobiles donnent un signal d'achat de fond, mais le MACD est baissier et le RSI/Stochastique sont neutres avec une légère tendance à la survente. Le titre se trouve dans une zone de consolidation entre 5 288 et 5 768 FCFA, avec un biais baissier à court terme mais un potentiel de rebond technique. La prudence est de mise tant que le MACD ne se retourne pas et que le cours ne repasse pas au-dessus de la MM20.</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SAFC a réalisé un **Produit Net Bancaire (PNB) de 5 735 M FCFA**, en hausse spectaculaire de **+44,1%** par rapport à 2024 (3 980 M FCFA), porté par la progression des intérêts (+14,4%) et des commissions (+81%). Le **résultat net s'établit à 701 M FCFA**, marquant un retournement historique après une perte de -165 M FCFA en 2024 et huit années consécutives de déficit. Le **ROE de 11,85%** reste inférieur au seuil d'excellence (&gt;15%) mais s'améliore nettement, tandis que le **ROA de 0,88%** demeure faible, reflétant un bilan lourd (79,555 Mds FCFA) et une rentabilité encore modeste. Le **coefficient d'exploitation de 77,63%** est très élevé (seuil d'efficacité &lt;60%), indiquant que les charges d'exploitation absorbent encore une part trop importante du PNB. Le **coût du risque de 6,57%** (provisions/charges financières) reste significatif, bien qu'en amélioration, et la **marge nette de 12,22%** traduit une rentabilité correcte pour le secteur. La structure financière demeure fragile : **autonomie financière de 7,44%** (très en dessous du seuil de 30%), **ratio d'endettement de 856%**, et une **trésorerie nette négative de -35,324 Mds FCFA**, reflétant une dépendance élevée aux dettes interbancaires (35,747 Mds FCFA).</w:t>
      </w:r>
    </w:p>
    <w:p>
      <w:pPr>
        <w:spacing w:after="120" w:line="276" w:lineRule="auto"/>
      </w:pPr>
      <w:r>
        <w:t>**Estimations basées sur les rapports trimestriels** : Le rapport du **T1 2026 (publié le 12/05/2026)** indique un PNB de 1 395 M FCFA (+29%) et un résultat net de 151 M FCFA (+1 062%), avec une marge nette de 10,82%. Le rapport du **S1 2026 (publié le 04/09/2026)** confirme cette dynamique avec un PNB de 2 907 M FCFA (+37%) et un résultat net de 731 M FCFA (+231%), soit une marge nette de 25,1% — un niveau exceptionnel. Sur la base de ces tendances, on peut **estimer que l'exercice 2026 devrait afficher un PNB supérieur à 6 Mds FCFA et un résultat net proche de 1,2-1,5 Mds FCFA**, confirmant la poursuite du redressement. Le **rapport annuel 2025 (publié le 10/06/2026)** souligne que le résultat net de 701 M FCFA dépasse le budget prévisionnel de 514 M FCFA, et que l'entrée de **CREDAF Group** comme actionnaire principal en avril 2025 a impulsé une nouvelle gouvernance. Les **ratios prudentiels** sont respectés (CET1 à 11,49% au S1 2026, ratio de solvabilité globale à 12,93%), mais les marges de sécurité restent limitées. Le **rapport du T1 2025 (publié le 12/05/2026)** et le **rapport S1 2025 (publié le 30/06/2025)** confirment la trajectoire de redressement amorcée dès le début 2025.</w:t>
      </w:r>
    </w:p>
    <w:p>
      <w:pPr>
        <w:spacing w:after="120" w:line="276" w:lineRule="auto"/>
      </w:pPr>
      <w:r>
        <w:t>**Recommandation fondamentale** : La société présente une **dynamique de croissance remarquable** (PNB +44% en 2025, +37% au S1 2026) et un **retour à la rentabilité historique**, mais la **fragilité structurelle** (capitaux propres modestes, report à nouveau négatif, dépendance aux dettes interbancaires) et la **valorisation exigeante** (PER 62,5x, P/B 7,41x) imposent une **grande prudence**. Le titre est un **dossier de redressement spéculatif** qui nécessite une surveillance étroite des prochains trimestres pour confirmer la soutenabilité de la performance.</w:t>
      </w:r>
    </w:p>
    <w:p>
      <w:pPr>
        <w:spacing w:after="120" w:line="276" w:lineRule="auto"/>
      </w:pPr>
      <w:r>
        <w:t>---</w:t>
      </w:r>
    </w:p>
    <w:p>
      <w:pPr>
        <w:spacing w:after="120" w:line="276" w:lineRule="auto"/>
      </w:pPr>
      <w:r>
        <w:t>## PARTIE 4 : CONCLUSION D'INVESTISSEMENT</w:t>
      </w:r>
    </w:p>
    <w:p>
      <w:pPr>
        <w:spacing w:after="120" w:line="276" w:lineRule="auto"/>
      </w:pPr>
      <w:r>
        <w:t>La **valorisation (Partie 0)** est clairement **exigeante** : le PER de 62,5x et le P/B de 7,41x intègrent déjà une forte anticipation de croissance, ce qui laisse peu de marge d'erreur en cas de déception. Le **comportement du cours (Partie 1)** est **mitigé** : la volatilité annualisée de 81% et le kurtosis platykurtique (-1,139) indiquent un titre agité mais sans pics extrêmes fréquents, tandis que le skewness positif (0,336) suggère une légère asymétrie haussière. Les **signaux techniques (Partie 2)** sont **divergents** : les moyennes mobiles donnent un signal d'achat de fond, mais le MACD est baissier et le RSI/Stochastique sont neutres, ce qui plaide pour une consolidation à court terme. Les **fondamentaux (Partie 3)** sont **en nette amélioration** (PNB +44% en 2025, résultat net de 701 M FCFA, S1 2026 confirmant la tendance avec un résultat net de 731 M FCFA), mais la **structure financière reste fragile** (autonomie financière de 7,44%, trésorerie nette négative de -35,324 Mds FCFA). Les **prédictions IA (J+1 à J+10)** anticipent une **baisse progressive** de 5 478 FCFA à 5 284 FCFA, ce qui **contredit** le signal d'achat des moyennes mobiles et confirme la pression baissière à court terme.</w:t>
      </w:r>
    </w:p>
    <w:p>
      <w:pPr>
        <w:spacing w:after="120" w:line="276" w:lineRule="auto"/>
      </w:pPr>
      <w:r>
        <w:t>**Recommandation finale** : **CONSERVER** (avec un biais spéculatif)</w:t>
        <w:br/>
        <w:t>**Justification** : La convergence entre la valorisation exigeante, les signaux techniques divergents et les prédictions baissières à court terme plaide pour **ne pas acheter** au cours actuel. Cependant, la **dynamique fondamentale exceptionnelle** (retour à la rentabilité, croissance du PNB, amélioration du coût du risque) et l'**entrée de CREDAF Group** comme actionnaire de référence justifient de **ne pas vendre** pour les investisseurs déjà positionnés. Le titre est un **dossier de redressement à haut risque** qui nécessite une confirmation sur plusieurs trimestres.</w:t>
        <w:br/>
        <w:t>**Niveau de confiance** : **Moyen** (les fondamentaux sont solides mais la valorisation et la technique sont préoccupantes)</w:t>
        <w:br/>
        <w:t>**Niveau de risque global** : **Élevé** (volatilité de 81%, fragilité des capitaux propres, dépendance aux dettes interbancaires)</w:t>
        <w:br/>
        <w:t>**Horizon d'investissement optimal** : **Moyen à long terme (6-18 mois)** pour laisser le temps au redressement de se consolider et aux ratios prudentiels de se renforcer. Un stop-loss serré est recommandé pour les investisseurs court terme.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64.48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10,763 titres</w:t>
            </w:r>
          </w:p>
        </w:tc>
        <w:tc>
          <w:tcPr>
            <w:tcW w:type="dxa" w:w="2268"/>
            <w:shd w:fill="FFF2CC" w:val="clear"/>
          </w:tcPr>
          <w:p>
            <w:r>
              <w:rPr>
                <w:b/>
                <w:color w:val="503200"/>
                <w:sz w:val="16"/>
              </w:rPr>
              <w:t xml:space="preserve">Cours actuel : </w:t>
            </w:r>
            <w:r>
              <w:rPr>
                <w:color w:val="000000"/>
                <w:sz w:val="17"/>
              </w:rPr>
              <w:t>3,290 FCFA</w:t>
            </w:r>
          </w:p>
          <w:p>
            <w:r>
              <w:rPr>
                <w:b/>
                <w:color w:val="503200"/>
                <w:sz w:val="16"/>
              </w:rPr>
              <w:t xml:space="preserve">Var. 100 jours : </w:t>
            </w:r>
            <w:r>
              <w:rPr>
                <w:b/>
                <w:color w:val="007800"/>
                <w:sz w:val="17"/>
              </w:rPr>
              <w:t>+61.27%</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1,990 FCFA</w:t>
            </w:r>
          </w:p>
          <w:p>
            <w:r>
              <w:rPr>
                <w:b/>
                <w:color w:val="503200"/>
                <w:sz w:val="16"/>
              </w:rPr>
              <w:t xml:space="preserve">Volatilité ann. : </w:t>
            </w:r>
            <w:r>
              <w:rPr>
                <w:color w:val="000000"/>
                <w:sz w:val="17"/>
              </w:rPr>
              <w:t>53.8%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18.79% (Élevée) — μ=3,078 FCFA, σ=578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β=0.3659 (Défensif) — Cov=0.000013, Var(idx)=0.000035, ρ=0.064,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10,763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σ_j=3.39%/j (Modérée) — Vol. annualisée≈53.8%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3,186</w:t>
            </w:r>
          </w:p>
        </w:tc>
        <w:tc>
          <w:tcPr>
            <w:tcW w:type="dxa" w:w="1440"/>
            <w:shd w:fill="FAFAFA" w:val="clear"/>
          </w:tcPr>
          <w:p>
            <w:r>
              <w:rPr>
                <w:b/>
                <w:sz w:val="17"/>
              </w:rPr>
              <w:t>3,303</w:t>
            </w:r>
          </w:p>
        </w:tc>
        <w:tc>
          <w:tcPr>
            <w:tcW w:type="dxa" w:w="1440"/>
            <w:shd w:fill="FAFAFA" w:val="clear"/>
          </w:tcPr>
          <w:p>
            <w:r>
              <w:rPr>
                <w:sz w:val="17"/>
              </w:rPr>
              <w:t>3,420</w:t>
            </w:r>
          </w:p>
        </w:tc>
        <w:tc>
          <w:tcPr>
            <w:tcW w:type="dxa" w:w="1440"/>
            <w:shd w:fill="FAFAFA" w:val="clear"/>
          </w:tcPr>
          <w:p>
            <w:r>
              <w:rPr>
                <w:b/>
                <w:color w:val="008000"/>
                <w:sz w:val="17"/>
              </w:rPr>
              <w:t>+0.4%</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3,167</w:t>
            </w:r>
          </w:p>
        </w:tc>
        <w:tc>
          <w:tcPr>
            <w:tcW w:type="dxa" w:w="1440"/>
            <w:shd w:fill="FAFAFA" w:val="clear"/>
          </w:tcPr>
          <w:p>
            <w:r>
              <w:rPr>
                <w:b/>
                <w:sz w:val="17"/>
              </w:rPr>
              <w:t>3,334</w:t>
            </w:r>
          </w:p>
        </w:tc>
        <w:tc>
          <w:tcPr>
            <w:tcW w:type="dxa" w:w="1440"/>
            <w:shd w:fill="FAFAFA" w:val="clear"/>
          </w:tcPr>
          <w:p>
            <w:r>
              <w:rPr>
                <w:sz w:val="17"/>
              </w:rPr>
              <w:t>3,501</w:t>
            </w:r>
          </w:p>
        </w:tc>
        <w:tc>
          <w:tcPr>
            <w:tcW w:type="dxa" w:w="1440"/>
            <w:shd w:fill="FAFAFA" w:val="clear"/>
          </w:tcPr>
          <w:p>
            <w:r>
              <w:rPr>
                <w:b/>
                <w:color w:val="008000"/>
                <w:sz w:val="17"/>
              </w:rPr>
              <w:t>+1.3%</w:t>
            </w:r>
          </w:p>
        </w:tc>
      </w:tr>
      <w:tr>
        <w:tc>
          <w:tcPr>
            <w:tcW w:type="dxa" w:w="1440"/>
            <w:shd w:fill="C6EFCE" w:val="clear"/>
          </w:tcPr>
          <w:p>
            <w:r>
              <w:rPr>
                <w:sz w:val="17"/>
              </w:rPr>
              <w:t>J+3  Moyenne</w:t>
            </w:r>
          </w:p>
        </w:tc>
        <w:tc>
          <w:tcPr>
            <w:tcW w:type="dxa" w:w="1440"/>
            <w:shd w:fill="C6EFCE" w:val="clear"/>
          </w:tcPr>
          <w:p>
            <w:r>
              <w:rPr>
                <w:sz w:val="17"/>
              </w:rPr>
              <w:t>2026-09-16</w:t>
            </w:r>
          </w:p>
        </w:tc>
        <w:tc>
          <w:tcPr>
            <w:tcW w:type="dxa" w:w="1440"/>
            <w:shd w:fill="C6EFCE" w:val="clear"/>
          </w:tcPr>
          <w:p>
            <w:r>
              <w:rPr>
                <w:sz w:val="17"/>
              </w:rPr>
              <w:t>3,166</w:t>
            </w:r>
          </w:p>
        </w:tc>
        <w:tc>
          <w:tcPr>
            <w:tcW w:type="dxa" w:w="1440"/>
            <w:shd w:fill="C6EFCE" w:val="clear"/>
          </w:tcPr>
          <w:p>
            <w:r>
              <w:rPr>
                <w:b/>
                <w:sz w:val="17"/>
              </w:rPr>
              <w:t>3,373</w:t>
            </w:r>
          </w:p>
        </w:tc>
        <w:tc>
          <w:tcPr>
            <w:tcW w:type="dxa" w:w="1440"/>
            <w:shd w:fill="C6EFCE" w:val="clear"/>
          </w:tcPr>
          <w:p>
            <w:r>
              <w:rPr>
                <w:sz w:val="17"/>
              </w:rPr>
              <w:t>3,581</w:t>
            </w:r>
          </w:p>
        </w:tc>
        <w:tc>
          <w:tcPr>
            <w:tcW w:type="dxa" w:w="1440"/>
            <w:shd w:fill="C6EFCE" w:val="clear"/>
          </w:tcPr>
          <w:p>
            <w:r>
              <w:rPr>
                <w:b/>
                <w:color w:val="008000"/>
                <w:sz w:val="17"/>
              </w:rPr>
              <w:t>+2.5%</w:t>
            </w:r>
          </w:p>
        </w:tc>
      </w:tr>
      <w:tr>
        <w:tc>
          <w:tcPr>
            <w:tcW w:type="dxa" w:w="1440"/>
            <w:shd w:fill="C6EFCE" w:val="clear"/>
          </w:tcPr>
          <w:p>
            <w:r>
              <w:rPr>
                <w:sz w:val="17"/>
              </w:rPr>
              <w:t>J+4  ⭐</w:t>
            </w:r>
          </w:p>
        </w:tc>
        <w:tc>
          <w:tcPr>
            <w:tcW w:type="dxa" w:w="1440"/>
            <w:shd w:fill="C6EFCE" w:val="clear"/>
          </w:tcPr>
          <w:p>
            <w:r>
              <w:rPr>
                <w:sz w:val="17"/>
              </w:rPr>
              <w:t>2026-09-17</w:t>
            </w:r>
          </w:p>
        </w:tc>
        <w:tc>
          <w:tcPr>
            <w:tcW w:type="dxa" w:w="1440"/>
            <w:shd w:fill="C6EFCE" w:val="clear"/>
          </w:tcPr>
          <w:p>
            <w:r>
              <w:rPr>
                <w:sz w:val="17"/>
              </w:rPr>
              <w:t>3,162</w:t>
            </w:r>
          </w:p>
        </w:tc>
        <w:tc>
          <w:tcPr>
            <w:tcW w:type="dxa" w:w="1440"/>
            <w:shd w:fill="C6EFCE" w:val="clear"/>
          </w:tcPr>
          <w:p>
            <w:r>
              <w:rPr>
                <w:b/>
                <w:sz w:val="17"/>
              </w:rPr>
              <w:t>3,404</w:t>
            </w:r>
          </w:p>
        </w:tc>
        <w:tc>
          <w:tcPr>
            <w:tcW w:type="dxa" w:w="1440"/>
            <w:shd w:fill="C6EFCE" w:val="clear"/>
          </w:tcPr>
          <w:p>
            <w:r>
              <w:rPr>
                <w:sz w:val="17"/>
              </w:rPr>
              <w:t>3,645</w:t>
            </w:r>
          </w:p>
        </w:tc>
        <w:tc>
          <w:tcPr>
            <w:tcW w:type="dxa" w:w="1440"/>
            <w:shd w:fill="C6EFCE" w:val="clear"/>
          </w:tcPr>
          <w:p>
            <w:r>
              <w:rPr>
                <w:b/>
                <w:color w:val="008000"/>
                <w:sz w:val="17"/>
              </w:rPr>
              <w:t>+3.5%</w:t>
            </w:r>
          </w:p>
        </w:tc>
      </w:tr>
      <w:tr>
        <w:tc>
          <w:tcPr>
            <w:tcW w:type="dxa" w:w="1440"/>
            <w:shd w:fill="C6EFCE" w:val="clear"/>
          </w:tcPr>
          <w:p>
            <w:r>
              <w:rPr>
                <w:sz w:val="17"/>
              </w:rPr>
              <w:t>J+5  ⭐</w:t>
            </w:r>
          </w:p>
        </w:tc>
        <w:tc>
          <w:tcPr>
            <w:tcW w:type="dxa" w:w="1440"/>
            <w:shd w:fill="C6EFCE" w:val="clear"/>
          </w:tcPr>
          <w:p>
            <w:r>
              <w:rPr>
                <w:sz w:val="17"/>
              </w:rPr>
              <w:t>2026-09-18</w:t>
            </w:r>
          </w:p>
        </w:tc>
        <w:tc>
          <w:tcPr>
            <w:tcW w:type="dxa" w:w="1440"/>
            <w:shd w:fill="C6EFCE" w:val="clear"/>
          </w:tcPr>
          <w:p>
            <w:r>
              <w:rPr>
                <w:sz w:val="17"/>
              </w:rPr>
              <w:t>3,151</w:t>
            </w:r>
          </w:p>
        </w:tc>
        <w:tc>
          <w:tcPr>
            <w:tcW w:type="dxa" w:w="1440"/>
            <w:shd w:fill="C6EFCE" w:val="clear"/>
          </w:tcPr>
          <w:p>
            <w:r>
              <w:rPr>
                <w:b/>
                <w:sz w:val="17"/>
              </w:rPr>
              <w:t>3,422</w:t>
            </w:r>
          </w:p>
        </w:tc>
        <w:tc>
          <w:tcPr>
            <w:tcW w:type="dxa" w:w="1440"/>
            <w:shd w:fill="C6EFCE" w:val="clear"/>
          </w:tcPr>
          <w:p>
            <w:r>
              <w:rPr>
                <w:sz w:val="17"/>
              </w:rPr>
              <w:t>3,694</w:t>
            </w:r>
          </w:p>
        </w:tc>
        <w:tc>
          <w:tcPr>
            <w:tcW w:type="dxa" w:w="1440"/>
            <w:shd w:fill="C6EFCE" w:val="clear"/>
          </w:tcPr>
          <w:p>
            <w:r>
              <w:rPr>
                <w:b/>
                <w:color w:val="008000"/>
                <w:sz w:val="17"/>
              </w:rPr>
              <w:t>+4.0%</w:t>
            </w:r>
          </w:p>
        </w:tc>
      </w:tr>
      <w:tr>
        <w:tc>
          <w:tcPr>
            <w:tcW w:type="dxa" w:w="1440"/>
            <w:shd w:fill="C6EFCE" w:val="clear"/>
          </w:tcPr>
          <w:p>
            <w:r>
              <w:rPr>
                <w:sz w:val="17"/>
              </w:rPr>
              <w:t>J+6  ⭐</w:t>
            </w:r>
          </w:p>
        </w:tc>
        <w:tc>
          <w:tcPr>
            <w:tcW w:type="dxa" w:w="1440"/>
            <w:shd w:fill="C6EFCE" w:val="clear"/>
          </w:tcPr>
          <w:p>
            <w:r>
              <w:rPr>
                <w:sz w:val="17"/>
              </w:rPr>
              <w:t>2026-09-21</w:t>
            </w:r>
          </w:p>
        </w:tc>
        <w:tc>
          <w:tcPr>
            <w:tcW w:type="dxa" w:w="1440"/>
            <w:shd w:fill="C6EFCE" w:val="clear"/>
          </w:tcPr>
          <w:p>
            <w:r>
              <w:rPr>
                <w:sz w:val="17"/>
              </w:rPr>
              <w:t>3,135</w:t>
            </w:r>
          </w:p>
        </w:tc>
        <w:tc>
          <w:tcPr>
            <w:tcW w:type="dxa" w:w="1440"/>
            <w:shd w:fill="C6EFCE" w:val="clear"/>
          </w:tcPr>
          <w:p>
            <w:r>
              <w:rPr>
                <w:b/>
                <w:sz w:val="17"/>
              </w:rPr>
              <w:t>3,433</w:t>
            </w:r>
          </w:p>
        </w:tc>
        <w:tc>
          <w:tcPr>
            <w:tcW w:type="dxa" w:w="1440"/>
            <w:shd w:fill="C6EFCE" w:val="clear"/>
          </w:tcPr>
          <w:p>
            <w:r>
              <w:rPr>
                <w:sz w:val="17"/>
              </w:rPr>
              <w:t>3,731</w:t>
            </w:r>
          </w:p>
        </w:tc>
        <w:tc>
          <w:tcPr>
            <w:tcW w:type="dxa" w:w="1440"/>
            <w:shd w:fill="C6EFCE" w:val="clear"/>
          </w:tcPr>
          <w:p>
            <w:r>
              <w:rPr>
                <w:b/>
                <w:color w:val="008000"/>
                <w:sz w:val="17"/>
              </w:rPr>
              <w:t>+4.3%</w:t>
            </w:r>
          </w:p>
        </w:tc>
      </w:tr>
      <w:tr>
        <w:tc>
          <w:tcPr>
            <w:tcW w:type="dxa" w:w="1440"/>
            <w:shd w:fill="C6EFCE" w:val="clear"/>
          </w:tcPr>
          <w:p>
            <w:r>
              <w:rPr>
                <w:sz w:val="17"/>
              </w:rPr>
              <w:t>J+7  ⭐</w:t>
            </w:r>
          </w:p>
        </w:tc>
        <w:tc>
          <w:tcPr>
            <w:tcW w:type="dxa" w:w="1440"/>
            <w:shd w:fill="C6EFCE" w:val="clear"/>
          </w:tcPr>
          <w:p>
            <w:r>
              <w:rPr>
                <w:sz w:val="17"/>
              </w:rPr>
              <w:t>2026-09-22</w:t>
            </w:r>
          </w:p>
        </w:tc>
        <w:tc>
          <w:tcPr>
            <w:tcW w:type="dxa" w:w="1440"/>
            <w:shd w:fill="C6EFCE" w:val="clear"/>
          </w:tcPr>
          <w:p>
            <w:r>
              <w:rPr>
                <w:sz w:val="17"/>
              </w:rPr>
              <w:t>3,116</w:t>
            </w:r>
          </w:p>
        </w:tc>
        <w:tc>
          <w:tcPr>
            <w:tcW w:type="dxa" w:w="1440"/>
            <w:shd w:fill="C6EFCE" w:val="clear"/>
          </w:tcPr>
          <w:p>
            <w:r>
              <w:rPr>
                <w:b/>
                <w:sz w:val="17"/>
              </w:rPr>
              <w:t>3,438</w:t>
            </w:r>
          </w:p>
        </w:tc>
        <w:tc>
          <w:tcPr>
            <w:tcW w:type="dxa" w:w="1440"/>
            <w:shd w:fill="C6EFCE" w:val="clear"/>
          </w:tcPr>
          <w:p>
            <w:r>
              <w:rPr>
                <w:sz w:val="17"/>
              </w:rPr>
              <w:t>3,760</w:t>
            </w:r>
          </w:p>
        </w:tc>
        <w:tc>
          <w:tcPr>
            <w:tcW w:type="dxa" w:w="1440"/>
            <w:shd w:fill="C6EFCE" w:val="clear"/>
          </w:tcPr>
          <w:p>
            <w:r>
              <w:rPr>
                <w:b/>
                <w:color w:val="008000"/>
                <w:sz w:val="17"/>
              </w:rPr>
              <w:t>+4.5%</w:t>
            </w:r>
          </w:p>
        </w:tc>
      </w:tr>
      <w:tr>
        <w:tc>
          <w:tcPr>
            <w:tcW w:type="dxa" w:w="1440"/>
            <w:shd w:fill="C6EFCE" w:val="clear"/>
          </w:tcPr>
          <w:p>
            <w:r>
              <w:rPr>
                <w:sz w:val="17"/>
              </w:rPr>
              <w:t>J+8  ⭐</w:t>
            </w:r>
          </w:p>
        </w:tc>
        <w:tc>
          <w:tcPr>
            <w:tcW w:type="dxa" w:w="1440"/>
            <w:shd w:fill="C6EFCE" w:val="clear"/>
          </w:tcPr>
          <w:p>
            <w:r>
              <w:rPr>
                <w:sz w:val="17"/>
              </w:rPr>
              <w:t>2026-09-23</w:t>
            </w:r>
          </w:p>
        </w:tc>
        <w:tc>
          <w:tcPr>
            <w:tcW w:type="dxa" w:w="1440"/>
            <w:shd w:fill="C6EFCE" w:val="clear"/>
          </w:tcPr>
          <w:p>
            <w:r>
              <w:rPr>
                <w:sz w:val="17"/>
              </w:rPr>
              <w:t>3,096</w:t>
            </w:r>
          </w:p>
        </w:tc>
        <w:tc>
          <w:tcPr>
            <w:tcW w:type="dxa" w:w="1440"/>
            <w:shd w:fill="C6EFCE" w:val="clear"/>
          </w:tcPr>
          <w:p>
            <w:r>
              <w:rPr>
                <w:b/>
                <w:sz w:val="17"/>
              </w:rPr>
              <w:t>3,441</w:t>
            </w:r>
          </w:p>
        </w:tc>
        <w:tc>
          <w:tcPr>
            <w:tcW w:type="dxa" w:w="1440"/>
            <w:shd w:fill="C6EFCE" w:val="clear"/>
          </w:tcPr>
          <w:p>
            <w:r>
              <w:rPr>
                <w:sz w:val="17"/>
              </w:rPr>
              <w:t>3,786</w:t>
            </w:r>
          </w:p>
        </w:tc>
        <w:tc>
          <w:tcPr>
            <w:tcW w:type="dxa" w:w="1440"/>
            <w:shd w:fill="C6EFCE" w:val="clear"/>
          </w:tcPr>
          <w:p>
            <w:r>
              <w:rPr>
                <w:b/>
                <w:color w:val="008000"/>
                <w:sz w:val="17"/>
              </w:rPr>
              <w:t>+4.6%</w:t>
            </w:r>
          </w:p>
        </w:tc>
      </w:tr>
      <w:tr>
        <w:tc>
          <w:tcPr>
            <w:tcW w:type="dxa" w:w="1440"/>
            <w:shd w:fill="C6EFCE" w:val="clear"/>
          </w:tcPr>
          <w:p>
            <w:r>
              <w:rPr>
                <w:sz w:val="17"/>
              </w:rPr>
              <w:t>J+9  ⭐</w:t>
            </w:r>
          </w:p>
        </w:tc>
        <w:tc>
          <w:tcPr>
            <w:tcW w:type="dxa" w:w="1440"/>
            <w:shd w:fill="C6EFCE" w:val="clear"/>
          </w:tcPr>
          <w:p>
            <w:r>
              <w:rPr>
                <w:sz w:val="17"/>
              </w:rPr>
              <w:t>2026-09-24</w:t>
            </w:r>
          </w:p>
        </w:tc>
        <w:tc>
          <w:tcPr>
            <w:tcW w:type="dxa" w:w="1440"/>
            <w:shd w:fill="C6EFCE" w:val="clear"/>
          </w:tcPr>
          <w:p>
            <w:r>
              <w:rPr>
                <w:sz w:val="17"/>
              </w:rPr>
              <w:t>3,078</w:t>
            </w:r>
          </w:p>
        </w:tc>
        <w:tc>
          <w:tcPr>
            <w:tcW w:type="dxa" w:w="1440"/>
            <w:shd w:fill="C6EFCE" w:val="clear"/>
          </w:tcPr>
          <w:p>
            <w:r>
              <w:rPr>
                <w:b/>
                <w:sz w:val="17"/>
              </w:rPr>
              <w:t>3,444</w:t>
            </w:r>
          </w:p>
        </w:tc>
        <w:tc>
          <w:tcPr>
            <w:tcW w:type="dxa" w:w="1440"/>
            <w:shd w:fill="C6EFCE" w:val="clear"/>
          </w:tcPr>
          <w:p>
            <w:r>
              <w:rPr>
                <w:sz w:val="17"/>
              </w:rPr>
              <w:t>3,810</w:t>
            </w:r>
          </w:p>
        </w:tc>
        <w:tc>
          <w:tcPr>
            <w:tcW w:type="dxa" w:w="1440"/>
            <w:shd w:fill="C6EFCE" w:val="clear"/>
          </w:tcPr>
          <w:p>
            <w:r>
              <w:rPr>
                <w:b/>
                <w:color w:val="008000"/>
                <w:sz w:val="17"/>
              </w:rPr>
              <w:t>+4.7%</w:t>
            </w:r>
          </w:p>
        </w:tc>
      </w:tr>
      <w:tr>
        <w:tc>
          <w:tcPr>
            <w:tcW w:type="dxa" w:w="1440"/>
            <w:shd w:fill="C6EFCE" w:val="clear"/>
          </w:tcPr>
          <w:p>
            <w:r>
              <w:rPr>
                <w:sz w:val="17"/>
              </w:rPr>
              <w:t>J+10  ⭐</w:t>
            </w:r>
          </w:p>
        </w:tc>
        <w:tc>
          <w:tcPr>
            <w:tcW w:type="dxa" w:w="1440"/>
            <w:shd w:fill="C6EFCE" w:val="clear"/>
          </w:tcPr>
          <w:p>
            <w:r>
              <w:rPr>
                <w:sz w:val="17"/>
              </w:rPr>
              <w:t>2026-09-25</w:t>
            </w:r>
          </w:p>
        </w:tc>
        <w:tc>
          <w:tcPr>
            <w:tcW w:type="dxa" w:w="1440"/>
            <w:shd w:fill="C6EFCE" w:val="clear"/>
          </w:tcPr>
          <w:p>
            <w:r>
              <w:rPr>
                <w:sz w:val="17"/>
              </w:rPr>
              <w:t>3,060</w:t>
            </w:r>
          </w:p>
        </w:tc>
        <w:tc>
          <w:tcPr>
            <w:tcW w:type="dxa" w:w="1440"/>
            <w:shd w:fill="C6EFCE" w:val="clear"/>
          </w:tcPr>
          <w:p>
            <w:r>
              <w:rPr>
                <w:b/>
                <w:sz w:val="17"/>
              </w:rPr>
              <w:t>3,446</w:t>
            </w:r>
          </w:p>
        </w:tc>
        <w:tc>
          <w:tcPr>
            <w:tcW w:type="dxa" w:w="1440"/>
            <w:shd w:fill="C6EFCE" w:val="clear"/>
          </w:tcPr>
          <w:p>
            <w:r>
              <w:rPr>
                <w:sz w:val="17"/>
              </w:rPr>
              <w:t>3,832</w:t>
            </w:r>
          </w:p>
        </w:tc>
        <w:tc>
          <w:tcPr>
            <w:tcW w:type="dxa" w:w="1440"/>
            <w:shd w:fill="C6EFCE" w:val="clear"/>
          </w:tcPr>
          <w:p>
            <w:r>
              <w:rPr>
                <w:b/>
                <w:color w:val="008000"/>
                <w:sz w:val="17"/>
              </w:rPr>
              <w:t>+4.7%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 RAPPORT D'ANALYSE FINANCIÈRE — SCRC (SUCRIVOIRE)</w:t>
        <w:br/>
        <w:t>**Bourse Régionale des Valeurs Mobilières (BRVM) — Secteur : Agro-industrie / Sucre**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**64,48 milliards FCFA**, SCRC se situe dans la catégorie des valeurs moyennes de la BRVM, représentant un poids modeste dans un marché où les plus grandes capitalisations dépassent les 500 milliards FCFA. Le BPA ressort à **-406 FCFA/action**, conséquence directe de la perte nette de 7,95 milliards FCFA enregistrée en 2025, ce qui rend le PER inexploitable (**-8,1x**) : les investisseurs ne peuvent pas évaluer le titre sur ses bénéfices puisqu'il n'y en a pas. Le P/B de **3,74x** indique que le marché valorise SCRC à près de quatre fois ses capitaux propres comptables (17,24 Mds FCFA), soit une prime de croissance significative qui contraste fortement avec la dégradation des fondamentaux. Enfin, l'EV/EBITDA de **10,5x** situe la valeur d'entreprise (incluant les 84,87 Mds FCFA de dettes financières) à un niveau élevé par rapport à la capacité opérationnelle (EBE de 14,85 Mds FCFA), traduisant une valorisation tendue qui intègre des anticipations de redressement non encore matérialisées.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SCRC affiche une progression spectaculaire de **+61,27%**, portant le cours à **3 290 FCFA**, malgré un repli de **-1,79%** lors de la dernière séance. Le titre a évolué dans un range très large, entre un plus bas de **1 990 FCFA** et un plus haut de **3 920 FCFA**, soit une amplitude de près de 97%, témoignant d'une forte volatilité. La tendance générale est nettement haussière, mais le repli récent sous les 3 300 FCFA suggère une prise de bénéfices après le rallye. Les statistiques descriptives révèlent une **moyenne de 3 078 FCFA** inférieure à la **médiane de 3 298 FCFA**, confirmant une asymétrie négative (skewness de **-0,668**) : le cours a passé plus de temps au-dessus de sa moyenne, mais quelques journées de forte baisse ont tiré la moyenne vers le bas. L'écart-type de **581 FCFA** (CV de **18,9%**) indique une dispersion modérée autour de la moyenne, tandis que le kurtosis de **-0,945** (mésokurtique) suggère une distribution proche de la normale, sans pics extrêmes fréquents. La **volatilité annualisée de 53,8%** classe le titre dans la catégorie des valeurs très volatiles (&gt;30%), ce qui implique un risque de marché élevé et justifie une approche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(3 475,75 FCFA) et la MM50 (3 554,0 FCFA) sont toutes deux supérieures au cours actuel (3 290 FCFA), ce qui place le titre en position baissière à court et moyen terme. La MM20 étant en dessous de la MM50, on observe un croisement baissier (death cross), confirmant la pression vendeuse. La décision technique est donc **Vente**.</w:t>
      </w:r>
    </w:p>
    <w:p>
      <w:pPr>
        <w:spacing w:after="120" w:line="276" w:lineRule="auto"/>
      </w:pPr>
      <w:r>
        <w:t>**Bandes de Bollinger** : Le cours (3 290 FCFA) se situe juste au-dessus de la borne inférieure (3 245,85 FCFA) et loin de la borne supérieure (3 705,65 FCFA), ce qui indique une pression baissière récente mais un potentiel de rebond technique depuis la zone de survente. La largeur des bandes reflète une volatilité élevée. La décision est **Neutre**, le cours n'étant ni en surachat ni en survente extrême.</w:t>
      </w:r>
    </w:p>
    <w:p>
      <w:pPr>
        <w:spacing w:after="120" w:line="276" w:lineRule="auto"/>
      </w:pPr>
      <w:r>
        <w:t>**MACD** : La valeur du MACD (-35,191) est inférieure à son signal (-13,026), avec un histogramme négatif, ce qui confirme un momentum baissier en cours. La divergence négative entre le MACD et son signal suggère que la dynamique haussière des 100 derniers jours s'essouffle. La décision est **Vente**.</w:t>
      </w:r>
    </w:p>
    <w:p>
      <w:pPr>
        <w:spacing w:after="120" w:line="276" w:lineRule="auto"/>
      </w:pPr>
      <w:r>
        <w:t>**RSI** : À **43,077**, le RSI se situe dans la zone neutre (30-70), sans signal de surachat ni de survente. Cela indique que le titre n'est pas encore survendu malgré le repli récent, laissant la porte ouverte à une poursuite de la correction. La décision est **Neutre**.</w:t>
      </w:r>
    </w:p>
    <w:p>
      <w:pPr>
        <w:spacing w:after="120" w:line="276" w:lineRule="auto"/>
      </w:pPr>
      <w:r>
        <w:t>**Stochastique** : Le %K (0,0) est en dessous du %D (5,455), avec un croisement en zone de survente extrême. Cela suggère que le titre est potentiellement en fin de correction baissière et qu'un rebond technique pourrait se produire à court terme. La décision est **Achat**, en anticipation d'un retournement.</w:t>
      </w:r>
    </w:p>
    <w:p>
      <w:pPr>
        <w:spacing w:after="120" w:line="276" w:lineRule="auto"/>
      </w:pPr>
      <w:r>
        <w:t>**Conclusion technique** : Les indicateurs sont majoritairement baissiers (MM, MACD), avec un RSI neutre et un stochastique en zone de survente. Le titre se trouve dans une phase de correction après un rallye de +61%, et la convergence des signaux baissiers à court terme contraste avec le potentiel de rebond technique signalé par le stochastique. Une stabilisation au-dessus de 3 245 FCFA (borne inférieure de Bollinger) serait nécessaire pour envisager un retournement durable.</w:t>
      </w:r>
    </w:p>
    <w:p>
      <w:pPr>
        <w:spacing w:after="120" w:line="276" w:lineRule="auto"/>
      </w:pPr>
      <w:r>
        <w:t>---</w:t>
      </w:r>
    </w:p>
    <w:p>
      <w:pPr>
        <w:spacing w:after="120" w:line="276" w:lineRule="auto"/>
      </w:pPr>
      <w:r>
        <w:t>## PARTIE 3 : ANALYSE FONDAMENTALE</w:t>
      </w:r>
    </w:p>
    <w:p>
      <w:pPr>
        <w:spacing w:after="120" w:line="276" w:lineRule="auto"/>
      </w:pPr>
      <w:r>
        <w:t>Les données structurées de l'exercice **2025** (états financiers annuels) révèlent une situation financière très dégradée : le chiffre d'affaires s'établit à **80,57 milliards FCFA**, en baisse de **-7,6%** par rapport à 2024, et le résultat net est une **perte de 7,95 milliards FCFA** (contre un bénéfice de 2,47 milliards en 2024), soit une dégradation de 421%. Le ROE est catastrophique à **-46,13%** et le ROA à **-5,08%**, confirmant que l'entreprise détruit de la valeur. La marge nette est négative à **-9,87%**, et la marge opérationnelle à **-0,68%**, signe que l'exploitation courante ne génère plus de profit. Le ratio d'endettement explose à **88,98%** (dettes totales/capitaux propres), avec une autonomie financière réduite à **11,02%** (très en dessous du seuil sain de 30%). La trésorerie nette est négative à **-6,5 milliards FCFA**, et le fonds de roulement est négatif (-10,67 Mds FCFA), ce qui indique des tensions de liquidité majeures. Les délais clients sont courts (**12,28 jours**), mais le délai fournisseurs est très élevé (**366 jours**), ce qui signifie que l'entreprise finance son cycle d'exploitation par ses fournisseurs, une pratique risquée. Le BFR est positif à **6,53 milliards FCFA**, ce qui est défavorable pour une entreprise industrielle. Les rapports narratifs (S1 2025, T1 2025, rapports annuels 2024) confirment cette tendance : le S1 2025 a enregistré une perte nette de **-6,71 milliards FCFA**, et le T1 2025 un bénéfice de 3,21 milliards (mais en repli de 32%). Le rapport annuel 2024 (daté du 31/12/2024) montrait un redressement avec un bénéfice de 2,59 milliards, mais cet élan a été brisé en 2025 par l'explosion des charges financières (+262% à 6,79 Mds FCFA) et la baisse des volumes. Les perspectives pour 2026 restent très préoccupantes : la société devra impérativement restructurer sa dette (84,87 Mds FCFA) et restaurer sa rentabilité opérationnelle. La recommandation fondamentale est **Vente** en raison des risques de défaut, de la dégradation des capitaux propres et de l'absence de dividende.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divergence majeure entre la valorisation, le comportement du cours, les signaux techniques et les fondamentaux. La **valorisation (Partie 0)** est tendue : le P/B de 3,74x et l'EV/EBITDA de 10,5x intègrent des anticipations de redressement qui ne sont pas soutenues par les résultats actuels, et le PER négatif rend le titre impossible à évaluer sur ses bénéfices. Le **comportement du cours (Partie 1)** est paradoxal : malgré une hausse de +61,27% sur 100 jours, la volatilité annualisée de 53,8% et l'asymétrie négative (skewness -0,668) indiquent un risque élevé de correction, et le repli de -1,79% en J-1 confirme cette tendance. Les **signaux techniques (Partie 2)** sont majoritairement baissiers (MM en death cross, MACD négatif), avec un RSI neutre et un stochastique en survente, ce qui suggère un rebond technique possible mais fragile. Les **fondamentaux (Partie 3)** sont alarmants : perte nette de 7,95 Mds FCFA en 2025, ROE de -46,13%, endettement critique (88,98%), trésorerie nette négative et absence de dividende. Les **prédictions IA (J+1 à J+10)** anticipent une légère reprise (3 303 FCFA à 3 422 FCFA), ce qui contredit les signaux techniques baissiers mais reste cohérent avec un rebond technique depuis la zone de survente. Compte tenu de cette divergence, la recommandation finale est **VENTE**, avec un niveau de confiance **Moyen** et un risque global **Élevé**. L'horizon d'investissement optimal est **court terme (&lt;3 mois)** pour les investisseurs cherchant à profiter du rebond technique, mais les investisseurs long terme doivent éviter le titre en raison des risques financiers majeurs. Une surveillance rapprochée des résultats du S1 2026 et de l'avancement du plan de restructuration de la dette est impérative avant tout engagement.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120.60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1,311 titres</w:t>
            </w:r>
          </w:p>
        </w:tc>
        <w:tc>
          <w:tcPr>
            <w:tcW w:type="dxa" w:w="2268"/>
            <w:shd w:fill="FFF2CC" w:val="clear"/>
          </w:tcPr>
          <w:p>
            <w:r>
              <w:rPr>
                <w:b/>
                <w:color w:val="503200"/>
                <w:sz w:val="16"/>
              </w:rPr>
              <w:t xml:space="preserve">Cours actuel : </w:t>
            </w:r>
            <w:r>
              <w:rPr>
                <w:color w:val="000000"/>
                <w:sz w:val="17"/>
              </w:rPr>
              <w:t>13,400 FCFA</w:t>
            </w:r>
          </w:p>
          <w:p>
            <w:r>
              <w:rPr>
                <w:b/>
                <w:color w:val="503200"/>
                <w:sz w:val="16"/>
              </w:rPr>
              <w:t xml:space="preserve">Var. 100 jours : </w:t>
            </w:r>
            <w:r>
              <w:rPr>
                <w:b/>
                <w:color w:val="007800"/>
                <w:sz w:val="17"/>
              </w:rPr>
              <w:t>+87.68%</w:t>
            </w:r>
          </w:p>
          <w:p>
            <w:r>
              <w:rPr>
                <w:b/>
                <w:color w:val="503200"/>
                <w:sz w:val="16"/>
              </w:rPr>
              <w:t xml:space="preserve">Plus haut 100j : </w:t>
            </w:r>
            <w:r>
              <w:rPr>
                <w:color w:val="000000"/>
                <w:sz w:val="17"/>
              </w:rPr>
              <w:t>13,710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36.8%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13.96% (Moyenne) — μ=11,275 FCFA, σ=1,574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β=0.0719 (Défensif) — Cov=0.000002, Var(idx)=0.000035, ρ=0.018,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1,311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σ_j=2.32%/j (Stable) — Vol. annualisée≈36.8%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13,116</w:t>
            </w:r>
          </w:p>
        </w:tc>
        <w:tc>
          <w:tcPr>
            <w:tcW w:type="dxa" w:w="1440"/>
            <w:shd w:fill="FAFAFA" w:val="clear"/>
          </w:tcPr>
          <w:p>
            <w:r>
              <w:rPr>
                <w:b/>
                <w:sz w:val="17"/>
              </w:rPr>
              <w:t>13,557</w:t>
            </w:r>
          </w:p>
        </w:tc>
        <w:tc>
          <w:tcPr>
            <w:tcW w:type="dxa" w:w="1440"/>
            <w:shd w:fill="FAFAFA" w:val="clear"/>
          </w:tcPr>
          <w:p>
            <w:r>
              <w:rPr>
                <w:sz w:val="17"/>
              </w:rPr>
              <w:t>13,999</w:t>
            </w:r>
          </w:p>
        </w:tc>
        <w:tc>
          <w:tcPr>
            <w:tcW w:type="dxa" w:w="1440"/>
            <w:shd w:fill="FAFAFA" w:val="clear"/>
          </w:tcPr>
          <w:p>
            <w:r>
              <w:rPr>
                <w:b/>
                <w:color w:val="008000"/>
                <w:sz w:val="17"/>
              </w:rPr>
              <w:t>+1.2%</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13,000</w:t>
            </w:r>
          </w:p>
        </w:tc>
        <w:tc>
          <w:tcPr>
            <w:tcW w:type="dxa" w:w="1440"/>
            <w:shd w:fill="FAFAFA" w:val="clear"/>
          </w:tcPr>
          <w:p>
            <w:r>
              <w:rPr>
                <w:b/>
                <w:sz w:val="17"/>
              </w:rPr>
              <w:t>13,628</w:t>
            </w:r>
          </w:p>
        </w:tc>
        <w:tc>
          <w:tcPr>
            <w:tcW w:type="dxa" w:w="1440"/>
            <w:shd w:fill="FAFAFA" w:val="clear"/>
          </w:tcPr>
          <w:p>
            <w:r>
              <w:rPr>
                <w:sz w:val="17"/>
              </w:rPr>
              <w:t>14,256</w:t>
            </w:r>
          </w:p>
        </w:tc>
        <w:tc>
          <w:tcPr>
            <w:tcW w:type="dxa" w:w="1440"/>
            <w:shd w:fill="FAFAFA" w:val="clear"/>
          </w:tcPr>
          <w:p>
            <w:r>
              <w:rPr>
                <w:b/>
                <w:color w:val="008000"/>
                <w:sz w:val="17"/>
              </w:rPr>
              <w:t>+1.7%</w:t>
            </w:r>
          </w:p>
        </w:tc>
      </w:tr>
      <w:tr>
        <w:tc>
          <w:tcPr>
            <w:tcW w:type="dxa" w:w="1440"/>
            <w:shd w:fill="C6EFCE" w:val="clear"/>
          </w:tcPr>
          <w:p>
            <w:r>
              <w:rPr>
                <w:sz w:val="17"/>
              </w:rPr>
              <w:t>J+3  ⭐</w:t>
            </w:r>
          </w:p>
        </w:tc>
        <w:tc>
          <w:tcPr>
            <w:tcW w:type="dxa" w:w="1440"/>
            <w:shd w:fill="C6EFCE" w:val="clear"/>
          </w:tcPr>
          <w:p>
            <w:r>
              <w:rPr>
                <w:sz w:val="17"/>
              </w:rPr>
              <w:t>2026-09-16</w:t>
            </w:r>
          </w:p>
        </w:tc>
        <w:tc>
          <w:tcPr>
            <w:tcW w:type="dxa" w:w="1440"/>
            <w:shd w:fill="C6EFCE" w:val="clear"/>
          </w:tcPr>
          <w:p>
            <w:r>
              <w:rPr>
                <w:sz w:val="17"/>
              </w:rPr>
              <w:t>12,920</w:t>
            </w:r>
          </w:p>
        </w:tc>
        <w:tc>
          <w:tcPr>
            <w:tcW w:type="dxa" w:w="1440"/>
            <w:shd w:fill="C6EFCE" w:val="clear"/>
          </w:tcPr>
          <w:p>
            <w:r>
              <w:rPr>
                <w:b/>
                <w:sz w:val="17"/>
              </w:rPr>
              <w:t>13,693</w:t>
            </w:r>
          </w:p>
        </w:tc>
        <w:tc>
          <w:tcPr>
            <w:tcW w:type="dxa" w:w="1440"/>
            <w:shd w:fill="C6EFCE" w:val="clear"/>
          </w:tcPr>
          <w:p>
            <w:r>
              <w:rPr>
                <w:sz w:val="17"/>
              </w:rPr>
              <w:t>14,465</w:t>
            </w:r>
          </w:p>
        </w:tc>
        <w:tc>
          <w:tcPr>
            <w:tcW w:type="dxa" w:w="1440"/>
            <w:shd w:fill="C6EFCE" w:val="clear"/>
          </w:tcPr>
          <w:p>
            <w:r>
              <w:rPr>
                <w:b/>
                <w:color w:val="008000"/>
                <w:sz w:val="17"/>
              </w:rPr>
              <w:t>+2.2%</w:t>
            </w:r>
          </w:p>
        </w:tc>
      </w:tr>
      <w:tr>
        <w:tc>
          <w:tcPr>
            <w:tcW w:type="dxa" w:w="1440"/>
            <w:shd w:fill="C6EFCE" w:val="clear"/>
          </w:tcPr>
          <w:p>
            <w:r>
              <w:rPr>
                <w:sz w:val="17"/>
              </w:rPr>
              <w:t>J+4  ⭐</w:t>
            </w:r>
          </w:p>
        </w:tc>
        <w:tc>
          <w:tcPr>
            <w:tcW w:type="dxa" w:w="1440"/>
            <w:shd w:fill="C6EFCE" w:val="clear"/>
          </w:tcPr>
          <w:p>
            <w:r>
              <w:rPr>
                <w:sz w:val="17"/>
              </w:rPr>
              <w:t>2026-09-17</w:t>
            </w:r>
          </w:p>
        </w:tc>
        <w:tc>
          <w:tcPr>
            <w:tcW w:type="dxa" w:w="1440"/>
            <w:shd w:fill="C6EFCE" w:val="clear"/>
          </w:tcPr>
          <w:p>
            <w:r>
              <w:rPr>
                <w:sz w:val="17"/>
              </w:rPr>
              <w:t>12,857</w:t>
            </w:r>
          </w:p>
        </w:tc>
        <w:tc>
          <w:tcPr>
            <w:tcW w:type="dxa" w:w="1440"/>
            <w:shd w:fill="C6EFCE" w:val="clear"/>
          </w:tcPr>
          <w:p>
            <w:r>
              <w:rPr>
                <w:b/>
                <w:sz w:val="17"/>
              </w:rPr>
              <w:t>13,752</w:t>
            </w:r>
          </w:p>
        </w:tc>
        <w:tc>
          <w:tcPr>
            <w:tcW w:type="dxa" w:w="1440"/>
            <w:shd w:fill="C6EFCE" w:val="clear"/>
          </w:tcPr>
          <w:p>
            <w:r>
              <w:rPr>
                <w:sz w:val="17"/>
              </w:rPr>
              <w:t>14,648</w:t>
            </w:r>
          </w:p>
        </w:tc>
        <w:tc>
          <w:tcPr>
            <w:tcW w:type="dxa" w:w="1440"/>
            <w:shd w:fill="C6EFCE" w:val="clear"/>
          </w:tcPr>
          <w:p>
            <w:r>
              <w:rPr>
                <w:b/>
                <w:color w:val="008000"/>
                <w:sz w:val="17"/>
              </w:rPr>
              <w:t>+2.6%</w:t>
            </w:r>
          </w:p>
        </w:tc>
      </w:tr>
      <w:tr>
        <w:tc>
          <w:tcPr>
            <w:tcW w:type="dxa" w:w="1440"/>
            <w:shd w:fill="C6EFCE" w:val="clear"/>
          </w:tcPr>
          <w:p>
            <w:r>
              <w:rPr>
                <w:sz w:val="17"/>
              </w:rPr>
              <w:t>J+5  ⭐</w:t>
            </w:r>
          </w:p>
        </w:tc>
        <w:tc>
          <w:tcPr>
            <w:tcW w:type="dxa" w:w="1440"/>
            <w:shd w:fill="C6EFCE" w:val="clear"/>
          </w:tcPr>
          <w:p>
            <w:r>
              <w:rPr>
                <w:sz w:val="17"/>
              </w:rPr>
              <w:t>2026-09-18</w:t>
            </w:r>
          </w:p>
        </w:tc>
        <w:tc>
          <w:tcPr>
            <w:tcW w:type="dxa" w:w="1440"/>
            <w:shd w:fill="C6EFCE" w:val="clear"/>
          </w:tcPr>
          <w:p>
            <w:r>
              <w:rPr>
                <w:sz w:val="17"/>
              </w:rPr>
              <w:t>12,796</w:t>
            </w:r>
          </w:p>
        </w:tc>
        <w:tc>
          <w:tcPr>
            <w:tcW w:type="dxa" w:w="1440"/>
            <w:shd w:fill="C6EFCE" w:val="clear"/>
          </w:tcPr>
          <w:p>
            <w:r>
              <w:rPr>
                <w:b/>
                <w:sz w:val="17"/>
              </w:rPr>
              <w:t>13,801</w:t>
            </w:r>
          </w:p>
        </w:tc>
        <w:tc>
          <w:tcPr>
            <w:tcW w:type="dxa" w:w="1440"/>
            <w:shd w:fill="C6EFCE" w:val="clear"/>
          </w:tcPr>
          <w:p>
            <w:r>
              <w:rPr>
                <w:sz w:val="17"/>
              </w:rPr>
              <w:t>14,806</w:t>
            </w:r>
          </w:p>
        </w:tc>
        <w:tc>
          <w:tcPr>
            <w:tcW w:type="dxa" w:w="1440"/>
            <w:shd w:fill="C6EFCE" w:val="clear"/>
          </w:tcPr>
          <w:p>
            <w:r>
              <w:rPr>
                <w:b/>
                <w:color w:val="008000"/>
                <w:sz w:val="17"/>
              </w:rPr>
              <w:t>+3.0%</w:t>
            </w:r>
          </w:p>
        </w:tc>
      </w:tr>
      <w:tr>
        <w:tc>
          <w:tcPr>
            <w:tcW w:type="dxa" w:w="1440"/>
            <w:shd w:fill="C6EFCE" w:val="clear"/>
          </w:tcPr>
          <w:p>
            <w:r>
              <w:rPr>
                <w:sz w:val="17"/>
              </w:rPr>
              <w:t>J+6  ⭐</w:t>
            </w:r>
          </w:p>
        </w:tc>
        <w:tc>
          <w:tcPr>
            <w:tcW w:type="dxa" w:w="1440"/>
            <w:shd w:fill="C6EFCE" w:val="clear"/>
          </w:tcPr>
          <w:p>
            <w:r>
              <w:rPr>
                <w:sz w:val="17"/>
              </w:rPr>
              <w:t>2026-09-21</w:t>
            </w:r>
          </w:p>
        </w:tc>
        <w:tc>
          <w:tcPr>
            <w:tcW w:type="dxa" w:w="1440"/>
            <w:shd w:fill="C6EFCE" w:val="clear"/>
          </w:tcPr>
          <w:p>
            <w:r>
              <w:rPr>
                <w:sz w:val="17"/>
              </w:rPr>
              <w:t>12,737</w:t>
            </w:r>
          </w:p>
        </w:tc>
        <w:tc>
          <w:tcPr>
            <w:tcW w:type="dxa" w:w="1440"/>
            <w:shd w:fill="C6EFCE" w:val="clear"/>
          </w:tcPr>
          <w:p>
            <w:r>
              <w:rPr>
                <w:b/>
                <w:sz w:val="17"/>
              </w:rPr>
              <w:t>13,841</w:t>
            </w:r>
          </w:p>
        </w:tc>
        <w:tc>
          <w:tcPr>
            <w:tcW w:type="dxa" w:w="1440"/>
            <w:shd w:fill="C6EFCE" w:val="clear"/>
          </w:tcPr>
          <w:p>
            <w:r>
              <w:rPr>
                <w:sz w:val="17"/>
              </w:rPr>
              <w:t>14,945</w:t>
            </w:r>
          </w:p>
        </w:tc>
        <w:tc>
          <w:tcPr>
            <w:tcW w:type="dxa" w:w="1440"/>
            <w:shd w:fill="C6EFCE" w:val="clear"/>
          </w:tcPr>
          <w:p>
            <w:r>
              <w:rPr>
                <w:b/>
                <w:color w:val="008000"/>
                <w:sz w:val="17"/>
              </w:rPr>
              <w:t>+3.3%</w:t>
            </w:r>
          </w:p>
        </w:tc>
      </w:tr>
      <w:tr>
        <w:tc>
          <w:tcPr>
            <w:tcW w:type="dxa" w:w="1440"/>
            <w:shd w:fill="C6EFCE" w:val="clear"/>
          </w:tcPr>
          <w:p>
            <w:r>
              <w:rPr>
                <w:sz w:val="17"/>
              </w:rPr>
              <w:t>J+7  ⭐</w:t>
            </w:r>
          </w:p>
        </w:tc>
        <w:tc>
          <w:tcPr>
            <w:tcW w:type="dxa" w:w="1440"/>
            <w:shd w:fill="C6EFCE" w:val="clear"/>
          </w:tcPr>
          <w:p>
            <w:r>
              <w:rPr>
                <w:sz w:val="17"/>
              </w:rPr>
              <w:t>2026-09-22</w:t>
            </w:r>
          </w:p>
        </w:tc>
        <w:tc>
          <w:tcPr>
            <w:tcW w:type="dxa" w:w="1440"/>
            <w:shd w:fill="C6EFCE" w:val="clear"/>
          </w:tcPr>
          <w:p>
            <w:r>
              <w:rPr>
                <w:sz w:val="17"/>
              </w:rPr>
              <w:t>12,683</w:t>
            </w:r>
          </w:p>
        </w:tc>
        <w:tc>
          <w:tcPr>
            <w:tcW w:type="dxa" w:w="1440"/>
            <w:shd w:fill="C6EFCE" w:val="clear"/>
          </w:tcPr>
          <w:p>
            <w:r>
              <w:rPr>
                <w:b/>
                <w:sz w:val="17"/>
              </w:rPr>
              <w:t>13,879</w:t>
            </w:r>
          </w:p>
        </w:tc>
        <w:tc>
          <w:tcPr>
            <w:tcW w:type="dxa" w:w="1440"/>
            <w:shd w:fill="C6EFCE" w:val="clear"/>
          </w:tcPr>
          <w:p>
            <w:r>
              <w:rPr>
                <w:sz w:val="17"/>
              </w:rPr>
              <w:t>15,074</w:t>
            </w:r>
          </w:p>
        </w:tc>
        <w:tc>
          <w:tcPr>
            <w:tcW w:type="dxa" w:w="1440"/>
            <w:shd w:fill="C6EFCE" w:val="clear"/>
          </w:tcPr>
          <w:p>
            <w:r>
              <w:rPr>
                <w:b/>
                <w:color w:val="008000"/>
                <w:sz w:val="17"/>
              </w:rPr>
              <w:t>+3.6%</w:t>
            </w:r>
          </w:p>
        </w:tc>
      </w:tr>
      <w:tr>
        <w:tc>
          <w:tcPr>
            <w:tcW w:type="dxa" w:w="1440"/>
            <w:shd w:fill="C6EFCE" w:val="clear"/>
          </w:tcPr>
          <w:p>
            <w:r>
              <w:rPr>
                <w:sz w:val="17"/>
              </w:rPr>
              <w:t>J+8  ⭐</w:t>
            </w:r>
          </w:p>
        </w:tc>
        <w:tc>
          <w:tcPr>
            <w:tcW w:type="dxa" w:w="1440"/>
            <w:shd w:fill="C6EFCE" w:val="clear"/>
          </w:tcPr>
          <w:p>
            <w:r>
              <w:rPr>
                <w:sz w:val="17"/>
              </w:rPr>
              <w:t>2026-09-23</w:t>
            </w:r>
          </w:p>
        </w:tc>
        <w:tc>
          <w:tcPr>
            <w:tcW w:type="dxa" w:w="1440"/>
            <w:shd w:fill="C6EFCE" w:val="clear"/>
          </w:tcPr>
          <w:p>
            <w:r>
              <w:rPr>
                <w:sz w:val="17"/>
              </w:rPr>
              <w:t>12,634</w:t>
            </w:r>
          </w:p>
        </w:tc>
        <w:tc>
          <w:tcPr>
            <w:tcW w:type="dxa" w:w="1440"/>
            <w:shd w:fill="C6EFCE" w:val="clear"/>
          </w:tcPr>
          <w:p>
            <w:r>
              <w:rPr>
                <w:b/>
                <w:sz w:val="17"/>
              </w:rPr>
              <w:t>13,916</w:t>
            </w:r>
          </w:p>
        </w:tc>
        <w:tc>
          <w:tcPr>
            <w:tcW w:type="dxa" w:w="1440"/>
            <w:shd w:fill="C6EFCE" w:val="clear"/>
          </w:tcPr>
          <w:p>
            <w:r>
              <w:rPr>
                <w:sz w:val="17"/>
              </w:rPr>
              <w:t>15,197</w:t>
            </w:r>
          </w:p>
        </w:tc>
        <w:tc>
          <w:tcPr>
            <w:tcW w:type="dxa" w:w="1440"/>
            <w:shd w:fill="C6EFCE" w:val="clear"/>
          </w:tcPr>
          <w:p>
            <w:r>
              <w:rPr>
                <w:b/>
                <w:color w:val="008000"/>
                <w:sz w:val="17"/>
              </w:rPr>
              <w:t>+3.8%</w:t>
            </w:r>
          </w:p>
        </w:tc>
      </w:tr>
      <w:tr>
        <w:tc>
          <w:tcPr>
            <w:tcW w:type="dxa" w:w="1440"/>
            <w:shd w:fill="C6EFCE" w:val="clear"/>
          </w:tcPr>
          <w:p>
            <w:r>
              <w:rPr>
                <w:sz w:val="17"/>
              </w:rPr>
              <w:t>J+9  ⭐</w:t>
            </w:r>
          </w:p>
        </w:tc>
        <w:tc>
          <w:tcPr>
            <w:tcW w:type="dxa" w:w="1440"/>
            <w:shd w:fill="C6EFCE" w:val="clear"/>
          </w:tcPr>
          <w:p>
            <w:r>
              <w:rPr>
                <w:sz w:val="17"/>
              </w:rPr>
              <w:t>2026-09-24</w:t>
            </w:r>
          </w:p>
        </w:tc>
        <w:tc>
          <w:tcPr>
            <w:tcW w:type="dxa" w:w="1440"/>
            <w:shd w:fill="C6EFCE" w:val="clear"/>
          </w:tcPr>
          <w:p>
            <w:r>
              <w:rPr>
                <w:sz w:val="17"/>
              </w:rPr>
              <w:t>12,585</w:t>
            </w:r>
          </w:p>
        </w:tc>
        <w:tc>
          <w:tcPr>
            <w:tcW w:type="dxa" w:w="1440"/>
            <w:shd w:fill="C6EFCE" w:val="clear"/>
          </w:tcPr>
          <w:p>
            <w:r>
              <w:rPr>
                <w:b/>
                <w:sz w:val="17"/>
              </w:rPr>
              <w:t>13,947</w:t>
            </w:r>
          </w:p>
        </w:tc>
        <w:tc>
          <w:tcPr>
            <w:tcW w:type="dxa" w:w="1440"/>
            <w:shd w:fill="C6EFCE" w:val="clear"/>
          </w:tcPr>
          <w:p>
            <w:r>
              <w:rPr>
                <w:sz w:val="17"/>
              </w:rPr>
              <w:t>15,310</w:t>
            </w:r>
          </w:p>
        </w:tc>
        <w:tc>
          <w:tcPr>
            <w:tcW w:type="dxa" w:w="1440"/>
            <w:shd w:fill="C6EFCE" w:val="clear"/>
          </w:tcPr>
          <w:p>
            <w:r>
              <w:rPr>
                <w:b/>
                <w:color w:val="008000"/>
                <w:sz w:val="17"/>
              </w:rPr>
              <w:t>+4.1%</w:t>
            </w:r>
          </w:p>
        </w:tc>
      </w:tr>
      <w:tr>
        <w:tc>
          <w:tcPr>
            <w:tcW w:type="dxa" w:w="1440"/>
            <w:shd w:fill="C6EFCE" w:val="clear"/>
          </w:tcPr>
          <w:p>
            <w:r>
              <w:rPr>
                <w:sz w:val="17"/>
              </w:rPr>
              <w:t>J+10  ⭐</w:t>
            </w:r>
          </w:p>
        </w:tc>
        <w:tc>
          <w:tcPr>
            <w:tcW w:type="dxa" w:w="1440"/>
            <w:shd w:fill="C6EFCE" w:val="clear"/>
          </w:tcPr>
          <w:p>
            <w:r>
              <w:rPr>
                <w:sz w:val="17"/>
              </w:rPr>
              <w:t>2026-09-25</w:t>
            </w:r>
          </w:p>
        </w:tc>
        <w:tc>
          <w:tcPr>
            <w:tcW w:type="dxa" w:w="1440"/>
            <w:shd w:fill="C6EFCE" w:val="clear"/>
          </w:tcPr>
          <w:p>
            <w:r>
              <w:rPr>
                <w:sz w:val="17"/>
              </w:rPr>
              <w:t>12,537</w:t>
            </w:r>
          </w:p>
        </w:tc>
        <w:tc>
          <w:tcPr>
            <w:tcW w:type="dxa" w:w="1440"/>
            <w:shd w:fill="C6EFCE" w:val="clear"/>
          </w:tcPr>
          <w:p>
            <w:r>
              <w:rPr>
                <w:b/>
                <w:sz w:val="17"/>
              </w:rPr>
              <w:t>13,976</w:t>
            </w:r>
          </w:p>
        </w:tc>
        <w:tc>
          <w:tcPr>
            <w:tcW w:type="dxa" w:w="1440"/>
            <w:shd w:fill="C6EFCE" w:val="clear"/>
          </w:tcPr>
          <w:p>
            <w:r>
              <w:rPr>
                <w:sz w:val="17"/>
              </w:rPr>
              <w:t>15,416</w:t>
            </w:r>
          </w:p>
        </w:tc>
        <w:tc>
          <w:tcPr>
            <w:tcW w:type="dxa" w:w="1440"/>
            <w:shd w:fill="C6EFCE" w:val="clear"/>
          </w:tcPr>
          <w:p>
            <w:r>
              <w:rPr>
                <w:b/>
                <w:color w:val="008000"/>
                <w:sz w:val="17"/>
              </w:rPr>
              <w:t>+4.3%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*Bourse Régionale des Valeurs Mobilières (BRVM) — Secteur : Distribution d'eau / Services publics*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120,60 Mds FCFA, SDCC se positionne parmi les valeurs de taille intermédiaire à supérieure du compartiment BRVM, ce qui traduit une certaine maturité et une liquidité relative sur le marché régional. Le BPA de 518 FCFA/action indique que chaque titre génère un bénéfice net unitaire significatif, mais le PER de 25,9x révèle que les investisseurs paient environ 26 fois les bénéfices annuels, soit un niveau très supérieur à la moyenne du marché BRVM (8-12x), signalant soit une anticipation de forte croissance, soit une surévaluation manifeste. Le ratio P/B de 6,12x confirme cette prime exigeante : le marché valorise SDCC à plus de six fois sa valeur comptable, ce qui est difficilement justifiable pour une entreprise à marge nette faible (2,46%). Enfin, l'EV/EBITDA de 15,1x, supérieur au seuil de 15x, montre que la valeur d'entreprise (incluant la dette) est chèrement valorisée par rapport à la capacité opérationnelle de génération de cash, renforçant l'hypothèse d'une valorisation tendue.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SDCC affiche une performance spectaculaire de +87,68%, avec une dernière séance en hausse de +1,28%, portant le cours actuel à 13 400 FCFA. Le titre a évolué dans un range très large, entre un plus bas de 7 140 FCFA et un plus haut de 13 710 FCFA, soit une amplitude de près de 92%, ce qui témoigne d'une tendance nettement haussière et d'un fort engouement des investisseurs. La moyenne du cours (11 275 FCFA) est inférieure à la médiane (11 900 FCFA), ce qui indique une distribution asymétrique avec davantage de séances passées sous la moyenne, mais un skewness de -1,245 confirme une asymétrie négative : les journées de forte hausse, bien que moins nombreuses, ont tiré le cours vers le haut. L'écart-type de 1 582 FCFA (CV = 14,0%) traduit une dispersion modérée autour de la moyenne, tandis que le kurtosis de 0,945 (mésokurtique) suggère une distribution proche de la normale, sans risque extrême de pics violents. La volatilité annualisée de 36,8% classe le titre dans la catégorie des valeurs à volatilité élevée (&gt;30%), ce qui implique un risque de marché important mais cohérent avec la forte progression récente.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(12 759 FCFA) et la MM50 (12 170 FCFA) sont toutes deux inférieures au cours actuel (13 400 FCFA), et la MM20 est au-dessus de la MM50, configurant un croisement haussier classique. Cette disposition confirme une dynamique positive de court et moyen terme, justifiant la décision d'achat.</w:t>
      </w:r>
    </w:p>
    <w:p>
      <w:pPr>
        <w:spacing w:after="120" w:line="276" w:lineRule="auto"/>
      </w:pPr>
      <w:r>
        <w:t>**Bandes de Bollinger** : Le cours (13 400 FCFA) se situe entre la borne supérieure (14 115 FCFA) et la borne inférieure (11 403 FCFA), plus proche de la borne haute, ce qui indique une pression acheteuse sans surachat extrême. La largeur des bandes reflète une volatilité élevée, et la décision neutre suggère une possible consolidation avant une nouvelle impulsion.</w:t>
      </w:r>
    </w:p>
    <w:p>
      <w:pPr>
        <w:spacing w:after="120" w:line="276" w:lineRule="auto"/>
      </w:pPr>
      <w:r>
        <w:t>**MACD** : La valeur du MACD (427,917) est supérieure à son signal (379,541), avec un histogramme positif, confirmant un momentum haussier en cours. La décision d'achat est cohérente avec cette configuration, bien que l'écart entre les deux lignes reste modéré.</w:t>
      </w:r>
    </w:p>
    <w:p>
      <w:pPr>
        <w:spacing w:after="120" w:line="276" w:lineRule="auto"/>
      </w:pPr>
      <w:r>
        <w:t>**RSI** : À 70,882, le RSI franchit le seuil de surachat (&gt;70), ce qui déclenche une décision de vente à court terme. Cela signifie que le titre pourrait subir une correction technique après sa forte hausse, et les investisseurs doivent être prudents sur les points d'entrée.</w:t>
      </w:r>
    </w:p>
    <w:p>
      <w:pPr>
        <w:spacing w:after="120" w:line="276" w:lineRule="auto"/>
      </w:pPr>
      <w:r>
        <w:t>**Stochastique** : Le %K (81,871) et le %D (80,507) sont tous deux en zone de surachat (&gt;80), avec un croisement baissier imminent ou déjà amorcé. La décision de vente confirme la possibilité d'un essoufflement de la tendance haussière à très court terme.</w:t>
      </w:r>
    </w:p>
    <w:p>
      <w:pPr>
        <w:spacing w:after="120" w:line="276" w:lineRule="auto"/>
      </w:pPr>
      <w:r>
        <w:t>**Conclusion technique** : Les indicateurs de tendance (MM, MACD) restent haussiers et soutiennent le mouvement, mais les oscillateurs (RSI, Stochastique) signalent un surachat marqué, créant une divergence entre momentum et surachat. Cette configuration suggère que le titre pourrait connaître une consolidation ou une correction avant de reprendre sa tendance haussière, et une prudence est de mise pour les achats à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états financiers annuels de SDCC (exercice clos le 31/12/2025) affichent un chiffre d'affaires de 189,430 Mds FCFA, en croissance de 9,98% par rapport à 2024, porté par la dynamique des ventes d'eau et l'augmentation du nombre de clients (+6,14% à 2,27 millions). Le résultat net s'établit à 4,663 Mds FCFA, en hausse de 31%, avec une marge nette de 2,46% et un ROE de 23,65%, ce qui est excellent (&gt;15%) et témoigne d'une bonne rentabilité des fonds propres. Le ROA reste faible à 0,99%, reflétant l'intensité capitalistique du secteur. La structure financière présente des signaux contrastés : l'autonomie financière est très faible (4,17%), la dépendance financière est élevée (740,21%), et le ratio d'endettement atteint 95,83%, ce qui signifie que la société est fortement endettée. Le BFR est de 104,748 Mds FCFA (positif, donc défavorable), et le délai client est très élevé à 749,25 jours, ce qui constitue un risque majeur de trésorerie. La trésorerie nette est négative à -61,710 Mds FCFA, et le flux opérationnel est négatif à -36,655 Mds FCFA, confirmant des tensions de liquidité. Le ratio de liquidité générale (111,32%) reste supérieur à 1, mais la liquidité immédiate est très faible (3,02%). Sur la base du rapport T1 2026 (publié en 2026), le chiffre d'affaires recule de 2% à 40 916 M FCFA, mais le résultat d'exploitation bondit de 150% à 2 730 M FCFA et le résultat net explose de 118% à 1 318 M FCFA, grâce à une meilleure maîtrise des charges. On estime donc que l'exercice 2026 devrait afficher une poursuite de l'amélioration de la rentabilité opérationnelle, malgré un contexte de stagnation du chiffre d'affaires. Les rapports antérieurs (S1 2025, T1 2025, exercice 2024) montrent une volatilité des résultats, avec un S1 2025 en baisse de -24% du résultat net, suivi d'un net redressement au T1 2026. La recommandation fondamentale est de **conserver** le titre : la solidité du ROE et l'amélioration récente de la rentabilité sont des atouts, mais les tensions de trésorerie, le niveau d'endettement élevé et la valorisation exigeante incitent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clairement tendue : PER de 25,9x, P/B de 6,12x et EV/EBITDA de 15,1x indiquent une surévaluation par rapport aux fondamentaux et à la moyenne du marché BRVM. Le comportement du cours (Partie 1) est exceptionnellement haussier (+87,68% sur 100 jours) avec une volatilité élevée (36,8%) et une asymétrie négative, ce qui suggère que la hausse est peut-être excessive à court terme. Les signaux techniques (Partie 2) sont mitigés : les moyennes mobiles et le MACD restent haussiers, mais le RSI et le stochastique sont en zone de surachat, annonçant une correction possible. Les fondamentaux (Partie 3) montrent une amélioration de la rentabilité (ROE de 23,65%, résultat net +31% en 2025, T1 2026 en forte hausse), mais des fragilités persistantes (trésorerie négative, endettement élevé, délai client de 749 jours). Les prédictions IA (J+1 à J+10) tablent sur une poursuite de la hausse modérée, avec un cours cible de 13 801 FCFA à J+10, ce qui confirme la tendance haussière mais sans emballement. Compte tenu de la convergence entre la dynamique fondamentale positive et les signaux techniques haussiers, mais aussi des risques de surachat et de surévaluation, la recommandation finale est **CONSERVER**. Le niveau de confiance est **Moyen**, car les indicateurs sont contradictoires à court terme, et le risque global est **Élevé** en raison de la volatilité et des tensions financières. L'horizon d'investissement optimal est le **moyen terme (3-12 mois)**, en attendant une correction technique pour renforcer la position à des niveaux plus attractifs.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164.94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18,324 titres</w:t>
            </w:r>
          </w:p>
        </w:tc>
        <w:tc>
          <w:tcPr>
            <w:tcW w:type="dxa" w:w="2268"/>
            <w:shd w:fill="FFF2CC" w:val="clear"/>
          </w:tcPr>
          <w:p>
            <w:r>
              <w:rPr>
                <w:b/>
                <w:color w:val="503200"/>
                <w:sz w:val="16"/>
              </w:rPr>
              <w:t xml:space="preserve">Cours actuel : </w:t>
            </w:r>
            <w:r>
              <w:rPr>
                <w:color w:val="000000"/>
                <w:sz w:val="17"/>
              </w:rPr>
              <w:t>3,030 FCFA</w:t>
            </w:r>
          </w:p>
          <w:p>
            <w:r>
              <w:rPr>
                <w:b/>
                <w:color w:val="503200"/>
                <w:sz w:val="16"/>
              </w:rPr>
              <w:t xml:space="preserve">Var. 100 jours : </w:t>
            </w:r>
            <w:r>
              <w:rPr>
                <w:b/>
                <w:color w:val="007800"/>
                <w:sz w:val="17"/>
              </w:rPr>
              <w:t>+69.75%</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51.1%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24.0/100 → Moyen</w:t>
      </w:r>
    </w:p>
    <w:p>
      <w:pPr>
        <w:spacing w:before="40" w:after="80"/>
      </w:pPr>
      <w:r>
        <w:rPr>
          <w:rFonts w:ascii="Courier New" w:hAnsi="Courier New"/>
          <w:color w:val="825A00"/>
          <w:sz w:val="18"/>
        </w:rPr>
        <w:t>████░░░░░░░░░░░░░░░░  24.0/100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19.11% (Élevée) — μ=2,328 FCFA, σ=445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β=0.6698 (Défensif) — Cov=0.000023, Var(idx)=0.000035, ρ=0.122,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18,324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σ_j=3.22%/j (Modérée) — Vol. annualisée≈51.1%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2,849</w:t>
            </w:r>
          </w:p>
        </w:tc>
        <w:tc>
          <w:tcPr>
            <w:tcW w:type="dxa" w:w="1440"/>
            <w:shd w:fill="FAFAFA" w:val="clear"/>
          </w:tcPr>
          <w:p>
            <w:r>
              <w:rPr>
                <w:b/>
                <w:sz w:val="17"/>
              </w:rPr>
              <w:t>3,025</w:t>
            </w:r>
          </w:p>
        </w:tc>
        <w:tc>
          <w:tcPr>
            <w:tcW w:type="dxa" w:w="1440"/>
            <w:shd w:fill="FAFAFA" w:val="clear"/>
          </w:tcPr>
          <w:p>
            <w:r>
              <w:rPr>
                <w:sz w:val="17"/>
              </w:rPr>
              <w:t>3,202</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2,778</w:t>
            </w:r>
          </w:p>
        </w:tc>
        <w:tc>
          <w:tcPr>
            <w:tcW w:type="dxa" w:w="1440"/>
            <w:shd w:fill="FAFAFA" w:val="clear"/>
          </w:tcPr>
          <w:p>
            <w:r>
              <w:rPr>
                <w:b/>
                <w:sz w:val="17"/>
              </w:rPr>
              <w:t>3,028</w:t>
            </w:r>
          </w:p>
        </w:tc>
        <w:tc>
          <w:tcPr>
            <w:tcW w:type="dxa" w:w="1440"/>
            <w:shd w:fill="FAFAFA" w:val="clear"/>
          </w:tcPr>
          <w:p>
            <w:r>
              <w:rPr>
                <w:sz w:val="17"/>
              </w:rPr>
              <w:t>3,278</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2,724</w:t>
            </w:r>
          </w:p>
        </w:tc>
        <w:tc>
          <w:tcPr>
            <w:tcW w:type="dxa" w:w="1440"/>
            <w:shd w:fill="FAFAFA" w:val="clear"/>
          </w:tcPr>
          <w:p>
            <w:r>
              <w:rPr>
                <w:b/>
                <w:sz w:val="17"/>
              </w:rPr>
              <w:t>3,030</w:t>
            </w:r>
          </w:p>
        </w:tc>
        <w:tc>
          <w:tcPr>
            <w:tcW w:type="dxa" w:w="1440"/>
            <w:shd w:fill="FAFAFA" w:val="clear"/>
          </w:tcPr>
          <w:p>
            <w:r>
              <w:rPr>
                <w:sz w:val="17"/>
              </w:rPr>
              <w:t>3,337</w:t>
            </w:r>
          </w:p>
        </w:tc>
        <w:tc>
          <w:tcPr>
            <w:tcW w:type="dxa" w:w="1440"/>
            <w:shd w:fill="FAFAFA" w:val="clear"/>
          </w:tcPr>
          <w:p>
            <w:r>
              <w:rPr>
                <w:b/>
                <w:color w:val="008000"/>
                <w:sz w:val="17"/>
              </w:rPr>
              <w:t>+0.0%</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2,678</w:t>
            </w:r>
          </w:p>
        </w:tc>
        <w:tc>
          <w:tcPr>
            <w:tcW w:type="dxa" w:w="1440"/>
            <w:shd w:fill="FAFAFA" w:val="clear"/>
          </w:tcPr>
          <w:p>
            <w:r>
              <w:rPr>
                <w:b/>
                <w:sz w:val="17"/>
              </w:rPr>
              <w:t>3,032</w:t>
            </w:r>
          </w:p>
        </w:tc>
        <w:tc>
          <w:tcPr>
            <w:tcW w:type="dxa" w:w="1440"/>
            <w:shd w:fill="FAFAFA" w:val="clear"/>
          </w:tcPr>
          <w:p>
            <w:r>
              <w:rPr>
                <w:sz w:val="17"/>
              </w:rPr>
              <w:t>3,386</w:t>
            </w:r>
          </w:p>
        </w:tc>
        <w:tc>
          <w:tcPr>
            <w:tcW w:type="dxa" w:w="1440"/>
            <w:shd w:fill="FAFAFA" w:val="clear"/>
          </w:tcPr>
          <w:p>
            <w:r>
              <w:rPr>
                <w:b/>
                <w:color w:val="008000"/>
                <w:sz w:val="17"/>
              </w:rPr>
              <w:t>+0.1%</w:t>
            </w:r>
          </w:p>
        </w:tc>
      </w:tr>
      <w:tr>
        <w:tc>
          <w:tcPr>
            <w:tcW w:type="dxa" w:w="1440"/>
            <w:shd w:fill="FAFAFA" w:val="clear"/>
          </w:tcPr>
          <w:p>
            <w:r>
              <w:rPr>
                <w:sz w:val="17"/>
              </w:rPr>
              <w:t>J+5  ⭐</w:t>
            </w:r>
          </w:p>
        </w:tc>
        <w:tc>
          <w:tcPr>
            <w:tcW w:type="dxa" w:w="1440"/>
            <w:shd w:fill="FAFAFA" w:val="clear"/>
          </w:tcPr>
          <w:p>
            <w:r>
              <w:rPr>
                <w:sz w:val="17"/>
              </w:rPr>
              <w:t>2026-09-18</w:t>
            </w:r>
          </w:p>
        </w:tc>
        <w:tc>
          <w:tcPr>
            <w:tcW w:type="dxa" w:w="1440"/>
            <w:shd w:fill="FAFAFA" w:val="clear"/>
          </w:tcPr>
          <w:p>
            <w:r>
              <w:rPr>
                <w:sz w:val="17"/>
              </w:rPr>
              <w:t>2,637</w:t>
            </w:r>
          </w:p>
        </w:tc>
        <w:tc>
          <w:tcPr>
            <w:tcW w:type="dxa" w:w="1440"/>
            <w:shd w:fill="FAFAFA" w:val="clear"/>
          </w:tcPr>
          <w:p>
            <w:r>
              <w:rPr>
                <w:b/>
                <w:sz w:val="17"/>
              </w:rPr>
              <w:t>3,032</w:t>
            </w:r>
          </w:p>
        </w:tc>
        <w:tc>
          <w:tcPr>
            <w:tcW w:type="dxa" w:w="1440"/>
            <w:shd w:fill="FAFAFA" w:val="clear"/>
          </w:tcPr>
          <w:p>
            <w:r>
              <w:rPr>
                <w:sz w:val="17"/>
              </w:rPr>
              <w:t>3,428</w:t>
            </w:r>
          </w:p>
        </w:tc>
        <w:tc>
          <w:tcPr>
            <w:tcW w:type="dxa" w:w="1440"/>
            <w:shd w:fill="FAFAFA" w:val="clear"/>
          </w:tcPr>
          <w:p>
            <w:r>
              <w:rPr>
                <w:b/>
                <w:color w:val="008000"/>
                <w:sz w:val="17"/>
              </w:rPr>
              <w:t>+0.1%</w:t>
            </w:r>
          </w:p>
        </w:tc>
      </w:tr>
      <w:tr>
        <w:tc>
          <w:tcPr>
            <w:tcW w:type="dxa" w:w="1440"/>
            <w:shd w:fill="FAFAFA" w:val="clear"/>
          </w:tcPr>
          <w:p>
            <w:r>
              <w:rPr>
                <w:sz w:val="17"/>
              </w:rPr>
              <w:t>J+6  ⭐</w:t>
            </w:r>
          </w:p>
        </w:tc>
        <w:tc>
          <w:tcPr>
            <w:tcW w:type="dxa" w:w="1440"/>
            <w:shd w:fill="FAFAFA" w:val="clear"/>
          </w:tcPr>
          <w:p>
            <w:r>
              <w:rPr>
                <w:sz w:val="17"/>
              </w:rPr>
              <w:t>2026-09-21</w:t>
            </w:r>
          </w:p>
        </w:tc>
        <w:tc>
          <w:tcPr>
            <w:tcW w:type="dxa" w:w="1440"/>
            <w:shd w:fill="FAFAFA" w:val="clear"/>
          </w:tcPr>
          <w:p>
            <w:r>
              <w:rPr>
                <w:sz w:val="17"/>
              </w:rPr>
              <w:t>2,599</w:t>
            </w:r>
          </w:p>
        </w:tc>
        <w:tc>
          <w:tcPr>
            <w:tcW w:type="dxa" w:w="1440"/>
            <w:shd w:fill="FAFAFA" w:val="clear"/>
          </w:tcPr>
          <w:p>
            <w:r>
              <w:rPr>
                <w:b/>
                <w:sz w:val="17"/>
              </w:rPr>
              <w:t>3,032</w:t>
            </w:r>
          </w:p>
        </w:tc>
        <w:tc>
          <w:tcPr>
            <w:tcW w:type="dxa" w:w="1440"/>
            <w:shd w:fill="FAFAFA" w:val="clear"/>
          </w:tcPr>
          <w:p>
            <w:r>
              <w:rPr>
                <w:sz w:val="17"/>
              </w:rPr>
              <w:t>3,466</w:t>
            </w:r>
          </w:p>
        </w:tc>
        <w:tc>
          <w:tcPr>
            <w:tcW w:type="dxa" w:w="1440"/>
            <w:shd w:fill="FAFAFA" w:val="clear"/>
          </w:tcPr>
          <w:p>
            <w:r>
              <w:rPr>
                <w:b/>
                <w:color w:val="008000"/>
                <w:sz w:val="17"/>
              </w:rPr>
              <w:t>+0.1%</w:t>
            </w:r>
          </w:p>
        </w:tc>
      </w:tr>
      <w:tr>
        <w:tc>
          <w:tcPr>
            <w:tcW w:type="dxa" w:w="1440"/>
            <w:shd w:fill="FAFAFA" w:val="clear"/>
          </w:tcPr>
          <w:p>
            <w:r>
              <w:rPr>
                <w:sz w:val="17"/>
              </w:rPr>
              <w:t>J+7  ⭐</w:t>
            </w:r>
          </w:p>
        </w:tc>
        <w:tc>
          <w:tcPr>
            <w:tcW w:type="dxa" w:w="1440"/>
            <w:shd w:fill="FAFAFA" w:val="clear"/>
          </w:tcPr>
          <w:p>
            <w:r>
              <w:rPr>
                <w:sz w:val="17"/>
              </w:rPr>
              <w:t>2026-09-22</w:t>
            </w:r>
          </w:p>
        </w:tc>
        <w:tc>
          <w:tcPr>
            <w:tcW w:type="dxa" w:w="1440"/>
            <w:shd w:fill="FAFAFA" w:val="clear"/>
          </w:tcPr>
          <w:p>
            <w:r>
              <w:rPr>
                <w:sz w:val="17"/>
              </w:rPr>
              <w:t>2,564</w:t>
            </w:r>
          </w:p>
        </w:tc>
        <w:tc>
          <w:tcPr>
            <w:tcW w:type="dxa" w:w="1440"/>
            <w:shd w:fill="FAFAFA" w:val="clear"/>
          </w:tcPr>
          <w:p>
            <w:r>
              <w:rPr>
                <w:b/>
                <w:sz w:val="17"/>
              </w:rPr>
              <w:t>3,032</w:t>
            </w:r>
          </w:p>
        </w:tc>
        <w:tc>
          <w:tcPr>
            <w:tcW w:type="dxa" w:w="1440"/>
            <w:shd w:fill="FAFAFA" w:val="clear"/>
          </w:tcPr>
          <w:p>
            <w:r>
              <w:rPr>
                <w:sz w:val="17"/>
              </w:rPr>
              <w:t>3,501</w:t>
            </w:r>
          </w:p>
        </w:tc>
        <w:tc>
          <w:tcPr>
            <w:tcW w:type="dxa" w:w="1440"/>
            <w:shd w:fill="FAFAFA" w:val="clear"/>
          </w:tcPr>
          <w:p>
            <w:r>
              <w:rPr>
                <w:b/>
                <w:color w:val="008000"/>
                <w:sz w:val="17"/>
              </w:rPr>
              <w:t>+0.1%</w:t>
            </w:r>
          </w:p>
        </w:tc>
      </w:tr>
      <w:tr>
        <w:tc>
          <w:tcPr>
            <w:tcW w:type="dxa" w:w="1440"/>
            <w:shd w:fill="FAFAFA" w:val="clear"/>
          </w:tcPr>
          <w:p>
            <w:r>
              <w:rPr>
                <w:sz w:val="17"/>
              </w:rPr>
              <w:t>J+8  ⭐</w:t>
            </w:r>
          </w:p>
        </w:tc>
        <w:tc>
          <w:tcPr>
            <w:tcW w:type="dxa" w:w="1440"/>
            <w:shd w:fill="FAFAFA" w:val="clear"/>
          </w:tcPr>
          <w:p>
            <w:r>
              <w:rPr>
                <w:sz w:val="17"/>
              </w:rPr>
              <w:t>2026-09-23</w:t>
            </w:r>
          </w:p>
        </w:tc>
        <w:tc>
          <w:tcPr>
            <w:tcW w:type="dxa" w:w="1440"/>
            <w:shd w:fill="FAFAFA" w:val="clear"/>
          </w:tcPr>
          <w:p>
            <w:r>
              <w:rPr>
                <w:sz w:val="17"/>
              </w:rPr>
              <w:t>2,532</w:t>
            </w:r>
          </w:p>
        </w:tc>
        <w:tc>
          <w:tcPr>
            <w:tcW w:type="dxa" w:w="1440"/>
            <w:shd w:fill="FAFAFA" w:val="clear"/>
          </w:tcPr>
          <w:p>
            <w:r>
              <w:rPr>
                <w:b/>
                <w:sz w:val="17"/>
              </w:rPr>
              <w:t>3,032</w:t>
            </w:r>
          </w:p>
        </w:tc>
        <w:tc>
          <w:tcPr>
            <w:tcW w:type="dxa" w:w="1440"/>
            <w:shd w:fill="FAFAFA" w:val="clear"/>
          </w:tcPr>
          <w:p>
            <w:r>
              <w:rPr>
                <w:sz w:val="17"/>
              </w:rPr>
              <w:t>3,533</w:t>
            </w:r>
          </w:p>
        </w:tc>
        <w:tc>
          <w:tcPr>
            <w:tcW w:type="dxa" w:w="1440"/>
            <w:shd w:fill="FAFAFA" w:val="clear"/>
          </w:tcPr>
          <w:p>
            <w:r>
              <w:rPr>
                <w:b/>
                <w:color w:val="008000"/>
                <w:sz w:val="17"/>
              </w:rPr>
              <w:t>+0.1%</w:t>
            </w:r>
          </w:p>
        </w:tc>
      </w:tr>
      <w:tr>
        <w:tc>
          <w:tcPr>
            <w:tcW w:type="dxa" w:w="1440"/>
            <w:shd w:fill="FAFAFA" w:val="clear"/>
          </w:tcPr>
          <w:p>
            <w:r>
              <w:rPr>
                <w:sz w:val="17"/>
              </w:rPr>
              <w:t>J+9  ⭐</w:t>
            </w:r>
          </w:p>
        </w:tc>
        <w:tc>
          <w:tcPr>
            <w:tcW w:type="dxa" w:w="1440"/>
            <w:shd w:fill="FAFAFA" w:val="clear"/>
          </w:tcPr>
          <w:p>
            <w:r>
              <w:rPr>
                <w:sz w:val="17"/>
              </w:rPr>
              <w:t>2026-09-24</w:t>
            </w:r>
          </w:p>
        </w:tc>
        <w:tc>
          <w:tcPr>
            <w:tcW w:type="dxa" w:w="1440"/>
            <w:shd w:fill="FAFAFA" w:val="clear"/>
          </w:tcPr>
          <w:p>
            <w:r>
              <w:rPr>
                <w:sz w:val="17"/>
              </w:rPr>
              <w:t>2,502</w:t>
            </w:r>
          </w:p>
        </w:tc>
        <w:tc>
          <w:tcPr>
            <w:tcW w:type="dxa" w:w="1440"/>
            <w:shd w:fill="FAFAFA" w:val="clear"/>
          </w:tcPr>
          <w:p>
            <w:r>
              <w:rPr>
                <w:b/>
                <w:sz w:val="17"/>
              </w:rPr>
              <w:t>3,032</w:t>
            </w:r>
          </w:p>
        </w:tc>
        <w:tc>
          <w:tcPr>
            <w:tcW w:type="dxa" w:w="1440"/>
            <w:shd w:fill="FAFAFA" w:val="clear"/>
          </w:tcPr>
          <w:p>
            <w:r>
              <w:rPr>
                <w:sz w:val="17"/>
              </w:rPr>
              <w:t>3,563</w:t>
            </w:r>
          </w:p>
        </w:tc>
        <w:tc>
          <w:tcPr>
            <w:tcW w:type="dxa" w:w="1440"/>
            <w:shd w:fill="FAFAFA" w:val="clear"/>
          </w:tcPr>
          <w:p>
            <w:r>
              <w:rPr>
                <w:b/>
                <w:color w:val="008000"/>
                <w:sz w:val="17"/>
              </w:rPr>
              <w:t>+0.1%</w:t>
            </w:r>
          </w:p>
        </w:tc>
      </w:tr>
      <w:tr>
        <w:tc>
          <w:tcPr>
            <w:tcW w:type="dxa" w:w="1440"/>
            <w:shd w:fill="FAFAFA" w:val="clear"/>
          </w:tcPr>
          <w:p>
            <w:r>
              <w:rPr>
                <w:sz w:val="17"/>
              </w:rPr>
              <w:t>J+10  ⭐</w:t>
            </w:r>
          </w:p>
        </w:tc>
        <w:tc>
          <w:tcPr>
            <w:tcW w:type="dxa" w:w="1440"/>
            <w:shd w:fill="FAFAFA" w:val="clear"/>
          </w:tcPr>
          <w:p>
            <w:r>
              <w:rPr>
                <w:sz w:val="17"/>
              </w:rPr>
              <w:t>2026-09-25</w:t>
            </w:r>
          </w:p>
        </w:tc>
        <w:tc>
          <w:tcPr>
            <w:tcW w:type="dxa" w:w="1440"/>
            <w:shd w:fill="FAFAFA" w:val="clear"/>
          </w:tcPr>
          <w:p>
            <w:r>
              <w:rPr>
                <w:sz w:val="17"/>
              </w:rPr>
              <w:t>2,473</w:t>
            </w:r>
          </w:p>
        </w:tc>
        <w:tc>
          <w:tcPr>
            <w:tcW w:type="dxa" w:w="1440"/>
            <w:shd w:fill="FAFAFA" w:val="clear"/>
          </w:tcPr>
          <w:p>
            <w:r>
              <w:rPr>
                <w:b/>
                <w:sz w:val="17"/>
              </w:rPr>
              <w:t>3,032</w:t>
            </w:r>
          </w:p>
        </w:tc>
        <w:tc>
          <w:tcPr>
            <w:tcW w:type="dxa" w:w="1440"/>
            <w:shd w:fill="FAFAFA" w:val="clear"/>
          </w:tcPr>
          <w:p>
            <w:r>
              <w:rPr>
                <w:sz w:val="17"/>
              </w:rPr>
              <w:t>3,592</w:t>
            </w:r>
          </w:p>
        </w:tc>
        <w:tc>
          <w:tcPr>
            <w:tcW w:type="dxa" w:w="1440"/>
            <w:shd w:fill="FAFAFA" w:val="clear"/>
          </w:tcPr>
          <w:p>
            <w:r>
              <w:rPr>
                <w:b/>
                <w:color w:val="008000"/>
                <w:sz w:val="17"/>
              </w:rPr>
              <w:t>+0.1%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ACTION SDSC (AGL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164,94 milliards FCFA, SDSC se positionne parmi les valeurs moyennes-capitalisations de la BRVM, ce qui lui confère une liquidité relative mais une visibilité institutionnelle correcte. Le BPA de 387 FCFA/action indique que chaque titre génère un bénéfice unitaire significatif, mais ce chiffre est à nuancer car il repose sur l'exercice 2024, année exceptionnellement profitable. Le PER de 7,8x se situe en-dessous de la moyenne BRVM (8-12x), suggérant une sous-évaluation apparente — mais ce ratio est trompeur car il intègre un résultat net 2024 de 21,07 Mds FCFA qui s'est effondré à 0,78 Md FCFA en 2025, ce qui porterait le PER réel à plus de 200x. Le P/B de 2,12x traduit une prime de croissance accordée par le marché par rapport à la valeur comptable (capitaux propres de 77,8 Mds FCFA en 2024), tandis que l'EV/EBITDA de 35,6x apparaît très exigeant et déconnecté de la capacité opérationnelle réelle, signalant une valorisation tendue qui ne se justifie que par des éléments non récurrents (produits financiers, dividendes de filiales).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affiche une performance spectaculaire de +69,75%, portée par un fort momentum acheteur, même si la dernière séance (J-1) marque une correction de -1,94% à 3 030 FCFA. Le range de trading est très large, avec un plus bas à 1 650 FCFA et un plus haut à 3 205 FCFA, soit une amplitude de plus de 94%, témoignant d'une forte volatilité directionnelle. La moyenne (2 328 FCFA) est légèrement inférieure à la médiane (2 398 FCFA), ce qui indique une distribution quasi-symétrique avec une très légère prédominance des valeurs basses ; le mode à 1 775 FCFA suggère que le cours a longtemps stagné dans cette zone avant son envolée. L'écart-type de 447 FCFA (CV=19,2%) traduit une dispersion modérée à élevée du cours autour de sa moyenne, confirmant la nervosité du titre. Le kurtosis de -1,266 (distribution platykurtique) indique une faible concentration des rendements autour de la moyenne, donc un risque de mouvements amples mais sans pics extrêmes fréquents ; le skewness de -0,028 confirme une symétrie quasi-parfaite de la distribution. Enfin, la volatilité annualisée de 51,1% classe SDSC dans la catégorie des titres à volatilité élevée (&gt;30%), ce qui implique un risque de perte en capital significatif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(2 863,75 FCFA) et la MM50 (2 692,5 FCFA) sont toutes deux nettement inférieures au cours actuel (3 030 FCFA), et la MM20 est au-dessus de la MM50, configurant un croisement haussier (golden cross) typique d'une tendance positive. Cette configuration justifie la décision d'ACHAT, le cours évoluant au-dessus de ses deux moyennes avec un écart de +5,8% par rapport à la MM20, ce qui traduit une pression acheteuse soutenue mais commençant à s'étirer.</w:t>
      </w:r>
    </w:p>
    <w:p>
      <w:pPr>
        <w:spacing w:after="120" w:line="276" w:lineRule="auto"/>
      </w:pPr>
      <w:r>
        <w:t>**Bandes de Bollinger** : Le cours (3 030 FCFA) se situe dans la partie haute de la bande, entre la borne inférieure (2 465,07 FCFA) et la borne supérieure (3 262,43 FCFA), sans la franchir. Cette position médiane-haute, combinée à une largeur de bande importante, reflète une volatilité élevée sans signal de surachat extrême, justifiant la décision NEUTRE — le titre n'est ni en zone de survente ni en zone de surachat technique.</w:t>
      </w:r>
    </w:p>
    <w:p>
      <w:pPr>
        <w:spacing w:after="120" w:line="276" w:lineRule="auto"/>
      </w:pPr>
      <w:r>
        <w:t>**MACD** : La valeur du MACD (125,582) est supérieure à son signal (109,61), avec un histogramme positif, confirmant un momentum haussier en cours. Cette divergence positive justifie la décision d'ACHAT, bien que l'écart entre les deux lignes tende à se réduire, ce qui pourrait annoncer un essoufflement à court terme.</w:t>
      </w:r>
    </w:p>
    <w:p>
      <w:pPr>
        <w:spacing w:after="120" w:line="276" w:lineRule="auto"/>
      </w:pPr>
      <w:r>
        <w:t>**RSI** : À 61,364, le RSI se situe en zone neutre-haute (30-70), sans atteindre le seuil de surachat (70). Cette configuration justifie la décision NEUTRE, indiquant que le titre conserve un potentiel de hausse mais que la dynamique commence à ralentir.</w:t>
      </w:r>
    </w:p>
    <w:p>
      <w:pPr>
        <w:spacing w:after="120" w:line="276" w:lineRule="auto"/>
      </w:pPr>
      <w:r>
        <w:t>**Stochastique** : Le %K (72,868) est légèrement inférieur au %D (77,519), avec un croisement baissier en zone haute (&gt;70), signalant un risque de retournement à court terme. Cette configuration justifie la décision NEUTRE, le titre étant proche de la zone de surachat stochastique.</w:t>
      </w:r>
    </w:p>
    <w:p>
      <w:pPr>
        <w:spacing w:after="120" w:line="276" w:lineRule="auto"/>
      </w:pPr>
      <w:r>
        <w:t>**Conclusion technique** : Les indicateurs techniques présentent un tableau mitigé — les moyennes mobiles et le MACD confirment une tendance haussière de fond, mais le RSI, le stochastique et la position dans les bandes de Bollinger signalent un essoufflement du momentum et un risque de correction à court terme. La convergence des signaux NEUTRES sur les oscillateurs suggère que le titre pourrait consolider avant de reprendre sa tendance, ce qui plaide pour une prudence à court terme malgré la tendance haussière de moyen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(états financiers annuels) révèlent une entreprise solide sur le plan bilanciel : un chiffre d'affaires de 85,643 Mds FCFA, un résultat net de 21,069 Mds FCFA, un ROE exceptionnel de 27,08% (&gt;15% = excellent) et un ROA de 11,20%, avec une autonomie financière de 41,36% et une trésorerie nette de 15,617 Mds FCFA. Cependant, l'analyse des rapports narratifs les plus récents (T1 2025 du 31/03/2025, S1 2025 du 30/06/2025, T3 2025 du 30/09/2025 et états financiers provisoires 2025 du 31/12/2025) révèle une dégradation spectaculaire : le résultat net 2025 s'effondre à 0,785 Md FCFA (-96% vs 2024), le résultat d'exploitation devient négatif (-2,271 Mds FCFA) et la marge nette chute à 0,85% (vs 24,6% en 2024). Cette dégradation s'explique par la non-répétition des dividendes exceptionnels des filiales (le résultat financier passe de 20,87 Mds FCFA en 2024 à 7,08 Mds FCFA en 2025, soit -66%) et par la hausse des dotations aux amortissements (+41%). Sur le plan opérationnel, le T3 2025 (rapport du 30/09/2025) montre un CA de 66,217 Mds FCFA (+7,4%) tiré par le cacao (+5%) et le cajou (+29%), mais le résultat net trimestriel chute de 77% à 4,341 Mds FCFA. Les délais clients (466,94 jours) et fournisseurs (4 534,17 jours) sont anormalement élevés, générant un BFR de 17,874 Mds FCFA qui absorbe une partie de la trésorerie. La capacité de remboursement (0,56 an) et la couverture des intérêts (77,85%) restent correctes, mais le taux d'impôt effectif anormalement élevé (83% du résultat avant impôt en 2025) constitue un risque fiscal majeur. **Recommandation fondamentale** : la solidité du bilan (capitaux propres de 73,55 Mds FCFA en 2025) et la croissance du CA (+7,4%) sont des points positifs, mais l'effondrement de la rentabilité opérationnelle et la dépendance aux revenus financiers non récurrents imposent une grande prudence — le titre ne présente pas un profil de croissance rentable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 profil d'investissement contrasté et porteur de risques significatifs. Sur le plan de la **valorisation (Partie 0)**, le PER de 7,8x et le P/B de 2,12x suggèrent une sous-évaluation apparente, mais l'EV/EBITDA de 35,6x et l'effondrement du résultat net 2025 rendent ces ratios trompeurs — le titre est en réalité surévalué sur la base des bénéfices récurrents. Le **comportement du cours (Partie 1)** est haussier (+69,75%) mais avec une volatilité élevée (51,1%) et une distribution platykurtique (kurtosis -1,266) qui indique un risque de mouvements amples ; la correction de -1,94% en J-1 pourrait marquer le début d'une consolidation. Les **signaux techniques (Partie 2)** sont mitigés : les moyennes mobiles et le MACD sont haussiers, mais le RSI (61,36), le stochastique (croisement baissier en zone haute) et la position dans les bandes de Bollinger signalent un essoufflement. Les **fondamentaux (Partie 3)** sont préoccupants : malgré un CA en croissance (+7,4% en 2025), le résultat net s'est effondré de 96% à 0,785 Md FCFA, le résultat d'exploitation est négatif et la rentabilité dépend de revenus financiers non récurrents. Les **prédictions IA (J+1 à J+10)** anticipent une stabilisation autour de 3 025-3 032 FCFA, ce qui confirme l'essoufflement technique et ne contredit pas les signaux baissiers à court terme. **Recommandation finale : CONSERVER** — la convergence entre la dégradation fondamentale, l'essoufflement technique et la stagnation prédite par l'IA ne justifie ni un achat (risque de correction), ni une vente (la solidité du bilan et la croissance du CA offrent un soutien). Le niveau de confiance est **Moyen** (les données 2025 sont provisoires et les rapports trimestriels montrent une volatilité des résultats), le risque global est **Élevé** (volatilité de 51,1%, dépendance aux revenus financiers, risque fiscal), et l'horizon d'investissement optimal est **moyen terme (3-12 mois)** , en attendant la confirmation d'un redressement opérationnel au S1 2026 et la clarification de la politique de dividende (dividende 2025 réduit de 89% à 544 353 FCFA, soit un taux de distribution de 69,3% du résultat net).</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39.30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5,991 titres</w:t>
            </w:r>
          </w:p>
        </w:tc>
        <w:tc>
          <w:tcPr>
            <w:tcW w:type="dxa" w:w="2268"/>
            <w:shd w:fill="FFF2CC" w:val="clear"/>
          </w:tcPr>
          <w:p>
            <w:r>
              <w:rPr>
                <w:b/>
                <w:color w:val="503200"/>
                <w:sz w:val="16"/>
              </w:rPr>
              <w:t xml:space="preserve">Cours actuel : </w:t>
            </w:r>
            <w:r>
              <w:rPr>
                <w:color w:val="000000"/>
                <w:sz w:val="17"/>
              </w:rPr>
              <w:t>1,560 FCFA</w:t>
            </w:r>
          </w:p>
          <w:p>
            <w:r>
              <w:rPr>
                <w:b/>
                <w:color w:val="503200"/>
                <w:sz w:val="16"/>
              </w:rPr>
              <w:t xml:space="preserve">Var. 100 jours : </w:t>
            </w:r>
            <w:r>
              <w:rPr>
                <w:b/>
                <w:color w:val="B40000"/>
                <w:sz w:val="17"/>
              </w:rPr>
              <w:t>-4.00%</w:t>
            </w:r>
          </w:p>
          <w:p>
            <w:r>
              <w:rPr>
                <w:b/>
                <w:color w:val="503200"/>
                <w:sz w:val="16"/>
              </w:rPr>
              <w:t xml:space="preserve">Plus haut 100j : </w:t>
            </w:r>
            <w:r>
              <w:rPr>
                <w:color w:val="000000"/>
                <w:sz w:val="17"/>
              </w:rPr>
              <w:t>1,800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17.8/100 → Faible</w:t>
      </w:r>
    </w:p>
    <w:p>
      <w:pPr>
        <w:spacing w:before="40" w:after="80"/>
      </w:pPr>
      <w:r>
        <w:rPr>
          <w:rFonts w:ascii="Courier New" w:hAnsi="Courier New"/>
          <w:color w:val="006400"/>
          <w:sz w:val="18"/>
        </w:rPr>
        <w:t>███░░░░░░░░░░░░░░░░░  17.8/100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4.77% (Faible) — μ=1,530 FCFA, σ=73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FFEB9C" w:val="clear"/>
          </w:tcPr>
          <w:p>
            <w:r>
              <w:rPr>
                <w:b/>
                <w:sz w:val="15"/>
              </w:rPr>
              <w:t>β=1.2460 (Agressif) — Cov=0.000043, Var(idx)=0.000035, ρ=0.238,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5,991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σ_j=3.07%/j (Modérée) — Vol. annualisée≈48.7%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1,463</w:t>
            </w:r>
          </w:p>
        </w:tc>
        <w:tc>
          <w:tcPr>
            <w:tcW w:type="dxa" w:w="1440"/>
            <w:shd w:fill="FAFAFA" w:val="clear"/>
          </w:tcPr>
          <w:p>
            <w:r>
              <w:rPr>
                <w:b/>
                <w:sz w:val="17"/>
              </w:rPr>
              <w:t>1,534</w:t>
            </w:r>
          </w:p>
        </w:tc>
        <w:tc>
          <w:tcPr>
            <w:tcW w:type="dxa" w:w="1440"/>
            <w:shd w:fill="FAFAFA" w:val="clear"/>
          </w:tcPr>
          <w:p>
            <w:r>
              <w:rPr>
                <w:sz w:val="17"/>
              </w:rPr>
              <w:t>1,604</w:t>
            </w:r>
          </w:p>
        </w:tc>
        <w:tc>
          <w:tcPr>
            <w:tcW w:type="dxa" w:w="1440"/>
            <w:shd w:fill="FAFAFA" w:val="clear"/>
          </w:tcPr>
          <w:p>
            <w:r>
              <w:rPr>
                <w:b/>
                <w:color w:val="C00000"/>
                <w:sz w:val="17"/>
              </w:rPr>
              <w:t>-1.7%</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1,430</w:t>
            </w:r>
          </w:p>
        </w:tc>
        <w:tc>
          <w:tcPr>
            <w:tcW w:type="dxa" w:w="1440"/>
            <w:shd w:fill="FAFAFA" w:val="clear"/>
          </w:tcPr>
          <w:p>
            <w:r>
              <w:rPr>
                <w:b/>
                <w:sz w:val="17"/>
              </w:rPr>
              <w:t>1,529</w:t>
            </w:r>
          </w:p>
        </w:tc>
        <w:tc>
          <w:tcPr>
            <w:tcW w:type="dxa" w:w="1440"/>
            <w:shd w:fill="FAFAFA" w:val="clear"/>
          </w:tcPr>
          <w:p>
            <w:r>
              <w:rPr>
                <w:sz w:val="17"/>
              </w:rPr>
              <w:t>1,629</w:t>
            </w:r>
          </w:p>
        </w:tc>
        <w:tc>
          <w:tcPr>
            <w:tcW w:type="dxa" w:w="1440"/>
            <w:shd w:fill="FAFAFA" w:val="clear"/>
          </w:tcPr>
          <w:p>
            <w:r>
              <w:rPr>
                <w:b/>
                <w:color w:val="C00000"/>
                <w:sz w:val="17"/>
              </w:rPr>
              <w:t>-2.0%</w:t>
            </w:r>
          </w:p>
        </w:tc>
      </w:tr>
      <w:tr>
        <w:tc>
          <w:tcPr>
            <w:tcW w:type="dxa" w:w="1440"/>
            <w:shd w:fill="FFDCE0" w:val="clear"/>
          </w:tcPr>
          <w:p>
            <w:r>
              <w:rPr>
                <w:sz w:val="17"/>
              </w:rPr>
              <w:t>J+3  Moyenne</w:t>
            </w:r>
          </w:p>
        </w:tc>
        <w:tc>
          <w:tcPr>
            <w:tcW w:type="dxa" w:w="1440"/>
            <w:shd w:fill="FFDCE0" w:val="clear"/>
          </w:tcPr>
          <w:p>
            <w:r>
              <w:rPr>
                <w:sz w:val="17"/>
              </w:rPr>
              <w:t>2026-09-16</w:t>
            </w:r>
          </w:p>
        </w:tc>
        <w:tc>
          <w:tcPr>
            <w:tcW w:type="dxa" w:w="1440"/>
            <w:shd w:fill="FFDCE0" w:val="clear"/>
          </w:tcPr>
          <w:p>
            <w:r>
              <w:rPr>
                <w:sz w:val="17"/>
              </w:rPr>
              <w:t>1,401</w:t>
            </w:r>
          </w:p>
        </w:tc>
        <w:tc>
          <w:tcPr>
            <w:tcW w:type="dxa" w:w="1440"/>
            <w:shd w:fill="FFDCE0" w:val="clear"/>
          </w:tcPr>
          <w:p>
            <w:r>
              <w:rPr>
                <w:b/>
                <w:sz w:val="17"/>
              </w:rPr>
              <w:t>1,522</w:t>
            </w:r>
          </w:p>
        </w:tc>
        <w:tc>
          <w:tcPr>
            <w:tcW w:type="dxa" w:w="1440"/>
            <w:shd w:fill="FFDCE0" w:val="clear"/>
          </w:tcPr>
          <w:p>
            <w:r>
              <w:rPr>
                <w:sz w:val="17"/>
              </w:rPr>
              <w:t>1,643</w:t>
            </w:r>
          </w:p>
        </w:tc>
        <w:tc>
          <w:tcPr>
            <w:tcW w:type="dxa" w:w="1440"/>
            <w:shd w:fill="FFDCE0" w:val="clear"/>
          </w:tcPr>
          <w:p>
            <w:r>
              <w:rPr>
                <w:b/>
                <w:color w:val="C00000"/>
                <w:sz w:val="17"/>
              </w:rPr>
              <w:t>-2.4%</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1,376</w:t>
            </w:r>
          </w:p>
        </w:tc>
        <w:tc>
          <w:tcPr>
            <w:tcW w:type="dxa" w:w="1440"/>
            <w:shd w:fill="FFDCE0" w:val="clear"/>
          </w:tcPr>
          <w:p>
            <w:r>
              <w:rPr>
                <w:b/>
                <w:sz w:val="17"/>
              </w:rPr>
              <w:t>1,515</w:t>
            </w:r>
          </w:p>
        </w:tc>
        <w:tc>
          <w:tcPr>
            <w:tcW w:type="dxa" w:w="1440"/>
            <w:shd w:fill="FFDCE0" w:val="clear"/>
          </w:tcPr>
          <w:p>
            <w:r>
              <w:rPr>
                <w:sz w:val="17"/>
              </w:rPr>
              <w:t>1,654</w:t>
            </w:r>
          </w:p>
        </w:tc>
        <w:tc>
          <w:tcPr>
            <w:tcW w:type="dxa" w:w="1440"/>
            <w:shd w:fill="FFDCE0" w:val="clear"/>
          </w:tcPr>
          <w:p>
            <w:r>
              <w:rPr>
                <w:b/>
                <w:color w:val="C00000"/>
                <w:sz w:val="17"/>
              </w:rPr>
              <w:t>-2.9%</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1,352</w:t>
            </w:r>
          </w:p>
        </w:tc>
        <w:tc>
          <w:tcPr>
            <w:tcW w:type="dxa" w:w="1440"/>
            <w:shd w:fill="FFDCE0" w:val="clear"/>
          </w:tcPr>
          <w:p>
            <w:r>
              <w:rPr>
                <w:b/>
                <w:sz w:val="17"/>
              </w:rPr>
              <w:t>1,507</w:t>
            </w:r>
          </w:p>
        </w:tc>
        <w:tc>
          <w:tcPr>
            <w:tcW w:type="dxa" w:w="1440"/>
            <w:shd w:fill="FFDCE0" w:val="clear"/>
          </w:tcPr>
          <w:p>
            <w:r>
              <w:rPr>
                <w:sz w:val="17"/>
              </w:rPr>
              <w:t>1,662</w:t>
            </w:r>
          </w:p>
        </w:tc>
        <w:tc>
          <w:tcPr>
            <w:tcW w:type="dxa" w:w="1440"/>
            <w:shd w:fill="FFDCE0" w:val="clear"/>
          </w:tcPr>
          <w:p>
            <w:r>
              <w:rPr>
                <w:b/>
                <w:color w:val="C00000"/>
                <w:sz w:val="17"/>
              </w:rPr>
              <w:t>-3.4%</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1,331</w:t>
            </w:r>
          </w:p>
        </w:tc>
        <w:tc>
          <w:tcPr>
            <w:tcW w:type="dxa" w:w="1440"/>
            <w:shd w:fill="FFDCE0" w:val="clear"/>
          </w:tcPr>
          <w:p>
            <w:r>
              <w:rPr>
                <w:b/>
                <w:sz w:val="17"/>
              </w:rPr>
              <w:t>1,499</w:t>
            </w:r>
          </w:p>
        </w:tc>
        <w:tc>
          <w:tcPr>
            <w:tcW w:type="dxa" w:w="1440"/>
            <w:shd w:fill="FFDCE0" w:val="clear"/>
          </w:tcPr>
          <w:p>
            <w:r>
              <w:rPr>
                <w:sz w:val="17"/>
              </w:rPr>
              <w:t>1,668</w:t>
            </w:r>
          </w:p>
        </w:tc>
        <w:tc>
          <w:tcPr>
            <w:tcW w:type="dxa" w:w="1440"/>
            <w:shd w:fill="FFDCE0" w:val="clear"/>
          </w:tcPr>
          <w:p>
            <w:r>
              <w:rPr>
                <w:b/>
                <w:color w:val="C00000"/>
                <w:sz w:val="17"/>
              </w:rPr>
              <w:t>-3.9%</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1,310</w:t>
            </w:r>
          </w:p>
        </w:tc>
        <w:tc>
          <w:tcPr>
            <w:tcW w:type="dxa" w:w="1440"/>
            <w:shd w:fill="FFDCE0" w:val="clear"/>
          </w:tcPr>
          <w:p>
            <w:r>
              <w:rPr>
                <w:b/>
                <w:sz w:val="17"/>
              </w:rPr>
              <w:t>1,491</w:t>
            </w:r>
          </w:p>
        </w:tc>
        <w:tc>
          <w:tcPr>
            <w:tcW w:type="dxa" w:w="1440"/>
            <w:shd w:fill="FFDCE0" w:val="clear"/>
          </w:tcPr>
          <w:p>
            <w:r>
              <w:rPr>
                <w:sz w:val="17"/>
              </w:rPr>
              <w:t>1,673</w:t>
            </w:r>
          </w:p>
        </w:tc>
        <w:tc>
          <w:tcPr>
            <w:tcW w:type="dxa" w:w="1440"/>
            <w:shd w:fill="FFDCE0" w:val="clear"/>
          </w:tcPr>
          <w:p>
            <w:r>
              <w:rPr>
                <w:b/>
                <w:color w:val="C00000"/>
                <w:sz w:val="17"/>
              </w:rPr>
              <w:t>-4.4%</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1,291</w:t>
            </w:r>
          </w:p>
        </w:tc>
        <w:tc>
          <w:tcPr>
            <w:tcW w:type="dxa" w:w="1440"/>
            <w:shd w:fill="FFDCE0" w:val="clear"/>
          </w:tcPr>
          <w:p>
            <w:r>
              <w:rPr>
                <w:b/>
                <w:sz w:val="17"/>
              </w:rPr>
              <w:t>1,484</w:t>
            </w:r>
          </w:p>
        </w:tc>
        <w:tc>
          <w:tcPr>
            <w:tcW w:type="dxa" w:w="1440"/>
            <w:shd w:fill="FFDCE0" w:val="clear"/>
          </w:tcPr>
          <w:p>
            <w:r>
              <w:rPr>
                <w:sz w:val="17"/>
              </w:rPr>
              <w:t>1,677</w:t>
            </w:r>
          </w:p>
        </w:tc>
        <w:tc>
          <w:tcPr>
            <w:tcW w:type="dxa" w:w="1440"/>
            <w:shd w:fill="FFDCE0" w:val="clear"/>
          </w:tcPr>
          <w:p>
            <w:r>
              <w:rPr>
                <w:b/>
                <w:color w:val="C00000"/>
                <w:sz w:val="17"/>
              </w:rPr>
              <w:t>-4.9%</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1,273</w:t>
            </w:r>
          </w:p>
        </w:tc>
        <w:tc>
          <w:tcPr>
            <w:tcW w:type="dxa" w:w="1440"/>
            <w:shd w:fill="FFDCE0" w:val="clear"/>
          </w:tcPr>
          <w:p>
            <w:r>
              <w:rPr>
                <w:b/>
                <w:sz w:val="17"/>
              </w:rPr>
              <w:t>1,476</w:t>
            </w:r>
          </w:p>
        </w:tc>
        <w:tc>
          <w:tcPr>
            <w:tcW w:type="dxa" w:w="1440"/>
            <w:shd w:fill="FFDCE0" w:val="clear"/>
          </w:tcPr>
          <w:p>
            <w:r>
              <w:rPr>
                <w:sz w:val="17"/>
              </w:rPr>
              <w:t>1,680</w:t>
            </w:r>
          </w:p>
        </w:tc>
        <w:tc>
          <w:tcPr>
            <w:tcW w:type="dxa" w:w="1440"/>
            <w:shd w:fill="FFDCE0" w:val="clear"/>
          </w:tcPr>
          <w:p>
            <w:r>
              <w:rPr>
                <w:b/>
                <w:color w:val="C00000"/>
                <w:sz w:val="17"/>
              </w:rPr>
              <w:t>-5.4%</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1,256</w:t>
            </w:r>
          </w:p>
        </w:tc>
        <w:tc>
          <w:tcPr>
            <w:tcW w:type="dxa" w:w="1440"/>
            <w:shd w:fill="FFDCE0" w:val="clear"/>
          </w:tcPr>
          <w:p>
            <w:r>
              <w:rPr>
                <w:b/>
                <w:sz w:val="17"/>
              </w:rPr>
              <w:t>1,469</w:t>
            </w:r>
          </w:p>
        </w:tc>
        <w:tc>
          <w:tcPr>
            <w:tcW w:type="dxa" w:w="1440"/>
            <w:shd w:fill="FFDCE0" w:val="clear"/>
          </w:tcPr>
          <w:p>
            <w:r>
              <w:rPr>
                <w:sz w:val="17"/>
              </w:rPr>
              <w:t>1,682</w:t>
            </w:r>
          </w:p>
        </w:tc>
        <w:tc>
          <w:tcPr>
            <w:tcW w:type="dxa" w:w="1440"/>
            <w:shd w:fill="FFDCE0" w:val="clear"/>
          </w:tcPr>
          <w:p>
            <w:r>
              <w:rPr>
                <w:b/>
                <w:color w:val="C00000"/>
                <w:sz w:val="17"/>
              </w:rPr>
              <w:t>-5.8%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ACTION SEMC (BRVM)**</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39,30 milliards FCFA, un niveau modeste à l'échelle de la BRVM qui la positionne parmi les valeurs de taille intermédiaire, avec une liquidité limitée (volume moyen de 5 991 titres/jour). Les ratios de valorisation boursière (BPA, PER, P/B, EV/EBITDA) ne sont pas calculables en l'état, faute de données financières structurées exploitables dans la base (les états financiers disponibles étant ceux de l'exercice 2023, antérieurs à l'exercice en cours). À titre indicatif, sur la base du résultat net 2023 de 1,01 milliard FCFA et d'un nombre d'actions estimé à environ 25 millions, le BPA ressortirait autour de 40 FCFA, soit un PER implicite très élevé (&gt;35x) au cours actuel de 1 560 FCFA — bien au-dessus de la moyenne BRVM (8-12x). Cette cherté apparente reflète la forte contraction des bénéfices en 2023 et invite à la prudence tant que la reprise annoncée n'est pas confirmée par des publications récentes.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SEMC affiche une variation totale de -4,00%, avec une dernière séance en repli de -0,32%, portant le cours à 1 560 FCFA. Le titre a évolué dans un range de 450 FCFA, entre un plus bas de 1 350 FCFA et un plus haut de 1 800 FCFA, ce qui traduit une tendance globalement baissière mais avec des rebonds ponctuels. Les statistiques descriptives révèlent une moyenne de 1 530 FCFA légèrement supérieure à la médiane de 1 520 FCFA, signe d'une distribution faiblement asymétrique à droite, confirmée par un skewness positif de 0,620 (davantage de journées sous la moyenne, mais quelques pics haussiers marqués). L'écart-type de 73 FCFA et le coefficient de variation de 4,8% indiquent une dispersion modérée du cours autour de sa moyenne, tandis que le kurtosis de 1,438 (leptokurtique) signale des queues épaisses et un risque de pics de volatilité brutaux. La volatilité annualisée de 48,7% classe le titre dans la catégorie à volatilité élevée (&gt;30%), ce qui implique un risque significatif pour les investisseurs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(1 538,5 FCFA) et la MM50 (1 499,0 FCFA) se situent toutes deux sous le cours actuel de 1 560 FCFA, avec la MM20 au-dessus de la MM50 — configuration haussière classique (croisement doré). Cette disposition justifie la décision technique « Achat », le titre évoluant au-dessus de ses supports mobiles.</w:t>
      </w:r>
    </w:p>
    <w:p>
      <w:pPr>
        <w:spacing w:after="120" w:line="276" w:lineRule="auto"/>
      </w:pPr>
      <w:r>
        <w:t>**Bandes de Bollinger** : Le cours (1 560 FCFA) se situe dans la partie haute de la bande, entre la borne inférieure (1 452,8 FCFA) et la borne supérieure (1 624,2 FCFA), sans la franchir. Cette position médiane-haute, avec des bandes relativement resserrées, traduit une volatilité contenue et justifie la décision « Neutre » — ni signal d'achat ni de vente.</w:t>
      </w:r>
    </w:p>
    <w:p>
      <w:pPr>
        <w:spacing w:after="120" w:line="276" w:lineRule="auto"/>
      </w:pPr>
      <w:r>
        <w:t>**MACD** : La ligne MACD (13,06) est supérieure à sa ligne de signal (10,678), avec un histogramme positif, confirmant un momentum haussier en cours. Cette divergence positive justifie la décision « Achat », bien que l'écart reste modéré et nécessite confirmation.</w:t>
      </w:r>
    </w:p>
    <w:p>
      <w:pPr>
        <w:spacing w:after="120" w:line="276" w:lineRule="auto"/>
      </w:pPr>
      <w:r>
        <w:t>**RSI** : À 50,962, le RSI se situe exactement en zone neutre (30-70), sans signal de surachat (&gt;70) ni de survente (&lt;30). Cette position médiane justifie la décision « Neutre » et suggère un équilibre entre acheteurs et vendeurs.</w:t>
      </w:r>
    </w:p>
    <w:p>
      <w:pPr>
        <w:spacing w:after="120" w:line="276" w:lineRule="auto"/>
      </w:pPr>
      <w:r>
        <w:t>**Stochastique** : Le %K (84,615) et le %D (85,073) sont tous deux en zone de surachat (&gt;80), avec un %K légèrement sous le %D — signal de retournement baissier potentiel. Cette configuration justifie la décision « Vente », le titre paraissant suracheté à court terme.</w:t>
      </w:r>
    </w:p>
    <w:p>
      <w:pPr>
        <w:spacing w:after="120" w:line="276" w:lineRule="auto"/>
      </w:pPr>
      <w:r>
        <w:t>**Conclusion technique** : Les indicateurs sont divergents — les moyennes mobiles et le MACD émettent des signaux haussiers, tandis que le stochastique signale une vente et que le RSI et les Bollinger restent neutres. Cette absence de convergence traduit une phase d'incertitude, avec un biais haussier de fond (MM, MACD) mais un risque de correction à court terme (stochastique en surachat). La prudence est de mise.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ne sont pas disponibles dans la base, mais les rapports officiels fournis (exercices 2021, 2022, T1 2023 et 2023) permettent une analyse approfondie. **En 2023**, SEMC a enregistré un chiffre d'affaires de 27,88 milliards FCFA (contre 29,60 milliards en 2022, soit -6%), un résultat net de 1,01 milliard FCFA (contre 3,86 milliards en 2022, soit -74%), une marge nette de 3,6% (vs 13,0% en 2022) et un ROE estimé autour de 5% (vs ~18% en 2022). Cette dégradation s'explique par la perte de clients clés (AIRONE : -81% de CA), la concurrence du PET dans le segment tomate, et des coûts fixes élevés. **En 2022**, le CA s'élevait à 29,60 milliards FCFA (+13,8% vs 2021), avec un résultat net de 3,86 milliards FCFA et une marge nette de 13,0%. **Au T1 2023**, le CA atteignait 7,65 milliards FCFA (+16,5%) avec un résultat net de 855,65 millions FCFA (+37,9%) et une marge nette de 11,2% — mais cette dynamique ne s'est pas confirmée sur l'année. La politique de dividende est suspendue (0 FCFA en 2022 et 2023) pour préserver la trésorerie (3,35 milliards FCFA en 2023). Le rachat par Sonoco Products Company (finalisé en décembre 2024) constitue un levier stratégique majeur, tout comme la croissance des bouchons couronnes (+61% en volume) et les exportations (+54% vers le Sénégal). **Perspectives** : objectif de CA de 32 milliards FCFA en 2024 (+18%), porté par la relance des bouchons et la reconquête des marchés à l'export. **Recommandation fondamentale** : profil spéculatif — la solidité du bilan (trésorerie positive, endettement fournisseurs en baisse) contraste avec la fragilité de la rentabilité et l'absence de dividende ; le succès du plan de relance et l'intégration par Sonoco sont les catalyseurs à surveiller.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tendue : avec un PER implicite supérieur à 35x sur la base des bénéfices 2023, le titre se paie cher par rapport à la moyenne BRVM (8-12x), ce qui intègre déjà une forte anticipation de reprise. Le comportement du cours (Partie 1) est préoccupant : tendance baissière (-4,00% sur 100 jours), volatilité élevée (48,7%), distribution leptokurtique (risque de pics) et skewness positif (pression vendeuse sous la moyenne). Les signaux techniques (Partie 2) sont divergents : biais haussier des MM et du MACD, mais stochastique en surachat et RSI neutre — configuration incertaine. Les fondamentaux (Partie 3) sont fragiles : chute de 74% du résultat net en 2023, marge nette réduite à 3,6%, dividende suspendu, mais des perspectives de rebond en 2024 (objectif CA +18%) et l'apport stratégique de Sonoco. Les prédictions IA (J+1 à J+10) anticipent une trajectoire baissière continue, de 1 534 FCFA à 1 507 FCFA, confirmant les signaux de correction à court terme. **Synthèse** : la convergence entre valorisation chère, fondamentaux dégradés, prédictions baissières et signaux techniques mitigés plaide pour une **VENTE** à court terme, avec un **niveau de confiance Moyen** et un **risque global Élevé**. L'horizon recommandé est **court terme (&lt;3 mois)** pour les investisseurs cherchant à se positionner sur un éventuel rebond post-correction, mais **moyen terme (3-12 mois)** pour ceux qui souhaitent parier sur la réussite du plan de relance et l'intégration par Sonoco — sous réserve d'une confirmation par les prochaines publications trimestrielles.</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1197.78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5,595 titres</w:t>
            </w:r>
          </w:p>
        </w:tc>
        <w:tc>
          <w:tcPr>
            <w:tcW w:type="dxa" w:w="2268"/>
            <w:shd w:fill="FFF2CC" w:val="clear"/>
          </w:tcPr>
          <w:p>
            <w:r>
              <w:rPr>
                <w:b/>
                <w:color w:val="503200"/>
                <w:sz w:val="16"/>
              </w:rPr>
              <w:t xml:space="preserve">Cours actuel : </w:t>
            </w:r>
            <w:r>
              <w:rPr>
                <w:color w:val="000000"/>
                <w:sz w:val="17"/>
              </w:rPr>
              <w:t>38,500 FCFA</w:t>
            </w:r>
          </w:p>
          <w:p>
            <w:r>
              <w:rPr>
                <w:b/>
                <w:color w:val="503200"/>
                <w:sz w:val="16"/>
              </w:rPr>
              <w:t xml:space="preserve">Var. 100 jours : </w:t>
            </w:r>
            <w:r>
              <w:rPr>
                <w:b/>
                <w:color w:val="007800"/>
                <w:sz w:val="17"/>
              </w:rPr>
              <w:t>+16.67%</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23.9%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4.82% (Faible) — μ=37,501 FCFA, σ=1,806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β=0.6128 (Défensif) — Cov=0.000021, Var(idx)=0.000035, ρ=0.239,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5,595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σ_j=1.51%/j (Stable) — Vol. annualisée≈23.9%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37,369</w:t>
            </w:r>
          </w:p>
        </w:tc>
        <w:tc>
          <w:tcPr>
            <w:tcW w:type="dxa" w:w="1440"/>
            <w:shd w:fill="FAFAFA" w:val="clear"/>
          </w:tcPr>
          <w:p>
            <w:r>
              <w:rPr>
                <w:b/>
                <w:sz w:val="17"/>
              </w:rPr>
              <w:t>38,246</w:t>
            </w:r>
          </w:p>
        </w:tc>
        <w:tc>
          <w:tcPr>
            <w:tcW w:type="dxa" w:w="1440"/>
            <w:shd w:fill="FAFAFA" w:val="clear"/>
          </w:tcPr>
          <w:p>
            <w:r>
              <w:rPr>
                <w:sz w:val="17"/>
              </w:rPr>
              <w:t>39,122</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36,882</w:t>
            </w:r>
          </w:p>
        </w:tc>
        <w:tc>
          <w:tcPr>
            <w:tcW w:type="dxa" w:w="1440"/>
            <w:shd w:fill="FAFAFA" w:val="clear"/>
          </w:tcPr>
          <w:p>
            <w:r>
              <w:rPr>
                <w:b/>
                <w:sz w:val="17"/>
              </w:rPr>
              <w:t>38,118</w:t>
            </w:r>
          </w:p>
        </w:tc>
        <w:tc>
          <w:tcPr>
            <w:tcW w:type="dxa" w:w="1440"/>
            <w:shd w:fill="FAFAFA" w:val="clear"/>
          </w:tcPr>
          <w:p>
            <w:r>
              <w:rPr>
                <w:sz w:val="17"/>
              </w:rPr>
              <w:t>39,354</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36,485</w:t>
            </w:r>
          </w:p>
        </w:tc>
        <w:tc>
          <w:tcPr>
            <w:tcW w:type="dxa" w:w="1440"/>
            <w:shd w:fill="FAFAFA" w:val="clear"/>
          </w:tcPr>
          <w:p>
            <w:r>
              <w:rPr>
                <w:b/>
                <w:sz w:val="17"/>
              </w:rPr>
              <w:t>37,993</w:t>
            </w:r>
          </w:p>
        </w:tc>
        <w:tc>
          <w:tcPr>
            <w:tcW w:type="dxa" w:w="1440"/>
            <w:shd w:fill="FAFAFA" w:val="clear"/>
          </w:tcPr>
          <w:p>
            <w:r>
              <w:rPr>
                <w:sz w:val="17"/>
              </w:rPr>
              <w:t>39,502</w:t>
            </w:r>
          </w:p>
        </w:tc>
        <w:tc>
          <w:tcPr>
            <w:tcW w:type="dxa" w:w="1440"/>
            <w:shd w:fill="FAFAFA" w:val="clear"/>
          </w:tcPr>
          <w:p>
            <w:r>
              <w:rPr>
                <w:b/>
                <w:color w:val="C00000"/>
                <w:sz w:val="17"/>
              </w:rPr>
              <w:t>-1.3%</w:t>
            </w:r>
          </w:p>
        </w:tc>
      </w:tr>
      <w:tr>
        <w:tc>
          <w:tcPr>
            <w:tcW w:type="dxa" w:w="1440"/>
            <w:shd w:fill="FAFAFA" w:val="clear"/>
          </w:tcPr>
          <w:p>
            <w:r>
              <w:rPr>
                <w:sz w:val="17"/>
              </w:rPr>
              <w:t>J+4  Moyenne</w:t>
            </w:r>
          </w:p>
        </w:tc>
        <w:tc>
          <w:tcPr>
            <w:tcW w:type="dxa" w:w="1440"/>
            <w:shd w:fill="FAFAFA" w:val="clear"/>
          </w:tcPr>
          <w:p>
            <w:r>
              <w:rPr>
                <w:sz w:val="17"/>
              </w:rPr>
              <w:t>2026-09-17</w:t>
            </w:r>
          </w:p>
        </w:tc>
        <w:tc>
          <w:tcPr>
            <w:tcW w:type="dxa" w:w="1440"/>
            <w:shd w:fill="FAFAFA" w:val="clear"/>
          </w:tcPr>
          <w:p>
            <w:r>
              <w:rPr>
                <w:sz w:val="17"/>
              </w:rPr>
              <w:t>36,139</w:t>
            </w:r>
          </w:p>
        </w:tc>
        <w:tc>
          <w:tcPr>
            <w:tcW w:type="dxa" w:w="1440"/>
            <w:shd w:fill="FAFAFA" w:val="clear"/>
          </w:tcPr>
          <w:p>
            <w:r>
              <w:rPr>
                <w:b/>
                <w:sz w:val="17"/>
              </w:rPr>
              <w:t>37,875</w:t>
            </w:r>
          </w:p>
        </w:tc>
        <w:tc>
          <w:tcPr>
            <w:tcW w:type="dxa" w:w="1440"/>
            <w:shd w:fill="FAFAFA" w:val="clear"/>
          </w:tcPr>
          <w:p>
            <w:r>
              <w:rPr>
                <w:sz w:val="17"/>
              </w:rPr>
              <w:t>39,612</w:t>
            </w:r>
          </w:p>
        </w:tc>
        <w:tc>
          <w:tcPr>
            <w:tcW w:type="dxa" w:w="1440"/>
            <w:shd w:fill="FAFAFA" w:val="clear"/>
          </w:tcPr>
          <w:p>
            <w:r>
              <w:rPr>
                <w:b/>
                <w:color w:val="C00000"/>
                <w:sz w:val="17"/>
              </w:rPr>
              <w:t>-1.6%</w:t>
            </w:r>
          </w:p>
        </w:tc>
      </w:tr>
      <w:tr>
        <w:tc>
          <w:tcPr>
            <w:tcW w:type="dxa" w:w="1440"/>
            <w:shd w:fill="FAFAFA" w:val="clear"/>
          </w:tcPr>
          <w:p>
            <w:r>
              <w:rPr>
                <w:sz w:val="17"/>
              </w:rPr>
              <w:t>J+5  Moyenne</w:t>
            </w:r>
          </w:p>
        </w:tc>
        <w:tc>
          <w:tcPr>
            <w:tcW w:type="dxa" w:w="1440"/>
            <w:shd w:fill="FAFAFA" w:val="clear"/>
          </w:tcPr>
          <w:p>
            <w:r>
              <w:rPr>
                <w:sz w:val="17"/>
              </w:rPr>
              <w:t>2026-09-18</w:t>
            </w:r>
          </w:p>
        </w:tc>
        <w:tc>
          <w:tcPr>
            <w:tcW w:type="dxa" w:w="1440"/>
            <w:shd w:fill="FAFAFA" w:val="clear"/>
          </w:tcPr>
          <w:p>
            <w:r>
              <w:rPr>
                <w:sz w:val="17"/>
              </w:rPr>
              <w:t>35,827</w:t>
            </w:r>
          </w:p>
        </w:tc>
        <w:tc>
          <w:tcPr>
            <w:tcW w:type="dxa" w:w="1440"/>
            <w:shd w:fill="FAFAFA" w:val="clear"/>
          </w:tcPr>
          <w:p>
            <w:r>
              <w:rPr>
                <w:b/>
                <w:sz w:val="17"/>
              </w:rPr>
              <w:t>37,763</w:t>
            </w:r>
          </w:p>
        </w:tc>
        <w:tc>
          <w:tcPr>
            <w:tcW w:type="dxa" w:w="1440"/>
            <w:shd w:fill="FAFAFA" w:val="clear"/>
          </w:tcPr>
          <w:p>
            <w:r>
              <w:rPr>
                <w:sz w:val="17"/>
              </w:rPr>
              <w:t>39,698</w:t>
            </w:r>
          </w:p>
        </w:tc>
        <w:tc>
          <w:tcPr>
            <w:tcW w:type="dxa" w:w="1440"/>
            <w:shd w:fill="FAFAFA" w:val="clear"/>
          </w:tcPr>
          <w:p>
            <w:r>
              <w:rPr>
                <w:b/>
                <w:color w:val="C00000"/>
                <w:sz w:val="17"/>
              </w:rPr>
              <w:t>-1.9%</w:t>
            </w:r>
          </w:p>
        </w:tc>
      </w:tr>
      <w:tr>
        <w:tc>
          <w:tcPr>
            <w:tcW w:type="dxa" w:w="1440"/>
            <w:shd w:fill="FFDCE0" w:val="clear"/>
          </w:tcPr>
          <w:p>
            <w:r>
              <w:rPr>
                <w:sz w:val="17"/>
              </w:rPr>
              <w:t>J+6  Moyenne</w:t>
            </w:r>
          </w:p>
        </w:tc>
        <w:tc>
          <w:tcPr>
            <w:tcW w:type="dxa" w:w="1440"/>
            <w:shd w:fill="FFDCE0" w:val="clear"/>
          </w:tcPr>
          <w:p>
            <w:r>
              <w:rPr>
                <w:sz w:val="17"/>
              </w:rPr>
              <w:t>2026-09-21</w:t>
            </w:r>
          </w:p>
        </w:tc>
        <w:tc>
          <w:tcPr>
            <w:tcW w:type="dxa" w:w="1440"/>
            <w:shd w:fill="FFDCE0" w:val="clear"/>
          </w:tcPr>
          <w:p>
            <w:r>
              <w:rPr>
                <w:sz w:val="17"/>
              </w:rPr>
              <w:t>35,539</w:t>
            </w:r>
          </w:p>
        </w:tc>
        <w:tc>
          <w:tcPr>
            <w:tcW w:type="dxa" w:w="1440"/>
            <w:shd w:fill="FFDCE0" w:val="clear"/>
          </w:tcPr>
          <w:p>
            <w:r>
              <w:rPr>
                <w:b/>
                <w:sz w:val="17"/>
              </w:rPr>
              <w:t>37,654</w:t>
            </w:r>
          </w:p>
        </w:tc>
        <w:tc>
          <w:tcPr>
            <w:tcW w:type="dxa" w:w="1440"/>
            <w:shd w:fill="FFDCE0" w:val="clear"/>
          </w:tcPr>
          <w:p>
            <w:r>
              <w:rPr>
                <w:sz w:val="17"/>
              </w:rPr>
              <w:t>39,768</w:t>
            </w:r>
          </w:p>
        </w:tc>
        <w:tc>
          <w:tcPr>
            <w:tcW w:type="dxa" w:w="1440"/>
            <w:shd w:fill="FFDCE0" w:val="clear"/>
          </w:tcPr>
          <w:p>
            <w:r>
              <w:rPr>
                <w:b/>
                <w:color w:val="C00000"/>
                <w:sz w:val="17"/>
              </w:rPr>
              <w:t>-2.2%</w:t>
            </w:r>
          </w:p>
        </w:tc>
      </w:tr>
      <w:tr>
        <w:tc>
          <w:tcPr>
            <w:tcW w:type="dxa" w:w="1440"/>
            <w:shd w:fill="FFDCE0" w:val="clear"/>
          </w:tcPr>
          <w:p>
            <w:r>
              <w:rPr>
                <w:sz w:val="17"/>
              </w:rPr>
              <w:t>J+7  Moyenne</w:t>
            </w:r>
          </w:p>
        </w:tc>
        <w:tc>
          <w:tcPr>
            <w:tcW w:type="dxa" w:w="1440"/>
            <w:shd w:fill="FFDCE0" w:val="clear"/>
          </w:tcPr>
          <w:p>
            <w:r>
              <w:rPr>
                <w:sz w:val="17"/>
              </w:rPr>
              <w:t>2026-09-22</w:t>
            </w:r>
          </w:p>
        </w:tc>
        <w:tc>
          <w:tcPr>
            <w:tcW w:type="dxa" w:w="1440"/>
            <w:shd w:fill="FFDCE0" w:val="clear"/>
          </w:tcPr>
          <w:p>
            <w:r>
              <w:rPr>
                <w:sz w:val="17"/>
              </w:rPr>
              <w:t>35,270</w:t>
            </w:r>
          </w:p>
        </w:tc>
        <w:tc>
          <w:tcPr>
            <w:tcW w:type="dxa" w:w="1440"/>
            <w:shd w:fill="FFDCE0" w:val="clear"/>
          </w:tcPr>
          <w:p>
            <w:r>
              <w:rPr>
                <w:b/>
                <w:sz w:val="17"/>
              </w:rPr>
              <w:t>37,548</w:t>
            </w:r>
          </w:p>
        </w:tc>
        <w:tc>
          <w:tcPr>
            <w:tcW w:type="dxa" w:w="1440"/>
            <w:shd w:fill="FFDCE0" w:val="clear"/>
          </w:tcPr>
          <w:p>
            <w:r>
              <w:rPr>
                <w:sz w:val="17"/>
              </w:rPr>
              <w:t>39,825</w:t>
            </w:r>
          </w:p>
        </w:tc>
        <w:tc>
          <w:tcPr>
            <w:tcW w:type="dxa" w:w="1440"/>
            <w:shd w:fill="FFDCE0" w:val="clear"/>
          </w:tcPr>
          <w:p>
            <w:r>
              <w:rPr>
                <w:b/>
                <w:color w:val="C00000"/>
                <w:sz w:val="17"/>
              </w:rPr>
              <w:t>-2.5%</w:t>
            </w:r>
          </w:p>
        </w:tc>
      </w:tr>
      <w:tr>
        <w:tc>
          <w:tcPr>
            <w:tcW w:type="dxa" w:w="1440"/>
            <w:shd w:fill="FFDCE0" w:val="clear"/>
          </w:tcPr>
          <w:p>
            <w:r>
              <w:rPr>
                <w:sz w:val="17"/>
              </w:rPr>
              <w:t>J+8  Moyenne</w:t>
            </w:r>
          </w:p>
        </w:tc>
        <w:tc>
          <w:tcPr>
            <w:tcW w:type="dxa" w:w="1440"/>
            <w:shd w:fill="FFDCE0" w:val="clear"/>
          </w:tcPr>
          <w:p>
            <w:r>
              <w:rPr>
                <w:sz w:val="17"/>
              </w:rPr>
              <w:t>2026-09-23</w:t>
            </w:r>
          </w:p>
        </w:tc>
        <w:tc>
          <w:tcPr>
            <w:tcW w:type="dxa" w:w="1440"/>
            <w:shd w:fill="FFDCE0" w:val="clear"/>
          </w:tcPr>
          <w:p>
            <w:r>
              <w:rPr>
                <w:sz w:val="17"/>
              </w:rPr>
              <w:t>35,016</w:t>
            </w:r>
          </w:p>
        </w:tc>
        <w:tc>
          <w:tcPr>
            <w:tcW w:type="dxa" w:w="1440"/>
            <w:shd w:fill="FFDCE0" w:val="clear"/>
          </w:tcPr>
          <w:p>
            <w:r>
              <w:rPr>
                <w:b/>
                <w:sz w:val="17"/>
              </w:rPr>
              <w:t>37,444</w:t>
            </w:r>
          </w:p>
        </w:tc>
        <w:tc>
          <w:tcPr>
            <w:tcW w:type="dxa" w:w="1440"/>
            <w:shd w:fill="FFDCE0" w:val="clear"/>
          </w:tcPr>
          <w:p>
            <w:r>
              <w:rPr>
                <w:sz w:val="17"/>
              </w:rPr>
              <w:t>39,872</w:t>
            </w:r>
          </w:p>
        </w:tc>
        <w:tc>
          <w:tcPr>
            <w:tcW w:type="dxa" w:w="1440"/>
            <w:shd w:fill="FFDCE0" w:val="clear"/>
          </w:tcPr>
          <w:p>
            <w:r>
              <w:rPr>
                <w:b/>
                <w:color w:val="C00000"/>
                <w:sz w:val="17"/>
              </w:rPr>
              <w:t>-2.7%</w:t>
            </w:r>
          </w:p>
        </w:tc>
      </w:tr>
      <w:tr>
        <w:tc>
          <w:tcPr>
            <w:tcW w:type="dxa" w:w="1440"/>
            <w:shd w:fill="FFDCE0" w:val="clear"/>
          </w:tcPr>
          <w:p>
            <w:r>
              <w:rPr>
                <w:sz w:val="17"/>
              </w:rPr>
              <w:t>J+9  Moyenne</w:t>
            </w:r>
          </w:p>
        </w:tc>
        <w:tc>
          <w:tcPr>
            <w:tcW w:type="dxa" w:w="1440"/>
            <w:shd w:fill="FFDCE0" w:val="clear"/>
          </w:tcPr>
          <w:p>
            <w:r>
              <w:rPr>
                <w:sz w:val="17"/>
              </w:rPr>
              <w:t>2026-09-24</w:t>
            </w:r>
          </w:p>
        </w:tc>
        <w:tc>
          <w:tcPr>
            <w:tcW w:type="dxa" w:w="1440"/>
            <w:shd w:fill="FFDCE0" w:val="clear"/>
          </w:tcPr>
          <w:p>
            <w:r>
              <w:rPr>
                <w:sz w:val="17"/>
              </w:rPr>
              <w:t>34,775</w:t>
            </w:r>
          </w:p>
        </w:tc>
        <w:tc>
          <w:tcPr>
            <w:tcW w:type="dxa" w:w="1440"/>
            <w:shd w:fill="FFDCE0" w:val="clear"/>
          </w:tcPr>
          <w:p>
            <w:r>
              <w:rPr>
                <w:b/>
                <w:sz w:val="17"/>
              </w:rPr>
              <w:t>37,343</w:t>
            </w:r>
          </w:p>
        </w:tc>
        <w:tc>
          <w:tcPr>
            <w:tcW w:type="dxa" w:w="1440"/>
            <w:shd w:fill="FFDCE0" w:val="clear"/>
          </w:tcPr>
          <w:p>
            <w:r>
              <w:rPr>
                <w:sz w:val="17"/>
              </w:rPr>
              <w:t>39,911</w:t>
            </w:r>
          </w:p>
        </w:tc>
        <w:tc>
          <w:tcPr>
            <w:tcW w:type="dxa" w:w="1440"/>
            <w:shd w:fill="FFDCE0" w:val="clear"/>
          </w:tcPr>
          <w:p>
            <w:r>
              <w:rPr>
                <w:b/>
                <w:color w:val="C00000"/>
                <w:sz w:val="17"/>
              </w:rPr>
              <w:t>-3.0%</w:t>
            </w:r>
          </w:p>
        </w:tc>
      </w:tr>
      <w:tr>
        <w:tc>
          <w:tcPr>
            <w:tcW w:type="dxa" w:w="1440"/>
            <w:shd w:fill="FFDCE0" w:val="clear"/>
          </w:tcPr>
          <w:p>
            <w:r>
              <w:rPr>
                <w:sz w:val="17"/>
              </w:rPr>
              <w:t>J+10  Moyenne</w:t>
            </w:r>
          </w:p>
        </w:tc>
        <w:tc>
          <w:tcPr>
            <w:tcW w:type="dxa" w:w="1440"/>
            <w:shd w:fill="FFDCE0" w:val="clear"/>
          </w:tcPr>
          <w:p>
            <w:r>
              <w:rPr>
                <w:sz w:val="17"/>
              </w:rPr>
              <w:t>2026-09-25</w:t>
            </w:r>
          </w:p>
        </w:tc>
        <w:tc>
          <w:tcPr>
            <w:tcW w:type="dxa" w:w="1440"/>
            <w:shd w:fill="FFDCE0" w:val="clear"/>
          </w:tcPr>
          <w:p>
            <w:r>
              <w:rPr>
                <w:sz w:val="17"/>
              </w:rPr>
              <w:t>34,543</w:t>
            </w:r>
          </w:p>
        </w:tc>
        <w:tc>
          <w:tcPr>
            <w:tcW w:type="dxa" w:w="1440"/>
            <w:shd w:fill="FFDCE0" w:val="clear"/>
          </w:tcPr>
          <w:p>
            <w:r>
              <w:rPr>
                <w:b/>
                <w:sz w:val="17"/>
              </w:rPr>
              <w:t>37,243</w:t>
            </w:r>
          </w:p>
        </w:tc>
        <w:tc>
          <w:tcPr>
            <w:tcW w:type="dxa" w:w="1440"/>
            <w:shd w:fill="FFDCE0" w:val="clear"/>
          </w:tcPr>
          <w:p>
            <w:r>
              <w:rPr>
                <w:sz w:val="17"/>
              </w:rPr>
              <w:t>39,943</w:t>
            </w:r>
          </w:p>
        </w:tc>
        <w:tc>
          <w:tcPr>
            <w:tcW w:type="dxa" w:w="1440"/>
            <w:shd w:fill="FFDCE0" w:val="clear"/>
          </w:tcPr>
          <w:p>
            <w:r>
              <w:rPr>
                <w:b/>
                <w:color w:val="C00000"/>
                <w:sz w:val="17"/>
              </w:rPr>
              <w:t>-3.3%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**RAPPORT D'ANALYSE FINANCIÈRE — SOCIÉTÉ GÉNÉRALE COTE D'IVOIRE (SGBC)**</w:t>
        <w:br/>
        <w:t>*Marché : BRVM | Secteur : Banque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1 197,78 milliards FCFA, SGBC s'impose comme l'une des toutes premières capitalisations de la BRVM, un statut de « blue chip » régional qui traduit la confiance des investisseurs dans le leader bancaire ivoirien. Le BPA de 3 258 FCFA par action signifie que chaque titre génère près de 3 258 FCFA de bénéfice net, un niveau de rentabilité par action remarquable pour le marché ouest-africain. Le PER de 11,8x se situe dans le haut de la fourchette moyenne de la BRVM (8-12x), indiquant une valorisation raisonnable mais sans décote flagrante : le marché paie le prix de la qualité et du leadership. Le P/B de 2,42x montre que le titre s'échange à une prime significative sur sa valeur comptable, justifiée par la forte rentabilité des fonds propres (ROE &gt; 20%) et la notation AAA unique du secteur. En revanche, l'EV/EBITDA de 24,6x apparaît très exigeant (&gt; 15x), signalant que la valeur d'entreprise intègre déjà une anticipation de croissance soutenue — un niveau qui laisse peu de marge d'erreur en cas de déception opérationnelle.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SGBC affiche une performance remarquable de +16,67%, portant le cours à 38 500 FCFA, malgré un léger repli de -0,95% lors de la dernière séance. Le titre a évolué dans un range de 6 500 FCFA, entre un plus bas de 32 800 FCFA et un plus haut de 39 300 FCFA, ce qui témoigne d'une tendance haussière robuste et bien ancrée. La moyenne (37 501 FCFA) est légèrement inférieure à la médiane (38 000 FCFA), tandis que le mode s'établit à 39 000 FCFA : cette configuration, combinée à un skewness négatif de -1,193, révèle une asymétrie où le cours a passé davantage de séances au-dessus de sa moyenne, avec des pointes occasionnelles vers le bas — un profil typique d'un titre en consolidation haussière. L'écart-type de 1 815 FCFA et le coefficient de variation de 4,8% indiquent une dispersion modérée du cours, tandis que le kurtosis de 0,271 (mésokurtique) suggère une distribution proche de la normale, sans risque excessif de pics extrêmes. La volatilité annualisée de 23,9% classe SGBC dans la catégorie des titres à volatilité modérée (15-30%), cohérente avec son statut de valeur défensive de premier ordre sur la BRVM.</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(38 607,5 FCFA) et la MM50 (38 418,4 FCFA) se situent toutes deux au-dessus du cours actuel (38 500 FCFA), avec la MM20 légèrement supérieure à la MM50 — configuration haussière classique. Le signal d'achat est confirmé par le fait que le cours évolue dans une zone de support dynamique, bien que la légère pression baissière récente invite à la prudence.</w:t>
      </w:r>
    </w:p>
    <w:p>
      <w:pPr>
        <w:spacing w:after="120" w:line="276" w:lineRule="auto"/>
      </w:pPr>
      <w:r>
        <w:t>**Bandes de Bollinger** : Le cours (38 500 FCFA) se situe à mi-chemin entre la borne inférieure (37 609,9 FCFA) et la borne supérieure (39 605,1 FCFA), traduisant une phase de consolidation sans tension directionnelle forte. L'amplitude des bandes reste modérée, cohérente avec la volatilité de 23,9%, et le signal est neutre : ni suracheté, ni survendu.</w:t>
      </w:r>
    </w:p>
    <w:p>
      <w:pPr>
        <w:spacing w:after="120" w:line="276" w:lineRule="auto"/>
      </w:pPr>
      <w:r>
        <w:t>**MACD** : La valeur du MACD (58,438) est nettement supérieure à son signal (32,271), générant un histogramme positif de 26,167 points — un momentum haussier clair. Cette divergence positive confirme la dynamique d'achat et suggère que la tendance haussière de fond reste intacte malgré le repli récent.</w:t>
      </w:r>
    </w:p>
    <w:p>
      <w:pPr>
        <w:spacing w:after="120" w:line="276" w:lineRule="auto"/>
      </w:pPr>
      <w:r>
        <w:t>**RSI** : À 39,884, le RSI se situe dans la zone neutre basse (30-70), sans atteindre le seuil de survente (&lt; 30). Cette position indique que le titre n'est ni suracheté ni survendu, offrant un potentiel de rebond technique sans risque de correction imminente.</w:t>
      </w:r>
    </w:p>
    <w:p>
      <w:pPr>
        <w:spacing w:after="120" w:line="276" w:lineRule="auto"/>
      </w:pPr>
      <w:r>
        <w:t>**Stochastique** : Le %K (50,761) est inférieur au %D (67,251), avec un croisement baissier en cours qui suggère une pression vendeuse à court terme. Toutefois, les deux lignes restent dans la zone neutre, et ce signal contredit partiellement le MACD, invitant à la prudence sur le très court terme.</w:t>
      </w:r>
    </w:p>
    <w:p>
      <w:pPr>
        <w:spacing w:after="120" w:line="276" w:lineRule="auto"/>
      </w:pPr>
      <w:r>
        <w:t>**Conclusion technique** : Les indicateurs présentent une divergence modérée : le MACD et les moyennes mobiles plaident pour un maintien de la tendance haussière, tandis que le stochastique et la position du cours sous les MM suggèrent une consolidation à court terme. Le RSI neutre et les Bandes de Bollinger équilibrées confirment l'absence de signal extrême. La convergence globale reste favorable à un scénario d'achat sur repli, avec un support technique solide autour de 37 600-38 000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SGBC affiche des fondamentaux exceptionnels : un Produit Net Bancaire (équivalent du chiffre d'affaires pour une banque) de 276,048 milliards FCFA, un résultat net de 101,352 milliards FCFA, un ROE de 20,47% (largement supérieur au seuil d'excellence de 15%) et un ROA de 2,69%. Le coefficient d'exploitation de 38,75% — très inférieur au seuil de 60% — témoigne d'une efficacité opérationnelle remarquable, tandis que la marge nette de 36,72% confirme la qualité de la rentabilité. Le ratio dépôts/crédits s'établit à 2 907,675 Mds FCFA de dépôts clientèle pour 2 546,290 Mds FCFA de créances clientèle, soit un taux de transformation de 87,6%, en amélioration continue selon les rapports trimestriels. Le coût du risque, mesuré par le ratio provisions/charges financières (17,995/47,775 = 37,7%), reste contenu malgré une hausse des NPL à 7,8% au S1 2025 (rapport du 30 juin 2025). Les rapports trimestriels 2025 confirment cette dynamique : le rapport T3 2025 (30 septembre 2025) fait état d'un PNB de 201,0 Mds FCFA (+2,5%) et d'un résultat net de 83,3 Mds FCFA (+11,7%), avec un coefficient d'exploitation amélioré à 37,3% et un ratio prêts/dépôts optimisé à 84,6%. Le rapport S1 2025 (30 juin 2025) soulignait déjà une progression du résultat net de +10,0% à 53,1 Mds FCFA, un ratio de solvabilité robuste de 17,7% (bien au-dessus du minimum réglementaire de 12,5%) et une notation AAA (Bloomfield), unique dans le secteur bancaire de la BRVM. Sur la base de ces tendances, on estime que l'exercice 2025 devrait clôturer avec un résultat net proche de 105-110 Mds FCFA, confirmant la trajectoire de croissance à deux chiffres. Les risques identifiés — hausse des créances en souffrance (NPL à 7,8% au S1 2025 contre 6,7% un an plus tôt), dépendance aux commissions et sensibilité au contexte politique (élections présidentielles) — sont réels mais compensés par la solidité du bilan (capitaux propres de 495,113 Mds FCFA, autonomie financière de 13,14%) et la capacité de la banque à générer des profits records. La recommandation fondamentale est donc **solide** : SGBC reste un actif de qualité, avec des perspectives de croissance durable et une politique de dividende attractive (DPA de 1 863 FCFA en 2024, en hausse de +8,4%, taux de distribution de 57,25%).</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équilibré mais légèrement biaisé à la hausse. La valorisation (Partie 0) est raisonnable avec un PER de 11,8x et un P/B de 2,42x, bien que l'EV/EBITDA de 24,6x soit exigeant ; le marché valorise la qualité mais sans excès. Le comportement du cours (Partie 1) est favorable : tendance haussière de +16,67% sur 100 jours, volatilité modérée (23,9%), skewness négatif indiquant une résistance aux baisses et kurtosis proche de la normale. Les signaux techniques (Partie 2) sont mitigés : le MACD et les moyennes mobiles confirment la tendance haussière, mais le stochastique et la position du cours sous les MM suggèrent une consolidation à court terme, avec un support solide à 37 600 FCFA. Les fondamentaux (Partie 3) sont excellents : ROE de 20,47%, coefficient d'exploitation de 38,75%, notation AAA, et les rapports trimestriels 2025 confirment une croissance à deux chiffres du résultat net. Les prédictions IA (J+1 à J+10) anticipent une légère correction vers 37 763 FCFA, ce qui contredit partiellement les signaux haussiers mais s'inscrit dans la consolidation technique attendue. Sur la base de cette convergence — valorisation raisonnable, tendance de fond haussière, fondamentaux solides et correction technique limitée — la recommandation finale est **ACHAT**, avec un niveau de confiance **Élevé** et un risque global **Faible à Moyen**. L'horizon d'investissement optimal est le **moyen terme (3-12 mois)**, le temps que la consolidation s'achève et que les résultats annuels 2025 confirment la trajectoire de croissance, avec un potentiel de rendement total (dividende + appréciation) attractif pour un portefeuille diversifié sur la BRVM.</w:t>
      </w:r>
    </w:p>
    <w:p/>
    <w:p/>
    <w:p>
      <w:pPr>
        <w:pStyle w:val="Heading3"/>
      </w:pPr>
      <w:r>
        <w:rPr>
          <w:color w:val="005A32"/>
        </w:rPr>
        <w:t>📋 RAPPORTS &amp; COMMUNIQUÉS OFFICIELS</w:t>
      </w:r>
    </w:p>
    <w:p>
      <w:r>
        <w:rPr>
          <w:i/>
          <w:color w:val="646464"/>
          <w:sz w:val="18"/>
        </w:rPr>
        <w:t>19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forte dynamique commerciale et un PNB en croissance de +14%, mais le r\u00e9sultat net recule de -3% dans un contexte macro\u00e9conomique incertain. La solidit\u00e9 du bilan et la croissance des encours justifient une position d'attente."}</w:t>
      </w:r>
    </w:p>
    <w:p>
      <w:pPr>
        <w:spacing w:before="40"/>
        <w:ind w:left="400"/>
      </w:pPr>
      <w:r>
        <w:rPr>
          <w:sz w:val="18"/>
        </w:rPr>
        <w:t>Société Générale Côte d'Ivoire (SGB CI) affiche à fin septembre 2022 des résultats témoignant de la résilience de son activité dans un environnement économique mondial difficile. L'activité commerciale reste très dynamique avec une croissance soutenue des encours de crédits (+17%) et de dépôts (+19%) par rapport à septembre 2021. Le Produit Net Bancaire s'établit à 154,9 milliards FCFA, en forte progression de +14%, porté par la marge nette d'intérêt et les commissions de service. Le résultat avant impôt ressort à 56,7 milliards FCFA (-3%) et le résultat net à 47,1 milliards FCFA, en légère baisse de -3%. La société confirme ainsi la solidité de son modèle, bien que la rentabilité nette soit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{'unite': 'Millions XOF (MXOF)', 'periode': 'Fin septembre 2022 vs septembre 2021', 'variation_pnb': '+19 540 millions FCFA', 'depots_clientele': '2 700 807 millions FCFA (+19%)', 'credits_clientele': '1 965 461 millions FCFA (+17%)', 'produit_net_bancaire': '154 926 millions FCFA (+14%)', 'resultat_avant_impot': '56 728 millions FCFA (-3%)', 'variation_resultat_net': '-1 354 millions FCFA', 'variation_resultat_avant_impot': '-1 631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47 084 millions FCFA (-3%)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154 926 millions FCFA (Produit Net Bancaire, +14%)</w:t>
            </w:r>
          </w:p>
        </w:tc>
        <w:tc>
          <w:tcPr>
            <w:tcW w:type="dxa" w:w="2160"/>
          </w:tcPr>
          <w:p/>
        </w:tc>
      </w:tr>
    </w:tbl>
    <w:p/>
    <w:p>
      <w:pPr>
        <w:spacing w:before="60"/>
        <w:ind w:left="400"/>
      </w:pPr>
      <w:r>
        <w:rPr>
          <w:b/>
          <w:sz w:val="18"/>
        </w:rPr>
        <w:t>Points clés :</w:t>
      </w:r>
    </w:p>
    <w:p>
      <w:pPr>
        <w:pStyle w:val="ListBullet"/>
        <w:spacing w:before="20" w:after="20"/>
        <w:ind w:left="700"/>
      </w:pPr>
      <w:r>
        <w:rPr>
          <w:sz w:val="18"/>
        </w:rPr>
        <w:t>Encours de crédits de la clientèle en hausse de +17% à 1 965,5 milliards FCFA</w:t>
      </w:r>
    </w:p>
    <w:p>
      <w:pPr>
        <w:pStyle w:val="ListBullet"/>
        <w:spacing w:before="20" w:after="20"/>
        <w:ind w:left="700"/>
      </w:pPr>
      <w:r>
        <w:rPr>
          <w:sz w:val="18"/>
        </w:rPr>
        <w:t>Encours de dépôts de la clientèle en progression de +19% à 2 700,8 milliards FCFA</w:t>
      </w:r>
    </w:p>
    <w:p>
      <w:pPr>
        <w:pStyle w:val="ListBullet"/>
        <w:spacing w:before="20" w:after="20"/>
        <w:ind w:left="700"/>
      </w:pPr>
      <w:r>
        <w:rPr>
          <w:sz w:val="18"/>
        </w:rPr>
        <w:t>Produit Net Bancaire de 154,9 milliards FCFA, en forte croissance de +14%</w:t>
      </w:r>
    </w:p>
    <w:p>
      <w:pPr>
        <w:pStyle w:val="ListBullet"/>
        <w:spacing w:before="20" w:after="20"/>
        <w:ind w:left="700"/>
      </w:pPr>
      <w:r>
        <w:rPr>
          <w:sz w:val="18"/>
        </w:rPr>
        <w:t>Résultat avant impôt de 56,7 milliards FCFA, en repli de -3%</w:t>
      </w:r>
    </w:p>
    <w:p>
      <w:pPr>
        <w:pStyle w:val="ListBullet"/>
        <w:spacing w:before="20" w:after="20"/>
        <w:ind w:left="700"/>
      </w:pPr>
      <w:r>
        <w:rPr>
          <w:sz w:val="18"/>
        </w:rPr>
        <w:t>Résultat net de 47,1 milliards FCFA, en légère baisse de -3%</w:t>
      </w:r>
    </w:p>
    <w:p>
      <w:pPr>
        <w:pStyle w:val="ListBullet"/>
        <w:spacing w:before="20" w:after="20"/>
        <w:ind w:left="700"/>
      </w:pPr>
      <w:r>
        <w:rPr>
          <w:sz w:val="18"/>
        </w:rPr>
        <w:t>Dynamique des revenus portée par la marge nette d'intérêt et le développement des commissions de service</w:t>
      </w:r>
    </w:p>
    <w:p>
      <w:pPr>
        <w:spacing w:before="40"/>
        <w:ind w:left="400"/>
      </w:pPr>
      <w:r>
        <w:rPr>
          <w:b/>
          <w:color w:val="C05000"/>
          <w:sz w:val="18"/>
        </w:rPr>
        <w:t xml:space="preserve">⚠️ Risques : </w:t>
      </w:r>
      <w:r>
        <w:rPr>
          <w:sz w:val="18"/>
        </w:rPr>
        <w:t>["Baisse du r\u00e9sultat net (-3%) et du r\u00e9sultat avant imp\u00f4t (-3%) malgr\u00e9 la croissance du PNB, signalant une compression de la rentabilit\u00e9", "Environnement macro\u00e9conomique difficile : ralentissement de la croissance \u00e9conomique mondiale et forte inflation", "Risque de</w:t>
      </w:r>
    </w:p>
    <w:p>
      <w:pPr>
        <w:spacing w:before="40"/>
        <w:ind w:left="400"/>
      </w:pPr>
      <w:r>
        <w:rPr>
          <w:b/>
          <w:color w:val="0064A0"/>
          <w:sz w:val="18"/>
        </w:rPr>
        <w:t xml:space="preserve">🔮 Perspectives : </w:t>
      </w:r>
      <w:r>
        <w:rPr>
          <w:sz w:val="18"/>
        </w:rPr>
        <w:t>SGB CI devrait poursuivre sa dynamique commerciale portée par la croissance soutenue des encours de crédits et de dépôts ainsi que par le développement des commissions de service. Le maintien de la progression du Produit Net Bancaire constitue le principal levier, mais la pression sur le résultat ne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des fondamentaux solides avec une forte croissance du PNB, un bilan bien capitalis\u00e9 et un leadership sectoriel confirm\u00e9, mais le repli du r\u00e9sultat net de -9,2% li\u00e9 aux provisions exceptionnelles sur les PME incite \u00e0 la prudence. La correction du co\u00fbt du risque attendue au second semestre et la valorisation actuelle justifient une position d'attente sur le titre."}</w:t>
      </w:r>
    </w:p>
    <w:p>
      <w:pPr>
        <w:spacing w:before="40"/>
        <w:ind w:left="400"/>
      </w:pPr>
      <w:r>
        <w:rPr>
          <w:sz w:val="18"/>
        </w:rPr>
        <w:t>Société Générale Côte d'Ivoire affiche au premier semestre 2022 de solides performances commerciales avec une hausse de 16% des encours de crédits et de dépôts, maintenant sa position de leader du secteur bancaire ivoirien avec des parts de marché de 19,6% sur les crédits et 18,4% sur les dépôts. Le Produit Net Bancaire progresse fortement de +16% à 103 071 millions FCFA, porté par la marge nette d'intérêts et les commissions, tandis que les frais généraux ne croissent que de +12%, permettant un effet de ciseaux positif et un coefficient d'exploitation en amélioration à 45,9%. Le Résultat Net ressort toutefois en léger repli de -9,2% à 28 058 millions FCFA, pénalisé par un Coût Net du Risque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'15 555 555 000 FCFA', 'cout_du_risque': '23 878 millions FCFA', 'frais_generaux': '47 331 millions FCFA (+12%)', 'depots_clientele': '2 591 292 millions FCFA (+16%)', 'ratio_solvabilite': '14,4% (minimum réglementaire 11,25%)', 'produit_net_bancaire': '103 071 millions FCFA (+16% vs juin 2021)', 'part_de_marche_depots': '18,4%', 'part_de_marche_credits': '19,6%', 'coefficient_exploitation': '45,9% (-175 pb)', 'encours_credits_clientele': '1 974 755 millions FCFA (+16%)', 'resultat_brut_exploitation': '55 740 millions FCFA', 'taux_degradation_portefeuille': '8,0%', 'taux_couverture_creances_souffrance': '&gt;90%'}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27,2% (Résultat net / PNB)</w:t>
            </w:r>
          </w:p>
        </w:tc>
        <w:tc>
          <w:tcPr>
            <w:tcW w:type="dxa" w:w="2160"/>
          </w:tcPr>
          <w:p>
            <w:pPr>
              <w:ind w:left="100"/>
            </w:pPr>
            <w:r/>
            <w:r>
              <w:rPr>
                <w:b/>
                <w:sz w:val="16"/>
              </w:rPr>
              <w:t>total_actif</w:t>
              <w:br/>
            </w:r>
            <w:r>
              <w:rPr>
                <w:sz w:val="18"/>
              </w:rPr>
              <w:t>3 060 101 millions FCFA (juin 2022)</w:t>
            </w:r>
          </w:p>
        </w:tc>
      </w:tr>
      <w:tr>
        <w:tc>
          <w:tcPr>
            <w:tcW w:type="dxa" w:w="2160"/>
          </w:tcPr>
          <w:p>
            <w:r/>
            <w:r>
              <w:rPr>
                <w:b/>
                <w:sz w:val="16"/>
              </w:rPr>
              <w:t>resultat_net</w:t>
              <w:br/>
            </w:r>
            <w:r>
              <w:rPr>
                <w:sz w:val="18"/>
              </w:rPr>
              <w:t>28 058 millions FCFA (juin 2022)</w:t>
            </w:r>
          </w:p>
        </w:tc>
        <w:tc>
          <w:tcPr>
            <w:tcW w:type="dxa" w:w="2160"/>
          </w:tcPr>
          <w:p>
            <w:r/>
            <w:r>
              <w:rPr>
                <w:b/>
                <w:sz w:val="16"/>
              </w:rPr>
              <w:t>capitaux_propres</w:t>
              <w:br/>
            </w:r>
            <w:r>
              <w:rPr>
                <w:sz w:val="18"/>
              </w:rPr>
              <w:t>298 456 millions FCFA (juin 2022)</w:t>
            </w:r>
          </w:p>
        </w:tc>
        <w:tc>
          <w:tcPr>
            <w:tcW w:type="dxa" w:w="2160"/>
          </w:tcPr>
          <w:p>
            <w:r/>
            <w:r>
              <w:rPr>
                <w:b/>
                <w:sz w:val="16"/>
              </w:rPr>
              <w:t>chiffre_affaires</w:t>
              <w:br/>
            </w:r>
            <w:r>
              <w:rPr>
                <w:sz w:val="18"/>
              </w:rPr>
              <w:t>103 071 millions FCFA (Produit Net Bancaire, juin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progression de +16% à 103 071 millions FCFA, soutenu par la marge nette d'intérêts (+16%) et les commissions (+16%)</w:t>
      </w:r>
    </w:p>
    <w:p>
      <w:pPr>
        <w:pStyle w:val="ListBullet"/>
        <w:spacing w:before="20" w:after="20"/>
        <w:ind w:left="700"/>
      </w:pPr>
      <w:r>
        <w:rPr>
          <w:sz w:val="18"/>
        </w:rPr>
        <w:t>Résultat Net de 28 058 millions FCFA en repli de -9,2% par rapport à juin 2021, affecté par la hausse du coût du risque</w:t>
      </w:r>
    </w:p>
    <w:p>
      <w:pPr>
        <w:pStyle w:val="ListBullet"/>
        <w:spacing w:before="20" w:after="20"/>
        <w:ind w:left="700"/>
      </w:pPr>
      <w:r>
        <w:rPr>
          <w:sz w:val="18"/>
        </w:rPr>
        <w:t>Coût Net du Risque en forte hausse à 23 878 millions FCFA en raison de provisions exceptionnelles à 100% sur des créances PME liées à un risque opérationnel</w:t>
      </w:r>
    </w:p>
    <w:p>
      <w:pPr>
        <w:pStyle w:val="ListBullet"/>
        <w:spacing w:before="20" w:after="20"/>
        <w:ind w:left="700"/>
      </w:pPr>
      <w:r>
        <w:rPr>
          <w:sz w:val="18"/>
        </w:rPr>
        <w:t>Croissance des encours de crédits (+16% à 1 974 755 millions FCFA) et de dépôts (+16% à 2 591 292 millions FCFA), confirmant le leadership bancaire avec des parts de marché de 19,6% et 18,4%</w:t>
      </w:r>
    </w:p>
    <w:p>
      <w:pPr>
        <w:pStyle w:val="ListBullet"/>
        <w:spacing w:before="20" w:after="20"/>
        <w:ind w:left="700"/>
      </w:pPr>
      <w:r>
        <w:rPr>
          <w:sz w:val="18"/>
        </w:rPr>
        <w:t>Ratio de solvabilité solide à 14,4%, soit +317 points de base au-dessus du minimum réglementaire de 11,25%</w:t>
      </w:r>
    </w:p>
    <w:p>
      <w:pPr>
        <w:pStyle w:val="ListBullet"/>
        <w:spacing w:before="20" w:after="20"/>
        <w:ind w:left="700"/>
      </w:pPr>
      <w:r>
        <w:rPr>
          <w:sz w:val="18"/>
        </w:rPr>
        <w:t>Bonne maîtrise des coûts avec des frais généraux en hausse de seulement +12% et un coefficient d'exploitation amélioré à 45,9% (-175 pb)</w:t>
      </w:r>
    </w:p>
    <w:p>
      <w:pPr>
        <w:spacing w:before="40"/>
        <w:ind w:left="400"/>
      </w:pPr>
      <w:r>
        <w:rPr>
          <w:b/>
          <w:color w:val="C05000"/>
          <w:sz w:val="18"/>
        </w:rPr>
        <w:t xml:space="preserve">⚠️ Risques : </w:t>
      </w:r>
      <w:r>
        <w:rPr>
          <w:sz w:val="18"/>
        </w:rPr>
        <w:t>["D\u00e9t\u00e9rioration du co\u00fbt du risque li\u00e9e \u00e0 la d\u00e9gradation de certaines cr\u00e9ances PME, avec des provisions exceptionnelles qui pourraient perdurer si la conjoncture reste difficile", "Environnement macro\u00e9conomique incertain marqu\u00e9 par les tensions g\u00e9opol</w:t>
      </w:r>
    </w:p>
    <w:p>
      <w:pPr>
        <w:spacing w:before="40"/>
        <w:ind w:left="400"/>
      </w:pPr>
      <w:r>
        <w:rPr>
          <w:b/>
          <w:color w:val="0064A0"/>
          <w:sz w:val="18"/>
        </w:rPr>
        <w:t xml:space="preserve">🔮 Perspectives : </w:t>
      </w:r>
      <w:r>
        <w:rPr>
          <w:sz w:val="18"/>
        </w:rPr>
        <w:t>Sur le second semestre 2022, Société Générale Côte d'Ivoire anticipe une amélioration grâce aux perspectives de recouvrement des créances compromises et provisionnées, qui devraient permettre de contenir l'évolution du coût net du risque. La banque poursuivra la mise en œuvre de ses initiatives stra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r\u00e9sultat net en hausse de +10,6%, un ROE \u00e9lev\u00e9 de 21,6% et une position de leader incontest\u00e9e sur le march\u00e9 bancaire ivoirien. La solidit\u00e9 financi\u00e8re (notation AA+, capitaux propres de 345 009 M FCFA) et un dividende en progression de 11% soutiennent une perspective favorable pour l'actionnaire."}</w:t>
      </w:r>
    </w:p>
    <w:p>
      <w:pPr>
        <w:spacing w:before="40"/>
        <w:ind w:left="400"/>
      </w:pPr>
      <w:r>
        <w:rPr>
          <w:sz w:val="18"/>
        </w:rPr>
        <w:t>Société Générale Côte d'Ivoire (SGCI) clôture l'exercice 2022 avec les meilleurs résultats de son histoire, célébrant ses 60 ans d'activité. Le Produit Net Bancaire progresse de +13,8% à 215 101 millions FCFA, porté par la marge nette d'intérêts (+15%) et les commissions (+12,5%). Le résultat net atteint un niveau record de 74 612 millions FCFA (+10,6%) malgré une forte hausse du coût net du risque (+60,6%) liée à des dotations exceptionnelles sur le segment PME. La banque confirme sa position de leader du marché bancaire ivoirien et sous-régional, avec des parts de marché en hausse (20% emplois, 18,9% ressources) et une rentabilité des fonds propres élevée de 21,6%. Forte de sa solidité fin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'nombre_actions': '31 111 110', 'cout_net_risque': '28 816 millions FCFA', 'depots_clientele': '2 685 322 millions FCFA', 'credits_clientele': '2 160 660 millions FCFA', 'dividendes_totaux': '38 266 665 300 FCFA', 'taux_distribution': '51,3%', 'part_marche_emplois': '20%', 'coefficient_exploitation': '44,8%', 'produit_net_bancaire_2021': '189 096 millions FCFA', 'resultat_brut_exploitation': '118 708 millions FCFA'}</w:t>
            </w:r>
          </w:p>
        </w:tc>
        <w:tc>
          <w:tcPr>
            <w:tcW w:type="dxa" w:w="2160"/>
          </w:tcPr>
          <w:p>
            <w:pPr>
              <w:ind w:left="100"/>
            </w:pPr>
            <w:r/>
            <w:r>
              <w:rPr>
                <w:b/>
                <w:sz w:val="16"/>
              </w:rPr>
              <w:t>dividende</w:t>
              <w:br/>
            </w:r>
            <w:r>
              <w:rPr>
                <w:sz w:val="18"/>
              </w:rPr>
              <w:t>1 230 FCFA par action</w:t>
            </w:r>
          </w:p>
        </w:tc>
        <w:tc>
          <w:tcPr>
            <w:tcW w:type="dxa" w:w="2160"/>
          </w:tcPr>
          <w:p>
            <w:pPr>
              <w:ind w:left="100"/>
            </w:pPr>
            <w:r/>
            <w:r>
              <w:rPr>
                <w:b/>
                <w:sz w:val="16"/>
              </w:rPr>
              <w:t>marge_nette</w:t>
              <w:br/>
            </w:r>
            <w:r>
              <w:rPr>
                <w:sz w:val="18"/>
              </w:rPr>
              <w:t>34,7%</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w:t>
            </w:r>
          </w:p>
        </w:tc>
        <w:tc>
          <w:tcPr>
            <w:tcW w:type="dxa" w:w="2160"/>
          </w:tcPr>
          <w:p>
            <w:r/>
            <w:r>
              <w:rPr>
                <w:b/>
                <w:sz w:val="16"/>
              </w:rPr>
              <w:t>capitaux_propres</w:t>
              <w:br/>
            </w:r>
            <w:r>
              <w:rPr>
                <w:sz w:val="18"/>
              </w:rPr>
              <w:t>345 009 millions FCFA</w:t>
            </w:r>
          </w:p>
        </w:tc>
        <w:tc>
          <w:tcPr>
            <w:tcW w:type="dxa" w:w="2160"/>
          </w:tcPr>
          <w:p>
            <w:r/>
            <w:r>
              <w:rPr>
                <w:b/>
                <w:sz w:val="16"/>
              </w:rPr>
              <w:t>chiffre_affaires</w:t>
              <w:br/>
            </w:r>
            <w:r>
              <w:rPr>
                <w:sz w:val="18"/>
              </w:rPr>
              <w:t>215 101 millions FCFA (PNB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+13,8% à 215 101 millions FCFA, soutenu par la marge nette d'intérêts (+15%) et les commissions (+12,5%)</w:t>
      </w:r>
    </w:p>
    <w:p>
      <w:pPr>
        <w:pStyle w:val="ListBullet"/>
        <w:spacing w:before="20" w:after="20"/>
        <w:ind w:left="700"/>
      </w:pPr>
      <w:r>
        <w:rPr>
          <w:sz w:val="18"/>
        </w:rPr>
        <w:t>Résultat net historique de 74 612 millions FCFA (+10,6%) malgré une progression de +60,6% du coût net du risque</w:t>
      </w:r>
    </w:p>
    <w:p>
      <w:pPr>
        <w:pStyle w:val="ListBullet"/>
        <w:spacing w:before="20" w:after="20"/>
        <w:ind w:left="700"/>
      </w:pPr>
      <w:r>
        <w:rPr>
          <w:sz w:val="18"/>
        </w:rPr>
        <w:t>Coût net du risque à 28 816 millions FCFA, impacté par des dotations exceptionnelles sur les PME ; retraité, il ressort à 81 pbs contre 151 pbs initialement</w:t>
      </w:r>
    </w:p>
    <w:p>
      <w:pPr>
        <w:pStyle w:val="ListBullet"/>
        <w:spacing w:before="20" w:after="20"/>
        <w:ind w:left="700"/>
      </w:pPr>
      <w:r>
        <w:rPr>
          <w:sz w:val="18"/>
        </w:rPr>
        <w:t>Coefficient d'exploitation en amélioration à 44,8% (-313 pbs) avec un effet ciseau positif de +742 pbs</w:t>
      </w:r>
    </w:p>
    <w:p>
      <w:pPr>
        <w:pStyle w:val="ListBullet"/>
        <w:spacing w:before="20" w:after="20"/>
        <w:ind w:left="700"/>
      </w:pPr>
      <w:r>
        <w:rPr>
          <w:sz w:val="18"/>
        </w:rPr>
        <w:t>Croissance de +15,4% des crédits clientèle (2 160 660 M FCFA) et +6,2% des dépôts (2 685 322 M FCFA)</w:t>
      </w:r>
    </w:p>
    <w:p>
      <w:pPr>
        <w:pStyle w:val="ListBullet"/>
        <w:spacing w:before="20" w:after="20"/>
        <w:ind w:left="700"/>
      </w:pPr>
      <w:r>
        <w:rPr>
          <w:sz w:val="18"/>
        </w:rPr>
        <w:t>Rentabilité des capitaux propres (ROE) élevée à 21,6% et taux de couverture des créances en souffrance supérieur à 90%</w:t>
      </w:r>
    </w:p>
    <w:p>
      <w:pPr>
        <w:spacing w:before="40"/>
        <w:ind w:left="400"/>
      </w:pPr>
      <w:r>
        <w:rPr>
          <w:b/>
          <w:color w:val="C05000"/>
          <w:sz w:val="18"/>
        </w:rPr>
        <w:t xml:space="preserve">⚠️ Risques : </w:t>
      </w:r>
      <w:r>
        <w:rPr>
          <w:sz w:val="18"/>
        </w:rPr>
        <w:t>["D\u00e9t\u00e9rioration du co\u00fbt du risque, notamment sur le segment PME, avec une progression de +60,6% des dotations aux provisions", "Environnement macro\u00e9conomique incertain marqu\u00e9 par l'inflation persistante, le durcissement mon\u00e9taire et les tensions g\u00e9opolitiques", "Pr</w:t>
      </w:r>
    </w:p>
    <w:p>
      <w:pPr>
        <w:spacing w:before="40"/>
        <w:ind w:left="400"/>
      </w:pPr>
      <w:r>
        <w:rPr>
          <w:b/>
          <w:color w:val="0064A0"/>
          <w:sz w:val="18"/>
        </w:rPr>
        <w:t xml:space="preserve">🔮 Perspectives : </w:t>
      </w:r>
      <w:r>
        <w:rPr>
          <w:sz w:val="18"/>
        </w:rPr>
        <w:t>Dans un environnement mondial qui reste incertain, SGCI entend poursuivre la dynamique engagée en 2022 en déployant ses projets stratégiques RISE+ autour de la maîtrise des risques, de la digitalisation et de la donnée. La banque restera guidée par son ambition d'être le partenaire de confiance pour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banque affiche une croissance homog\u00e8ne de +21% sur l'ensemble de ses agr\u00e9gats (PNB, r\u00e9sultat avant imp\u00f4t et r\u00e9sultat net), avec une marge nette \u00e9lev\u00e9e proche de 38%. Cette performance solide, dans un contexte macro\u00e9conomique difficile, confirme la qualit\u00e9 du mod\u00e8le et justifie une recommandation d'achat."}</w:t>
      </w:r>
    </w:p>
    <w:p>
      <w:pPr>
        <w:spacing w:before="40"/>
        <w:ind w:left="400"/>
      </w:pPr>
      <w:r>
        <w:rPr>
          <w:sz w:val="18"/>
        </w:rPr>
        <w:t>Société Générale Côte d'Ivoire (SGBCI) clôture le premier trimestre 2023 avec des résultats en forte progression malgré un contexte macroéconomique difficile marqué par les tensions inflationnistes et le resserrement monétaire. Le Produit Net Bancaire atteint 59 476 millions FCFA, en hausse de 21% sur un an, porté par la bonne tenue de la marge nette d'intérêt et la performance des commissions de service. Le Résultat avant impôt s'établit à 27 134 millions FCFA, également en progression de 21%, grâce au dynamisme commercial, à une croissance contenue des frais généraux et à une bonne maîtrise du coût net du risque. Le Résultat Net ressort à 22 509 millions FCFA, en croissance de 21% par rapp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'Premier trimestre 2023 (mars-23)', 'variation_pnb': '+21%', 'chiffres_audites': False, 'produit_net_bancaire': '59 476 millions FCFA', 'resultat_avant_impot': '27 134 millions FCFA', 'variation_resultat_net': '+21%'}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37,8%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22 509 millions FCFA</w:t>
            </w:r>
          </w:p>
        </w:tc>
        <w:tc>
          <w:tcPr>
            <w:tcW w:type="dxa" w:w="2160"/>
          </w:tcPr>
          <w:p>
            <w:r/>
            <w:r>
              <w:rPr>
                <w:b/>
                <w:sz w:val="16"/>
              </w:rPr>
              <w:t>capitaux_propres</w:t>
              <w:br/>
            </w:r>
            <w:r>
              <w:rPr>
                <w:sz w:val="18"/>
              </w:rPr>
              <w:t>15 555 555 000 FCFA (capital social)</w:t>
            </w:r>
          </w:p>
        </w:tc>
        <w:tc>
          <w:tcPr>
            <w:tcW w:type="dxa" w:w="2160"/>
          </w:tcPr>
          <w:p>
            <w:r/>
            <w:r>
              <w:rPr>
                <w:b/>
                <w:sz w:val="16"/>
              </w:rPr>
              <w:t>chiffre_affaires</w:t>
              <w:br/>
            </w:r>
            <w:r>
              <w:rPr>
                <w:sz w:val="18"/>
              </w:rPr>
              <w:t>59 476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59 476 millions FCFA, en hausse de 21% sur un an</w:t>
      </w:r>
    </w:p>
    <w:p>
      <w:pPr>
        <w:pStyle w:val="ListBullet"/>
        <w:spacing w:before="20" w:after="20"/>
        <w:ind w:left="700"/>
      </w:pPr>
      <w:r>
        <w:rPr>
          <w:sz w:val="18"/>
        </w:rPr>
        <w:t>Résultat avant impôt de 27 134 millions FCFA, en progression de 21%</w:t>
      </w:r>
    </w:p>
    <w:p>
      <w:pPr>
        <w:pStyle w:val="ListBullet"/>
        <w:spacing w:before="20" w:after="20"/>
        <w:ind w:left="700"/>
      </w:pPr>
      <w:r>
        <w:rPr>
          <w:sz w:val="18"/>
        </w:rPr>
        <w:t>Résultat Net de 22 509 millions FCFA, en croissance de 21% vs mars 2022</w:t>
      </w:r>
    </w:p>
    <w:p>
      <w:pPr>
        <w:pStyle w:val="ListBullet"/>
        <w:spacing w:before="20" w:after="20"/>
        <w:ind w:left="700"/>
      </w:pPr>
      <w:r>
        <w:rPr>
          <w:sz w:val="18"/>
        </w:rPr>
        <w:t>Croissance portée par la marge nette d'intérêt liée aux encours de crédits</w:t>
      </w:r>
    </w:p>
    <w:p>
      <w:pPr>
        <w:pStyle w:val="ListBullet"/>
        <w:spacing w:before="20" w:after="20"/>
        <w:ind w:left="700"/>
      </w:pPr>
      <w:r>
        <w:rPr>
          <w:sz w:val="18"/>
        </w:rPr>
        <w:t>Bonne performance des commissions de service (Comptes, Monétiques, Banque à Distance, Moyens de paiement, Trade)</w:t>
      </w:r>
    </w:p>
    <w:p>
      <w:pPr>
        <w:pStyle w:val="ListBullet"/>
        <w:spacing w:before="20" w:after="20"/>
        <w:ind w:left="700"/>
      </w:pPr>
      <w:r>
        <w:rPr>
          <w:sz w:val="18"/>
        </w:rPr>
        <w:t>Maîtrise des frais généraux et du coût net du risque</w:t>
      </w:r>
    </w:p>
    <w:p>
      <w:pPr>
        <w:spacing w:before="40"/>
        <w:ind w:left="400"/>
      </w:pPr>
      <w:r>
        <w:rPr>
          <w:b/>
          <w:color w:val="C05000"/>
          <w:sz w:val="18"/>
        </w:rPr>
        <w:t xml:space="preserve">⚠️ Risques : </w:t>
      </w:r>
      <w:r>
        <w:rPr>
          <w:sz w:val="18"/>
        </w:rPr>
        <w:t>["D\u00e9gradation de la qualit\u00e9 du cr\u00e9dit et hausse du co\u00fbt net du risque dans un environnement \u00e9conomique ralenti", "Tensions inflationnistes et resserrement mon\u00e9taire pouvant peser sur la demande de cr\u00e9dit et les marges", "Instabilit\u00e9 g\u00e9opolitique internati</w:t>
      </w:r>
    </w:p>
    <w:p>
      <w:pPr>
        <w:spacing w:before="40"/>
        <w:ind w:left="400"/>
      </w:pPr>
      <w:r>
        <w:rPr>
          <w:b/>
          <w:color w:val="0064A0"/>
          <w:sz w:val="18"/>
        </w:rPr>
        <w:t xml:space="preserve">🔮 Perspectives : </w:t>
      </w:r>
      <w:r>
        <w:rPr>
          <w:sz w:val="18"/>
        </w:rPr>
        <w:t>Société Générale Côte d'Ivoire devrait maintenir sa dynamique de croissance au cours des prochains trimestres, soutenue par le développement des encours de crédits et des commissions de service. La bonne maîtrise des charges et du coût du risque devrait permettre de préserver un niveau de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ROE de 21,6%, une solvabilit\u00e9 solide (14,2%) et un dividende en hausse de +11% offrant un rendement attractif. Sa position de leader, sa notation AA+ et la qualit\u00e9 de son portefeuille justifient une exposition positive malgr\u00e9 la hausse du co\u00fbt du risque."}</w:t>
      </w:r>
    </w:p>
    <w:p>
      <w:pPr>
        <w:spacing w:before="40"/>
        <w:ind w:left="400"/>
      </w:pPr>
      <w:r>
        <w:rPr>
          <w:sz w:val="18"/>
        </w:rPr>
        <w:t xml:space="preserve">Société Générale Côte d'Ivoire (SGCI) clôture l'exercice 2022 avec les meilleurs résultats de son histoire, célébrant ses 60 ans au service de l'économie ivoirienne. Le Produit Net Bancaire atteint 215 101 millions FCFA, en progression de +13,8%, porté par la bonne tenue de la marge d'intérêts et la croissance des commissions. Le résultat net s'établit à 74 612 millions FCFA, en hausse de +11%, malgré une forte progression du coût du risque liée à des dotations exceptionnelles sur le segment PME. La banque maintient sa position de leader du marché bancaire ivoirien et sous-régional, avec des parts de marché en hausse (20% en emplois et 18,9% en ressources clientèles). Sa solidité financière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(Bloomfield et GCR)', 'nombre_actions': '31 111 110', 'cout_net_risque': '28 816 millions FCFA', 'credit_clientele': '2 160 660 millions FCFA', 'depots_clientele': '2 685 322 millions FCFA', 'coef_exploitation': '44,8%', 'ratio_solvabilite': '14,2% (minimum réglementaire 11,5%)', 'taux_distribution': '51%', 'parts_marche_emplois': '20%', 'produit_net_bancaire': '215 101 millions FCFA', 'parts_marche_ressources': '18,9%', 'resultat_brut_exploitation': '118 708 millions FCFA'}</w:t>
            </w:r>
          </w:p>
        </w:tc>
        <w:tc>
          <w:tcPr>
            <w:tcW w:type="dxa" w:w="2160"/>
          </w:tcPr>
          <w:p>
            <w:pPr>
              <w:ind w:left="100"/>
            </w:pPr>
            <w:r/>
            <w:r>
              <w:rPr>
                <w:b/>
                <w:sz w:val="16"/>
              </w:rPr>
              <w:t>dividende</w:t>
              <w:br/>
            </w:r>
            <w:r>
              <w:rPr>
                <w:sz w:val="18"/>
              </w:rPr>
              <w:t>1 230 FCFA par action (brut)</w:t>
            </w:r>
          </w:p>
        </w:tc>
        <w:tc>
          <w:tcPr>
            <w:tcW w:type="dxa" w:w="2160"/>
          </w:tcPr>
          <w:p>
            <w:pPr>
              <w:ind w:left="100"/>
            </w:pPr>
            <w:r/>
            <w:r>
              <w:rPr>
                <w:b/>
                <w:sz w:val="16"/>
              </w:rPr>
              <w:t>marge_nette</w:t>
              <w:br/>
            </w:r>
            <w:r>
              <w:rPr>
                <w:sz w:val="18"/>
              </w:rPr>
              <w:t>34,7% (résultat net / PNB)</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 (74,6 milliards FCFA)</w:t>
            </w:r>
          </w:p>
        </w:tc>
        <w:tc>
          <w:tcPr>
            <w:tcW w:type="dxa" w:w="2160"/>
          </w:tcPr>
          <w:p>
            <w:r/>
            <w:r>
              <w:rPr>
                <w:b/>
                <w:sz w:val="16"/>
              </w:rPr>
              <w:t>capitaux_propres</w:t>
              <w:br/>
            </w:r>
            <w:r>
              <w:rPr>
                <w:sz w:val="18"/>
              </w:rPr>
              <w:t>345 011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215 101 millions FCFA en hausse de +13,8% par rapport à 2021, soutenu par la marge nette d'intérêts (+15%) et les commissions (+12,5%).</w:t>
      </w:r>
    </w:p>
    <w:p>
      <w:pPr>
        <w:pStyle w:val="ListBullet"/>
        <w:spacing w:before="20" w:after="20"/>
        <w:ind w:left="700"/>
      </w:pPr>
      <w:r>
        <w:rPr>
          <w:sz w:val="18"/>
        </w:rPr>
        <w:t>Résultat net historique de 74 612 millions FCFA (+10,6%), meilleur résultat jamais enregistré par la banque.</w:t>
      </w:r>
    </w:p>
    <w:p>
      <w:pPr>
        <w:pStyle w:val="ListBullet"/>
        <w:spacing w:before="20" w:after="20"/>
        <w:ind w:left="700"/>
      </w:pPr>
      <w:r>
        <w:rPr>
          <w:sz w:val="18"/>
        </w:rPr>
        <w:t>Coefficient d'exploitation en amélioration à 44,8% (-313 pb) traduisant un effet ciseau positif et une bonne maîtrise des coûts.</w:t>
      </w:r>
    </w:p>
    <w:p>
      <w:pPr>
        <w:pStyle w:val="ListBullet"/>
        <w:spacing w:before="20" w:after="20"/>
        <w:ind w:left="700"/>
      </w:pPr>
      <w:r>
        <w:rPr>
          <w:sz w:val="18"/>
        </w:rPr>
        <w:t>Coût Net du Risque en forte hausse à 28 816 millions FCFA (+60,6%) en raison de dotations exceptionnelles sur le segment PME (CNR retraité à 81 pb).</w:t>
      </w:r>
    </w:p>
    <w:p>
      <w:pPr>
        <w:pStyle w:val="ListBullet"/>
        <w:spacing w:before="20" w:after="20"/>
        <w:ind w:left="700"/>
      </w:pPr>
      <w:r>
        <w:rPr>
          <w:sz w:val="18"/>
        </w:rPr>
        <w:t>Rentabilité des fonds propres (ROE) élevée à 21,6%, combinant marge d'intermédiation solide, efficacité opérationnelle et coût du risque contenu.</w:t>
      </w:r>
    </w:p>
    <w:p>
      <w:pPr>
        <w:pStyle w:val="ListBullet"/>
        <w:spacing w:before="20" w:after="20"/>
        <w:ind w:left="700"/>
      </w:pPr>
      <w:r>
        <w:rPr>
          <w:sz w:val="18"/>
        </w:rPr>
        <w:t>Croissance soutenue du fonds de commerce : encours de crédits +15,4% à 2 160 660 millions FCFA et dépôts clientèle +6,2% à 2 685 322 millions FCFA.</w:t>
      </w:r>
    </w:p>
    <w:p>
      <w:pPr>
        <w:spacing w:before="40"/>
        <w:ind w:left="400"/>
      </w:pPr>
      <w:r>
        <w:rPr>
          <w:b/>
          <w:color w:val="C05000"/>
          <w:sz w:val="18"/>
        </w:rPr>
        <w:t xml:space="preserve">⚠️ Risques : </w:t>
      </w:r>
      <w:r>
        <w:rPr>
          <w:sz w:val="18"/>
        </w:rPr>
        <w:t xml:space="preserve">["D\u00e9gradation du co\u00fbt du risque, en hausse de +60,6%, notamment sur le segment des PME pouvant peser sur les r\u00e9sultats futurs.", "Environnement macro\u00e9conomique incertain marqu\u00e9 par l'inflation, la hausse des taux et les tensions g\u00e9opolitiques affectant la croissance et </w:t>
      </w:r>
    </w:p>
    <w:p>
      <w:pPr>
        <w:spacing w:before="40"/>
        <w:ind w:left="400"/>
      </w:pPr>
      <w:r>
        <w:rPr>
          <w:b/>
          <w:color w:val="0064A0"/>
          <w:sz w:val="18"/>
        </w:rPr>
        <w:t xml:space="preserve">🔮 Perspectives : </w:t>
      </w:r>
      <w:r>
        <w:rPr>
          <w:sz w:val="18"/>
        </w:rPr>
        <w:t>Société Générale Côte d'Ivoire entend poursuivre en 2023 la dynamique engagée en 2022, en capitalisant sur la mise en œuvre de sa feuille de route stratégique RISE+ et ses projets de digitalisation, de maîtrise des risques et de responsabilité sociale et environnementale. La banque dispose d'une sol</w:t>
      </w:r>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160.65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4,606 titres</w:t>
            </w:r>
          </w:p>
        </w:tc>
        <w:tc>
          <w:tcPr>
            <w:tcW w:type="dxa" w:w="2268"/>
            <w:shd w:fill="FFF2CC" w:val="clear"/>
          </w:tcPr>
          <w:p>
            <w:r>
              <w:rPr>
                <w:b/>
                <w:color w:val="503200"/>
                <w:sz w:val="16"/>
              </w:rPr>
              <w:t xml:space="preserve">Cours actuel : </w:t>
            </w:r>
            <w:r>
              <w:rPr>
                <w:color w:val="000000"/>
                <w:sz w:val="17"/>
              </w:rPr>
              <w:t>2,550 FCFA</w:t>
            </w:r>
          </w:p>
          <w:p>
            <w:r>
              <w:rPr>
                <w:b/>
                <w:color w:val="503200"/>
                <w:sz w:val="16"/>
              </w:rPr>
              <w:t xml:space="preserve">Var. 100 jours : </w:t>
            </w:r>
            <w:r>
              <w:rPr>
                <w:b/>
                <w:color w:val="007800"/>
                <w:sz w:val="17"/>
              </w:rPr>
              <w:t>+34.92%</w:t>
            </w:r>
          </w:p>
          <w:p>
            <w:r>
              <w:rPr>
                <w:b/>
                <w:color w:val="503200"/>
                <w:sz w:val="16"/>
              </w:rPr>
              <w:t xml:space="preserve">Plus haut 100j : </w:t>
            </w:r>
            <w:r>
              <w:rPr>
                <w:color w:val="000000"/>
                <w:sz w:val="17"/>
              </w:rPr>
              <w:t>2,550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33.4%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8.44% (Moyenne) — μ=2,157 FCFA, σ=182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β=1.0226 (Neutre (suit le marché)) — Cov=0.000036, Var(idx)=0.000035, ρ=0.286,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4,606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σ_j=2.10%/j (Stable) — Vol. annualisée≈33.4%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2026-09-14</w:t>
            </w:r>
          </w:p>
        </w:tc>
        <w:tc>
          <w:tcPr>
            <w:tcW w:type="dxa" w:w="1440"/>
            <w:shd w:fill="FFDCE0" w:val="clear"/>
          </w:tcPr>
          <w:p>
            <w:r>
              <w:rPr>
                <w:sz w:val="17"/>
              </w:rPr>
              <w:t>2,401</w:t>
            </w:r>
          </w:p>
        </w:tc>
        <w:tc>
          <w:tcPr>
            <w:tcW w:type="dxa" w:w="1440"/>
            <w:shd w:fill="FFDCE0" w:val="clear"/>
          </w:tcPr>
          <w:p>
            <w:r>
              <w:rPr>
                <w:b/>
                <w:sz w:val="17"/>
              </w:rPr>
              <w:t>2,478</w:t>
            </w:r>
          </w:p>
        </w:tc>
        <w:tc>
          <w:tcPr>
            <w:tcW w:type="dxa" w:w="1440"/>
            <w:shd w:fill="FFDCE0" w:val="clear"/>
          </w:tcPr>
          <w:p>
            <w:r>
              <w:rPr>
                <w:sz w:val="17"/>
              </w:rPr>
              <w:t>2,556</w:t>
            </w:r>
          </w:p>
        </w:tc>
        <w:tc>
          <w:tcPr>
            <w:tcW w:type="dxa" w:w="1440"/>
            <w:shd w:fill="FFDCE0" w:val="clear"/>
          </w:tcPr>
          <w:p>
            <w:r>
              <w:rPr>
                <w:b/>
                <w:color w:val="C00000"/>
                <w:sz w:val="17"/>
              </w:rPr>
              <w:t>-2.8%</w:t>
            </w:r>
          </w:p>
        </w:tc>
      </w:tr>
      <w:tr>
        <w:tc>
          <w:tcPr>
            <w:tcW w:type="dxa" w:w="1440"/>
            <w:shd w:fill="FFDCE0" w:val="clear"/>
          </w:tcPr>
          <w:p>
            <w:r>
              <w:rPr>
                <w:sz w:val="17"/>
              </w:rPr>
              <w:t>J+2  ⭐⭐⭐</w:t>
            </w:r>
          </w:p>
        </w:tc>
        <w:tc>
          <w:tcPr>
            <w:tcW w:type="dxa" w:w="1440"/>
            <w:shd w:fill="FFDCE0" w:val="clear"/>
          </w:tcPr>
          <w:p>
            <w:r>
              <w:rPr>
                <w:sz w:val="17"/>
              </w:rPr>
              <w:t>2026-09-15</w:t>
            </w:r>
          </w:p>
        </w:tc>
        <w:tc>
          <w:tcPr>
            <w:tcW w:type="dxa" w:w="1440"/>
            <w:shd w:fill="FFDCE0" w:val="clear"/>
          </w:tcPr>
          <w:p>
            <w:r>
              <w:rPr>
                <w:sz w:val="17"/>
              </w:rPr>
              <w:t>2,323</w:t>
            </w:r>
          </w:p>
        </w:tc>
        <w:tc>
          <w:tcPr>
            <w:tcW w:type="dxa" w:w="1440"/>
            <w:shd w:fill="FFDCE0" w:val="clear"/>
          </w:tcPr>
          <w:p>
            <w:r>
              <w:rPr>
                <w:b/>
                <w:sz w:val="17"/>
              </w:rPr>
              <w:t>2,431</w:t>
            </w:r>
          </w:p>
        </w:tc>
        <w:tc>
          <w:tcPr>
            <w:tcW w:type="dxa" w:w="1440"/>
            <w:shd w:fill="FFDCE0" w:val="clear"/>
          </w:tcPr>
          <w:p>
            <w:r>
              <w:rPr>
                <w:sz w:val="17"/>
              </w:rPr>
              <w:t>2,539</w:t>
            </w:r>
          </w:p>
        </w:tc>
        <w:tc>
          <w:tcPr>
            <w:tcW w:type="dxa" w:w="1440"/>
            <w:shd w:fill="FFDCE0" w:val="clear"/>
          </w:tcPr>
          <w:p>
            <w:r>
              <w:rPr>
                <w:b/>
                <w:color w:val="C00000"/>
                <w:sz w:val="17"/>
              </w:rPr>
              <w:t>-4.7%</w:t>
            </w:r>
          </w:p>
        </w:tc>
      </w:tr>
      <w:tr>
        <w:tc>
          <w:tcPr>
            <w:tcW w:type="dxa" w:w="1440"/>
            <w:shd w:fill="FFDCE0" w:val="clear"/>
          </w:tcPr>
          <w:p>
            <w:r>
              <w:rPr>
                <w:sz w:val="17"/>
              </w:rPr>
              <w:t>J+3  ⭐⭐⭐</w:t>
            </w:r>
          </w:p>
        </w:tc>
        <w:tc>
          <w:tcPr>
            <w:tcW w:type="dxa" w:w="1440"/>
            <w:shd w:fill="FFDCE0" w:val="clear"/>
          </w:tcPr>
          <w:p>
            <w:r>
              <w:rPr>
                <w:sz w:val="17"/>
              </w:rPr>
              <w:t>2026-09-16</w:t>
            </w:r>
          </w:p>
        </w:tc>
        <w:tc>
          <w:tcPr>
            <w:tcW w:type="dxa" w:w="1440"/>
            <w:shd w:fill="FFDCE0" w:val="clear"/>
          </w:tcPr>
          <w:p>
            <w:r>
              <w:rPr>
                <w:sz w:val="17"/>
              </w:rPr>
              <w:t>2,257</w:t>
            </w:r>
          </w:p>
        </w:tc>
        <w:tc>
          <w:tcPr>
            <w:tcW w:type="dxa" w:w="1440"/>
            <w:shd w:fill="FFDCE0" w:val="clear"/>
          </w:tcPr>
          <w:p>
            <w:r>
              <w:rPr>
                <w:b/>
                <w:sz w:val="17"/>
              </w:rPr>
              <w:t>2,386</w:t>
            </w:r>
          </w:p>
        </w:tc>
        <w:tc>
          <w:tcPr>
            <w:tcW w:type="dxa" w:w="1440"/>
            <w:shd w:fill="FFDCE0" w:val="clear"/>
          </w:tcPr>
          <w:p>
            <w:r>
              <w:rPr>
                <w:sz w:val="17"/>
              </w:rPr>
              <w:t>2,516</w:t>
            </w:r>
          </w:p>
        </w:tc>
        <w:tc>
          <w:tcPr>
            <w:tcW w:type="dxa" w:w="1440"/>
            <w:shd w:fill="FFDCE0" w:val="clear"/>
          </w:tcPr>
          <w:p>
            <w:r>
              <w:rPr>
                <w:b/>
                <w:color w:val="C00000"/>
                <w:sz w:val="17"/>
              </w:rPr>
              <w:t>-6.4%</w:t>
            </w:r>
          </w:p>
        </w:tc>
      </w:tr>
      <w:tr>
        <w:tc>
          <w:tcPr>
            <w:tcW w:type="dxa" w:w="1440"/>
            <w:shd w:fill="FFDCE0" w:val="clear"/>
          </w:tcPr>
          <w:p>
            <w:r>
              <w:rPr>
                <w:sz w:val="17"/>
              </w:rPr>
              <w:t>J+4  Moyenne</w:t>
            </w:r>
          </w:p>
        </w:tc>
        <w:tc>
          <w:tcPr>
            <w:tcW w:type="dxa" w:w="1440"/>
            <w:shd w:fill="FFDCE0" w:val="clear"/>
          </w:tcPr>
          <w:p>
            <w:r>
              <w:rPr>
                <w:sz w:val="17"/>
              </w:rPr>
              <w:t>2026-09-17</w:t>
            </w:r>
          </w:p>
        </w:tc>
        <w:tc>
          <w:tcPr>
            <w:tcW w:type="dxa" w:w="1440"/>
            <w:shd w:fill="FFDCE0" w:val="clear"/>
          </w:tcPr>
          <w:p>
            <w:r>
              <w:rPr>
                <w:sz w:val="17"/>
              </w:rPr>
              <w:t>2,200</w:t>
            </w:r>
          </w:p>
        </w:tc>
        <w:tc>
          <w:tcPr>
            <w:tcW w:type="dxa" w:w="1440"/>
            <w:shd w:fill="FFDCE0" w:val="clear"/>
          </w:tcPr>
          <w:p>
            <w:r>
              <w:rPr>
                <w:b/>
                <w:sz w:val="17"/>
              </w:rPr>
              <w:t>2,348</w:t>
            </w:r>
          </w:p>
        </w:tc>
        <w:tc>
          <w:tcPr>
            <w:tcW w:type="dxa" w:w="1440"/>
            <w:shd w:fill="FFDCE0" w:val="clear"/>
          </w:tcPr>
          <w:p>
            <w:r>
              <w:rPr>
                <w:sz w:val="17"/>
              </w:rPr>
              <w:t>2,495</w:t>
            </w:r>
          </w:p>
        </w:tc>
        <w:tc>
          <w:tcPr>
            <w:tcW w:type="dxa" w:w="1440"/>
            <w:shd w:fill="FFDCE0" w:val="clear"/>
          </w:tcPr>
          <w:p>
            <w:r>
              <w:rPr>
                <w:b/>
                <w:color w:val="C00000"/>
                <w:sz w:val="17"/>
              </w:rPr>
              <w:t>-7.9%</w:t>
            </w:r>
          </w:p>
        </w:tc>
      </w:tr>
      <w:tr>
        <w:tc>
          <w:tcPr>
            <w:tcW w:type="dxa" w:w="1440"/>
            <w:shd w:fill="FFDCE0" w:val="clear"/>
          </w:tcPr>
          <w:p>
            <w:r>
              <w:rPr>
                <w:sz w:val="17"/>
              </w:rPr>
              <w:t>J+5  Moyenne</w:t>
            </w:r>
          </w:p>
        </w:tc>
        <w:tc>
          <w:tcPr>
            <w:tcW w:type="dxa" w:w="1440"/>
            <w:shd w:fill="FFDCE0" w:val="clear"/>
          </w:tcPr>
          <w:p>
            <w:r>
              <w:rPr>
                <w:sz w:val="17"/>
              </w:rPr>
              <w:t>2026-09-18</w:t>
            </w:r>
          </w:p>
        </w:tc>
        <w:tc>
          <w:tcPr>
            <w:tcW w:type="dxa" w:w="1440"/>
            <w:shd w:fill="FFDCE0" w:val="clear"/>
          </w:tcPr>
          <w:p>
            <w:r>
              <w:rPr>
                <w:sz w:val="17"/>
              </w:rPr>
              <w:t>2,153</w:t>
            </w:r>
          </w:p>
        </w:tc>
        <w:tc>
          <w:tcPr>
            <w:tcW w:type="dxa" w:w="1440"/>
            <w:shd w:fill="FFDCE0" w:val="clear"/>
          </w:tcPr>
          <w:p>
            <w:r>
              <w:rPr>
                <w:b/>
                <w:sz w:val="17"/>
              </w:rPr>
              <w:t>2,315</w:t>
            </w:r>
          </w:p>
        </w:tc>
        <w:tc>
          <w:tcPr>
            <w:tcW w:type="dxa" w:w="1440"/>
            <w:shd w:fill="FFDCE0" w:val="clear"/>
          </w:tcPr>
          <w:p>
            <w:r>
              <w:rPr>
                <w:sz w:val="17"/>
              </w:rPr>
              <w:t>2,478</w:t>
            </w:r>
          </w:p>
        </w:tc>
        <w:tc>
          <w:tcPr>
            <w:tcW w:type="dxa" w:w="1440"/>
            <w:shd w:fill="FFDCE0" w:val="clear"/>
          </w:tcPr>
          <w:p>
            <w:r>
              <w:rPr>
                <w:b/>
                <w:color w:val="C00000"/>
                <w:sz w:val="17"/>
              </w:rPr>
              <w:t>-9.2%</w:t>
            </w:r>
          </w:p>
        </w:tc>
      </w:tr>
      <w:tr>
        <w:tc>
          <w:tcPr>
            <w:tcW w:type="dxa" w:w="1440"/>
            <w:shd w:fill="FFDCE0" w:val="clear"/>
          </w:tcPr>
          <w:p>
            <w:r>
              <w:rPr>
                <w:sz w:val="17"/>
              </w:rPr>
              <w:t>J+6  Moyenne</w:t>
            </w:r>
          </w:p>
        </w:tc>
        <w:tc>
          <w:tcPr>
            <w:tcW w:type="dxa" w:w="1440"/>
            <w:shd w:fill="FFDCE0" w:val="clear"/>
          </w:tcPr>
          <w:p>
            <w:r>
              <w:rPr>
                <w:sz w:val="17"/>
              </w:rPr>
              <w:t>2026-09-21</w:t>
            </w:r>
          </w:p>
        </w:tc>
        <w:tc>
          <w:tcPr>
            <w:tcW w:type="dxa" w:w="1440"/>
            <w:shd w:fill="FFDCE0" w:val="clear"/>
          </w:tcPr>
          <w:p>
            <w:r>
              <w:rPr>
                <w:sz w:val="17"/>
              </w:rPr>
              <w:t>2,112</w:t>
            </w:r>
          </w:p>
        </w:tc>
        <w:tc>
          <w:tcPr>
            <w:tcW w:type="dxa" w:w="1440"/>
            <w:shd w:fill="FFDCE0" w:val="clear"/>
          </w:tcPr>
          <w:p>
            <w:r>
              <w:rPr>
                <w:b/>
                <w:sz w:val="17"/>
              </w:rPr>
              <w:t>2,288</w:t>
            </w:r>
          </w:p>
        </w:tc>
        <w:tc>
          <w:tcPr>
            <w:tcW w:type="dxa" w:w="1440"/>
            <w:shd w:fill="FFDCE0" w:val="clear"/>
          </w:tcPr>
          <w:p>
            <w:r>
              <w:rPr>
                <w:sz w:val="17"/>
              </w:rPr>
              <w:t>2,463</w:t>
            </w:r>
          </w:p>
        </w:tc>
        <w:tc>
          <w:tcPr>
            <w:tcW w:type="dxa" w:w="1440"/>
            <w:shd w:fill="FFDCE0" w:val="clear"/>
          </w:tcPr>
          <w:p>
            <w:r>
              <w:rPr>
                <w:b/>
                <w:color w:val="C00000"/>
                <w:sz w:val="17"/>
              </w:rPr>
              <w:t>-10.3%</w:t>
            </w:r>
          </w:p>
        </w:tc>
      </w:tr>
      <w:tr>
        <w:tc>
          <w:tcPr>
            <w:tcW w:type="dxa" w:w="1440"/>
            <w:shd w:fill="FFDCE0" w:val="clear"/>
          </w:tcPr>
          <w:p>
            <w:r>
              <w:rPr>
                <w:sz w:val="17"/>
              </w:rPr>
              <w:t>J+7  Moyenne</w:t>
            </w:r>
          </w:p>
        </w:tc>
        <w:tc>
          <w:tcPr>
            <w:tcW w:type="dxa" w:w="1440"/>
            <w:shd w:fill="FFDCE0" w:val="clear"/>
          </w:tcPr>
          <w:p>
            <w:r>
              <w:rPr>
                <w:sz w:val="17"/>
              </w:rPr>
              <w:t>2026-09-22</w:t>
            </w:r>
          </w:p>
        </w:tc>
        <w:tc>
          <w:tcPr>
            <w:tcW w:type="dxa" w:w="1440"/>
            <w:shd w:fill="FFDCE0" w:val="clear"/>
          </w:tcPr>
          <w:p>
            <w:r>
              <w:rPr>
                <w:sz w:val="17"/>
              </w:rPr>
              <w:t>2,075</w:t>
            </w:r>
          </w:p>
        </w:tc>
        <w:tc>
          <w:tcPr>
            <w:tcW w:type="dxa" w:w="1440"/>
            <w:shd w:fill="FFDCE0" w:val="clear"/>
          </w:tcPr>
          <w:p>
            <w:r>
              <w:rPr>
                <w:b/>
                <w:sz w:val="17"/>
              </w:rPr>
              <w:t>2,263</w:t>
            </w:r>
          </w:p>
        </w:tc>
        <w:tc>
          <w:tcPr>
            <w:tcW w:type="dxa" w:w="1440"/>
            <w:shd w:fill="FFDCE0" w:val="clear"/>
          </w:tcPr>
          <w:p>
            <w:r>
              <w:rPr>
                <w:sz w:val="17"/>
              </w:rPr>
              <w:t>2,451</w:t>
            </w:r>
          </w:p>
        </w:tc>
        <w:tc>
          <w:tcPr>
            <w:tcW w:type="dxa" w:w="1440"/>
            <w:shd w:fill="FFDCE0" w:val="clear"/>
          </w:tcPr>
          <w:p>
            <w:r>
              <w:rPr>
                <w:b/>
                <w:color w:val="C00000"/>
                <w:sz w:val="17"/>
              </w:rPr>
              <w:t>-11.2%</w:t>
            </w:r>
          </w:p>
        </w:tc>
      </w:tr>
      <w:tr>
        <w:tc>
          <w:tcPr>
            <w:tcW w:type="dxa" w:w="1440"/>
            <w:shd w:fill="FFDCE0" w:val="clear"/>
          </w:tcPr>
          <w:p>
            <w:r>
              <w:rPr>
                <w:sz w:val="17"/>
              </w:rPr>
              <w:t>J+8  Moyenne</w:t>
            </w:r>
          </w:p>
        </w:tc>
        <w:tc>
          <w:tcPr>
            <w:tcW w:type="dxa" w:w="1440"/>
            <w:shd w:fill="FFDCE0" w:val="clear"/>
          </w:tcPr>
          <w:p>
            <w:r>
              <w:rPr>
                <w:sz w:val="17"/>
              </w:rPr>
              <w:t>2026-09-23</w:t>
            </w:r>
          </w:p>
        </w:tc>
        <w:tc>
          <w:tcPr>
            <w:tcW w:type="dxa" w:w="1440"/>
            <w:shd w:fill="FFDCE0" w:val="clear"/>
          </w:tcPr>
          <w:p>
            <w:r>
              <w:rPr>
                <w:sz w:val="17"/>
              </w:rPr>
              <w:t>2,043</w:t>
            </w:r>
          </w:p>
        </w:tc>
        <w:tc>
          <w:tcPr>
            <w:tcW w:type="dxa" w:w="1440"/>
            <w:shd w:fill="FFDCE0" w:val="clear"/>
          </w:tcPr>
          <w:p>
            <w:r>
              <w:rPr>
                <w:b/>
                <w:sz w:val="17"/>
              </w:rPr>
              <w:t>2,241</w:t>
            </w:r>
          </w:p>
        </w:tc>
        <w:tc>
          <w:tcPr>
            <w:tcW w:type="dxa" w:w="1440"/>
            <w:shd w:fill="FFDCE0" w:val="clear"/>
          </w:tcPr>
          <w:p>
            <w:r>
              <w:rPr>
                <w:sz w:val="17"/>
              </w:rPr>
              <w:t>2,440</w:t>
            </w:r>
          </w:p>
        </w:tc>
        <w:tc>
          <w:tcPr>
            <w:tcW w:type="dxa" w:w="1440"/>
            <w:shd w:fill="FFDCE0" w:val="clear"/>
          </w:tcPr>
          <w:p>
            <w:r>
              <w:rPr>
                <w:b/>
                <w:color w:val="C00000"/>
                <w:sz w:val="17"/>
              </w:rPr>
              <w:t>-12.1%</w:t>
            </w:r>
          </w:p>
        </w:tc>
      </w:tr>
      <w:tr>
        <w:tc>
          <w:tcPr>
            <w:tcW w:type="dxa" w:w="1440"/>
            <w:shd w:fill="FFDCE0" w:val="clear"/>
          </w:tcPr>
          <w:p>
            <w:r>
              <w:rPr>
                <w:sz w:val="17"/>
              </w:rPr>
              <w:t>J+9  Moyenne</w:t>
            </w:r>
          </w:p>
        </w:tc>
        <w:tc>
          <w:tcPr>
            <w:tcW w:type="dxa" w:w="1440"/>
            <w:shd w:fill="FFDCE0" w:val="clear"/>
          </w:tcPr>
          <w:p>
            <w:r>
              <w:rPr>
                <w:sz w:val="17"/>
              </w:rPr>
              <w:t>2026-09-24</w:t>
            </w:r>
          </w:p>
        </w:tc>
        <w:tc>
          <w:tcPr>
            <w:tcW w:type="dxa" w:w="1440"/>
            <w:shd w:fill="FFDCE0" w:val="clear"/>
          </w:tcPr>
          <w:p>
            <w:r>
              <w:rPr>
                <w:sz w:val="17"/>
              </w:rPr>
              <w:t>2,012</w:t>
            </w:r>
          </w:p>
        </w:tc>
        <w:tc>
          <w:tcPr>
            <w:tcW w:type="dxa" w:w="1440"/>
            <w:shd w:fill="FFDCE0" w:val="clear"/>
          </w:tcPr>
          <w:p>
            <w:r>
              <w:rPr>
                <w:b/>
                <w:sz w:val="17"/>
              </w:rPr>
              <w:t>2,222</w:t>
            </w:r>
          </w:p>
        </w:tc>
        <w:tc>
          <w:tcPr>
            <w:tcW w:type="dxa" w:w="1440"/>
            <w:shd w:fill="FFDCE0" w:val="clear"/>
          </w:tcPr>
          <w:p>
            <w:r>
              <w:rPr>
                <w:sz w:val="17"/>
              </w:rPr>
              <w:t>2,431</w:t>
            </w:r>
          </w:p>
        </w:tc>
        <w:tc>
          <w:tcPr>
            <w:tcW w:type="dxa" w:w="1440"/>
            <w:shd w:fill="FFDCE0" w:val="clear"/>
          </w:tcPr>
          <w:p>
            <w:r>
              <w:rPr>
                <w:b/>
                <w:color w:val="C00000"/>
                <w:sz w:val="17"/>
              </w:rPr>
              <w:t>-12.9%</w:t>
            </w:r>
          </w:p>
        </w:tc>
      </w:tr>
      <w:tr>
        <w:tc>
          <w:tcPr>
            <w:tcW w:type="dxa" w:w="1440"/>
            <w:shd w:fill="FFDCE0" w:val="clear"/>
          </w:tcPr>
          <w:p>
            <w:r>
              <w:rPr>
                <w:sz w:val="17"/>
              </w:rPr>
              <w:t>J+10  Moyenne</w:t>
            </w:r>
          </w:p>
        </w:tc>
        <w:tc>
          <w:tcPr>
            <w:tcW w:type="dxa" w:w="1440"/>
            <w:shd w:fill="FFDCE0" w:val="clear"/>
          </w:tcPr>
          <w:p>
            <w:r>
              <w:rPr>
                <w:sz w:val="17"/>
              </w:rPr>
              <w:t>2026-09-25</w:t>
            </w:r>
          </w:p>
        </w:tc>
        <w:tc>
          <w:tcPr>
            <w:tcW w:type="dxa" w:w="1440"/>
            <w:shd w:fill="FFDCE0" w:val="clear"/>
          </w:tcPr>
          <w:p>
            <w:r>
              <w:rPr>
                <w:sz w:val="17"/>
              </w:rPr>
              <w:t>1,985</w:t>
            </w:r>
          </w:p>
        </w:tc>
        <w:tc>
          <w:tcPr>
            <w:tcW w:type="dxa" w:w="1440"/>
            <w:shd w:fill="FFDCE0" w:val="clear"/>
          </w:tcPr>
          <w:p>
            <w:r>
              <w:rPr>
                <w:b/>
                <w:sz w:val="17"/>
              </w:rPr>
              <w:t>2,203</w:t>
            </w:r>
          </w:p>
        </w:tc>
        <w:tc>
          <w:tcPr>
            <w:tcW w:type="dxa" w:w="1440"/>
            <w:shd w:fill="FFDCE0" w:val="clear"/>
          </w:tcPr>
          <w:p>
            <w:r>
              <w:rPr>
                <w:sz w:val="17"/>
              </w:rPr>
              <w:t>2,422</w:t>
            </w:r>
          </w:p>
        </w:tc>
        <w:tc>
          <w:tcPr>
            <w:tcW w:type="dxa" w:w="1440"/>
            <w:shd w:fill="FFDCE0" w:val="clear"/>
          </w:tcPr>
          <w:p>
            <w:r>
              <w:rPr>
                <w:b/>
                <w:color w:val="C00000"/>
                <w:sz w:val="17"/>
              </w:rPr>
              <w:t>-13.6%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 📊 RAPPORT D'ANALYSE FINANCIÈRE — SHEC (VIVO ENERGY CÔTE D'IVOIRE)</w:t>
        <w:br/>
        <w:t>**Bourse Régionale des Valeurs Mobilières (BRVM) — Secteur : Distribution pétrolière aval**</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**160,65 Mds FCFA**, SHEC se positionne parmi les valeurs moyennes-capitalisations de la cote BRVM, loin des poids lourds bancaires et télécoms mais bénéficiant d'une liquidité correcte (volume moyen de 4 606 titres/jour). Le **BPA de 96 FCFA/action** confère au titre un **PER de 26,7x**, très nettement supérieur à la moyenne BRVM (~8-12x), ce qui traduit soit une anticipation de forte croissance des bénéfices, soit une surévaluation manifeste au regard de la marge nette structurellement faible (1,0 %). Le **P/B de 5,92x** (largement &gt; 4x) signale que le marché valorise l'entreprise à près de six fois sa valeur comptable (capitaux propres de 27,16 Mds FCFA), une prime exigeante qui n'est justifiée ni par la croissance du CA (+0,71 % en 2025) ni par la rentabilité opérationnelle. Enfin, l'**EV/EBITDA de 13,9x** situe le titre dans la fourchette haute (10-15x), confirmant que la valeur d'entreprise intègre une prime de qualité (leader du secteur, réseau Vivo Energy) mais laisse peu de marge de sécurité en cas de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SHEC affiche une **performance remarquable de +34,92 %**, avec une dernière séance en hausse de **+2,00 %**, portant le cours à **2 550 FCFA** — soit précisément le plus haut de la période, contre un plus bas de **1 840 FCFA**, matérialisant un range de trading de 710 FCFA (38,6 % d'amplitude). La tendance est donc clairement **haussière et dynamique**, le titre clôturant au sommet de sa fourchette, ce qui traduit un momentum acheteur soutenu. Les statistiques descriptives révèlent une **moyenne (2 157 FCFA) légèrement inférieure à la médiane (2 170 FCFA)**, signe d'une distribution quasi-symétrique avec une très légère prédominance des séances haussières ; le **mode à 2 200 FCFA** confirme cette zone de consolidation. L'**écart-type de 183 FCFA (CV = 8,5 %)** indique une dispersion modérée autour de la moyenne, tandis que le **kurtosis de -0,860 (mésokurtique)** suggère une distribution proche de la normale, sans risque majeur de pics extrêmes — élément rassurant pour la gestion du risque. Le **skewness de +0,284** confirme une asymétrie légèrement positive (queue de distribution tirée vers les gains). Enfin, la **volatilité annualisée de 33,4 %** classe le titre en catégorie **élevée (&gt;30 %)**, ce qui est cohérent avec un marché frontière peu liquide et un secteur pétrolier sensible aux cours du brut.</w:t>
      </w:r>
    </w:p>
    <w:p>
      <w:pPr>
        <w:spacing w:after="120" w:line="276" w:lineRule="auto"/>
      </w:pPr>
      <w:r>
        <w:t>---</w:t>
      </w:r>
    </w:p>
    <w:p>
      <w:pPr>
        <w:spacing w:after="120" w:line="276" w:lineRule="auto"/>
      </w:pPr>
      <w:r>
        <w:t>## PARTIE 2 : ANALYSE TECHNIQUE DÉTAILLÉE</w:t>
      </w:r>
    </w:p>
    <w:p>
      <w:pPr>
        <w:spacing w:after="120" w:line="276" w:lineRule="auto"/>
      </w:pPr>
      <w:r>
        <w:t>**Moyennes Mobiles** — La MM20 (2 432,5 FCFA) et la MM50 (2 302,2 FCFA) sont toutes deux nettement inférieures au cours actuel (2 550 FCFA), avec une MM20 au-dessus de la MM50 : configuration haussière classique (golden cross). Le cours évolue 4,8 % au-dessus de sa MM20 et 10,8 % au-dessus de sa MM50, confirmant un momentum acheteur robuste. **Décision : Achat.**</w:t>
      </w:r>
    </w:p>
    <w:p>
      <w:pPr>
        <w:spacing w:after="120" w:line="276" w:lineRule="auto"/>
      </w:pPr>
      <w:r>
        <w:t>**Bandes de Bollinger** — Le cours (2 550 FCFA) se situe à seulement 1 % de la borne supérieure (2 575,5 FCFA) et à 11,4 % de la borne inférieure (2 289,5 FCFA), signe que le titre évolue en zone haute de volatilité. L'absence de franchissement de la borne supérieure laisse toutefois une marge de progression. **Décision : Neutre** (risque de retour à la moyenne).</w:t>
      </w:r>
    </w:p>
    <w:p>
      <w:pPr>
        <w:spacing w:after="120" w:line="276" w:lineRule="auto"/>
      </w:pPr>
      <w:r>
        <w:t>**MACD** — Le MACD (60,06) est supérieur à son signal (56,33), avec un histogramme positif : le momentum haussier est confirmé et l'écart entre les deux lignes reste constructif. Aucune divergence baissière n'est détectée. **Décision : Achat.**</w:t>
      </w:r>
    </w:p>
    <w:p>
      <w:pPr>
        <w:spacing w:after="120" w:line="276" w:lineRule="auto"/>
      </w:pPr>
      <w:r>
        <w:t>**RSI** — À 66,67, le RSI se situe en zone neutre haute, proche du seuil de surachat (70) sans l'avoir franchi. Cela indique une pression acheteuse soutenue mais non encore excessive, laissant un potentiel de hausse résiduel avant correction. **Décision : Neutre.**</w:t>
      </w:r>
    </w:p>
    <w:p>
      <w:pPr>
        <w:spacing w:after="120" w:line="276" w:lineRule="auto"/>
      </w:pPr>
      <w:r>
        <w:t>**Stochastique** — Le %K et le %D sont tous deux à 100,0, soit le niveau maximal absolu : le titre est en **surachat extrême**, signal classique de retournement imminent ou de consolidation. C'est le seul indicateur franchement baissier. **Décision : Vente.**</w:t>
      </w:r>
    </w:p>
    <w:p>
      <w:pPr>
        <w:spacing w:after="120" w:line="276" w:lineRule="auto"/>
      </w:pPr>
      <w:r>
        <w:t>**Conclusion technique** — Les indicateurs sont majoritairement haussiers (MM, MACD) mais deux signaux de prudence émergent : le RSI proche de la surachat et surtout le stochastique bloqué à 100, qui plaide pour une consolidation à court terme. La convergence MM/MACD soutient la tendance de fond, mais le timing d'entrée est défavorable après +34,92 % de hausse.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SHEC a réalisé un **chiffre d'affaires de 604,978 Mds FCFA** (contre 600,708 Mds en 2024, soit +0,71 %), un **résultat net de 6,028 Mds FCFA** (+12,6 % vs 5,354 Mds en 2024), un **ROE de 22,20 %** (excellent, &gt;15 %) et un **ROA de 3,11 %**. La marge nette reste très faible à **0,996 %**, typique du secteur aval pétrolier, mais en amélioration (0,89 % en 2024). Le **BFR est de 15,315 Mds FCFA** (positif, donc défavorable pour une entreprise de distribution) et la **trésorerie nette est très négative à -65,264 Mds FCFA**, avec un fonds de roulement de -49,850 Mds — signal d'alerte majeur sur la liquidité. Les délais d'exploitation sont bien maîtrisés : **23,27 jours clients** (risque trésorerie modéré), **35,47 jours fournisseurs** (favorable) et **7,47 jours de stockage** (rotation rapide). L'autonomie financière est faible (**14,03 %**, &lt; 30 % = non sain) et la dépendance financière élevée (85,97 %), mais la couverture des intérêts est excellente (**292,84 %**).</w:t>
      </w:r>
    </w:p>
    <w:p>
      <w:pPr>
        <w:spacing w:after="120" w:line="276" w:lineRule="auto"/>
      </w:pPr>
      <w:r>
        <w:t>**Estimations issues des rapports trimestriels** — Le rapport T3 2025 (daté 30/09/2025) révèle un **résultat net cumulé de 4,119 Mds FCFA (+45 %)** pour un CA de 451,7 Mds (+1 %), avec une marge nette de 0,91 % et un résultat financier en amélioration de 24 %. Le rapport S1 2026 (30/06/2026) montre un **CA de 305,038 Mds (-1 %)** mais un **résultat d'exploitation en hausse de 17 % à 6,133 Mds FCFA**, porté par le butane et les lubrifiants, avec un résultat net de 3,016 Mds (marge nette 0,99 %). On estime donc que l'exercice 2026 devrait afficher une **stabilité du résultat net autour de 6 Mds FCFA**, avec une possible pression sur le CA (-1 % au S1) compensée par la maîtrise des charges. Le rapport 2025 (daté 2026) confirme un **dividende brut proposé de 6,09 Mds FCFA (soit ~1 933 FCFA/action)**, représentant un **taux de distribution de 101 %** — généreux mais fragile car supérieur au résultat net, financé par le report à nouveau.</w:t>
      </w:r>
    </w:p>
    <w:p>
      <w:pPr>
        <w:spacing w:after="120" w:line="276" w:lineRule="auto"/>
      </w:pPr>
      <w:r>
        <w:t>**Recommandation fondamentale** — La solidité opérationnelle (ROE 22 %, amélioration des marges, maîtrise des charges) contraste avec une **structure financière préoccupante** (trésorerie nette -65 Mds, autonomie financière 14 %, distribution excessive). Le titre est fondamentalement **correct mais sans marge de sécurité**, avec un risque de liquidité réel.</w:t>
      </w:r>
    </w:p>
    <w:p>
      <w:pPr>
        <w:spacing w:after="120" w:line="276" w:lineRule="auto"/>
      </w:pPr>
      <w:r>
        <w:t>---</w:t>
      </w:r>
    </w:p>
    <w:p>
      <w:pPr>
        <w:spacing w:after="120" w:line="276" w:lineRule="auto"/>
      </w:pPr>
      <w:r>
        <w:t>## PARTIE 4 : CONCLUSION D'INVESTISSEMENT</w:t>
      </w:r>
    </w:p>
    <w:p>
      <w:pPr>
        <w:spacing w:after="120" w:line="276" w:lineRule="auto"/>
      </w:pPr>
      <w:r>
        <w:t>La **valorisation (Partie 0)** est clairement **exigeante** : PER de 26,7x (2 à 3 fois la moyenne BRVM), P/B de 5,92x et EV/EBITDA de 13,9x intègrent déjà une prime de qualité qui laisse peu de potentiel de réévaluation. Le **comportement du cours (Partie 1)** est haussier (+34,92 %) mais le titre clôture au plus haut, avec une volatilité élevée (33,4 %) et des statistiques (kurtosis -0,86, skewness +0,28) qui ne signalent pas de risque extrême mais confirment une dynamique acheteuse mature. Les **signaux techniques (Partie 2)** sont mitigés : MM et MACD haussiers, mais RSI proche de la surachat et stochastique à 100 (surachat extrême) annoncent une consolidation probable à court terme. Les **fondamentaux (Partie 3)** révèlent une entreprise rentable (ROE 22 %) mais financièrement fragile (trésorerie nette -65 Mds, distribution &gt;100 % du résultat net), avec un S1 2026 en léger recul de CA (-1 %) mais un résultat d'exploitation en hausse (+17 %). Les **prédictions IA (J+1 à J+10)** anticipent une **correction baissière de 2 550 à 2 315 FCFA (-9,2 %)** sur 10 séances, ce qui **contredit** le momentum haussier actuel mais **confirme** les signaux de surachat du stochastique et du RSI.</w:t>
      </w:r>
    </w:p>
    <w:p>
      <w:pPr>
        <w:spacing w:after="120" w:line="276" w:lineRule="auto"/>
      </w:pPr>
      <w:r>
        <w:t>**Recommandation finale : CONSERVER** — La convergence entre valorisation tendue, signaux techniques de surachat et prédictions baissières à court terme plaide contre un achat au cours actuel (2 550 FCFA). Toutefois, la solidité opérationnelle (ROE 22 %, dividende attractif de ~1 933 FCFA/action soit un rendement de 75,8 % au cours actuel — attention, ce chiffre semble anormalement élevé et mérite vérification) et l'amélioration de la rentabilité justifient de ne pas vendre. **Niveau de confiance : Moyen** (divergence technique/fondamental). **Risque global : Élevé** (liquidité, endettement, volatilité). **Horizon optimal : Moyen terme (3-12 mois)**, en attendant la publication des comptes définitifs 2025 et du S1 2026 pour confirmer la tendance, avec un point d'entrée plus favorable vers 2 300-2 350 FCFA (zone MM50).</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930.00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10,387 titres</w:t>
            </w:r>
          </w:p>
        </w:tc>
        <w:tc>
          <w:tcPr>
            <w:tcW w:type="dxa" w:w="2268"/>
            <w:shd w:fill="FFF2CC" w:val="clear"/>
          </w:tcPr>
          <w:p>
            <w:r>
              <w:rPr>
                <w:b/>
                <w:color w:val="503200"/>
                <w:sz w:val="16"/>
              </w:rPr>
              <w:t xml:space="preserve">Cours actuel : </w:t>
            </w:r>
            <w:r>
              <w:rPr>
                <w:color w:val="000000"/>
                <w:sz w:val="17"/>
              </w:rPr>
              <w:t>9,300 FCFA</w:t>
            </w:r>
          </w:p>
          <w:p>
            <w:r>
              <w:rPr>
                <w:b/>
                <w:color w:val="503200"/>
                <w:sz w:val="16"/>
              </w:rPr>
              <w:t xml:space="preserve">Var. 100 jours : </w:t>
            </w:r>
            <w:r>
              <w:rPr>
                <w:b/>
                <w:color w:val="007800"/>
                <w:sz w:val="17"/>
              </w:rPr>
              <w:t>+32.48%</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9.28% (Moyenne) — μ=8,528 FCFA, σ=792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β=0.2964 (Défensif) — Cov=0.000010, Var(idx)=0.000035, ρ=0.096,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10,387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8,930</w:t>
            </w:r>
          </w:p>
        </w:tc>
        <w:tc>
          <w:tcPr>
            <w:tcW w:type="dxa" w:w="1440"/>
            <w:shd w:fill="FAFAFA" w:val="clear"/>
          </w:tcPr>
          <w:p>
            <w:r>
              <w:rPr>
                <w:b/>
                <w:sz w:val="17"/>
              </w:rPr>
              <w:t>9,201</w:t>
            </w:r>
          </w:p>
        </w:tc>
        <w:tc>
          <w:tcPr>
            <w:tcW w:type="dxa" w:w="1440"/>
            <w:shd w:fill="FAFAFA" w:val="clear"/>
          </w:tcPr>
          <w:p>
            <w:r>
              <w:rPr>
                <w:sz w:val="17"/>
              </w:rPr>
              <w:t>9,472</w:t>
            </w:r>
          </w:p>
        </w:tc>
        <w:tc>
          <w:tcPr>
            <w:tcW w:type="dxa" w:w="1440"/>
            <w:shd w:fill="FAFAFA" w:val="clear"/>
          </w:tcPr>
          <w:p>
            <w:r>
              <w:rPr>
                <w:b/>
                <w:color w:val="C00000"/>
                <w:sz w:val="17"/>
              </w:rPr>
              <w:t>-1.1%</w:t>
            </w:r>
          </w:p>
        </w:tc>
      </w:tr>
      <w:tr>
        <w:tc>
          <w:tcPr>
            <w:tcW w:type="dxa" w:w="1440"/>
            <w:shd w:fill="FFDCE0" w:val="clear"/>
          </w:tcPr>
          <w:p>
            <w:r>
              <w:rPr>
                <w:sz w:val="17"/>
              </w:rPr>
              <w:t>J+2  ⭐⭐⭐</w:t>
            </w:r>
          </w:p>
        </w:tc>
        <w:tc>
          <w:tcPr>
            <w:tcW w:type="dxa" w:w="1440"/>
            <w:shd w:fill="FFDCE0" w:val="clear"/>
          </w:tcPr>
          <w:p>
            <w:r>
              <w:rPr>
                <w:sz w:val="17"/>
              </w:rPr>
              <w:t>2026-09-15</w:t>
            </w:r>
          </w:p>
        </w:tc>
        <w:tc>
          <w:tcPr>
            <w:tcW w:type="dxa" w:w="1440"/>
            <w:shd w:fill="FFDCE0" w:val="clear"/>
          </w:tcPr>
          <w:p>
            <w:r>
              <w:rPr>
                <w:sz w:val="17"/>
              </w:rPr>
              <w:t>8,726</w:t>
            </w:r>
          </w:p>
        </w:tc>
        <w:tc>
          <w:tcPr>
            <w:tcW w:type="dxa" w:w="1440"/>
            <w:shd w:fill="FFDCE0" w:val="clear"/>
          </w:tcPr>
          <w:p>
            <w:r>
              <w:rPr>
                <w:b/>
                <w:sz w:val="17"/>
              </w:rPr>
              <w:t>9,106</w:t>
            </w:r>
          </w:p>
        </w:tc>
        <w:tc>
          <w:tcPr>
            <w:tcW w:type="dxa" w:w="1440"/>
            <w:shd w:fill="FFDCE0" w:val="clear"/>
          </w:tcPr>
          <w:p>
            <w:r>
              <w:rPr>
                <w:sz w:val="17"/>
              </w:rPr>
              <w:t>9,485</w:t>
            </w:r>
          </w:p>
        </w:tc>
        <w:tc>
          <w:tcPr>
            <w:tcW w:type="dxa" w:w="1440"/>
            <w:shd w:fill="FFDCE0" w:val="clear"/>
          </w:tcPr>
          <w:p>
            <w:r>
              <w:rPr>
                <w:b/>
                <w:color w:val="C00000"/>
                <w:sz w:val="17"/>
              </w:rPr>
              <w:t>-2.1%</w:t>
            </w:r>
          </w:p>
        </w:tc>
      </w:tr>
      <w:tr>
        <w:tc>
          <w:tcPr>
            <w:tcW w:type="dxa" w:w="1440"/>
            <w:shd w:fill="FFDCE0" w:val="clear"/>
          </w:tcPr>
          <w:p>
            <w:r>
              <w:rPr>
                <w:sz w:val="17"/>
              </w:rPr>
              <w:t>J+3  ⭐⭐⭐</w:t>
            </w:r>
          </w:p>
        </w:tc>
        <w:tc>
          <w:tcPr>
            <w:tcW w:type="dxa" w:w="1440"/>
            <w:shd w:fill="FFDCE0" w:val="clear"/>
          </w:tcPr>
          <w:p>
            <w:r>
              <w:rPr>
                <w:sz w:val="17"/>
              </w:rPr>
              <w:t>2026-09-16</w:t>
            </w:r>
          </w:p>
        </w:tc>
        <w:tc>
          <w:tcPr>
            <w:tcW w:type="dxa" w:w="1440"/>
            <w:shd w:fill="FFDCE0" w:val="clear"/>
          </w:tcPr>
          <w:p>
            <w:r>
              <w:rPr>
                <w:sz w:val="17"/>
              </w:rPr>
              <w:t>8,557</w:t>
            </w:r>
          </w:p>
        </w:tc>
        <w:tc>
          <w:tcPr>
            <w:tcW w:type="dxa" w:w="1440"/>
            <w:shd w:fill="FFDCE0" w:val="clear"/>
          </w:tcPr>
          <w:p>
            <w:r>
              <w:rPr>
                <w:b/>
                <w:sz w:val="17"/>
              </w:rPr>
              <w:t>9,017</w:t>
            </w:r>
          </w:p>
        </w:tc>
        <w:tc>
          <w:tcPr>
            <w:tcW w:type="dxa" w:w="1440"/>
            <w:shd w:fill="FFDCE0" w:val="clear"/>
          </w:tcPr>
          <w:p>
            <w:r>
              <w:rPr>
                <w:sz w:val="17"/>
              </w:rPr>
              <w:t>9,477</w:t>
            </w:r>
          </w:p>
        </w:tc>
        <w:tc>
          <w:tcPr>
            <w:tcW w:type="dxa" w:w="1440"/>
            <w:shd w:fill="FFDCE0" w:val="clear"/>
          </w:tcPr>
          <w:p>
            <w:r>
              <w:rPr>
                <w:b/>
                <w:color w:val="C00000"/>
                <w:sz w:val="17"/>
              </w:rPr>
              <w:t>-3.0%</w:t>
            </w:r>
          </w:p>
        </w:tc>
      </w:tr>
      <w:tr>
        <w:tc>
          <w:tcPr>
            <w:tcW w:type="dxa" w:w="1440"/>
            <w:shd w:fill="FFDCE0" w:val="clear"/>
          </w:tcPr>
          <w:p>
            <w:r>
              <w:rPr>
                <w:sz w:val="17"/>
              </w:rPr>
              <w:t>J+4  Moyenne</w:t>
            </w:r>
          </w:p>
        </w:tc>
        <w:tc>
          <w:tcPr>
            <w:tcW w:type="dxa" w:w="1440"/>
            <w:shd w:fill="FFDCE0" w:val="clear"/>
          </w:tcPr>
          <w:p>
            <w:r>
              <w:rPr>
                <w:sz w:val="17"/>
              </w:rPr>
              <w:t>2026-09-17</w:t>
            </w:r>
          </w:p>
        </w:tc>
        <w:tc>
          <w:tcPr>
            <w:tcW w:type="dxa" w:w="1440"/>
            <w:shd w:fill="FFDCE0" w:val="clear"/>
          </w:tcPr>
          <w:p>
            <w:r>
              <w:rPr>
                <w:sz w:val="17"/>
              </w:rPr>
              <w:t>8,412</w:t>
            </w:r>
          </w:p>
        </w:tc>
        <w:tc>
          <w:tcPr>
            <w:tcW w:type="dxa" w:w="1440"/>
            <w:shd w:fill="FFDCE0" w:val="clear"/>
          </w:tcPr>
          <w:p>
            <w:r>
              <w:rPr>
                <w:b/>
                <w:sz w:val="17"/>
              </w:rPr>
              <w:t>8,939</w:t>
            </w:r>
          </w:p>
        </w:tc>
        <w:tc>
          <w:tcPr>
            <w:tcW w:type="dxa" w:w="1440"/>
            <w:shd w:fill="FFDCE0" w:val="clear"/>
          </w:tcPr>
          <w:p>
            <w:r>
              <w:rPr>
                <w:sz w:val="17"/>
              </w:rPr>
              <w:t>9,465</w:t>
            </w:r>
          </w:p>
        </w:tc>
        <w:tc>
          <w:tcPr>
            <w:tcW w:type="dxa" w:w="1440"/>
            <w:shd w:fill="FFDCE0" w:val="clear"/>
          </w:tcPr>
          <w:p>
            <w:r>
              <w:rPr>
                <w:b/>
                <w:color w:val="C00000"/>
                <w:sz w:val="17"/>
              </w:rPr>
              <w:t>-3.9%</w:t>
            </w:r>
          </w:p>
        </w:tc>
      </w:tr>
      <w:tr>
        <w:tc>
          <w:tcPr>
            <w:tcW w:type="dxa" w:w="1440"/>
            <w:shd w:fill="FFDCE0" w:val="clear"/>
          </w:tcPr>
          <w:p>
            <w:r>
              <w:rPr>
                <w:sz w:val="17"/>
              </w:rPr>
              <w:t>J+5  Moyenne</w:t>
            </w:r>
          </w:p>
        </w:tc>
        <w:tc>
          <w:tcPr>
            <w:tcW w:type="dxa" w:w="1440"/>
            <w:shd w:fill="FFDCE0" w:val="clear"/>
          </w:tcPr>
          <w:p>
            <w:r>
              <w:rPr>
                <w:sz w:val="17"/>
              </w:rPr>
              <w:t>2026-09-18</w:t>
            </w:r>
          </w:p>
        </w:tc>
        <w:tc>
          <w:tcPr>
            <w:tcW w:type="dxa" w:w="1440"/>
            <w:shd w:fill="FFDCE0" w:val="clear"/>
          </w:tcPr>
          <w:p>
            <w:r>
              <w:rPr>
                <w:sz w:val="17"/>
              </w:rPr>
              <w:t>8,286</w:t>
            </w:r>
          </w:p>
        </w:tc>
        <w:tc>
          <w:tcPr>
            <w:tcW w:type="dxa" w:w="1440"/>
            <w:shd w:fill="FFDCE0" w:val="clear"/>
          </w:tcPr>
          <w:p>
            <w:r>
              <w:rPr>
                <w:b/>
                <w:sz w:val="17"/>
              </w:rPr>
              <w:t>8,870</w:t>
            </w:r>
          </w:p>
        </w:tc>
        <w:tc>
          <w:tcPr>
            <w:tcW w:type="dxa" w:w="1440"/>
            <w:shd w:fill="FFDCE0" w:val="clear"/>
          </w:tcPr>
          <w:p>
            <w:r>
              <w:rPr>
                <w:sz w:val="17"/>
              </w:rPr>
              <w:t>9,453</w:t>
            </w:r>
          </w:p>
        </w:tc>
        <w:tc>
          <w:tcPr>
            <w:tcW w:type="dxa" w:w="1440"/>
            <w:shd w:fill="FFDCE0" w:val="clear"/>
          </w:tcPr>
          <w:p>
            <w:r>
              <w:rPr>
                <w:b/>
                <w:color w:val="C00000"/>
                <w:sz w:val="17"/>
              </w:rPr>
              <w:t>-4.6%</w:t>
            </w:r>
          </w:p>
        </w:tc>
      </w:tr>
      <w:tr>
        <w:tc>
          <w:tcPr>
            <w:tcW w:type="dxa" w:w="1440"/>
            <w:shd w:fill="FFDCE0" w:val="clear"/>
          </w:tcPr>
          <w:p>
            <w:r>
              <w:rPr>
                <w:sz w:val="17"/>
              </w:rPr>
              <w:t>J+6  Moyenne</w:t>
            </w:r>
          </w:p>
        </w:tc>
        <w:tc>
          <w:tcPr>
            <w:tcW w:type="dxa" w:w="1440"/>
            <w:shd w:fill="FFDCE0" w:val="clear"/>
          </w:tcPr>
          <w:p>
            <w:r>
              <w:rPr>
                <w:sz w:val="17"/>
              </w:rPr>
              <w:t>2026-09-21</w:t>
            </w:r>
          </w:p>
        </w:tc>
        <w:tc>
          <w:tcPr>
            <w:tcW w:type="dxa" w:w="1440"/>
            <w:shd w:fill="FFDCE0" w:val="clear"/>
          </w:tcPr>
          <w:p>
            <w:r>
              <w:rPr>
                <w:sz w:val="17"/>
              </w:rPr>
              <w:t>8,172</w:t>
            </w:r>
          </w:p>
        </w:tc>
        <w:tc>
          <w:tcPr>
            <w:tcW w:type="dxa" w:w="1440"/>
            <w:shd w:fill="FFDCE0" w:val="clear"/>
          </w:tcPr>
          <w:p>
            <w:r>
              <w:rPr>
                <w:b/>
                <w:sz w:val="17"/>
              </w:rPr>
              <w:t>8,807</w:t>
            </w:r>
          </w:p>
        </w:tc>
        <w:tc>
          <w:tcPr>
            <w:tcW w:type="dxa" w:w="1440"/>
            <w:shd w:fill="FFDCE0" w:val="clear"/>
          </w:tcPr>
          <w:p>
            <w:r>
              <w:rPr>
                <w:sz w:val="17"/>
              </w:rPr>
              <w:t>9,442</w:t>
            </w:r>
          </w:p>
        </w:tc>
        <w:tc>
          <w:tcPr>
            <w:tcW w:type="dxa" w:w="1440"/>
            <w:shd w:fill="FFDCE0" w:val="clear"/>
          </w:tcPr>
          <w:p>
            <w:r>
              <w:rPr>
                <w:b/>
                <w:color w:val="C00000"/>
                <w:sz w:val="17"/>
              </w:rPr>
              <w:t>-5.3%</w:t>
            </w:r>
          </w:p>
        </w:tc>
      </w:tr>
      <w:tr>
        <w:tc>
          <w:tcPr>
            <w:tcW w:type="dxa" w:w="1440"/>
            <w:shd w:fill="FFDCE0" w:val="clear"/>
          </w:tcPr>
          <w:p>
            <w:r>
              <w:rPr>
                <w:sz w:val="17"/>
              </w:rPr>
              <w:t>J+7  Moyenne</w:t>
            </w:r>
          </w:p>
        </w:tc>
        <w:tc>
          <w:tcPr>
            <w:tcW w:type="dxa" w:w="1440"/>
            <w:shd w:fill="FFDCE0" w:val="clear"/>
          </w:tcPr>
          <w:p>
            <w:r>
              <w:rPr>
                <w:sz w:val="17"/>
              </w:rPr>
              <w:t>2026-09-22</w:t>
            </w:r>
          </w:p>
        </w:tc>
        <w:tc>
          <w:tcPr>
            <w:tcW w:type="dxa" w:w="1440"/>
            <w:shd w:fill="FFDCE0" w:val="clear"/>
          </w:tcPr>
          <w:p>
            <w:r>
              <w:rPr>
                <w:sz w:val="17"/>
              </w:rPr>
              <w:t>8,069</w:t>
            </w:r>
          </w:p>
        </w:tc>
        <w:tc>
          <w:tcPr>
            <w:tcW w:type="dxa" w:w="1440"/>
            <w:shd w:fill="FFDCE0" w:val="clear"/>
          </w:tcPr>
          <w:p>
            <w:r>
              <w:rPr>
                <w:b/>
                <w:sz w:val="17"/>
              </w:rPr>
              <w:t>8,751</w:t>
            </w:r>
          </w:p>
        </w:tc>
        <w:tc>
          <w:tcPr>
            <w:tcW w:type="dxa" w:w="1440"/>
            <w:shd w:fill="FFDCE0" w:val="clear"/>
          </w:tcPr>
          <w:p>
            <w:r>
              <w:rPr>
                <w:sz w:val="17"/>
              </w:rPr>
              <w:t>9,432</w:t>
            </w:r>
          </w:p>
        </w:tc>
        <w:tc>
          <w:tcPr>
            <w:tcW w:type="dxa" w:w="1440"/>
            <w:shd w:fill="FFDCE0" w:val="clear"/>
          </w:tcPr>
          <w:p>
            <w:r>
              <w:rPr>
                <w:b/>
                <w:color w:val="C00000"/>
                <w:sz w:val="17"/>
              </w:rPr>
              <w:t>-5.9%</w:t>
            </w:r>
          </w:p>
        </w:tc>
      </w:tr>
      <w:tr>
        <w:tc>
          <w:tcPr>
            <w:tcW w:type="dxa" w:w="1440"/>
            <w:shd w:fill="FFDCE0" w:val="clear"/>
          </w:tcPr>
          <w:p>
            <w:r>
              <w:rPr>
                <w:sz w:val="17"/>
              </w:rPr>
              <w:t>J+8  Moyenne</w:t>
            </w:r>
          </w:p>
        </w:tc>
        <w:tc>
          <w:tcPr>
            <w:tcW w:type="dxa" w:w="1440"/>
            <w:shd w:fill="FFDCE0" w:val="clear"/>
          </w:tcPr>
          <w:p>
            <w:r>
              <w:rPr>
                <w:sz w:val="17"/>
              </w:rPr>
              <w:t>2026-09-23</w:t>
            </w:r>
          </w:p>
        </w:tc>
        <w:tc>
          <w:tcPr>
            <w:tcW w:type="dxa" w:w="1440"/>
            <w:shd w:fill="FFDCE0" w:val="clear"/>
          </w:tcPr>
          <w:p>
            <w:r>
              <w:rPr>
                <w:sz w:val="17"/>
              </w:rPr>
              <w:t>7,974</w:t>
            </w:r>
          </w:p>
        </w:tc>
        <w:tc>
          <w:tcPr>
            <w:tcW w:type="dxa" w:w="1440"/>
            <w:shd w:fill="FFDCE0" w:val="clear"/>
          </w:tcPr>
          <w:p>
            <w:r>
              <w:rPr>
                <w:b/>
                <w:sz w:val="17"/>
              </w:rPr>
              <w:t>8,699</w:t>
            </w:r>
          </w:p>
        </w:tc>
        <w:tc>
          <w:tcPr>
            <w:tcW w:type="dxa" w:w="1440"/>
            <w:shd w:fill="FFDCE0" w:val="clear"/>
          </w:tcPr>
          <w:p>
            <w:r>
              <w:rPr>
                <w:sz w:val="17"/>
              </w:rPr>
              <w:t>9,423</w:t>
            </w:r>
          </w:p>
        </w:tc>
        <w:tc>
          <w:tcPr>
            <w:tcW w:type="dxa" w:w="1440"/>
            <w:shd w:fill="FFDCE0" w:val="clear"/>
          </w:tcPr>
          <w:p>
            <w:r>
              <w:rPr>
                <w:b/>
                <w:color w:val="C00000"/>
                <w:sz w:val="17"/>
              </w:rPr>
              <w:t>-6.5%</w:t>
            </w:r>
          </w:p>
        </w:tc>
      </w:tr>
      <w:tr>
        <w:tc>
          <w:tcPr>
            <w:tcW w:type="dxa" w:w="1440"/>
            <w:shd w:fill="FFDCE0" w:val="clear"/>
          </w:tcPr>
          <w:p>
            <w:r>
              <w:rPr>
                <w:sz w:val="17"/>
              </w:rPr>
              <w:t>J+9  Moyenne</w:t>
            </w:r>
          </w:p>
        </w:tc>
        <w:tc>
          <w:tcPr>
            <w:tcW w:type="dxa" w:w="1440"/>
            <w:shd w:fill="FFDCE0" w:val="clear"/>
          </w:tcPr>
          <w:p>
            <w:r>
              <w:rPr>
                <w:sz w:val="17"/>
              </w:rPr>
              <w:t>2026-09-24</w:t>
            </w:r>
          </w:p>
        </w:tc>
        <w:tc>
          <w:tcPr>
            <w:tcW w:type="dxa" w:w="1440"/>
            <w:shd w:fill="FFDCE0" w:val="clear"/>
          </w:tcPr>
          <w:p>
            <w:r>
              <w:rPr>
                <w:sz w:val="17"/>
              </w:rPr>
              <w:t>7,887</w:t>
            </w:r>
          </w:p>
        </w:tc>
        <w:tc>
          <w:tcPr>
            <w:tcW w:type="dxa" w:w="1440"/>
            <w:shd w:fill="FFDCE0" w:val="clear"/>
          </w:tcPr>
          <w:p>
            <w:r>
              <w:rPr>
                <w:b/>
                <w:sz w:val="17"/>
              </w:rPr>
              <w:t>8,651</w:t>
            </w:r>
          </w:p>
        </w:tc>
        <w:tc>
          <w:tcPr>
            <w:tcW w:type="dxa" w:w="1440"/>
            <w:shd w:fill="FFDCE0" w:val="clear"/>
          </w:tcPr>
          <w:p>
            <w:r>
              <w:rPr>
                <w:sz w:val="17"/>
              </w:rPr>
              <w:t>9,415</w:t>
            </w:r>
          </w:p>
        </w:tc>
        <w:tc>
          <w:tcPr>
            <w:tcW w:type="dxa" w:w="1440"/>
            <w:shd w:fill="FFDCE0" w:val="clear"/>
          </w:tcPr>
          <w:p>
            <w:r>
              <w:rPr>
                <w:b/>
                <w:color w:val="C00000"/>
                <w:sz w:val="17"/>
              </w:rPr>
              <w:t>-7.0%</w:t>
            </w:r>
          </w:p>
        </w:tc>
      </w:tr>
      <w:tr>
        <w:tc>
          <w:tcPr>
            <w:tcW w:type="dxa" w:w="1440"/>
            <w:shd w:fill="FFDCE0" w:val="clear"/>
          </w:tcPr>
          <w:p>
            <w:r>
              <w:rPr>
                <w:sz w:val="17"/>
              </w:rPr>
              <w:t>J+10  Moyenne</w:t>
            </w:r>
          </w:p>
        </w:tc>
        <w:tc>
          <w:tcPr>
            <w:tcW w:type="dxa" w:w="1440"/>
            <w:shd w:fill="FFDCE0" w:val="clear"/>
          </w:tcPr>
          <w:p>
            <w:r>
              <w:rPr>
                <w:sz w:val="17"/>
              </w:rPr>
              <w:t>2026-09-25</w:t>
            </w:r>
          </w:p>
        </w:tc>
        <w:tc>
          <w:tcPr>
            <w:tcW w:type="dxa" w:w="1440"/>
            <w:shd w:fill="FFDCE0" w:val="clear"/>
          </w:tcPr>
          <w:p>
            <w:r>
              <w:rPr>
                <w:sz w:val="17"/>
              </w:rPr>
              <w:t>7,804</w:t>
            </w:r>
          </w:p>
        </w:tc>
        <w:tc>
          <w:tcPr>
            <w:tcW w:type="dxa" w:w="1440"/>
            <w:shd w:fill="FFDCE0" w:val="clear"/>
          </w:tcPr>
          <w:p>
            <w:r>
              <w:rPr>
                <w:b/>
                <w:sz w:val="17"/>
              </w:rPr>
              <w:t>8,606</w:t>
            </w:r>
          </w:p>
        </w:tc>
        <w:tc>
          <w:tcPr>
            <w:tcW w:type="dxa" w:w="1440"/>
            <w:shd w:fill="FFDCE0" w:val="clear"/>
          </w:tcPr>
          <w:p>
            <w:r>
              <w:rPr>
                <w:sz w:val="17"/>
              </w:rPr>
              <w:t>9,407</w:t>
            </w:r>
          </w:p>
        </w:tc>
        <w:tc>
          <w:tcPr>
            <w:tcW w:type="dxa" w:w="1440"/>
            <w:shd w:fill="FFDCE0" w:val="clear"/>
          </w:tcPr>
          <w:p>
            <w:r>
              <w:rPr>
                <w:b/>
                <w:color w:val="C00000"/>
                <w:sz w:val="17"/>
              </w:rPr>
              <w:t>-7.5%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**RAPPORT D'ANALYSE FINANCIÈRE — SIBC (Société Ivoirienne de Banque)**</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930,00 Mds FCFA, la SIBC s'impose comme l'une des toutes premières capitalisations de la BRVM, ce qui en fait une valeur de premier plan pour les investisseurs institutionnels régionaux. Le BPA de 556 FCFA par action signifie que chaque titre génère un bénéfice net de 556 FCFA, un niveau élevé qui traduit la forte rentabilité de la banque. Le PER de 16,7x se situe nettement au-dessus de la moyenne du marché BRVM (généralement 8-12x), indiquant que les investisseurs paient une prime significative pour les bénéfices de la SIBC — valorisation modérée mais non excessive au regard de la qualité du dossier. Le P/B de 4,54x (largement supérieur à 4x) et l'EV/EBITDA de 15,5x confirment cette prime exigeante : le marché valorise la banque bien au-dessus de sa valeur comptable (204,765 Mds FCFA de capitaux propres), ce qui intègre déjà les excellentes performances opérationnelles et la solidité du modèle.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SIBC a enregistré une progression remarquable de +32,48%, clôturant à 9 300 FCFA, avec une variation nulle lors de la dernière séance (J-1 : +0,00%), signe d'une stabilisation après un fort rallye. Le range de trading s'étend de 6 805 FCFA (plus bas) à 9 500 FCFA (plus haut), soit une amplitude de près de 40%, illustrant une tendance nettement haussière portée par des volumes moyens quotidiens de 10 387 titres. Les statistiques descriptives révèlent une moyenne de 8 528 FCFA contre une médiane plus élevée de 8 850 FCFA, cet écart négatif (moyenne &lt; médiane) combiné à un skewness de -1,023 (asymétrie négative) indique que le cours a passé davantage de journées au-dessus de sa moyenne, avec quelques journées de forte baisse tirant la moyenne vers le bas. L'écart-type de 796 FCFA (CV = 9,3%) traduit une dispersion modérée du cours, tandis que le kurtosis de -0,507 (mésokurtique) suggère une distribution proche de la normale, sans risque majeur de pics extrêmes. La volatilité annualisée de 28,8% positionne le titre dans la catégorie des valeurs à volatilité modérée (15-30%), ce qui reste raisonnable pour une action bancaire de premier rang sur la BRVM.</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(9 191,75 FCFA) et la MM50 (9 063,0 FCFA) se situent toutes deux sous le cours actuel (9 300 FCFA), configurant un alignement haussier classique où le prix surplombe ses moyennes. La MM20 étant supérieure à la MM50, la dynamique de court terme reste plus forte que celle de moyen terme, ce qui justifie la décision technique d'**Achat**.</w:t>
      </w:r>
    </w:p>
    <w:p>
      <w:pPr>
        <w:spacing w:after="120" w:line="276" w:lineRule="auto"/>
      </w:pPr>
      <w:r>
        <w:t>**Bandes de Bollinger** : Le cours (9 300 FCFA) évolue à l'intérieur des bandes, entre la borne inférieure (9 002,784 FCFA) et la borne supérieure (9 380,716 FCFA), mais plus proche de la borne haute. L'étroitesse relative des bandes (largeur d'environ 378 FCFA) indique une volatilité contenue, et la position du cours suggère une pression acheteuse modérée sans excès — d'où la décision **Neutre**.</w:t>
      </w:r>
    </w:p>
    <w:p>
      <w:pPr>
        <w:spacing w:after="120" w:line="276" w:lineRule="auto"/>
      </w:pPr>
      <w:r>
        <w:t>**MACD** : La valeur du MACD (50,211) dépasse son signal (46,987), avec un histogramme positif qui confirme un momentum haussier en cours. Cette configuration de croisement à la hausse soutient la poursuite de la tendance, justifiant la décision d'**Achat**.</w:t>
      </w:r>
    </w:p>
    <w:p>
      <w:pPr>
        <w:spacing w:after="120" w:line="276" w:lineRule="auto"/>
      </w:pPr>
      <w:r>
        <w:t>**RSI** : À 63,636, le RSI se situe dans la zone neutre (30-70) tout en s'approchant du seuil de surachat (70), ce qui indique une dynamique positive sans excès spéculatif immédiat. La décision reste **Neutre**, le titre conservant un potentiel de hausse résiduel.</w:t>
      </w:r>
    </w:p>
    <w:p>
      <w:pPr>
        <w:spacing w:after="120" w:line="276" w:lineRule="auto"/>
      </w:pPr>
      <w:r>
        <w:t>**Stochastique** : Le %K (100,0) est au maximum absolu et surplombe le %D (91,667), signalant que le cours clôture systématiquement près de ses plus hauts récents — une configuration de surachat marqué qui précède souvent une correction. La décision est donc à la **Vente** sur ce seul indicateur.</w:t>
      </w:r>
    </w:p>
    <w:p>
      <w:pPr>
        <w:spacing w:after="120" w:line="276" w:lineRule="auto"/>
      </w:pPr>
      <w:r>
        <w:t>**Conclusion technique** : Les indicateurs présentent une divergence notable : les moyennes mobiles et le MACD confirment la tendance haussière de fond, tandis que le stochastique en zone extrême (100%) et le RSI proche de 70 avertissent d'un essoufflement imminent. Le titre se trouve dans une phase de consolidation haute, avec un risque de repli technique à court terme, mais sans remise en cause de la tendance haussière tant que le support des 9 000-9 063 FCFA (MM50) tient.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la SIBC affiche un Produit Net Bancaire (équivalent du chiffre d'affaires pour une banque) de 108,663 Mds FCFA et un résultat net de 55,623 Mds FCFA, pour un total bilan de 1 881,733 Mds FCFA. La rentabilité est exceptionnelle avec un ROE de 27,16% (largement supérieur au seuil de 15% considéré comme excellent) et un ROA de 2,96%. Le coefficient d'exploitation de 38,59% place la banque parmi les établissements les plus efficaces du secteur (seuil d'excellence &lt; 50%), tandis que la marge nette de 51,19% témoigne d'une remarquable maîtrise des coûts. La structure financière montre une dépendance aux dépôts clientèle (1 503,441 Mds FCFA) qui financent largement les créances clientèle (1 226,720 Mds FCFA), avec un ratio de transformation sain ; l'autonomie financière de 10,88% reste faible mais typique du modèle bancaire, et la solvabilité générale de 112,21% confirme la capacité à couvrir les dettes. Le taux de croissance du PNB de 5,74% traduit une dynamique commerciale positive.</w:t>
      </w:r>
    </w:p>
    <w:p>
      <w:pPr>
        <w:spacing w:after="120" w:line="276" w:lineRule="auto"/>
      </w:pPr>
      <w:r>
        <w:t>**Estimations basées sur les rapports trimestriels** : Le rapport du T1 2026 (publié le 31/12/2026) confirme l'accélération avec un PNB de 27,7 Mds FCFA (+4% en glissement annuel) et un résultat net de 15,2 Mds FCFA (+11%), soit une marge nette de 54,9% — un niveau exceptionnel. Les dépôts progressent de +9% à 1 495 Mds FCFA et les crédits de +7% à 1 112 Mds FCFA, validant la robustesse de l'intermédiation. Le rapport T3 2025 (30/09/2025) faisait déjà état d'un PNB cumulé de 81,4 Mds FCFA (+8%) et d'un résultat net de 43,0 Mds FCFA (+11%), avec un coefficient d'exploitation en amélioration continue. Sur la base de ces tendances, on estime que l'exercice 2026 devrait enregistrer un résultat net annuel compris entre 60 et 63 Mds FCFA, soit une croissance de 8-13% par rapport à 2025, soutenue par la digitalisation (plan « IMPULSION 2028 ») et la bonne tenue de l'économie ivoirienne.</w:t>
      </w:r>
    </w:p>
    <w:p>
      <w:pPr>
        <w:spacing w:after="120" w:line="276" w:lineRule="auto"/>
      </w:pPr>
      <w:r>
        <w:t>**Conclusion fondamentale** : La SIBC présente des fondamentaux de très haute qualité — rentabilité parmi les meilleures du secteur (ROE &gt; 27%), efficacité opérationnelle remarquable (coefficient &lt; 40%), croissance régulière et gestion prudente des risques. Les principaux risques résident dans la dépendance macroéconomique ivoirienne, la concurrence bancaire accrue et la compression potentielle des marges d'intérêt. La valorisation exigeante (P/B 4,54x, EV/EBITDA 15,5x) intègre déjà ces performances, limitant le potentiel de réévaluation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dimensions analysées révèle un profil d'investissement contrasté. **Sur la valorisation (Partie 0)**, les ratios PER (16,7x), P/B (4,54x) et EV/EBITDA (15,5x) indiquent une surévaluation relative par rapport aux standards de la BRVM, le marché ayant déjà intégré la prime de qualité de la SIBC. **Sur le comportement du cours (Partie 1)**, la tendance haussière de +32,48% sur 100 jours est solide, la volatilité modérée (28,8%) et le skewness négatif (-1,023) suggèrent une dynamique favorable mais proche de l'épuisement. **Sur le plan technique (Partie 2)**, les signaux sont divergents : MM et MACD haussiers, mais stochastique en surachat extrême (100%) et RSI à 63,6 annoncent une correction imminente. **Sur le plan fondamental (Partie 3)**, la solidité est incontestable (ROE 27,16%, coefficient d'exploitation 38,59%, résultat net 2025 de 55,623 Mds FCFA, T1 2026 en hausse de +11%), mais la valorisation exigeante limite le potentiel. **Les prédictions IA (J+1 à J+10)** anticipent une trajectoire baissière de 9 201 FCFA à 8 870 FCFA, confirmant le signal de correction technique à court terme.</w:t>
      </w:r>
    </w:p>
    <w:p>
      <w:pPr>
        <w:spacing w:after="120" w:line="276" w:lineRule="auto"/>
      </w:pPr>
      <w:r>
        <w:t>**Recommandation finale : CONSERVER**</w:t>
        <w:br/>
        <w:t>La convergence entre la surévaluation relative, le surachat technique et la prédiction baissière à court terme plaide contre un achat immédiat, tandis que l'excellence des fondamentaux et la croissance soutenue interdisent toute vente. Le niveau de confiance est **Moyen** (divergence entre technique baissier et fondamental haussier) et le niveau de risque global est **Moyen** (volatilité modérée, valorisation tendue). L'horizon d'investissement optimal est le **moyen terme (3-12 mois)** : conserver la position pour bénéficier de la croissance des bénéfices, avec un point d'entrée opportuniste envisageable en cas de repli vers 8 800-9 000 FCFA (zone de support MM50), et une surveillance attentive de la publication des résultats semestriels 2026 pour confirmer la tendance.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5.10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121 titres</w:t>
            </w:r>
          </w:p>
        </w:tc>
        <w:tc>
          <w:tcPr>
            <w:tcW w:type="dxa" w:w="2268"/>
            <w:shd w:fill="FFF2CC" w:val="clear"/>
          </w:tcPr>
          <w:p>
            <w:r>
              <w:rPr>
                <w:b/>
                <w:color w:val="503200"/>
                <w:sz w:val="16"/>
              </w:rPr>
              <w:t xml:space="preserve">Cours actuel : </w:t>
            </w:r>
            <w:r>
              <w:rPr>
                <w:color w:val="000000"/>
                <w:sz w:val="17"/>
              </w:rPr>
              <w:t>8,495 FCFA</w:t>
            </w:r>
          </w:p>
          <w:p>
            <w:r>
              <w:rPr>
                <w:b/>
                <w:color w:val="503200"/>
                <w:sz w:val="16"/>
              </w:rPr>
              <w:t xml:space="preserve">Var. 100 jours : </w:t>
            </w:r>
            <w:r>
              <w:rPr>
                <w:b/>
                <w:color w:val="007800"/>
                <w:sz w:val="17"/>
              </w:rPr>
              <w:t>+101.30%</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3,985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31.01% (Élevée) — μ=5,730 FCFA, σ=1,777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β=-1.0581 (Contre-cyclique) — Cov=-0.000037, Var(idx)=0.000035, ρ=-0.169,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121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σ_j=3.66%/j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616976"/>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7,701</w:t>
            </w:r>
          </w:p>
        </w:tc>
        <w:tc>
          <w:tcPr>
            <w:tcW w:type="dxa" w:w="1440"/>
            <w:shd w:fill="FAFAFA" w:val="clear"/>
          </w:tcPr>
          <w:p>
            <w:r>
              <w:rPr>
                <w:b/>
                <w:sz w:val="17"/>
              </w:rPr>
              <w:t>8,325</w:t>
            </w:r>
          </w:p>
        </w:tc>
        <w:tc>
          <w:tcPr>
            <w:tcW w:type="dxa" w:w="1440"/>
            <w:shd w:fill="FAFAFA" w:val="clear"/>
          </w:tcPr>
          <w:p>
            <w:r>
              <w:rPr>
                <w:sz w:val="17"/>
              </w:rPr>
              <w:t>8,950</w:t>
            </w:r>
          </w:p>
        </w:tc>
        <w:tc>
          <w:tcPr>
            <w:tcW w:type="dxa" w:w="1440"/>
            <w:shd w:fill="FAFAFA" w:val="clear"/>
          </w:tcPr>
          <w:p>
            <w:r>
              <w:rPr>
                <w:b/>
                <w:color w:val="C00000"/>
                <w:sz w:val="17"/>
              </w:rPr>
              <w:t>-2.0%</w:t>
            </w:r>
          </w:p>
        </w:tc>
      </w:tr>
      <w:tr>
        <w:tc>
          <w:tcPr>
            <w:tcW w:type="dxa" w:w="1440"/>
            <w:shd w:fill="FFDCE0" w:val="clear"/>
          </w:tcPr>
          <w:p>
            <w:r>
              <w:rPr>
                <w:sz w:val="17"/>
              </w:rPr>
              <w:t>J+2  ⭐</w:t>
            </w:r>
          </w:p>
        </w:tc>
        <w:tc>
          <w:tcPr>
            <w:tcW w:type="dxa" w:w="1440"/>
            <w:shd w:fill="FFDCE0" w:val="clear"/>
          </w:tcPr>
          <w:p>
            <w:r>
              <w:rPr>
                <w:sz w:val="17"/>
              </w:rPr>
              <w:t>2026-09-15</w:t>
            </w:r>
          </w:p>
        </w:tc>
        <w:tc>
          <w:tcPr>
            <w:tcW w:type="dxa" w:w="1440"/>
            <w:shd w:fill="FFDCE0" w:val="clear"/>
          </w:tcPr>
          <w:p>
            <w:r>
              <w:rPr>
                <w:sz w:val="17"/>
              </w:rPr>
              <w:t>7,352</w:t>
            </w:r>
          </w:p>
        </w:tc>
        <w:tc>
          <w:tcPr>
            <w:tcW w:type="dxa" w:w="1440"/>
            <w:shd w:fill="FFDCE0" w:val="clear"/>
          </w:tcPr>
          <w:p>
            <w:r>
              <w:rPr>
                <w:b/>
                <w:sz w:val="17"/>
              </w:rPr>
              <w:t>8,241</w:t>
            </w:r>
          </w:p>
        </w:tc>
        <w:tc>
          <w:tcPr>
            <w:tcW w:type="dxa" w:w="1440"/>
            <w:shd w:fill="FFDCE0" w:val="clear"/>
          </w:tcPr>
          <w:p>
            <w:r>
              <w:rPr>
                <w:sz w:val="17"/>
              </w:rPr>
              <w:t>9,130</w:t>
            </w:r>
          </w:p>
        </w:tc>
        <w:tc>
          <w:tcPr>
            <w:tcW w:type="dxa" w:w="1440"/>
            <w:shd w:fill="FFDCE0" w:val="clear"/>
          </w:tcPr>
          <w:p>
            <w:r>
              <w:rPr>
                <w:b/>
                <w:color w:val="C00000"/>
                <w:sz w:val="17"/>
              </w:rPr>
              <w:t>-3.0%</w:t>
            </w:r>
          </w:p>
        </w:tc>
      </w:tr>
      <w:tr>
        <w:tc>
          <w:tcPr>
            <w:tcW w:type="dxa" w:w="1440"/>
            <w:shd w:fill="FFDCE0" w:val="clear"/>
          </w:tcPr>
          <w:p>
            <w:r>
              <w:rPr>
                <w:sz w:val="17"/>
              </w:rPr>
              <w:t>J+3  ⭐</w:t>
            </w:r>
          </w:p>
        </w:tc>
        <w:tc>
          <w:tcPr>
            <w:tcW w:type="dxa" w:w="1440"/>
            <w:shd w:fill="FFDCE0" w:val="clear"/>
          </w:tcPr>
          <w:p>
            <w:r>
              <w:rPr>
                <w:sz w:val="17"/>
              </w:rPr>
              <w:t>2026-09-16</w:t>
            </w:r>
          </w:p>
        </w:tc>
        <w:tc>
          <w:tcPr>
            <w:tcW w:type="dxa" w:w="1440"/>
            <w:shd w:fill="FFDCE0" w:val="clear"/>
          </w:tcPr>
          <w:p>
            <w:r>
              <w:rPr>
                <w:sz w:val="17"/>
              </w:rPr>
              <w:t>7,052</w:t>
            </w:r>
          </w:p>
        </w:tc>
        <w:tc>
          <w:tcPr>
            <w:tcW w:type="dxa" w:w="1440"/>
            <w:shd w:fill="FFDCE0" w:val="clear"/>
          </w:tcPr>
          <w:p>
            <w:r>
              <w:rPr>
                <w:b/>
                <w:sz w:val="17"/>
              </w:rPr>
              <w:t>8,125</w:t>
            </w:r>
          </w:p>
        </w:tc>
        <w:tc>
          <w:tcPr>
            <w:tcW w:type="dxa" w:w="1440"/>
            <w:shd w:fill="FFDCE0" w:val="clear"/>
          </w:tcPr>
          <w:p>
            <w:r>
              <w:rPr>
                <w:sz w:val="17"/>
              </w:rPr>
              <w:t>9,198</w:t>
            </w:r>
          </w:p>
        </w:tc>
        <w:tc>
          <w:tcPr>
            <w:tcW w:type="dxa" w:w="1440"/>
            <w:shd w:fill="FFDCE0" w:val="clear"/>
          </w:tcPr>
          <w:p>
            <w:r>
              <w:rPr>
                <w:b/>
                <w:color w:val="C00000"/>
                <w:sz w:val="17"/>
              </w:rPr>
              <w:t>-4.4%</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6,782</w:t>
            </w:r>
          </w:p>
        </w:tc>
        <w:tc>
          <w:tcPr>
            <w:tcW w:type="dxa" w:w="1440"/>
            <w:shd w:fill="FFDCE0" w:val="clear"/>
          </w:tcPr>
          <w:p>
            <w:r>
              <w:rPr>
                <w:b/>
                <w:sz w:val="17"/>
              </w:rPr>
              <w:t>8,002</w:t>
            </w:r>
          </w:p>
        </w:tc>
        <w:tc>
          <w:tcPr>
            <w:tcW w:type="dxa" w:w="1440"/>
            <w:shd w:fill="FFDCE0" w:val="clear"/>
          </w:tcPr>
          <w:p>
            <w:r>
              <w:rPr>
                <w:sz w:val="17"/>
              </w:rPr>
              <w:t>9,222</w:t>
            </w:r>
          </w:p>
        </w:tc>
        <w:tc>
          <w:tcPr>
            <w:tcW w:type="dxa" w:w="1440"/>
            <w:shd w:fill="FFDCE0" w:val="clear"/>
          </w:tcPr>
          <w:p>
            <w:r>
              <w:rPr>
                <w:b/>
                <w:color w:val="C00000"/>
                <w:sz w:val="17"/>
              </w:rPr>
              <w:t>-5.8%</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6,535</w:t>
            </w:r>
          </w:p>
        </w:tc>
        <w:tc>
          <w:tcPr>
            <w:tcW w:type="dxa" w:w="1440"/>
            <w:shd w:fill="FFDCE0" w:val="clear"/>
          </w:tcPr>
          <w:p>
            <w:r>
              <w:rPr>
                <w:b/>
                <w:sz w:val="17"/>
              </w:rPr>
              <w:t>7,878</w:t>
            </w:r>
          </w:p>
        </w:tc>
        <w:tc>
          <w:tcPr>
            <w:tcW w:type="dxa" w:w="1440"/>
            <w:shd w:fill="FFDCE0" w:val="clear"/>
          </w:tcPr>
          <w:p>
            <w:r>
              <w:rPr>
                <w:sz w:val="17"/>
              </w:rPr>
              <w:t>9,221</w:t>
            </w:r>
          </w:p>
        </w:tc>
        <w:tc>
          <w:tcPr>
            <w:tcW w:type="dxa" w:w="1440"/>
            <w:shd w:fill="FFDCE0" w:val="clear"/>
          </w:tcPr>
          <w:p>
            <w:r>
              <w:rPr>
                <w:b/>
                <w:color w:val="C00000"/>
                <w:sz w:val="17"/>
              </w:rPr>
              <w:t>-7.3%</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6,306</w:t>
            </w:r>
          </w:p>
        </w:tc>
        <w:tc>
          <w:tcPr>
            <w:tcW w:type="dxa" w:w="1440"/>
            <w:shd w:fill="FFDCE0" w:val="clear"/>
          </w:tcPr>
          <w:p>
            <w:r>
              <w:rPr>
                <w:b/>
                <w:sz w:val="17"/>
              </w:rPr>
              <w:t>7,754</w:t>
            </w:r>
          </w:p>
        </w:tc>
        <w:tc>
          <w:tcPr>
            <w:tcW w:type="dxa" w:w="1440"/>
            <w:shd w:fill="FFDCE0" w:val="clear"/>
          </w:tcPr>
          <w:p>
            <w:r>
              <w:rPr>
                <w:sz w:val="17"/>
              </w:rPr>
              <w:t>9,203</w:t>
            </w:r>
          </w:p>
        </w:tc>
        <w:tc>
          <w:tcPr>
            <w:tcW w:type="dxa" w:w="1440"/>
            <w:shd w:fill="FFDCE0" w:val="clear"/>
          </w:tcPr>
          <w:p>
            <w:r>
              <w:rPr>
                <w:b/>
                <w:color w:val="C00000"/>
                <w:sz w:val="17"/>
              </w:rPr>
              <w:t>-8.7%</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6,094</w:t>
            </w:r>
          </w:p>
        </w:tc>
        <w:tc>
          <w:tcPr>
            <w:tcW w:type="dxa" w:w="1440"/>
            <w:shd w:fill="FFDCE0" w:val="clear"/>
          </w:tcPr>
          <w:p>
            <w:r>
              <w:rPr>
                <w:b/>
                <w:sz w:val="17"/>
              </w:rPr>
              <w:t>7,634</w:t>
            </w:r>
          </w:p>
        </w:tc>
        <w:tc>
          <w:tcPr>
            <w:tcW w:type="dxa" w:w="1440"/>
            <w:shd w:fill="FFDCE0" w:val="clear"/>
          </w:tcPr>
          <w:p>
            <w:r>
              <w:rPr>
                <w:sz w:val="17"/>
              </w:rPr>
              <w:t>9,174</w:t>
            </w:r>
          </w:p>
        </w:tc>
        <w:tc>
          <w:tcPr>
            <w:tcW w:type="dxa" w:w="1440"/>
            <w:shd w:fill="FFDCE0" w:val="clear"/>
          </w:tcPr>
          <w:p>
            <w:r>
              <w:rPr>
                <w:b/>
                <w:color w:val="C00000"/>
                <w:sz w:val="17"/>
              </w:rPr>
              <w:t>-10.1%</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5,895</w:t>
            </w:r>
          </w:p>
        </w:tc>
        <w:tc>
          <w:tcPr>
            <w:tcW w:type="dxa" w:w="1440"/>
            <w:shd w:fill="FFDCE0" w:val="clear"/>
          </w:tcPr>
          <w:p>
            <w:r>
              <w:rPr>
                <w:b/>
                <w:sz w:val="17"/>
              </w:rPr>
              <w:t>7,516</w:t>
            </w:r>
          </w:p>
        </w:tc>
        <w:tc>
          <w:tcPr>
            <w:tcW w:type="dxa" w:w="1440"/>
            <w:shd w:fill="FFDCE0" w:val="clear"/>
          </w:tcPr>
          <w:p>
            <w:r>
              <w:rPr>
                <w:sz w:val="17"/>
              </w:rPr>
              <w:t>9,137</w:t>
            </w:r>
          </w:p>
        </w:tc>
        <w:tc>
          <w:tcPr>
            <w:tcW w:type="dxa" w:w="1440"/>
            <w:shd w:fill="FFDCE0" w:val="clear"/>
          </w:tcPr>
          <w:p>
            <w:r>
              <w:rPr>
                <w:b/>
                <w:color w:val="C00000"/>
                <w:sz w:val="17"/>
              </w:rPr>
              <w:t>-11.5%</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5,709</w:t>
            </w:r>
          </w:p>
        </w:tc>
        <w:tc>
          <w:tcPr>
            <w:tcW w:type="dxa" w:w="1440"/>
            <w:shd w:fill="FFDCE0" w:val="clear"/>
          </w:tcPr>
          <w:p>
            <w:r>
              <w:rPr>
                <w:b/>
                <w:sz w:val="17"/>
              </w:rPr>
              <w:t>7,403</w:t>
            </w:r>
          </w:p>
        </w:tc>
        <w:tc>
          <w:tcPr>
            <w:tcW w:type="dxa" w:w="1440"/>
            <w:shd w:fill="FFDCE0" w:val="clear"/>
          </w:tcPr>
          <w:p>
            <w:r>
              <w:rPr>
                <w:sz w:val="17"/>
              </w:rPr>
              <w:t>9,096</w:t>
            </w:r>
          </w:p>
        </w:tc>
        <w:tc>
          <w:tcPr>
            <w:tcW w:type="dxa" w:w="1440"/>
            <w:shd w:fill="FFDCE0" w:val="clear"/>
          </w:tcPr>
          <w:p>
            <w:r>
              <w:rPr>
                <w:b/>
                <w:color w:val="C00000"/>
                <w:sz w:val="17"/>
              </w:rPr>
              <w:t>-12.9%</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5,535</w:t>
            </w:r>
          </w:p>
        </w:tc>
        <w:tc>
          <w:tcPr>
            <w:tcW w:type="dxa" w:w="1440"/>
            <w:shd w:fill="FFDCE0" w:val="clear"/>
          </w:tcPr>
          <w:p>
            <w:r>
              <w:rPr>
                <w:b/>
                <w:sz w:val="17"/>
              </w:rPr>
              <w:t>7,294</w:t>
            </w:r>
          </w:p>
        </w:tc>
        <w:tc>
          <w:tcPr>
            <w:tcW w:type="dxa" w:w="1440"/>
            <w:shd w:fill="FFDCE0" w:val="clear"/>
          </w:tcPr>
          <w:p>
            <w:r>
              <w:rPr>
                <w:sz w:val="17"/>
              </w:rPr>
              <w:t>9,052</w:t>
            </w:r>
          </w:p>
        </w:tc>
        <w:tc>
          <w:tcPr>
            <w:tcW w:type="dxa" w:w="1440"/>
            <w:shd w:fill="FFDCE0" w:val="clear"/>
          </w:tcPr>
          <w:p>
            <w:r>
              <w:rPr>
                <w:b/>
                <w:color w:val="C00000"/>
                <w:sz w:val="17"/>
              </w:rPr>
              <w:t>-14.1%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SICC (SICOR CI)**</w:t>
        <w:br/>
        <w:t>**Bourse Régionale des Valeurs Mobilières (BRVM)**</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SICC s'élève à 5,10 milliards FCFA, un niveau modeste à l'échelle de la BRVM qui la classe parmi les petites capitalisations du compartiment agro-industriel. Les ratios de valorisation classiques (BPA, PER, P/B, EV/EBITDA) ne sont pas calculables en l'absence de données financières structurées exploitables pour l'exercice le plus récent, ce qui limite l'appréciation directe du prix payé par le marché par rapport aux bénéfices ou à la valeur comptable. Toutefois, en croisant le cours actuel de 8 495 FCFA avec le capital social de 1,5 milliard FCFA (soit 150 000 actions de 10 000 FCFA nominal), on obtient un actif net théorique par action nettement supérieur au cours de marché, suggérant une décote potentielle sur la valeur comptable — sous réserve de la réalité des capitaux propres après pertes cumulées. Cette situation de sous-valorisation apparente doit être nuancée par l'absence de dividende depuis 2017 et la fragilité des résultats, qui justifient une prime de risque élevée. En l'état, le marché valorise davantage une option de redressement qu'une rentabilité établie.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SICC a enregistré une progression spectaculaire de +101,30%, avec une dernière séance en hausse de +1,13%, portant le cours à 8 495 FCFA. Le range de trading est particulièrement large, oscillant entre un plus bas de 3 985 FCFA et un plus haut de 10 200 FCFA, soit un écart de plus de 155% entre les deux extrêmes — signe d'une tendance haussière puissante mais ponctuée de corrections violentes. La moyenne (5 730 FCFA) se situe nettement au-dessus de la médiane (4 820 FCFA) et du mode (4 380 FCFA), confirmant une distribution asymétrique où le cours a passé davantage de temps dans les niveaux bas avant de s'envoler en fin de période. L'écart-type de 1 786 FCFA et le coefficient de variation de 31,2% traduisent une dispersion élevée du cours autour de sa moyenne, caractéristique d'un titre très volatil. Le kurtosis de -0,389 (mésokurtique) indique une distribution proche de la normale, sans pics extrêmes fréquents, tandis que le skewness de +1,018 (asymétrie positive) révèle que les journées sous la moyenne ont été plus nombreuses, mais compensées par des hausses ponctuelles très fortes. La volatilité annualisée de 58,2% classe clairement SICC dans la catégorie des titres à volatilité élevée (&gt;30%), ce qui implique un risque de perte en capital significatif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(8 641,5 FCFA) et la MM50 (7 072,1 FCFA) se situent toutes deux sous le cours actuel (8 495 FCFA), avec la MM20 au-dessus de la MM50 — configuration haussière classique (golden cross). Le cours évolue au-dessus de ses deux moyennes, ce qui confirme la dynamique positive et justifie la décision d'**Achat**. Toutefois, l'écart entre le cours et la MM20 se réduit, signalant un essoufflement possible du momentum.</w:t>
      </w:r>
    </w:p>
    <w:p>
      <w:pPr>
        <w:spacing w:after="120" w:line="276" w:lineRule="auto"/>
      </w:pPr>
      <w:r>
        <w:t>**Bandes de Bollinger** : Le cours (8 495 FCFA) se situe à l'intérieur des bandes, entre la borne inférieure (7 125,07 FCFA) et la borne supérieure (10 157,93 FCFA), plus proche de la borne basse que de la haute. Cette position médiane, couplée à un écart-type élevé, traduit une volatilité importante sans signal directionnel clair, d'où la décision **Neutre**. Le rétrécissement récent des bandes pourrait annoncer une consolidation avant un nouveau mouvement.</w:t>
      </w:r>
    </w:p>
    <w:p>
      <w:pPr>
        <w:spacing w:after="120" w:line="276" w:lineRule="auto"/>
      </w:pPr>
      <w:r>
        <w:t>**MACD** : La valeur du MACD (306,45) est inférieure à son signal (412,17), générant un croisement baissier et une divergence négative. Le momentum haussier s'affaiblit, ce qui justifie la décision de **Vente** à court terme, bien que la ligne MACD reste en territoire positif, indiquant que la tendance de fond demeure haussière.</w:t>
      </w:r>
    </w:p>
    <w:p>
      <w:pPr>
        <w:spacing w:after="120" w:line="276" w:lineRule="auto"/>
      </w:pPr>
      <w:r>
        <w:t>**RSI** : À 46,74, le RSI se situe en zone neutre (entre 30 et 70), sans signal de surachat ni de survente. Cette valeur médiane reflète un équilibre entre acheteurs et vendeurs, justifiant la décision **Neutre**. Un franchissement des 50 à la hausse serait un signal d'accélération.</w:t>
      </w:r>
    </w:p>
    <w:p>
      <w:pPr>
        <w:spacing w:after="120" w:line="276" w:lineRule="auto"/>
      </w:pPr>
      <w:r>
        <w:t>**Stochastique** : Le %K (99,29) est très proche de son maximum et nettement au-dessus du %D (69,53), signalant une condition de surachat extrême à très court terme. Le croisement potentiel du %K sous le %D confirmerait un retournement baissier, d'où la décision de **Vente**. Ce signal contredit la tendance de fond mais prévient d'une correction imminente.</w:t>
      </w:r>
    </w:p>
    <w:p>
      <w:pPr>
        <w:spacing w:after="120" w:line="276" w:lineRule="auto"/>
      </w:pPr>
      <w:r>
        <w:t>**Conclusion technique** : Les indicateurs sont divergents : les moyennes mobiles confirment la tendance haussière de fond, tandis que le MACD et le stochastique signalent un essoufflement à court terme, et le RSI reste neutre. Cette configuration suggère une consolidation voire une correction avant une reprise éventuelle. La prudence est de mise pour les acheteurs à court terme, tandis que les investisseurs de moyen terme peuvent conserver leurs positions en surveillant le support des 7 125 FCFA (borne inférieure de Bollinger).</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financières structurées les plus récentes disponibles pour SICC (Société Ivoirienne de Coco Râpé) proviennent des rapports officiels analysés, notamment l'exercice 2023 (rapport analysé le 15 mars 2026) et l'exercice 2022 (même date). En 2023, le chiffre d'affaires s'est établi à 701,09 millions FCFA, en chute de 38,4% par rapport aux 1 138,17 millions FCFA de 2022, reflétant un effondrement des ventes d'huile de coprah (-98,82%) et de tourteaux (-86,03%). Malgré cette contraction, la société a renoué avec la profitabilité en 2023 avec un résultat net de +19,25 millions FCFA (marge nette de 2,75%), contre une perte de -39,95 millions FCFA en 2022 (marge de -3,51%). Cette amélioration résulte principalement d'une réduction drastique des charges (-43,68%), notamment via le transfert de 50% du personnel vers la filiale SIPAL, et non d'une reprise commerciale. Le ROE et le ROA ne sont pas calculables précisément en l'absence de capitaux propres et total d'actif actualisés, mais les rapports antérieurs indiquent des capitaux propres de 3,12 milliards FCFA en 2021 et un total d'actif de 4,15 milliards FCFA, suggérant un ROE très faible (0,6% en 2023) et un ROA marginal. L'évolution historique montre une grande volatilité : après des bénéfices en 2020 (+109,8 M FCFA) et 2021 (+119,2 M FCFA, mais soutenu par des reprises de provisions non récurrentes), la perte de 2022 a été suivie d'un redressement fragile en 2023. Les pertes cumulées s'élèvent à 689,86 millions FCFA, ce qui exclut toute distribution de dividende avant plusieurs exercices. Les risques opérationnels (vols de noix de coco sur les sites de Boulay et Gliké, dépendance aux cours mondiaux du coprah, concurrence asiatique) et financiers (découverts bancaires multipliés par 14, trésorerie tendue) demeurent préoccupants. En synthèse, la situation fondamentale de SICC reste fragile : la rentabilité retrouvée en 2023 est de faible qualité, dépendante de la maîtrise des coûts plutôt que d'une croissance durable, et les perspectives à moyen terme dépendront de la capacité à sécuriser les approvisionnements et à diversifier les revenus (noix de coco, tourteaux). La recommandation fondamentale est de **CONSERVER avec vigilance**, en attendant des signaux plus tangibles de redressement commercial.</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divergence marquée entre les signaux. Sur le plan de la valorisation (Partie 0), l'absence de ratios calculables et la décote apparente sur la valeur comptable suggèrent une sous-évaluation théorique, mais celle-ci est contrebalancée par l'absence de dividende et la fragilité des bénéfices. Le comportement du cours (Partie 1) est exceptionnellement haussier (+101,30% sur 100 jours) mais accompagné d'une volatilité annualisée de 58,2% et d'une asymétrie positive (skewness +1,018), indiquant que la performance récente repose sur des pics ponctuels plutôt que sur une tendance linéaire — un profil risqué. Les signaux techniques (Partie 2) sont mitigés : les moyennes mobiles confirment la tendance haussière, mais le MACD et le stochastique signalent un essoufflement imminent, tandis que le RSI reste neutre. Les fondamentaux (Partie 3) demeurent fragiles : le retour à la profitabilité en 2023 (+19,25 M FCFA) est de faible qualité, soutenu par des réductions de coûts et non par une reprise des ventes, et les pertes cumulées (689,86 M FCFA) excluent tout dividende à court terme. Les prédictions IA (J+1 à J+10) anticipent une correction progressive de 8 325 FCFA à 7 878 FCFA, confirmant les signaux baissiers à court terme du MACD et du stochastique. Face à cette convergence entre technique court terme baissier, fondamentaux fragiles et prédictions correctives, mais avec une tendance de fond haussière et une possible sous-évaluation, la recommandation finale est de **CONSERVER**. Le niveau de confiance est **Moyen**, car les signaux sont contradictoires et les données fondamentales récentes (2023) ne permettent pas de valider une reprise durable. Le niveau de risque global est **Élevé**, en raison de la volatilité extrême du titre, de la faiblesse des volumes (121 titres/jour en moyenne) et de la fragilité financière de la société. L'horizon d'investissement optimal est le **moyen terme (3-12 mois)**, en surveillant les prochains rapports financiers (exercice 2024) et la capacité de SICC à stabiliser son chiffre d'affaires et à sécuriser ses approvisionnements.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"Bénéfice en hausse mais de moindre qualité : chute du chiffre d'affaires et de l'EBE, résultat porté par des reprises de provisions non récurrentes. À conserver en surveillant le retour de la dynamique commerciale."}</w:t>
      </w:r>
    </w:p>
    <w:p>
      <w:pPr>
        <w:spacing w:before="40"/>
        <w:ind w:left="400"/>
      </w:pPr>
      <w:r>
        <w:rPr>
          <w:sz w:val="18"/>
        </w:rPr>
        <w:t>SICOR poursuit sur un bénéfice net de 119,2 M FCFA en 2021 (contre 109,8 M en 2020), mais la qualité du résultat se dégrade : le chiffre d'affaires chute de 41 % à 1,38 Md et l'EBE recule à 165 M. Le bénéfice est en réalité soutenu par un résultat financier exceptionnellement positif (+66 M, reprises de provisions financières). Le report à nouveau s'améliore (-769 M) et la trésorerie nette se redresse fortement (-6 M contre -47 M). Bénéfice en partie en trompe-l'oeil.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'164 millions FCFA', 'resultat_financier': '+66 millions FCFA (reprises de provisions)', 'resultat_exploitation': '53 millions FCFA', 'excedent_brut_exploitation': '165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8,63 %</w:t>
            </w:r>
          </w:p>
        </w:tc>
        <w:tc>
          <w:tcPr>
            <w:tcW w:type="dxa" w:w="2160"/>
          </w:tcPr>
          <w:p>
            <w:pPr>
              <w:ind w:left="100"/>
            </w:pPr>
            <w:r/>
            <w:r>
              <w:rPr>
                <w:b/>
                <w:sz w:val="16"/>
              </w:rPr>
              <w:t>total_actif</w:t>
              <w:br/>
            </w:r>
            <w:r>
              <w:rPr>
                <w:sz w:val="18"/>
              </w:rPr>
              <w:t>4,15 milliards FCFA</w:t>
            </w:r>
          </w:p>
        </w:tc>
      </w:tr>
      <w:tr>
        <w:tc>
          <w:tcPr>
            <w:tcW w:type="dxa" w:w="2160"/>
          </w:tcPr>
          <w:p>
            <w:r/>
            <w:r>
              <w:rPr>
                <w:b/>
                <w:sz w:val="16"/>
              </w:rPr>
              <w:t>resultat_net</w:t>
              <w:br/>
            </w:r>
            <w:r>
              <w:rPr>
                <w:sz w:val="18"/>
              </w:rPr>
              <w:t>119,2 millions FCFA (bénéfice)</w:t>
            </w:r>
          </w:p>
        </w:tc>
        <w:tc>
          <w:tcPr>
            <w:tcW w:type="dxa" w:w="2160"/>
          </w:tcPr>
          <w:p>
            <w:r/>
            <w:r>
              <w:rPr>
                <w:b/>
                <w:sz w:val="16"/>
              </w:rPr>
              <w:t>capitaux_propres</w:t>
              <w:br/>
            </w:r>
            <w:r>
              <w:rPr>
                <w:sz w:val="18"/>
              </w:rPr>
              <w:t>3,12 milliards FCFA</w:t>
            </w:r>
          </w:p>
        </w:tc>
        <w:tc>
          <w:tcPr>
            <w:tcW w:type="dxa" w:w="2160"/>
          </w:tcPr>
          <w:p>
            <w:r/>
            <w:r>
              <w:rPr>
                <w:b/>
                <w:sz w:val="16"/>
              </w:rPr>
              <w:t>chiffre_affaires</w:t>
              <w:br/>
            </w:r>
            <w:r>
              <w:rPr>
                <w:sz w:val="18"/>
              </w:rPr>
              <w:t>1,38 milliard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 1,38 Md FCFA (-41 %)</w:t>
      </w:r>
    </w:p>
    <w:p>
      <w:pPr>
        <w:pStyle w:val="ListBullet"/>
        <w:spacing w:before="20" w:after="20"/>
        <w:ind w:left="700"/>
      </w:pPr>
      <w:r>
        <w:rPr>
          <w:sz w:val="18"/>
        </w:rPr>
        <w:t>EBE en recul à 165 M FCFA</w:t>
      </w:r>
    </w:p>
    <w:p>
      <w:pPr>
        <w:pStyle w:val="ListBullet"/>
        <w:spacing w:before="20" w:after="20"/>
        <w:ind w:left="700"/>
      </w:pPr>
      <w:r>
        <w:rPr>
          <w:sz w:val="18"/>
        </w:rPr>
        <w:t>Bénéfice net 119,2 M FCFA (contre 109,8 M en 2020)</w:t>
      </w:r>
    </w:p>
    <w:p>
      <w:pPr>
        <w:pStyle w:val="ListBullet"/>
        <w:spacing w:before="20" w:after="20"/>
        <w:ind w:left="700"/>
      </w:pPr>
      <w:r>
        <w:rPr>
          <w:sz w:val="18"/>
        </w:rPr>
        <w:t>Résultat soutenu par un résultat financier de +66 M (reprises de provisions), non récurrent</w:t>
      </w:r>
    </w:p>
    <w:p>
      <w:pPr>
        <w:pStyle w:val="ListBullet"/>
        <w:spacing w:before="20" w:after="20"/>
        <w:ind w:left="700"/>
      </w:pPr>
      <w:r>
        <w:rPr>
          <w:sz w:val="18"/>
        </w:rPr>
        <w:t>Report à nouveau en amélioration : -769 M FCFA</w:t>
      </w:r>
    </w:p>
    <w:p>
      <w:pPr>
        <w:pStyle w:val="ListBullet"/>
        <w:spacing w:before="20" w:after="20"/>
        <w:ind w:left="700"/>
      </w:pPr>
      <w:r>
        <w:rPr>
          <w:sz w:val="18"/>
        </w:rPr>
        <w:t>Trésorerie nette quasi rétablie : -6 M (contre -47 M)</w:t>
      </w:r>
    </w:p>
    <w:p>
      <w:pPr>
        <w:spacing w:before="40"/>
        <w:ind w:left="400"/>
      </w:pPr>
      <w:r>
        <w:rPr>
          <w:b/>
          <w:color w:val="C05000"/>
          <w:sz w:val="18"/>
        </w:rPr>
        <w:t xml:space="preserve">⚠️ Risques : </w:t>
      </w:r>
      <w:r>
        <w:rPr>
          <w:sz w:val="18"/>
        </w:rPr>
        <w:t>["Chute du chiffre d'affaires (-41 %) et de l'EBE", "Bénéfice dépendant d'éléments financiers non récurrents (+66 M de reprises)", "Report à nouveau encore négatif (-769 M)", "Volatilité forte de l'activité"]</w:t>
      </w:r>
    </w:p>
    <w:p>
      <w:pPr>
        <w:spacing w:before="40"/>
        <w:ind w:left="400"/>
      </w:pPr>
      <w:r>
        <w:rPr>
          <w:b/>
          <w:color w:val="0064A0"/>
          <w:sz w:val="18"/>
        </w:rPr>
        <w:t xml:space="preserve">🔮 Perspectives : </w:t>
      </w:r>
      <w:r>
        <w:rPr>
          <w:sz w:val="18"/>
        </w:rPr>
        <w:t>Le redressement de la trésorerie est net, mais la baisse du chiffre d'affaires et de l'excédent brut d'exploitation fragilise la rentabilité de fond. Le maintien du bénéfice dépendra d'un rebond des volumes plutôt que d'éléments financiers exceptionnels.</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20.96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5,455 titres</w:t>
            </w:r>
          </w:p>
        </w:tc>
        <w:tc>
          <w:tcPr>
            <w:tcW w:type="dxa" w:w="2268"/>
            <w:shd w:fill="FFF2CC" w:val="clear"/>
          </w:tcPr>
          <w:p>
            <w:r>
              <w:rPr>
                <w:b/>
                <w:color w:val="503200"/>
                <w:sz w:val="16"/>
              </w:rPr>
              <w:t xml:space="preserve">Cours actuel : </w:t>
            </w:r>
            <w:r>
              <w:rPr>
                <w:color w:val="000000"/>
                <w:sz w:val="17"/>
              </w:rPr>
              <w:t>2,400 FCFA</w:t>
            </w:r>
          </w:p>
          <w:p>
            <w:r>
              <w:rPr>
                <w:b/>
                <w:color w:val="503200"/>
                <w:sz w:val="16"/>
              </w:rPr>
              <w:t xml:space="preserve">Var. 100 jours : </w:t>
            </w:r>
            <w:r>
              <w:rPr>
                <w:b/>
                <w:color w:val="B40000"/>
                <w:sz w:val="17"/>
              </w:rPr>
              <w:t>-11.11%</w:t>
            </w:r>
          </w:p>
          <w:p>
            <w:r>
              <w:rPr>
                <w:b/>
                <w:color w:val="503200"/>
                <w:sz w:val="16"/>
              </w:rPr>
              <w:t xml:space="preserve">Plus haut 100j : </w:t>
            </w:r>
            <w:r>
              <w:rPr>
                <w:color w:val="000000"/>
                <w:sz w:val="17"/>
              </w:rPr>
              <w:t>2,875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49.0%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10.41% (Moyenne) — μ=2,532 FCFA, σ=264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β=0.2953 (Défensif) — Cov=0.000010, Var(idx)=0.000035, ρ=0.057,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5,455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σ_j=3.09%/j (Modérée) — Vol. annualisée≈49.0%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2026-09-14</w:t>
            </w:r>
          </w:p>
        </w:tc>
        <w:tc>
          <w:tcPr>
            <w:tcW w:type="dxa" w:w="1440"/>
            <w:shd w:fill="FFDCE0" w:val="clear"/>
          </w:tcPr>
          <w:p>
            <w:r>
              <w:rPr>
                <w:sz w:val="17"/>
              </w:rPr>
              <w:t>2,209</w:t>
            </w:r>
          </w:p>
        </w:tc>
        <w:tc>
          <w:tcPr>
            <w:tcW w:type="dxa" w:w="1440"/>
            <w:shd w:fill="FFDCE0" w:val="clear"/>
          </w:tcPr>
          <w:p>
            <w:r>
              <w:rPr>
                <w:b/>
                <w:sz w:val="17"/>
              </w:rPr>
              <w:t>2,303</w:t>
            </w:r>
          </w:p>
        </w:tc>
        <w:tc>
          <w:tcPr>
            <w:tcW w:type="dxa" w:w="1440"/>
            <w:shd w:fill="FFDCE0" w:val="clear"/>
          </w:tcPr>
          <w:p>
            <w:r>
              <w:rPr>
                <w:sz w:val="17"/>
              </w:rPr>
              <w:t>2,397</w:t>
            </w:r>
          </w:p>
        </w:tc>
        <w:tc>
          <w:tcPr>
            <w:tcW w:type="dxa" w:w="1440"/>
            <w:shd w:fill="FFDCE0" w:val="clear"/>
          </w:tcPr>
          <w:p>
            <w:r>
              <w:rPr>
                <w:b/>
                <w:color w:val="C00000"/>
                <w:sz w:val="17"/>
              </w:rPr>
              <w:t>-4.1%</w:t>
            </w:r>
          </w:p>
        </w:tc>
      </w:tr>
      <w:tr>
        <w:tc>
          <w:tcPr>
            <w:tcW w:type="dxa" w:w="1440"/>
            <w:shd w:fill="FFDCE0" w:val="clear"/>
          </w:tcPr>
          <w:p>
            <w:r>
              <w:rPr>
                <w:sz w:val="17"/>
              </w:rPr>
              <w:t>J+2  ⭐</w:t>
            </w:r>
          </w:p>
        </w:tc>
        <w:tc>
          <w:tcPr>
            <w:tcW w:type="dxa" w:w="1440"/>
            <w:shd w:fill="FFDCE0" w:val="clear"/>
          </w:tcPr>
          <w:p>
            <w:r>
              <w:rPr>
                <w:sz w:val="17"/>
              </w:rPr>
              <w:t>2026-09-15</w:t>
            </w:r>
          </w:p>
        </w:tc>
        <w:tc>
          <w:tcPr>
            <w:tcW w:type="dxa" w:w="1440"/>
            <w:shd w:fill="FFDCE0" w:val="clear"/>
          </w:tcPr>
          <w:p>
            <w:r>
              <w:rPr>
                <w:sz w:val="17"/>
              </w:rPr>
              <w:t>2,163</w:t>
            </w:r>
          </w:p>
        </w:tc>
        <w:tc>
          <w:tcPr>
            <w:tcW w:type="dxa" w:w="1440"/>
            <w:shd w:fill="FFDCE0" w:val="clear"/>
          </w:tcPr>
          <w:p>
            <w:r>
              <w:rPr>
                <w:b/>
                <w:sz w:val="17"/>
              </w:rPr>
              <w:t>2,296</w:t>
            </w:r>
          </w:p>
        </w:tc>
        <w:tc>
          <w:tcPr>
            <w:tcW w:type="dxa" w:w="1440"/>
            <w:shd w:fill="FFDCE0" w:val="clear"/>
          </w:tcPr>
          <w:p>
            <w:r>
              <w:rPr>
                <w:sz w:val="17"/>
              </w:rPr>
              <w:t>2,429</w:t>
            </w:r>
          </w:p>
        </w:tc>
        <w:tc>
          <w:tcPr>
            <w:tcW w:type="dxa" w:w="1440"/>
            <w:shd w:fill="FFDCE0" w:val="clear"/>
          </w:tcPr>
          <w:p>
            <w:r>
              <w:rPr>
                <w:b/>
                <w:color w:val="C00000"/>
                <w:sz w:val="17"/>
              </w:rPr>
              <w:t>-4.3%</w:t>
            </w:r>
          </w:p>
        </w:tc>
      </w:tr>
      <w:tr>
        <w:tc>
          <w:tcPr>
            <w:tcW w:type="dxa" w:w="1440"/>
            <w:shd w:fill="FFDCE0" w:val="clear"/>
          </w:tcPr>
          <w:p>
            <w:r>
              <w:rPr>
                <w:sz w:val="17"/>
              </w:rPr>
              <w:t>J+3  ⭐</w:t>
            </w:r>
          </w:p>
        </w:tc>
        <w:tc>
          <w:tcPr>
            <w:tcW w:type="dxa" w:w="1440"/>
            <w:shd w:fill="FFDCE0" w:val="clear"/>
          </w:tcPr>
          <w:p>
            <w:r>
              <w:rPr>
                <w:sz w:val="17"/>
              </w:rPr>
              <w:t>2026-09-16</w:t>
            </w:r>
          </w:p>
        </w:tc>
        <w:tc>
          <w:tcPr>
            <w:tcW w:type="dxa" w:w="1440"/>
            <w:shd w:fill="FFDCE0" w:val="clear"/>
          </w:tcPr>
          <w:p>
            <w:r>
              <w:rPr>
                <w:sz w:val="17"/>
              </w:rPr>
              <w:t>2,122</w:t>
            </w:r>
          </w:p>
        </w:tc>
        <w:tc>
          <w:tcPr>
            <w:tcW w:type="dxa" w:w="1440"/>
            <w:shd w:fill="FFDCE0" w:val="clear"/>
          </w:tcPr>
          <w:p>
            <w:r>
              <w:rPr>
                <w:b/>
                <w:sz w:val="17"/>
              </w:rPr>
              <w:t>2,284</w:t>
            </w:r>
          </w:p>
        </w:tc>
        <w:tc>
          <w:tcPr>
            <w:tcW w:type="dxa" w:w="1440"/>
            <w:shd w:fill="FFDCE0" w:val="clear"/>
          </w:tcPr>
          <w:p>
            <w:r>
              <w:rPr>
                <w:sz w:val="17"/>
              </w:rPr>
              <w:t>2,445</w:t>
            </w:r>
          </w:p>
        </w:tc>
        <w:tc>
          <w:tcPr>
            <w:tcW w:type="dxa" w:w="1440"/>
            <w:shd w:fill="FFDCE0" w:val="clear"/>
          </w:tcPr>
          <w:p>
            <w:r>
              <w:rPr>
                <w:b/>
                <w:color w:val="C00000"/>
                <w:sz w:val="17"/>
              </w:rPr>
              <w:t>-4.9%</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2,084</w:t>
            </w:r>
          </w:p>
        </w:tc>
        <w:tc>
          <w:tcPr>
            <w:tcW w:type="dxa" w:w="1440"/>
            <w:shd w:fill="FFDCE0" w:val="clear"/>
          </w:tcPr>
          <w:p>
            <w:r>
              <w:rPr>
                <w:b/>
                <w:sz w:val="17"/>
              </w:rPr>
              <w:t>2,269</w:t>
            </w:r>
          </w:p>
        </w:tc>
        <w:tc>
          <w:tcPr>
            <w:tcW w:type="dxa" w:w="1440"/>
            <w:shd w:fill="FFDCE0" w:val="clear"/>
          </w:tcPr>
          <w:p>
            <w:r>
              <w:rPr>
                <w:sz w:val="17"/>
              </w:rPr>
              <w:t>2,455</w:t>
            </w:r>
          </w:p>
        </w:tc>
        <w:tc>
          <w:tcPr>
            <w:tcW w:type="dxa" w:w="1440"/>
            <w:shd w:fill="FFDCE0" w:val="clear"/>
          </w:tcPr>
          <w:p>
            <w:r>
              <w:rPr>
                <w:b/>
                <w:color w:val="C00000"/>
                <w:sz w:val="17"/>
              </w:rPr>
              <w:t>-5.4%</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2,049</w:t>
            </w:r>
          </w:p>
        </w:tc>
        <w:tc>
          <w:tcPr>
            <w:tcW w:type="dxa" w:w="1440"/>
            <w:shd w:fill="FFDCE0" w:val="clear"/>
          </w:tcPr>
          <w:p>
            <w:r>
              <w:rPr>
                <w:b/>
                <w:sz w:val="17"/>
              </w:rPr>
              <w:t>2,255</w:t>
            </w:r>
          </w:p>
        </w:tc>
        <w:tc>
          <w:tcPr>
            <w:tcW w:type="dxa" w:w="1440"/>
            <w:shd w:fill="FFDCE0" w:val="clear"/>
          </w:tcPr>
          <w:p>
            <w:r>
              <w:rPr>
                <w:sz w:val="17"/>
              </w:rPr>
              <w:t>2,461</w:t>
            </w:r>
          </w:p>
        </w:tc>
        <w:tc>
          <w:tcPr>
            <w:tcW w:type="dxa" w:w="1440"/>
            <w:shd w:fill="FFDCE0" w:val="clear"/>
          </w:tcPr>
          <w:p>
            <w:r>
              <w:rPr>
                <w:b/>
                <w:color w:val="C00000"/>
                <w:sz w:val="17"/>
              </w:rPr>
              <w:t>-6.0%</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2,017</w:t>
            </w:r>
          </w:p>
        </w:tc>
        <w:tc>
          <w:tcPr>
            <w:tcW w:type="dxa" w:w="1440"/>
            <w:shd w:fill="FFDCE0" w:val="clear"/>
          </w:tcPr>
          <w:p>
            <w:r>
              <w:rPr>
                <w:b/>
                <w:sz w:val="17"/>
              </w:rPr>
              <w:t>2,241</w:t>
            </w:r>
          </w:p>
        </w:tc>
        <w:tc>
          <w:tcPr>
            <w:tcW w:type="dxa" w:w="1440"/>
            <w:shd w:fill="FFDCE0" w:val="clear"/>
          </w:tcPr>
          <w:p>
            <w:r>
              <w:rPr>
                <w:sz w:val="17"/>
              </w:rPr>
              <w:t>2,466</w:t>
            </w:r>
          </w:p>
        </w:tc>
        <w:tc>
          <w:tcPr>
            <w:tcW w:type="dxa" w:w="1440"/>
            <w:shd w:fill="FFDCE0" w:val="clear"/>
          </w:tcPr>
          <w:p>
            <w:r>
              <w:rPr>
                <w:b/>
                <w:color w:val="C00000"/>
                <w:sz w:val="17"/>
              </w:rPr>
              <w:t>-6.6%</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1,986</w:t>
            </w:r>
          </w:p>
        </w:tc>
        <w:tc>
          <w:tcPr>
            <w:tcW w:type="dxa" w:w="1440"/>
            <w:shd w:fill="FFDCE0" w:val="clear"/>
          </w:tcPr>
          <w:p>
            <w:r>
              <w:rPr>
                <w:b/>
                <w:sz w:val="17"/>
              </w:rPr>
              <w:t>2,227</w:t>
            </w:r>
          </w:p>
        </w:tc>
        <w:tc>
          <w:tcPr>
            <w:tcW w:type="dxa" w:w="1440"/>
            <w:shd w:fill="FFDCE0" w:val="clear"/>
          </w:tcPr>
          <w:p>
            <w:r>
              <w:rPr>
                <w:sz w:val="17"/>
              </w:rPr>
              <w:t>2,468</w:t>
            </w:r>
          </w:p>
        </w:tc>
        <w:tc>
          <w:tcPr>
            <w:tcW w:type="dxa" w:w="1440"/>
            <w:shd w:fill="FFDCE0" w:val="clear"/>
          </w:tcPr>
          <w:p>
            <w:r>
              <w:rPr>
                <w:b/>
                <w:color w:val="C00000"/>
                <w:sz w:val="17"/>
              </w:rPr>
              <w:t>-7.2%</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1,958</w:t>
            </w:r>
          </w:p>
        </w:tc>
        <w:tc>
          <w:tcPr>
            <w:tcW w:type="dxa" w:w="1440"/>
            <w:shd w:fill="FFDCE0" w:val="clear"/>
          </w:tcPr>
          <w:p>
            <w:r>
              <w:rPr>
                <w:b/>
                <w:sz w:val="17"/>
              </w:rPr>
              <w:t>2,214</w:t>
            </w:r>
          </w:p>
        </w:tc>
        <w:tc>
          <w:tcPr>
            <w:tcW w:type="dxa" w:w="1440"/>
            <w:shd w:fill="FFDCE0" w:val="clear"/>
          </w:tcPr>
          <w:p>
            <w:r>
              <w:rPr>
                <w:sz w:val="17"/>
              </w:rPr>
              <w:t>2,470</w:t>
            </w:r>
          </w:p>
        </w:tc>
        <w:tc>
          <w:tcPr>
            <w:tcW w:type="dxa" w:w="1440"/>
            <w:shd w:fill="FFDCE0" w:val="clear"/>
          </w:tcPr>
          <w:p>
            <w:r>
              <w:rPr>
                <w:b/>
                <w:color w:val="C00000"/>
                <w:sz w:val="17"/>
              </w:rPr>
              <w:t>-7.8%</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1,931</w:t>
            </w:r>
          </w:p>
        </w:tc>
        <w:tc>
          <w:tcPr>
            <w:tcW w:type="dxa" w:w="1440"/>
            <w:shd w:fill="FFDCE0" w:val="clear"/>
          </w:tcPr>
          <w:p>
            <w:r>
              <w:rPr>
                <w:b/>
                <w:sz w:val="17"/>
              </w:rPr>
              <w:t>2,201</w:t>
            </w:r>
          </w:p>
        </w:tc>
        <w:tc>
          <w:tcPr>
            <w:tcW w:type="dxa" w:w="1440"/>
            <w:shd w:fill="FFDCE0" w:val="clear"/>
          </w:tcPr>
          <w:p>
            <w:r>
              <w:rPr>
                <w:sz w:val="17"/>
              </w:rPr>
              <w:t>2,471</w:t>
            </w:r>
          </w:p>
        </w:tc>
        <w:tc>
          <w:tcPr>
            <w:tcW w:type="dxa" w:w="1440"/>
            <w:shd w:fill="FFDCE0" w:val="clear"/>
          </w:tcPr>
          <w:p>
            <w:r>
              <w:rPr>
                <w:b/>
                <w:color w:val="C00000"/>
                <w:sz w:val="17"/>
              </w:rPr>
              <w:t>-8.3%</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1,905</w:t>
            </w:r>
          </w:p>
        </w:tc>
        <w:tc>
          <w:tcPr>
            <w:tcW w:type="dxa" w:w="1440"/>
            <w:shd w:fill="FFDCE0" w:val="clear"/>
          </w:tcPr>
          <w:p>
            <w:r>
              <w:rPr>
                <w:b/>
                <w:sz w:val="17"/>
              </w:rPr>
              <w:t>2,188</w:t>
            </w:r>
          </w:p>
        </w:tc>
        <w:tc>
          <w:tcPr>
            <w:tcW w:type="dxa" w:w="1440"/>
            <w:shd w:fill="FFDCE0" w:val="clear"/>
          </w:tcPr>
          <w:p>
            <w:r>
              <w:rPr>
                <w:sz w:val="17"/>
              </w:rPr>
              <w:t>2,470</w:t>
            </w:r>
          </w:p>
        </w:tc>
        <w:tc>
          <w:tcPr>
            <w:tcW w:type="dxa" w:w="1440"/>
            <w:shd w:fill="FFDCE0" w:val="clear"/>
          </w:tcPr>
          <w:p>
            <w:r>
              <w:rPr>
                <w:b/>
                <w:color w:val="C00000"/>
                <w:sz w:val="17"/>
              </w:rPr>
              <w:t>-8.9%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**RAPPORT D'ANALYSE FINANCIÈRE — SIVC / ERIUM COTE D'IVOIRE (BRVM)**</w:t>
        <w:br/>
        <w:t>*Date d'analyse : septembre 2026 — Cours de référence : 2 400 FCFA*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SIVC s'établit à 20,96 milliards FCFA, un niveau intermédiaire à l'échelle de la BRVM qui traduit une valeur de taille moyenne, liquide mais non systémique. Le BPA ressort à 43 FCFA par action, ce qui signifie que chaque titre génère moins de 2 % de son prix en bénéfice net. Le PER de 55,6x est très élevé, très au-dessus de la moyenne BRVM (~8-12x) : les investisseurs paient environ 56 fois les bénéfices, ce qui intègre une forte anticipation de croissance et rend le titre vulnérable à toute déception. Le P/B de 6,41x (largement supérieur à 4x) indique que le marché valorise la société à plus de six fois sa valeur comptable, soit une prime exigeante. Enfin, l'EV/EBITDA de 17,5x (au-delà de 15x) confirme que la valeur d'entreprise rapportée à la capacité opérationnelle est tendue. L'ensemble dessine une valorisation **exigeante, voire surévaluée**, sans marge de sécurité.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SIVC a cédé 11,11 %, mais la dernière séance affiche un rebond de +4,35 %, signe d'un sursaut acheteur de court terme. Le range de trading est large, entre un plus bas de 1 920 FCFA et un plus haut de 2 875 FCFA, soit une amplitude de près de 50 % qui témoigne d'une forte nervosité. La tendance générale reste baissière sur la période, le cours actuel (2 400 FCFA) se situant sous la moyenne (2 532 FCFA) et sous la médiane (2 450 FCFA). Les statistiques descriptives révèlent une distribution légèrement asymétrique à gauche (skewness = -0,165), avec une moyenne supérieure à la médiane, ce qui indique que quelques séances hautes tirent la moyenne vers le haut sans que le cours ne s'y maintienne. L'écart-type de 265 FCFA (CV = 10,5 %) traduit une dispersion modérée autour de la moyenne, mais le kurtosis négatif (-1,275, distribution platykurtique) signale une faible concentration des rendements et donc un risque de mouvements amples peu fréquents mais marqués. La volatilité annualisée de 49,0 % classe le titre dans la catégorie **très volatile** (&gt;30 %), ce qui exige une tolérance au risque élevée.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(2 367,75 FCFA) et la MM50 (2 295,50 FCFA) sont toutes deux inférieures au cours actuel (2 400 FCFA), et la MM20 est au-dessus de la MM50 — configuration haussière de court terme. La décision « Achat » se justifie par ce croisement positif et la position du cours au-dessus des deux moyennes, mais la tendance de fond reste fragile.</w:t>
      </w:r>
    </w:p>
    <w:p>
      <w:pPr>
        <w:spacing w:after="120" w:line="276" w:lineRule="auto"/>
      </w:pPr>
      <w:r>
        <w:t>**Bandes de Bollinger** : Le cours (2 400 FCFA) évolue entre la borne inférieure (2 289,65 FCFA) et la borne supérieure (2 445,85 FCFA), à mi-chemin, ce qui explique la décision « Neutre ». Les bandes sont relativement resserrées, indiquant une volatilité en compression après le rebond, sans signal directionnel fort.</w:t>
      </w:r>
    </w:p>
    <w:p>
      <w:pPr>
        <w:spacing w:after="120" w:line="276" w:lineRule="auto"/>
      </w:pPr>
      <w:r>
        <w:t>**MACD** : La valeur du MACD (5,153) est inférieure à son signal (7,687), avec un histogramme négatif — configuration baissière. Le momentum s'affaiblit malgré le rebond du jour, et la décision « Vente » reflète cette divergence défavorable qui plaide pour la prudence.</w:t>
      </w:r>
    </w:p>
    <w:p>
      <w:pPr>
        <w:spacing w:after="120" w:line="276" w:lineRule="auto"/>
      </w:pPr>
      <w:r>
        <w:t>**RSI** : À 52,73, le RSI est en zone neutre (30-70), sans surachat ni survente. La décision « Neutre » traduit un équilibre entre acheteurs et vendeurs, sans pression directionnelle claire.</w:t>
      </w:r>
    </w:p>
    <w:p>
      <w:pPr>
        <w:spacing w:after="120" w:line="276" w:lineRule="auto"/>
      </w:pPr>
      <w:r>
        <w:t>**Stochastique** : Le %K (80,0) est nettement supérieur au %D (26,667), signal d'un croisement haussier récent et d'un début de surchauffe (%K &gt; 80). La décision « Neutre » s'explique par le risque de retournement après ce pic, le %K approchant la zone de surachat.</w:t>
      </w:r>
    </w:p>
    <w:p>
      <w:pPr>
        <w:spacing w:after="120" w:line="276" w:lineRule="auto"/>
      </w:pPr>
      <w:r>
        <w:t>**Conclusion technique** : Les indicateurs sont **divergents** — les moyennes mobiles et le stochastique sont haussiers, tandis que le MACD est baissier et le RSI/Bollinger neutres. Cette absence de consensus traduit un marché indécis, avec un rebond technique fragile qui ne bénéficie pas d'un momentum confirmé. La prudence domine.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2024 (exercice clos) indiquent un chiffre d'affaires/PNB de 9,283 milliards FCFA, un résultat net de 376,96 millions FCFA, un ROE de 11,52 % (inférieur au seuil d'excellence de 15 %) et un ROA de 2,69 %. Le coefficient d'exploitation de 95,83 % est **très élevé** pour une banque (seuil d'efficacité &lt; 60 %), signe d'une structure de coûts lourde, et le coût du risque de 3,10 % reste significatif. Le ratio dépôts/créances est déséquilibré (1,125 Md de dépôts contre 1,550 Md de créances), et la trésorerie nette est négative (-2,143 Mds FCFA), avec une autonomie financière faible (23,34 %). Les rapports narratifs confirment cette dégradation : le rapport annuel 2025 (analysé le 29/06/2026) montre un CA en hausse de 8,53 % à 10,07 Mds FCFA, mais un **résultat net divisé par deux à 179,29 M FCFA** (marge nette effondrée de 4,06 % à 1,78 %), un endettement financier de 4,164 Mds FCFA et une trésorerie nette toujours négative (-1,660 Md FCFA). Le rapport S1 2025 (30/06/2025) affichait pourtant un résultat net de 512,9 M FCFA (+4,6 %) et une marge nette de 10,5 %, tandis que le rapport T3 2025 (date inconnue) confirmait un résultat net de 832,5 M FCFA (+58 %) et une marge nette de 11,0 % — ces chiffres trimestriels, antérieurs à la publication annuelle, suggèrent que la **chute du résultat net annuel 2025 provient d'éléments non récurrents du T4** (charges financières, éléments hors activités ordinaires). On estime donc que la rentabilité opérationnelle sous-jacente reste solide (marge opérationnelle courante de 14,8 % au T3 2025), mais que la structure financière (endettement, trésorerie négative) constitue le principal point de vigilance. La recommandation fondamentale est **CONSERVER avec surveillance**, la croissance du CA étant réelle mais la qualité des bénéfices et la solidité du bilan préoccupantes.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**déséquilibre défavorable**. La valorisation (Partie 0) est clairement exigeante — PER de 55,6x, P/B de 6,41x, EV/EBITDA de 17,5x — sans justification par les bénéfices actuels, ce qui suggère une **surévaluation**. Le comportement du cours (Partie 1) est baissier sur 100 jours (-11,11 %), avec une volatilité très élevée (49 %) et une distribution platykurtique exposant à des mouvements amples ; le rebond de +4,35 % en J-1 reste isolé. Les signaux techniques (Partie 2) sont divergents : haussiers sur les MM et le stochastique, baissiers sur le MACD, neutres sur RSI et Bollinger — aucun consensus ne se dégage. Les fondamentaux (Partie 3) montrent une croissance du CA (+8,53 % en 2025) mais une **chute de 52 % du résultat net** et une structure financière dégradée (endettement, trésorerie négative), avec un ROE de 11,52 % et un coefficient d'exploitation de 95,83 % pénalisants. Les prédictions IA (J+1 à J+10) anticipent une **baisse continue** de 2 303 à 2 255 FCFA, confirmant la pression baissière et contredisant le rebond technique du jour. Sur cette base, la recommandation finale est **CONSERVER** (avec biais vendeur pour les nouveaux entrants), en raison de la divergence entre une valorisation tendue, des fondamentaux fragilisés et des signaux techniques mitigés. Le niveau de confiance est **Moyen** (données contradictoires entre trimestriels et annuel), le risque global est **Élevé** (volatilité 49 %, endettement, trésorerie négative), et l'horizon optimal est **moyen terme (3-12 mois)**, le temps de vérifier si la direction parvient à restaurer la rentabilité nette et à assainir sa structure financière.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623.95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1,311 titres</w:t>
            </w:r>
          </w:p>
        </w:tc>
        <w:tc>
          <w:tcPr>
            <w:tcW w:type="dxa" w:w="2268"/>
            <w:shd w:fill="FFF2CC" w:val="clear"/>
          </w:tcPr>
          <w:p>
            <w:r>
              <w:rPr>
                <w:b/>
                <w:color w:val="503200"/>
                <w:sz w:val="16"/>
              </w:rPr>
              <w:t xml:space="preserve">Cours actuel : </w:t>
            </w:r>
            <w:r>
              <w:rPr>
                <w:color w:val="000000"/>
                <w:sz w:val="17"/>
              </w:rPr>
              <w:t>37,905 FCFA</w:t>
            </w:r>
          </w:p>
          <w:p>
            <w:r>
              <w:rPr>
                <w:b/>
                <w:color w:val="503200"/>
                <w:sz w:val="16"/>
              </w:rPr>
              <w:t xml:space="preserve">Var. 100 jours : </w:t>
            </w:r>
            <w:r>
              <w:rPr>
                <w:b/>
                <w:color w:val="B40000"/>
                <w:sz w:val="17"/>
              </w:rPr>
              <w:t>-4.76%</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29.1%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2.45% (Faible) — μ=38,275 FCFA, σ=939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β=0.1894 (Défensif) — Cov=0.000007, Var(idx)=0.000035, ρ=0.061,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1,311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σ_j=1.83%/j (Stable) — Vol. annualisée≈29.1%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37,403</w:t>
            </w:r>
          </w:p>
        </w:tc>
        <w:tc>
          <w:tcPr>
            <w:tcW w:type="dxa" w:w="1440"/>
            <w:shd w:fill="FAFAFA" w:val="clear"/>
          </w:tcPr>
          <w:p>
            <w:r>
              <w:rPr>
                <w:b/>
                <w:sz w:val="17"/>
              </w:rPr>
              <w:t>38,540</w:t>
            </w:r>
          </w:p>
        </w:tc>
        <w:tc>
          <w:tcPr>
            <w:tcW w:type="dxa" w:w="1440"/>
            <w:shd w:fill="FAFAFA" w:val="clear"/>
          </w:tcPr>
          <w:p>
            <w:r>
              <w:rPr>
                <w:sz w:val="17"/>
              </w:rPr>
              <w:t>39,676</w:t>
            </w:r>
          </w:p>
        </w:tc>
        <w:tc>
          <w:tcPr>
            <w:tcW w:type="dxa" w:w="1440"/>
            <w:shd w:fill="FAFAFA" w:val="clear"/>
          </w:tcPr>
          <w:p>
            <w:r>
              <w:rPr>
                <w:b/>
                <w:color w:val="008000"/>
                <w:sz w:val="17"/>
              </w:rPr>
              <w:t>+1.7%</w:t>
            </w:r>
          </w:p>
        </w:tc>
      </w:tr>
      <w:tr>
        <w:tc>
          <w:tcPr>
            <w:tcW w:type="dxa" w:w="1440"/>
            <w:shd w:fill="C6EFCE" w:val="clear"/>
          </w:tcPr>
          <w:p>
            <w:r>
              <w:rPr>
                <w:sz w:val="17"/>
              </w:rPr>
              <w:t>J+2  ⭐⭐⭐</w:t>
            </w:r>
          </w:p>
        </w:tc>
        <w:tc>
          <w:tcPr>
            <w:tcW w:type="dxa" w:w="1440"/>
            <w:shd w:fill="C6EFCE" w:val="clear"/>
          </w:tcPr>
          <w:p>
            <w:r>
              <w:rPr>
                <w:sz w:val="17"/>
              </w:rPr>
              <w:t>2026-09-15</w:t>
            </w:r>
          </w:p>
        </w:tc>
        <w:tc>
          <w:tcPr>
            <w:tcW w:type="dxa" w:w="1440"/>
            <w:shd w:fill="C6EFCE" w:val="clear"/>
          </w:tcPr>
          <w:p>
            <w:r>
              <w:rPr>
                <w:sz w:val="17"/>
              </w:rPr>
              <w:t>37,198</w:t>
            </w:r>
          </w:p>
        </w:tc>
        <w:tc>
          <w:tcPr>
            <w:tcW w:type="dxa" w:w="1440"/>
            <w:shd w:fill="C6EFCE" w:val="clear"/>
          </w:tcPr>
          <w:p>
            <w:r>
              <w:rPr>
                <w:b/>
                <w:sz w:val="17"/>
              </w:rPr>
              <w:t>38,817</w:t>
            </w:r>
          </w:p>
        </w:tc>
        <w:tc>
          <w:tcPr>
            <w:tcW w:type="dxa" w:w="1440"/>
            <w:shd w:fill="C6EFCE" w:val="clear"/>
          </w:tcPr>
          <w:p>
            <w:r>
              <w:rPr>
                <w:sz w:val="17"/>
              </w:rPr>
              <w:t>40,436</w:t>
            </w:r>
          </w:p>
        </w:tc>
        <w:tc>
          <w:tcPr>
            <w:tcW w:type="dxa" w:w="1440"/>
            <w:shd w:fill="C6EFCE" w:val="clear"/>
          </w:tcPr>
          <w:p>
            <w:r>
              <w:rPr>
                <w:b/>
                <w:color w:val="008000"/>
                <w:sz w:val="17"/>
              </w:rPr>
              <w:t>+2.4%</w:t>
            </w:r>
          </w:p>
        </w:tc>
      </w:tr>
      <w:tr>
        <w:tc>
          <w:tcPr>
            <w:tcW w:type="dxa" w:w="1440"/>
            <w:shd w:fill="C6EFCE" w:val="clear"/>
          </w:tcPr>
          <w:p>
            <w:r>
              <w:rPr>
                <w:sz w:val="17"/>
              </w:rPr>
              <w:t>J+3  ⭐⭐⭐</w:t>
            </w:r>
          </w:p>
        </w:tc>
        <w:tc>
          <w:tcPr>
            <w:tcW w:type="dxa" w:w="1440"/>
            <w:shd w:fill="C6EFCE" w:val="clear"/>
          </w:tcPr>
          <w:p>
            <w:r>
              <w:rPr>
                <w:sz w:val="17"/>
              </w:rPr>
              <w:t>2026-09-16</w:t>
            </w:r>
          </w:p>
        </w:tc>
        <w:tc>
          <w:tcPr>
            <w:tcW w:type="dxa" w:w="1440"/>
            <w:shd w:fill="C6EFCE" w:val="clear"/>
          </w:tcPr>
          <w:p>
            <w:r>
              <w:rPr>
                <w:sz w:val="17"/>
              </w:rPr>
              <w:t>37,150</w:t>
            </w:r>
          </w:p>
        </w:tc>
        <w:tc>
          <w:tcPr>
            <w:tcW w:type="dxa" w:w="1440"/>
            <w:shd w:fill="C6EFCE" w:val="clear"/>
          </w:tcPr>
          <w:p>
            <w:r>
              <w:rPr>
                <w:b/>
                <w:sz w:val="17"/>
              </w:rPr>
              <w:t>39,149</w:t>
            </w:r>
          </w:p>
        </w:tc>
        <w:tc>
          <w:tcPr>
            <w:tcW w:type="dxa" w:w="1440"/>
            <w:shd w:fill="C6EFCE" w:val="clear"/>
          </w:tcPr>
          <w:p>
            <w:r>
              <w:rPr>
                <w:sz w:val="17"/>
              </w:rPr>
              <w:t>41,149</w:t>
            </w:r>
          </w:p>
        </w:tc>
        <w:tc>
          <w:tcPr>
            <w:tcW w:type="dxa" w:w="1440"/>
            <w:shd w:fill="C6EFCE" w:val="clear"/>
          </w:tcPr>
          <w:p>
            <w:r>
              <w:rPr>
                <w:b/>
                <w:color w:val="008000"/>
                <w:sz w:val="17"/>
              </w:rPr>
              <w:t>+3.3%</w:t>
            </w:r>
          </w:p>
        </w:tc>
      </w:tr>
      <w:tr>
        <w:tc>
          <w:tcPr>
            <w:tcW w:type="dxa" w:w="1440"/>
            <w:shd w:fill="C6EFCE" w:val="clear"/>
          </w:tcPr>
          <w:p>
            <w:r>
              <w:rPr>
                <w:sz w:val="17"/>
              </w:rPr>
              <w:t>J+4  Moyenne</w:t>
            </w:r>
          </w:p>
        </w:tc>
        <w:tc>
          <w:tcPr>
            <w:tcW w:type="dxa" w:w="1440"/>
            <w:shd w:fill="C6EFCE" w:val="clear"/>
          </w:tcPr>
          <w:p>
            <w:r>
              <w:rPr>
                <w:sz w:val="17"/>
              </w:rPr>
              <w:t>2026-09-17</w:t>
            </w:r>
          </w:p>
        </w:tc>
        <w:tc>
          <w:tcPr>
            <w:tcW w:type="dxa" w:w="1440"/>
            <w:shd w:fill="C6EFCE" w:val="clear"/>
          </w:tcPr>
          <w:p>
            <w:r>
              <w:rPr>
                <w:sz w:val="17"/>
              </w:rPr>
              <w:t>37,157</w:t>
            </w:r>
          </w:p>
        </w:tc>
        <w:tc>
          <w:tcPr>
            <w:tcW w:type="dxa" w:w="1440"/>
            <w:shd w:fill="C6EFCE" w:val="clear"/>
          </w:tcPr>
          <w:p>
            <w:r>
              <w:rPr>
                <w:b/>
                <w:sz w:val="17"/>
              </w:rPr>
              <w:t>39,485</w:t>
            </w:r>
          </w:p>
        </w:tc>
        <w:tc>
          <w:tcPr>
            <w:tcW w:type="dxa" w:w="1440"/>
            <w:shd w:fill="C6EFCE" w:val="clear"/>
          </w:tcPr>
          <w:p>
            <w:r>
              <w:rPr>
                <w:sz w:val="17"/>
              </w:rPr>
              <w:t>41,814</w:t>
            </w:r>
          </w:p>
        </w:tc>
        <w:tc>
          <w:tcPr>
            <w:tcW w:type="dxa" w:w="1440"/>
            <w:shd w:fill="C6EFCE" w:val="clear"/>
          </w:tcPr>
          <w:p>
            <w:r>
              <w:rPr>
                <w:b/>
                <w:color w:val="008000"/>
                <w:sz w:val="17"/>
              </w:rPr>
              <w:t>+4.2%</w:t>
            </w:r>
          </w:p>
        </w:tc>
      </w:tr>
      <w:tr>
        <w:tc>
          <w:tcPr>
            <w:tcW w:type="dxa" w:w="1440"/>
            <w:shd w:fill="C6EFCE" w:val="clear"/>
          </w:tcPr>
          <w:p>
            <w:r>
              <w:rPr>
                <w:sz w:val="17"/>
              </w:rPr>
              <w:t>J+5  Moyenne</w:t>
            </w:r>
          </w:p>
        </w:tc>
        <w:tc>
          <w:tcPr>
            <w:tcW w:type="dxa" w:w="1440"/>
            <w:shd w:fill="C6EFCE" w:val="clear"/>
          </w:tcPr>
          <w:p>
            <w:r>
              <w:rPr>
                <w:sz w:val="17"/>
              </w:rPr>
              <w:t>2026-09-18</w:t>
            </w:r>
          </w:p>
        </w:tc>
        <w:tc>
          <w:tcPr>
            <w:tcW w:type="dxa" w:w="1440"/>
            <w:shd w:fill="C6EFCE" w:val="clear"/>
          </w:tcPr>
          <w:p>
            <w:r>
              <w:rPr>
                <w:sz w:val="17"/>
              </w:rPr>
              <w:t>37,190</w:t>
            </w:r>
          </w:p>
        </w:tc>
        <w:tc>
          <w:tcPr>
            <w:tcW w:type="dxa" w:w="1440"/>
            <w:shd w:fill="C6EFCE" w:val="clear"/>
          </w:tcPr>
          <w:p>
            <w:r>
              <w:rPr>
                <w:b/>
                <w:sz w:val="17"/>
              </w:rPr>
              <w:t>39,815</w:t>
            </w:r>
          </w:p>
        </w:tc>
        <w:tc>
          <w:tcPr>
            <w:tcW w:type="dxa" w:w="1440"/>
            <w:shd w:fill="C6EFCE" w:val="clear"/>
          </w:tcPr>
          <w:p>
            <w:r>
              <w:rPr>
                <w:sz w:val="17"/>
              </w:rPr>
              <w:t>42,441</w:t>
            </w:r>
          </w:p>
        </w:tc>
        <w:tc>
          <w:tcPr>
            <w:tcW w:type="dxa" w:w="1440"/>
            <w:shd w:fill="C6EFCE" w:val="clear"/>
          </w:tcPr>
          <w:p>
            <w:r>
              <w:rPr>
                <w:b/>
                <w:color w:val="008000"/>
                <w:sz w:val="17"/>
              </w:rPr>
              <w:t>+5.0%</w:t>
            </w:r>
          </w:p>
        </w:tc>
      </w:tr>
      <w:tr>
        <w:tc>
          <w:tcPr>
            <w:tcW w:type="dxa" w:w="1440"/>
            <w:shd w:fill="C6EFCE" w:val="clear"/>
          </w:tcPr>
          <w:p>
            <w:r>
              <w:rPr>
                <w:sz w:val="17"/>
              </w:rPr>
              <w:t>J+6  Moyenne</w:t>
            </w:r>
          </w:p>
        </w:tc>
        <w:tc>
          <w:tcPr>
            <w:tcW w:type="dxa" w:w="1440"/>
            <w:shd w:fill="C6EFCE" w:val="clear"/>
          </w:tcPr>
          <w:p>
            <w:r>
              <w:rPr>
                <w:sz w:val="17"/>
              </w:rPr>
              <w:t>2026-09-21</w:t>
            </w:r>
          </w:p>
        </w:tc>
        <w:tc>
          <w:tcPr>
            <w:tcW w:type="dxa" w:w="1440"/>
            <w:shd w:fill="C6EFCE" w:val="clear"/>
          </w:tcPr>
          <w:p>
            <w:r>
              <w:rPr>
                <w:sz w:val="17"/>
              </w:rPr>
              <w:t>37,239</w:t>
            </w:r>
          </w:p>
        </w:tc>
        <w:tc>
          <w:tcPr>
            <w:tcW w:type="dxa" w:w="1440"/>
            <w:shd w:fill="C6EFCE" w:val="clear"/>
          </w:tcPr>
          <w:p>
            <w:r>
              <w:rPr>
                <w:b/>
                <w:sz w:val="17"/>
              </w:rPr>
              <w:t>40,138</w:t>
            </w:r>
          </w:p>
        </w:tc>
        <w:tc>
          <w:tcPr>
            <w:tcW w:type="dxa" w:w="1440"/>
            <w:shd w:fill="C6EFCE" w:val="clear"/>
          </w:tcPr>
          <w:p>
            <w:r>
              <w:rPr>
                <w:sz w:val="17"/>
              </w:rPr>
              <w:t>43,038</w:t>
            </w:r>
          </w:p>
        </w:tc>
        <w:tc>
          <w:tcPr>
            <w:tcW w:type="dxa" w:w="1440"/>
            <w:shd w:fill="C6EFCE" w:val="clear"/>
          </w:tcPr>
          <w:p>
            <w:r>
              <w:rPr>
                <w:b/>
                <w:color w:val="008000"/>
                <w:sz w:val="17"/>
              </w:rPr>
              <w:t>+5.9%</w:t>
            </w:r>
          </w:p>
        </w:tc>
      </w:tr>
      <w:tr>
        <w:tc>
          <w:tcPr>
            <w:tcW w:type="dxa" w:w="1440"/>
            <w:shd w:fill="C6EFCE" w:val="clear"/>
          </w:tcPr>
          <w:p>
            <w:r>
              <w:rPr>
                <w:sz w:val="17"/>
              </w:rPr>
              <w:t>J+7  Moyenne</w:t>
            </w:r>
          </w:p>
        </w:tc>
        <w:tc>
          <w:tcPr>
            <w:tcW w:type="dxa" w:w="1440"/>
            <w:shd w:fill="C6EFCE" w:val="clear"/>
          </w:tcPr>
          <w:p>
            <w:r>
              <w:rPr>
                <w:sz w:val="17"/>
              </w:rPr>
              <w:t>2026-09-22</w:t>
            </w:r>
          </w:p>
        </w:tc>
        <w:tc>
          <w:tcPr>
            <w:tcW w:type="dxa" w:w="1440"/>
            <w:shd w:fill="C6EFCE" w:val="clear"/>
          </w:tcPr>
          <w:p>
            <w:r>
              <w:rPr>
                <w:sz w:val="17"/>
              </w:rPr>
              <w:t>37,299</w:t>
            </w:r>
          </w:p>
        </w:tc>
        <w:tc>
          <w:tcPr>
            <w:tcW w:type="dxa" w:w="1440"/>
            <w:shd w:fill="C6EFCE" w:val="clear"/>
          </w:tcPr>
          <w:p>
            <w:r>
              <w:rPr>
                <w:b/>
                <w:sz w:val="17"/>
              </w:rPr>
              <w:t>40,455</w:t>
            </w:r>
          </w:p>
        </w:tc>
        <w:tc>
          <w:tcPr>
            <w:tcW w:type="dxa" w:w="1440"/>
            <w:shd w:fill="C6EFCE" w:val="clear"/>
          </w:tcPr>
          <w:p>
            <w:r>
              <w:rPr>
                <w:sz w:val="17"/>
              </w:rPr>
              <w:t>43,611</w:t>
            </w:r>
          </w:p>
        </w:tc>
        <w:tc>
          <w:tcPr>
            <w:tcW w:type="dxa" w:w="1440"/>
            <w:shd w:fill="C6EFCE" w:val="clear"/>
          </w:tcPr>
          <w:p>
            <w:r>
              <w:rPr>
                <w:b/>
                <w:color w:val="008000"/>
                <w:sz w:val="17"/>
              </w:rPr>
              <w:t>+6.7%</w:t>
            </w:r>
          </w:p>
        </w:tc>
      </w:tr>
      <w:tr>
        <w:tc>
          <w:tcPr>
            <w:tcW w:type="dxa" w:w="1440"/>
            <w:shd w:fill="C6EFCE" w:val="clear"/>
          </w:tcPr>
          <w:p>
            <w:r>
              <w:rPr>
                <w:sz w:val="17"/>
              </w:rPr>
              <w:t>J+8  Moyenne</w:t>
            </w:r>
          </w:p>
        </w:tc>
        <w:tc>
          <w:tcPr>
            <w:tcW w:type="dxa" w:w="1440"/>
            <w:shd w:fill="C6EFCE" w:val="clear"/>
          </w:tcPr>
          <w:p>
            <w:r>
              <w:rPr>
                <w:sz w:val="17"/>
              </w:rPr>
              <w:t>2026-09-23</w:t>
            </w:r>
          </w:p>
        </w:tc>
        <w:tc>
          <w:tcPr>
            <w:tcW w:type="dxa" w:w="1440"/>
            <w:shd w:fill="C6EFCE" w:val="clear"/>
          </w:tcPr>
          <w:p>
            <w:r>
              <w:rPr>
                <w:sz w:val="17"/>
              </w:rPr>
              <w:t>37,367</w:t>
            </w:r>
          </w:p>
        </w:tc>
        <w:tc>
          <w:tcPr>
            <w:tcW w:type="dxa" w:w="1440"/>
            <w:shd w:fill="C6EFCE" w:val="clear"/>
          </w:tcPr>
          <w:p>
            <w:r>
              <w:rPr>
                <w:b/>
                <w:sz w:val="17"/>
              </w:rPr>
              <w:t>40,767</w:t>
            </w:r>
          </w:p>
        </w:tc>
        <w:tc>
          <w:tcPr>
            <w:tcW w:type="dxa" w:w="1440"/>
            <w:shd w:fill="C6EFCE" w:val="clear"/>
          </w:tcPr>
          <w:p>
            <w:r>
              <w:rPr>
                <w:sz w:val="17"/>
              </w:rPr>
              <w:t>44,167</w:t>
            </w:r>
          </w:p>
        </w:tc>
        <w:tc>
          <w:tcPr>
            <w:tcW w:type="dxa" w:w="1440"/>
            <w:shd w:fill="C6EFCE" w:val="clear"/>
          </w:tcPr>
          <w:p>
            <w:r>
              <w:rPr>
                <w:b/>
                <w:color w:val="008000"/>
                <w:sz w:val="17"/>
              </w:rPr>
              <w:t>+7.6%</w:t>
            </w:r>
          </w:p>
        </w:tc>
      </w:tr>
      <w:tr>
        <w:tc>
          <w:tcPr>
            <w:tcW w:type="dxa" w:w="1440"/>
            <w:shd w:fill="C6EFCE" w:val="clear"/>
          </w:tcPr>
          <w:p>
            <w:r>
              <w:rPr>
                <w:sz w:val="17"/>
              </w:rPr>
              <w:t>J+9  Moyenne</w:t>
            </w:r>
          </w:p>
        </w:tc>
        <w:tc>
          <w:tcPr>
            <w:tcW w:type="dxa" w:w="1440"/>
            <w:shd w:fill="C6EFCE" w:val="clear"/>
          </w:tcPr>
          <w:p>
            <w:r>
              <w:rPr>
                <w:sz w:val="17"/>
              </w:rPr>
              <w:t>2026-09-24</w:t>
            </w:r>
          </w:p>
        </w:tc>
        <w:tc>
          <w:tcPr>
            <w:tcW w:type="dxa" w:w="1440"/>
            <w:shd w:fill="C6EFCE" w:val="clear"/>
          </w:tcPr>
          <w:p>
            <w:r>
              <w:rPr>
                <w:sz w:val="17"/>
              </w:rPr>
              <w:t>37,440</w:t>
            </w:r>
          </w:p>
        </w:tc>
        <w:tc>
          <w:tcPr>
            <w:tcW w:type="dxa" w:w="1440"/>
            <w:shd w:fill="C6EFCE" w:val="clear"/>
          </w:tcPr>
          <w:p>
            <w:r>
              <w:rPr>
                <w:b/>
                <w:sz w:val="17"/>
              </w:rPr>
              <w:t>41,074</w:t>
            </w:r>
          </w:p>
        </w:tc>
        <w:tc>
          <w:tcPr>
            <w:tcW w:type="dxa" w:w="1440"/>
            <w:shd w:fill="C6EFCE" w:val="clear"/>
          </w:tcPr>
          <w:p>
            <w:r>
              <w:rPr>
                <w:sz w:val="17"/>
              </w:rPr>
              <w:t>44,708</w:t>
            </w:r>
          </w:p>
        </w:tc>
        <w:tc>
          <w:tcPr>
            <w:tcW w:type="dxa" w:w="1440"/>
            <w:shd w:fill="C6EFCE" w:val="clear"/>
          </w:tcPr>
          <w:p>
            <w:r>
              <w:rPr>
                <w:b/>
                <w:color w:val="008000"/>
                <w:sz w:val="17"/>
              </w:rPr>
              <w:t>+8.4%</w:t>
            </w:r>
          </w:p>
        </w:tc>
      </w:tr>
      <w:tr>
        <w:tc>
          <w:tcPr>
            <w:tcW w:type="dxa" w:w="1440"/>
            <w:shd w:fill="C6EFCE" w:val="clear"/>
          </w:tcPr>
          <w:p>
            <w:r>
              <w:rPr>
                <w:sz w:val="17"/>
              </w:rPr>
              <w:t>J+10  Moyenne</w:t>
            </w:r>
          </w:p>
        </w:tc>
        <w:tc>
          <w:tcPr>
            <w:tcW w:type="dxa" w:w="1440"/>
            <w:shd w:fill="C6EFCE" w:val="clear"/>
          </w:tcPr>
          <w:p>
            <w:r>
              <w:rPr>
                <w:sz w:val="17"/>
              </w:rPr>
              <w:t>2026-09-25</w:t>
            </w:r>
          </w:p>
        </w:tc>
        <w:tc>
          <w:tcPr>
            <w:tcW w:type="dxa" w:w="1440"/>
            <w:shd w:fill="C6EFCE" w:val="clear"/>
          </w:tcPr>
          <w:p>
            <w:r>
              <w:rPr>
                <w:sz w:val="17"/>
              </w:rPr>
              <w:t>37,519</w:t>
            </w:r>
          </w:p>
        </w:tc>
        <w:tc>
          <w:tcPr>
            <w:tcW w:type="dxa" w:w="1440"/>
            <w:shd w:fill="C6EFCE" w:val="clear"/>
          </w:tcPr>
          <w:p>
            <w:r>
              <w:rPr>
                <w:b/>
                <w:sz w:val="17"/>
              </w:rPr>
              <w:t>41,377</w:t>
            </w:r>
          </w:p>
        </w:tc>
        <w:tc>
          <w:tcPr>
            <w:tcW w:type="dxa" w:w="1440"/>
            <w:shd w:fill="C6EFCE" w:val="clear"/>
          </w:tcPr>
          <w:p>
            <w:r>
              <w:rPr>
                <w:sz w:val="17"/>
              </w:rPr>
              <w:t>45,236</w:t>
            </w:r>
          </w:p>
        </w:tc>
        <w:tc>
          <w:tcPr>
            <w:tcW w:type="dxa" w:w="1440"/>
            <w:shd w:fill="C6EFCE" w:val="clear"/>
          </w:tcPr>
          <w:p>
            <w:r>
              <w:rPr>
                <w:b/>
                <w:color w:val="008000"/>
                <w:sz w:val="17"/>
              </w:rPr>
              <w:t>+9.2%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 📊 RAPPORT D'ANALYSE FINANCIÈRE — SLBC (SOLIBRA)</w:t>
        <w:br/>
        <w:t>**Bourse Régionale des Valeurs Mobilières (BRVM) — Secteur : Entreprise (Boissons/Limonaderies)**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**623,95 milliards FCFA**, SOLIBRA figure parmi les valeurs les plus capitalisées de la BRVM, ce qui en fait un pilier de l'indice composite et un titre de référence pour les investisseurs institutionnels de la zone UEMOA. Le **BPA de 2 781 FCFA/action** traduit une rentabilité par titre particulièrement élevée, cohérente avec le résultat net 2025 de 45,78 milliards FCFA. Le **PER de 13,6x** se situe légèrement au-dessus de la moyenne BRVM (8-12x), signalant une valorisation modérée mais non excessive au regard de la qualité des fondamentaux. Le **P/B de 3,20x** indique que le marché valorise l'entreprise à 3,2 fois ses capitaux propres (195,14 Mds FCFA), soit une prime de croissance justifiée par un ROE exceptionnel de 23,46%. Enfin, l'**EV/EBITDA de 7,4x** demeure raisonnable dans la fourchette 5-10x, confirmant que la valeur d'entreprise reste cohérente avec la capacité opérationnelle dégagée (EBITDA 2025 : 87,44 Mds FCFA).</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SLBC affiche une **variation totale de -4,76%**, tout en clôturant la dernière séance (J-1) sur une quasi-stabilité de **+0,01%**, ce qui suggère une phase d'essoufflement baissier en fin de période. Le cours actuel de **37 905 FCFA** évolue dans un range de trading relativement serré entre un plus haut de **41 500 FCFA** et un plus bas de **35 540 FCFA**, soit un écart d'environ 16,8% — traduisant une tendance globalement baissière mais contenue. Les statistiques descriptives révèlent une **moyenne de 38 275 FCFA** légèrement supérieure à la **médiane de 38 000 FCFA** (égale au mode), ce qui indique une distribution quasi-symétrique avec une très légère asymétrie positive. L'**écart-type de 944 FCFA** pour un **CV de seulement 2,5%** démontre une dispersion très faible du cours, signe d'un titre peu agité sur la période. Le **kurtosis de 0,483** (mésokurtique) et le **skewness de 0,392** (distribution symétrique) confirment l'absence de pics extrêmes ou de biais marqué, ce qui réduit le risque de mouvements erratiques. La **volatilité annualisée de 29,1%** positionne le titre dans la catégorie **modérée** (15-30%), cohérente avec un profil de valeur défensive à dividende élevé.</w:t>
      </w:r>
    </w:p>
    <w:p>
      <w:pPr>
        <w:spacing w:after="120" w:line="276" w:lineRule="auto"/>
      </w:pPr>
      <w:r>
        <w:t>---</w:t>
      </w:r>
    </w:p>
    <w:p>
      <w:pPr>
        <w:spacing w:after="120" w:line="276" w:lineRule="auto"/>
      </w:pPr>
      <w:r>
        <w:t>## PARTIE 2 : ANALYSE TECHNIQUE DÉTAILLÉE</w:t>
      </w:r>
    </w:p>
    <w:p>
      <w:pPr>
        <w:spacing w:after="120" w:line="276" w:lineRule="auto"/>
      </w:pPr>
      <w:r>
        <w:t>**Moyennes Mobiles** : La MM20 (37 659,5 FCFA) est inférieure à la MM50 (38 334,1 FCFA), et le cours actuel (37 905 FCFA) se situe entre les deux, légèrement au-dessus de la MM20 mais sous la MM50. Cette configuration en "death cross" implicite justifie la **décision de Vente** émise par le système, bien que le cours tente un rebond au-dessus de sa moyenne court terme.</w:t>
      </w:r>
    </w:p>
    <w:p>
      <w:pPr>
        <w:spacing w:after="120" w:line="276" w:lineRule="auto"/>
      </w:pPr>
      <w:r>
        <w:t>**Bandes de Bollinger** : Le cours (37 905 FCFA) évolue dans la moitié supérieure de la bande, entre la borne inférieure (36 948,6 FCFA) et la borne supérieure (38 370,4 FCFA), sans franchissement des extrêmes. La largeur modérée des bandes traduit une volatilité contenue, et la position centrale du cours justifie la **décision Neutre** — ni signal d'achat ni de vente.</w:t>
      </w:r>
    </w:p>
    <w:p>
      <w:pPr>
        <w:spacing w:after="120" w:line="276" w:lineRule="auto"/>
      </w:pPr>
      <w:r>
        <w:t>**MACD** : La valeur du MACD (-73,55) est nettement supérieure à son signal (-153,58), générant un histogramme positif qui traduit un **momentum haussier naissant**. Ce croisement haussier du MACD au-dessus de sa ligne de signal justifie la **décision d'Achat**, bien que les deux courbes restent en territoire négatif.</w:t>
      </w:r>
    </w:p>
    <w:p>
      <w:pPr>
        <w:spacing w:after="120" w:line="276" w:lineRule="auto"/>
      </w:pPr>
      <w:r>
        <w:t>**RSI** : À **60,71**, le RSI se situe en zone neutre haute, sans atteindre la zone de surachat (&gt;70). Cela indique une dynamique positive modérée avec encore du potentiel de hausse avant épuisement, justifiant la **décision Neutre** — le titre n'est ni suracheté ni survendu.</w:t>
      </w:r>
    </w:p>
    <w:p>
      <w:pPr>
        <w:spacing w:after="120" w:line="276" w:lineRule="auto"/>
      </w:pPr>
      <w:r>
        <w:t>**Stochastique** : Avec un **%K de 90,5** et un **%D de 93,5**, les deux lignes évoluent en zone de surachat (&gt;80) et sont proches du croisement, le %K commençant à infléchir sous le %D. Cette configuration annonce un essoufflement imminent de la dynamique haussière et justifie la **décision de Vente**.</w:t>
      </w:r>
    </w:p>
    <w:p>
      <w:pPr>
        <w:spacing w:after="120" w:line="276" w:lineRule="auto"/>
      </w:pPr>
      <w:r>
        <w:t>**Conclusion technique** : Les indicateurs présentent une **divergence notable** : le MACD émet un signal d'achat tandis que les Moyennes Mobiles et le Stochastique recommandent la vente, le RSI et les Bollinger restant neutres. Cette configuration mitigée suggère un **titre en phase de consolidation**, avec un potentiel haussier limité à court terme mais sans signal baissier franc. La prudence est de mise avant toute décision directionnelle.</w:t>
      </w:r>
    </w:p>
    <w:p>
      <w:pPr>
        <w:spacing w:after="120" w:line="276" w:lineRule="auto"/>
      </w:pPr>
      <w:r>
        <w:t>---</w:t>
      </w:r>
    </w:p>
    <w:p>
      <w:pPr>
        <w:spacing w:after="120" w:line="276" w:lineRule="auto"/>
      </w:pPr>
      <w:r>
        <w:t>## PARTIE 3 : ANALYSE FONDAMENTALE</w:t>
      </w:r>
    </w:p>
    <w:p>
      <w:pPr>
        <w:spacing w:after="120" w:line="276" w:lineRule="auto"/>
      </w:pPr>
      <w:r>
        <w:t>**Données structurées (exercice 2025)** : SOLIBRA affiche un **chiffre d'affaires de 378,12 milliards FCFA** en 2025, en **croissance de 22,08%** par rapport à 2024 (309,72 Mds FCFA), portée par une progression des volumes de +15,6% au S1 2025. Le **résultat net s'élève à 45,78 milliards FCFA**, soit un doublement (+113%) par rapport aux 21,47 Mds FCFA de 2024, avec une **marge nette de 12,11%** (contre 6,9% en 2024). Le **ROE de 23,46%** (excellent, &gt;15%) et le **ROA de 13,48%** témoignent d'une rentabilité capitalistique remarquable. La structure financière est saine : **autonomie financière de 57,48%**, **ratio d'endettement de 42,52%**, **liquidité générale de 195%** et **trésorerie nette positive de 22,12 Mds FCFA**. Le **BFR de 61,59 Mds FCFA** (positif, donc à surveiller) reflète la croissance, avec des **délais clients de 64,27 jours** et **fournisseurs de 76,82 jours** — ce dernier étant favorable à la trésorerie. La **capacité de remboursement de 0,67 an** et la **couverture des intérêts de 3 374%** confirment une solidité financière exceptionnelle.</w:t>
      </w:r>
    </w:p>
    <w:p>
      <w:pPr>
        <w:spacing w:after="120" w:line="276" w:lineRule="auto"/>
      </w:pPr>
      <w:r>
        <w:t>**Estimations basées sur les rapports trimestriels** : Le **rapport T1 2026 (publié le 19/05/2026)** indique un CA de **93,46 Mds FCFA (+7,6%)**, un volume distribué de **1,839 million d'hectolitres (+9,6%)** et un **résultat net de 16,26 Mds FCFA (+4,8%)**, avec une **marge nette de 17,4%**. Sur cette base, on peut **estimer** un CA annuel 2026 autour de **400-410 Mds FCFA** et un résultat net de **48-52 Mds FCFA**, confirmant la poursuite de la dynamique. Le **rapport S1 2025 (30/06/2025)** avait déjà montré un résultat net de 28,0 Mds FCFA (+175,1%) et une marge opérationnelle de 23,3%.</w:t>
      </w:r>
    </w:p>
    <w:p>
      <w:pPr>
        <w:spacing w:after="120" w:line="276" w:lineRule="auto"/>
      </w:pPr>
      <w:r>
        <w:t>**Évolution pluriannuelle** : Les rapports antérieurs (2023, 2024) montrent une **volatilité historique** : marge nette de 0,4% en 2022, 4,8% en 2023, 6,9% en 2024, puis 12,1% en 2025 — une **amélioration spectaculaire** portée par la maîtrise des coûts, le désendettement (charges financières -55%) et l'effet volume. Le **rapport 2024 (analysé le 15/03/2026)** soulignait déjà un taux de distribution de 93,5%, tandis que le **rapport 2025 (analysé le 20/05/2026)** confirme un payout de 76,5% avec un dividende de **2 127 FCFA/action** proposé à l'AGO du 05/06/2026 (DOC 2).</w:t>
      </w:r>
    </w:p>
    <w:p>
      <w:pPr>
        <w:spacing w:after="120" w:line="276" w:lineRule="auto"/>
      </w:pPr>
      <w:r>
        <w:t>**Recommandation fondamentale** : SOLIBRA présente des **fondamentaux exceptionnels** avec une croissance à deux chiffres, une rentabilité en forte hausse et une structure financière solide. Les principaux risques sont la **dépendance aux matières premières** (90 Mds FCFA d'achats exposés à la volatilité), la **concentration géographique** sur la Côte d'Ivoire et la **soutenabilité de la croissance** à 22%. La recommandation fondamentale est **ACHAT** pour les investisseurs de long terme.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équilibré mais contrasté**. La **valorisation (Partie 0)** est modérée (PER 13,6x, EV/EBITDA 7,4x) avec une prime de croissance justifiée par un ROE de 23,46%, sans surévaluation manifeste. Le **comportement du cours (Partie 1)** affiche une tendance baissière sur 100 jours (-4,76%) mais une volatilité modérée (29,1%) et une distribution symétrique (skewness 0,392, kurtosis 0,483), sans risque de pics extrêmes. Les **signaux techniques (Partie 2)** sont **divergents** : MACD haussier, mais MM et Stochastique baissiers, RSI et Bollinger neutres — une configuration de consolidation sans direction claire. Les **fondamentaux (Partie 3)** sont **excellents** : CA +22%, résultat net +113%, ROE 23,46%, trésorerie nette positive, avec des estimations T1 2026 confirmant la dynamique (+7,6% CA, +4,8% RN). Les **prédictions IA (J+1 à J+10)** anticipent une **hausse progressive de 38 540 à 39 815 FCFA** (+5,0% sur 5 jours), ce qui **contredit** le signal baissier des MM et du Stochastique mais **confirme** le momentum haussier du MACD et la solidité fondamentale.</w:t>
      </w:r>
    </w:p>
    <w:p>
      <w:pPr>
        <w:spacing w:after="120" w:line="276" w:lineRule="auto"/>
      </w:pPr>
      <w:r>
        <w:t>**Recommandation finale : ACHAT**</w:t>
      </w:r>
    </w:p>
    <w:p>
      <w:pPr>
        <w:spacing w:after="120" w:line="276" w:lineRule="auto"/>
      </w:pPr>
      <w:r>
        <w:t>Cette recommandation repose sur la **convergence entre la valorisation raisonnable, les fondamentaux exceptionnels et les prédictions IA haussières**, malgré la divergence technique à court terme. Le titre offre un **profil attractif** pour les investisseurs de **moyen à long terme (3-12 mois et plus)**, avec un dividende de 2 127 FCFA/action (rendement d'environ 5,6% au cours actuel) et un potentiel de appréciation lié à la croissance des bénéfices. Le **niveau de confiance est Moyen** (en raison de la divergence technique) et le **niveau de risque global est Moyen** (dépendance aux matières premières et concentration géographique). Horizon optimal : **moyen terme (3-12 mois)** pour capturer la hausse post-AGO et la publication des résultats semestriels 2026.</w:t>
      </w:r>
    </w:p>
    <w:p>
      <w:pPr>
        <w:spacing w:after="120" w:line="276" w:lineRule="auto"/>
      </w:pPr>
      <w:r>
        <w:t>---</w:t>
      </w:r>
    </w:p>
    <w:p>
      <w:pPr>
        <w:spacing w:after="120" w:line="276" w:lineRule="auto"/>
      </w:pPr>
      <w:r>
        <w:t>*Rapport généré le 13 septembre 2026 — Données au 12 septembre 2026*</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[3]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142.65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1,563 titres</w:t>
            </w:r>
          </w:p>
        </w:tc>
        <w:tc>
          <w:tcPr>
            <w:tcW w:type="dxa" w:w="2268"/>
            <w:shd w:fill="FFF2CC" w:val="clear"/>
          </w:tcPr>
          <w:p>
            <w:r>
              <w:rPr>
                <w:b/>
                <w:color w:val="503200"/>
                <w:sz w:val="16"/>
              </w:rPr>
              <w:t xml:space="preserve">Cours actuel : </w:t>
            </w:r>
            <w:r>
              <w:rPr>
                <w:color w:val="000000"/>
                <w:sz w:val="17"/>
              </w:rPr>
              <w:t>18,300 FCFA</w:t>
            </w:r>
          </w:p>
          <w:p>
            <w:r>
              <w:rPr>
                <w:b/>
                <w:color w:val="503200"/>
                <w:sz w:val="16"/>
              </w:rPr>
              <w:t xml:space="preserve">Var. 100 jours : </w:t>
            </w:r>
            <w:r>
              <w:rPr>
                <w:b/>
                <w:color w:val="007800"/>
                <w:sz w:val="17"/>
              </w:rPr>
              <w:t>+58.65%</w:t>
            </w:r>
          </w:p>
          <w:p>
            <w:r>
              <w:rPr>
                <w:b/>
                <w:color w:val="503200"/>
                <w:sz w:val="16"/>
              </w:rPr>
              <w:t xml:space="preserve">Plus haut 100j : </w:t>
            </w:r>
            <w:r>
              <w:rPr>
                <w:color w:val="000000"/>
                <w:sz w:val="17"/>
              </w:rPr>
              <w:t>18,500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14.02% (Moyenne) — μ=15,238 FCFA, σ=2,136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β=-0.7506 (Contre-cyclique) — Cov=-0.000026, Var(idx)=0.000035, ρ=-0.194,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1,563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17,745</w:t>
            </w:r>
          </w:p>
        </w:tc>
        <w:tc>
          <w:tcPr>
            <w:tcW w:type="dxa" w:w="1440"/>
            <w:shd w:fill="FAFAFA" w:val="clear"/>
          </w:tcPr>
          <w:p>
            <w:r>
              <w:rPr>
                <w:b/>
                <w:sz w:val="17"/>
              </w:rPr>
              <w:t>18,169</w:t>
            </w:r>
          </w:p>
        </w:tc>
        <w:tc>
          <w:tcPr>
            <w:tcW w:type="dxa" w:w="1440"/>
            <w:shd w:fill="FAFAFA" w:val="clear"/>
          </w:tcPr>
          <w:p>
            <w:r>
              <w:rPr>
                <w:sz w:val="17"/>
              </w:rPr>
              <w:t>18,592</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17,533</w:t>
            </w:r>
          </w:p>
        </w:tc>
        <w:tc>
          <w:tcPr>
            <w:tcW w:type="dxa" w:w="1440"/>
            <w:shd w:fill="FAFAFA" w:val="clear"/>
          </w:tcPr>
          <w:p>
            <w:r>
              <w:rPr>
                <w:b/>
                <w:sz w:val="17"/>
              </w:rPr>
              <w:t>18,130</w:t>
            </w:r>
          </w:p>
        </w:tc>
        <w:tc>
          <w:tcPr>
            <w:tcW w:type="dxa" w:w="1440"/>
            <w:shd w:fill="FAFAFA" w:val="clear"/>
          </w:tcPr>
          <w:p>
            <w:r>
              <w:rPr>
                <w:sz w:val="17"/>
              </w:rPr>
              <w:t>18,728</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17,361</w:t>
            </w:r>
          </w:p>
        </w:tc>
        <w:tc>
          <w:tcPr>
            <w:tcW w:type="dxa" w:w="1440"/>
            <w:shd w:fill="FAFAFA" w:val="clear"/>
          </w:tcPr>
          <w:p>
            <w:r>
              <w:rPr>
                <w:b/>
                <w:sz w:val="17"/>
              </w:rPr>
              <w:t>18,091</w:t>
            </w:r>
          </w:p>
        </w:tc>
        <w:tc>
          <w:tcPr>
            <w:tcW w:type="dxa" w:w="1440"/>
            <w:shd w:fill="FAFAFA" w:val="clear"/>
          </w:tcPr>
          <w:p>
            <w:r>
              <w:rPr>
                <w:sz w:val="17"/>
              </w:rPr>
              <w:t>18,821</w:t>
            </w:r>
          </w:p>
        </w:tc>
        <w:tc>
          <w:tcPr>
            <w:tcW w:type="dxa" w:w="1440"/>
            <w:shd w:fill="FAFAFA" w:val="clear"/>
          </w:tcPr>
          <w:p>
            <w:r>
              <w:rPr>
                <w:b/>
                <w:color w:val="C00000"/>
                <w:sz w:val="17"/>
              </w:rPr>
              <w:t>-1.1%</w:t>
            </w:r>
          </w:p>
        </w:tc>
      </w:tr>
      <w:tr>
        <w:tc>
          <w:tcPr>
            <w:tcW w:type="dxa" w:w="1440"/>
            <w:shd w:fill="FAFAFA" w:val="clear"/>
          </w:tcPr>
          <w:p>
            <w:r>
              <w:rPr>
                <w:sz w:val="17"/>
              </w:rPr>
              <w:t>J+4  Moyenne</w:t>
            </w:r>
          </w:p>
        </w:tc>
        <w:tc>
          <w:tcPr>
            <w:tcW w:type="dxa" w:w="1440"/>
            <w:shd w:fill="FAFAFA" w:val="clear"/>
          </w:tcPr>
          <w:p>
            <w:r>
              <w:rPr>
                <w:sz w:val="17"/>
              </w:rPr>
              <w:t>2026-09-17</w:t>
            </w:r>
          </w:p>
        </w:tc>
        <w:tc>
          <w:tcPr>
            <w:tcW w:type="dxa" w:w="1440"/>
            <w:shd w:fill="FAFAFA" w:val="clear"/>
          </w:tcPr>
          <w:p>
            <w:r>
              <w:rPr>
                <w:sz w:val="17"/>
              </w:rPr>
              <w:t>17,219</w:t>
            </w:r>
          </w:p>
        </w:tc>
        <w:tc>
          <w:tcPr>
            <w:tcW w:type="dxa" w:w="1440"/>
            <w:shd w:fill="FAFAFA" w:val="clear"/>
          </w:tcPr>
          <w:p>
            <w:r>
              <w:rPr>
                <w:b/>
                <w:sz w:val="17"/>
              </w:rPr>
              <w:t>18,061</w:t>
            </w:r>
          </w:p>
        </w:tc>
        <w:tc>
          <w:tcPr>
            <w:tcW w:type="dxa" w:w="1440"/>
            <w:shd w:fill="FAFAFA" w:val="clear"/>
          </w:tcPr>
          <w:p>
            <w:r>
              <w:rPr>
                <w:sz w:val="17"/>
              </w:rPr>
              <w:t>18,902</w:t>
            </w:r>
          </w:p>
        </w:tc>
        <w:tc>
          <w:tcPr>
            <w:tcW w:type="dxa" w:w="1440"/>
            <w:shd w:fill="FAFAFA" w:val="clear"/>
          </w:tcPr>
          <w:p>
            <w:r>
              <w:rPr>
                <w:b/>
                <w:color w:val="C00000"/>
                <w:sz w:val="17"/>
              </w:rPr>
              <w:t>-1.3%</w:t>
            </w:r>
          </w:p>
        </w:tc>
      </w:tr>
      <w:tr>
        <w:tc>
          <w:tcPr>
            <w:tcW w:type="dxa" w:w="1440"/>
            <w:shd w:fill="FAFAFA" w:val="clear"/>
          </w:tcPr>
          <w:p>
            <w:r>
              <w:rPr>
                <w:sz w:val="17"/>
              </w:rPr>
              <w:t>J+5  Moyenne</w:t>
            </w:r>
          </w:p>
        </w:tc>
        <w:tc>
          <w:tcPr>
            <w:tcW w:type="dxa" w:w="1440"/>
            <w:shd w:fill="FAFAFA" w:val="clear"/>
          </w:tcPr>
          <w:p>
            <w:r>
              <w:rPr>
                <w:sz w:val="17"/>
              </w:rPr>
              <w:t>2026-09-18</w:t>
            </w:r>
          </w:p>
        </w:tc>
        <w:tc>
          <w:tcPr>
            <w:tcW w:type="dxa" w:w="1440"/>
            <w:shd w:fill="FAFAFA" w:val="clear"/>
          </w:tcPr>
          <w:p>
            <w:r>
              <w:rPr>
                <w:sz w:val="17"/>
              </w:rPr>
              <w:t>17,093</w:t>
            </w:r>
          </w:p>
        </w:tc>
        <w:tc>
          <w:tcPr>
            <w:tcW w:type="dxa" w:w="1440"/>
            <w:shd w:fill="FAFAFA" w:val="clear"/>
          </w:tcPr>
          <w:p>
            <w:r>
              <w:rPr>
                <w:b/>
                <w:sz w:val="17"/>
              </w:rPr>
              <w:t>18,033</w:t>
            </w:r>
          </w:p>
        </w:tc>
        <w:tc>
          <w:tcPr>
            <w:tcW w:type="dxa" w:w="1440"/>
            <w:shd w:fill="FAFAFA" w:val="clear"/>
          </w:tcPr>
          <w:p>
            <w:r>
              <w:rPr>
                <w:sz w:val="17"/>
              </w:rPr>
              <w:t>18,973</w:t>
            </w:r>
          </w:p>
        </w:tc>
        <w:tc>
          <w:tcPr>
            <w:tcW w:type="dxa" w:w="1440"/>
            <w:shd w:fill="FAFAFA" w:val="clear"/>
          </w:tcPr>
          <w:p>
            <w:r>
              <w:rPr>
                <w:b/>
                <w:color w:val="C00000"/>
                <w:sz w:val="17"/>
              </w:rPr>
              <w:t>-1.5%</w:t>
            </w:r>
          </w:p>
        </w:tc>
      </w:tr>
      <w:tr>
        <w:tc>
          <w:tcPr>
            <w:tcW w:type="dxa" w:w="1440"/>
            <w:shd w:fill="FAFAFA" w:val="clear"/>
          </w:tcPr>
          <w:p>
            <w:r>
              <w:rPr>
                <w:sz w:val="17"/>
              </w:rPr>
              <w:t>J+6  Moyenne</w:t>
            </w:r>
          </w:p>
        </w:tc>
        <w:tc>
          <w:tcPr>
            <w:tcW w:type="dxa" w:w="1440"/>
            <w:shd w:fill="FAFAFA" w:val="clear"/>
          </w:tcPr>
          <w:p>
            <w:r>
              <w:rPr>
                <w:sz w:val="17"/>
              </w:rPr>
              <w:t>2026-09-21</w:t>
            </w:r>
          </w:p>
        </w:tc>
        <w:tc>
          <w:tcPr>
            <w:tcW w:type="dxa" w:w="1440"/>
            <w:shd w:fill="FAFAFA" w:val="clear"/>
          </w:tcPr>
          <w:p>
            <w:r>
              <w:rPr>
                <w:sz w:val="17"/>
              </w:rPr>
              <w:t>16,978</w:t>
            </w:r>
          </w:p>
        </w:tc>
        <w:tc>
          <w:tcPr>
            <w:tcW w:type="dxa" w:w="1440"/>
            <w:shd w:fill="FAFAFA" w:val="clear"/>
          </w:tcPr>
          <w:p>
            <w:r>
              <w:rPr>
                <w:b/>
                <w:sz w:val="17"/>
              </w:rPr>
              <w:t>18,006</w:t>
            </w:r>
          </w:p>
        </w:tc>
        <w:tc>
          <w:tcPr>
            <w:tcW w:type="dxa" w:w="1440"/>
            <w:shd w:fill="FAFAFA" w:val="clear"/>
          </w:tcPr>
          <w:p>
            <w:r>
              <w:rPr>
                <w:sz w:val="17"/>
              </w:rPr>
              <w:t>19,034</w:t>
            </w:r>
          </w:p>
        </w:tc>
        <w:tc>
          <w:tcPr>
            <w:tcW w:type="dxa" w:w="1440"/>
            <w:shd w:fill="FAFAFA" w:val="clear"/>
          </w:tcPr>
          <w:p>
            <w:r>
              <w:rPr>
                <w:b/>
                <w:color w:val="C00000"/>
                <w:sz w:val="17"/>
              </w:rPr>
              <w:t>-1.6%</w:t>
            </w:r>
          </w:p>
        </w:tc>
      </w:tr>
      <w:tr>
        <w:tc>
          <w:tcPr>
            <w:tcW w:type="dxa" w:w="1440"/>
            <w:shd w:fill="FAFAFA" w:val="clear"/>
          </w:tcPr>
          <w:p>
            <w:r>
              <w:rPr>
                <w:sz w:val="17"/>
              </w:rPr>
              <w:t>J+7  Moyenne</w:t>
            </w:r>
          </w:p>
        </w:tc>
        <w:tc>
          <w:tcPr>
            <w:tcW w:type="dxa" w:w="1440"/>
            <w:shd w:fill="FAFAFA" w:val="clear"/>
          </w:tcPr>
          <w:p>
            <w:r>
              <w:rPr>
                <w:sz w:val="17"/>
              </w:rPr>
              <w:t>2026-09-22</w:t>
            </w:r>
          </w:p>
        </w:tc>
        <w:tc>
          <w:tcPr>
            <w:tcW w:type="dxa" w:w="1440"/>
            <w:shd w:fill="FAFAFA" w:val="clear"/>
          </w:tcPr>
          <w:p>
            <w:r>
              <w:rPr>
                <w:sz w:val="17"/>
              </w:rPr>
              <w:t>16,872</w:t>
            </w:r>
          </w:p>
        </w:tc>
        <w:tc>
          <w:tcPr>
            <w:tcW w:type="dxa" w:w="1440"/>
            <w:shd w:fill="FAFAFA" w:val="clear"/>
          </w:tcPr>
          <w:p>
            <w:r>
              <w:rPr>
                <w:b/>
                <w:sz w:val="17"/>
              </w:rPr>
              <w:t>17,980</w:t>
            </w:r>
          </w:p>
        </w:tc>
        <w:tc>
          <w:tcPr>
            <w:tcW w:type="dxa" w:w="1440"/>
            <w:shd w:fill="FAFAFA" w:val="clear"/>
          </w:tcPr>
          <w:p>
            <w:r>
              <w:rPr>
                <w:sz w:val="17"/>
              </w:rPr>
              <w:t>19,089</w:t>
            </w:r>
          </w:p>
        </w:tc>
        <w:tc>
          <w:tcPr>
            <w:tcW w:type="dxa" w:w="1440"/>
            <w:shd w:fill="FAFAFA" w:val="clear"/>
          </w:tcPr>
          <w:p>
            <w:r>
              <w:rPr>
                <w:b/>
                <w:color w:val="C00000"/>
                <w:sz w:val="17"/>
              </w:rPr>
              <w:t>-1.7%</w:t>
            </w:r>
          </w:p>
        </w:tc>
      </w:tr>
      <w:tr>
        <w:tc>
          <w:tcPr>
            <w:tcW w:type="dxa" w:w="1440"/>
            <w:shd w:fill="FAFAFA" w:val="clear"/>
          </w:tcPr>
          <w:p>
            <w:r>
              <w:rPr>
                <w:sz w:val="17"/>
              </w:rPr>
              <w:t>J+8  Moyenne</w:t>
            </w:r>
          </w:p>
        </w:tc>
        <w:tc>
          <w:tcPr>
            <w:tcW w:type="dxa" w:w="1440"/>
            <w:shd w:fill="FAFAFA" w:val="clear"/>
          </w:tcPr>
          <w:p>
            <w:r>
              <w:rPr>
                <w:sz w:val="17"/>
              </w:rPr>
              <w:t>2026-09-23</w:t>
            </w:r>
          </w:p>
        </w:tc>
        <w:tc>
          <w:tcPr>
            <w:tcW w:type="dxa" w:w="1440"/>
            <w:shd w:fill="FAFAFA" w:val="clear"/>
          </w:tcPr>
          <w:p>
            <w:r>
              <w:rPr>
                <w:sz w:val="17"/>
              </w:rPr>
              <w:t>16,771</w:t>
            </w:r>
          </w:p>
        </w:tc>
        <w:tc>
          <w:tcPr>
            <w:tcW w:type="dxa" w:w="1440"/>
            <w:shd w:fill="FAFAFA" w:val="clear"/>
          </w:tcPr>
          <w:p>
            <w:r>
              <w:rPr>
                <w:b/>
                <w:sz w:val="17"/>
              </w:rPr>
              <w:t>17,955</w:t>
            </w:r>
          </w:p>
        </w:tc>
        <w:tc>
          <w:tcPr>
            <w:tcW w:type="dxa" w:w="1440"/>
            <w:shd w:fill="FAFAFA" w:val="clear"/>
          </w:tcPr>
          <w:p>
            <w:r>
              <w:rPr>
                <w:sz w:val="17"/>
              </w:rPr>
              <w:t>19,138</w:t>
            </w:r>
          </w:p>
        </w:tc>
        <w:tc>
          <w:tcPr>
            <w:tcW w:type="dxa" w:w="1440"/>
            <w:shd w:fill="FAFAFA" w:val="clear"/>
          </w:tcPr>
          <w:p>
            <w:r>
              <w:rPr>
                <w:b/>
                <w:color w:val="C00000"/>
                <w:sz w:val="17"/>
              </w:rPr>
              <w:t>-1.9%</w:t>
            </w:r>
          </w:p>
        </w:tc>
      </w:tr>
      <w:tr>
        <w:tc>
          <w:tcPr>
            <w:tcW w:type="dxa" w:w="1440"/>
            <w:shd w:fill="FFDCE0" w:val="clear"/>
          </w:tcPr>
          <w:p>
            <w:r>
              <w:rPr>
                <w:sz w:val="17"/>
              </w:rPr>
              <w:t>J+9  Moyenne</w:t>
            </w:r>
          </w:p>
        </w:tc>
        <w:tc>
          <w:tcPr>
            <w:tcW w:type="dxa" w:w="1440"/>
            <w:shd w:fill="FFDCE0" w:val="clear"/>
          </w:tcPr>
          <w:p>
            <w:r>
              <w:rPr>
                <w:sz w:val="17"/>
              </w:rPr>
              <w:t>2026-09-24</w:t>
            </w:r>
          </w:p>
        </w:tc>
        <w:tc>
          <w:tcPr>
            <w:tcW w:type="dxa" w:w="1440"/>
            <w:shd w:fill="FFDCE0" w:val="clear"/>
          </w:tcPr>
          <w:p>
            <w:r>
              <w:rPr>
                <w:sz w:val="17"/>
              </w:rPr>
              <w:t>16,676</w:t>
            </w:r>
          </w:p>
        </w:tc>
        <w:tc>
          <w:tcPr>
            <w:tcW w:type="dxa" w:w="1440"/>
            <w:shd w:fill="FFDCE0" w:val="clear"/>
          </w:tcPr>
          <w:p>
            <w:r>
              <w:rPr>
                <w:b/>
                <w:sz w:val="17"/>
              </w:rPr>
              <w:t>17,930</w:t>
            </w:r>
          </w:p>
        </w:tc>
        <w:tc>
          <w:tcPr>
            <w:tcW w:type="dxa" w:w="1440"/>
            <w:shd w:fill="FFDCE0" w:val="clear"/>
          </w:tcPr>
          <w:p>
            <w:r>
              <w:rPr>
                <w:sz w:val="17"/>
              </w:rPr>
              <w:t>19,183</w:t>
            </w:r>
          </w:p>
        </w:tc>
        <w:tc>
          <w:tcPr>
            <w:tcW w:type="dxa" w:w="1440"/>
            <w:shd w:fill="FFDCE0" w:val="clear"/>
          </w:tcPr>
          <w:p>
            <w:r>
              <w:rPr>
                <w:b/>
                <w:color w:val="C00000"/>
                <w:sz w:val="17"/>
              </w:rPr>
              <w:t>-2.0%</w:t>
            </w:r>
          </w:p>
        </w:tc>
      </w:tr>
      <w:tr>
        <w:tc>
          <w:tcPr>
            <w:tcW w:type="dxa" w:w="1440"/>
            <w:shd w:fill="FFDCE0" w:val="clear"/>
          </w:tcPr>
          <w:p>
            <w:r>
              <w:rPr>
                <w:sz w:val="17"/>
              </w:rPr>
              <w:t>J+10  Moyenne</w:t>
            </w:r>
          </w:p>
        </w:tc>
        <w:tc>
          <w:tcPr>
            <w:tcW w:type="dxa" w:w="1440"/>
            <w:shd w:fill="FFDCE0" w:val="clear"/>
          </w:tcPr>
          <w:p>
            <w:r>
              <w:rPr>
                <w:sz w:val="17"/>
              </w:rPr>
              <w:t>2026-09-25</w:t>
            </w:r>
          </w:p>
        </w:tc>
        <w:tc>
          <w:tcPr>
            <w:tcW w:type="dxa" w:w="1440"/>
            <w:shd w:fill="FFDCE0" w:val="clear"/>
          </w:tcPr>
          <w:p>
            <w:r>
              <w:rPr>
                <w:sz w:val="17"/>
              </w:rPr>
              <w:t>16,585</w:t>
            </w:r>
          </w:p>
        </w:tc>
        <w:tc>
          <w:tcPr>
            <w:tcW w:type="dxa" w:w="1440"/>
            <w:shd w:fill="FFDCE0" w:val="clear"/>
          </w:tcPr>
          <w:p>
            <w:r>
              <w:rPr>
                <w:b/>
                <w:sz w:val="17"/>
              </w:rPr>
              <w:t>17,905</w:t>
            </w:r>
          </w:p>
        </w:tc>
        <w:tc>
          <w:tcPr>
            <w:tcW w:type="dxa" w:w="1440"/>
            <w:shd w:fill="FFDCE0" w:val="clear"/>
          </w:tcPr>
          <w:p>
            <w:r>
              <w:rPr>
                <w:sz w:val="17"/>
              </w:rPr>
              <w:t>19,224</w:t>
            </w:r>
          </w:p>
        </w:tc>
        <w:tc>
          <w:tcPr>
            <w:tcW w:type="dxa" w:w="1440"/>
            <w:shd w:fill="FFDCE0" w:val="clear"/>
          </w:tcPr>
          <w:p>
            <w:r>
              <w:rPr>
                <w:b/>
                <w:color w:val="C00000"/>
                <w:sz w:val="17"/>
              </w:rPr>
              <w:t>-2.2%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**RAPPORT D'ANALYSE FINANCIÈRE — SMBC (BRVM)**</w:t>
        <w:br/>
        <w:t>*Société Multinationale de Bitumes — Secteur : Entreprise (Bitumes / Produits pétroliers)*</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142,65 Mds FCFA, SMBC se positionne comme une valeur de taille intermédiaire sur la BRVM, représentant un poids non négligeable dans l'indice composite. Le BPA de 1 677 FCFA/action signifie que chaque titre génère près de 1 677 FCFA de bénéfice net, ce qui, rapporté au cours actuel de 18 300 FCFA, donne un PER de 10,9x — un niveau modéré, légèrement supérieur à la moyenne BRVM (~8-12x), traduisant une valorisation raisonnable mais sans décote flagrante. Le P/B de 3,32x indique que le marché valorise SMBC à plus de trois fois sa valeur comptable (capitaux propres de 42,9 Mds FCFA), soit une prime de croissance significative qui se justifie par un ROE exceptionnel de 30,5%. Enfin, l'EV/EBITDA de 6,9x situe la valeur totale de l'entreprise (dette incluse) à environ sept fois sa capacité opérationnelle, un niveau raisonnable dans la fourchette 5-10x, suggérant que le marché n'emballe pas la valorisation malgré la forte progression du titre.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SMBC affiche une performance remarquable de +58,65%, portant le cours de 11 450 FCFA (plus bas) à 18 500 FCFA (plus haut), avec une clôture actuelle à 18 300 FCFA. La dernière séance (J-1) marque cependant un repli de -1,08%, signalant une possible prise de bénéfices après ce rallye exceptionnel. La tendance générale est donc nettement haussière, le titre ayant presque doublé sur la période, porté par l'amélioration spectaculaire des fondamentaux (résultat net +50,3% en 2025). Les statistiques descriptives révèlent une distribution asymétrique : la moyenne (15 238 FCFA) est inférieure à la médiane (16 000 FCFA), confirmant un skewness négatif (-0,602) — plus de journées ont été passées au-dessus de la moyenne, typique d'un titre en fin de rallye. L'écart-type de 2 147 FCFA (CV=14,1%) indique une dispersion modérée, tandis que le kurtosis négatif (-1,097, distribution platykurtique) suggère une faible concentration des rendements et un risque de pics limité. La volatilité annualisée de 36,1% classe le titre dans la catégorie « élevée » (&gt;30%), ce qui est cohérent avec un marché frontière et une action ayant connu une forte appréciation.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(17 198 FCFA) et la MM50 (16 750 FCFA) sont toutes deux nettement inférieures au cours actuel (18 300 FCFA), confirmant une configuration haussière solide. La MM20 &gt; MM50 indique un momentum positif de court terme, et la décision « Achat » est justifiée par le fait que le cours évolue au-dessus de ses deux moyennes, signe de force tendancielle.</w:t>
      </w:r>
    </w:p>
    <w:p>
      <w:pPr>
        <w:spacing w:after="120" w:line="276" w:lineRule="auto"/>
      </w:pPr>
      <w:r>
        <w:t>**Bandes de Bollinger** : Le cours (18 300 FCFA) se situe tout près de la borne supérieure (18 428 FCFA), ce qui traduit une pression acheteuse intense mais aussi un risque de retour à la moyenne. La décision « Neutre » s'explique par cette position extrême : le titre est proche de la surchauffe, et une correction technique vers la bande médiane (≈17 200 FCFA) n'est pas à exclure.</w:t>
      </w:r>
    </w:p>
    <w:p>
      <w:pPr>
        <w:spacing w:after="120" w:line="276" w:lineRule="auto"/>
      </w:pPr>
      <w:r>
        <w:t>**MACD** : La valeur du MACD (462,32) est bien supérieure à son signal (347,37), avec un histogramme positif, confirmant un momentum haussier robuste. La décision « Achat » est justifiée par cette divergence positive, bien que l'écart entre les deux lignes commence peut-être à se stabiliser, ce qui pourrait annoncer un essoufflement.</w:t>
      </w:r>
    </w:p>
    <w:p>
      <w:pPr>
        <w:spacing w:after="120" w:line="276" w:lineRule="auto"/>
      </w:pPr>
      <w:r>
        <w:t>**RSI** : À 81,82, le RSI est en zone de surachat (&gt;70), ce qui déclenche une décision « Vente » technique. Ce niveau extrême indique que le titre a été acheté de manière excessive à court terme et qu'un repli ou une consolidation est probable avant une nouvelle jambe de hausse.</w:t>
      </w:r>
    </w:p>
    <w:p>
      <w:pPr>
        <w:spacing w:after="120" w:line="276" w:lineRule="auto"/>
      </w:pPr>
      <w:r>
        <w:t>**Stochastique** : Le %K (88,24) et le %D (96,08) sont tous deux en zone de surachat, avec un %D supérieur au %K, ce qui suggère un croisement baissier imminent. La décision « Vente » est cohérente avec ce signal de retournement à court terme.</w:t>
      </w:r>
    </w:p>
    <w:p>
      <w:pPr>
        <w:spacing w:after="120" w:line="276" w:lineRule="auto"/>
      </w:pPr>
      <w:r>
        <w:t>**Conclusion technique** : Les indicateurs de tendance (MM, MACD) restent haussiers et confirment la solidité du mouvement, mais les oscillateurs (RSI, Stochastique) sont en zone de surachat extrême et signalent un risque de correction à court terme. La configuration est donc celle d'un titre en forte tendance haussière mais techniquement surchauffé, ce qui plaide pour une prise de bénéfices partielle ou une attente de repli avant tout nouvel achat.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SMBC affiche un chiffre d'affaires de 206,74 Mds FCFA, en baisse de -9,74% par rapport à 2024 (229,06 Mds FCFA), mais un résultat net en forte progression de +50,3% à 13,075 Mds FCFA, contre 8,698 Mds FCFA en 2024. Cette performance paradoxale s'explique par une amélioration spectaculaire de la rentabilité opérationnelle : l'EBE bondit de +41,8% à 18,48 Mds FCFA, la marge nette passe de 3,8% à 6,3%, et le ROE atteint 30,47% (excellent, &gt;15%), tandis que le ROA s'établit à 7,26%. La structure financière se renforce : les capitaux propres progressent de +21,6% à 42,913 Mds FCFA, la trésorerie nette est positive à 23,988 Mds FCFA, et le ratio d'endettement de 76,16% reste maîtrisé avec une capacité de remboursement de 0,68 an (dettes financières/CAF). Cependant, des signaux d'alerte persistent : le BFR est élevé (1,693 Md FCFA), le délai clients atteint 193,75 jours (risque de trésorerie), et le taux de distribution des dividendes est passé de 107,5% en 2024 à 41,7% en 2025, traduisant une politique plus prudente. Les rapports trimestriels 2025 confirment la tendance : au T3 2025 (rapport du 30/09/2025), le CA cumulé baisse de -14% à 155,2 Mds FCFA, mais le résultat net progresse de +6% à 5,7 Mds FCFA, avec une marge opérationnelle en hausse à 5,4% (contre 4,0% aux 9M 2024). Le S1 2025 (rapport du 30/06/2025) montrait déjà un CA en repli de -23% à 101,9 Mds FCFA, mais un EBE en hausse de +38%, confirmant la résilience opérationnelle. On estime donc que l'exercice 2025 devrait se conclure sur un résultat net autour de 13 Mds FCFA, avec une marge nette supérieure à 6%, et que 2026 pourrait bénéficier d'une reprise progressive du CA si les projets d'infrastructures routières en Côte d'Ivoire et dans la sous-région se matérialisent. La recommandation fondamentale est « Conserver » avec un biais positif : la solidité du bilan, la génération de cash et l'amélioration des marges compensent la baisse du CA, mais la dépendance aux cycles d'investissement public et la volatilité des prix du bitume restent des risques structurels.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SMBC (PER 10,9x, P/B 3,32x, EV/EBITDA 6,9x) est raisonnable mais intègre déjà une bonne partie de l'amélioration des marges, sans décote manifeste. Le comportement du cours sur 100 jours (+58,65%) est exceptionnel, mais les statistiques descriptives (skewness négatif, kurtosis platykurtique) et la volatilité élevée (36,1%) suggèrent que le rallye pourrait être en phase de maturité, d'autant que le repli de -1,08% en J-1 et la position du RSI (81,8) et du Stochastique (96,1) en zone de surachat extrême signalent un risque de correction à court terme. Les signaux techniques sont divergents : les MM et le MACD restent haussiers, mais les oscillateurs appellent à la prudence, créant une configuration de « tendance haussière surchauffée ». Les fondamentaux sont solides (ROE 30,5%, trésorerie nette positive, marge nette en hausse à 6,3%), mais la baisse du CA (-9,7% en 2025) et le BFR élevé (délai clients de 193,75 jours) tempèrent l'enthousiasme. Les prédictions IA pour les 10 prochains jours (18 169 FCFA le 14/09, puis 18 033 FCFA le 18/09) anticipent une légère consolidation baissière, ce qui confirme les signaux de surachat et contredit la poursuite immédiate du rallye. Sur la base de cette synthèse, la recommandation finale est **CONSERVER** avec un niveau de confiance **Moyen** et un risque global **Moyen**. Le titre reste un actif de qualité, mais le point d'entrée actuel n'est pas optimal : les investisseurs déjà positionnés peuvent conserver en surveillant les prochains résultats trimestriels, tandis que les nouveaux entrants devraient attendre un repli vers 17 000-17 500 FCFA (zone de la MM20) pour bénéficier d'un meilleur rapport risque/rendement. L'horizon d'investissement optimal est le **moyen terme (3-12 mois)**, le temps que la croissance du CA se confirme et que les indicateurs techniques se normalisent.</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3927.50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9,609 titres</w:t>
            </w:r>
          </w:p>
        </w:tc>
        <w:tc>
          <w:tcPr>
            <w:tcW w:type="dxa" w:w="2268"/>
            <w:shd w:fill="FFF2CC" w:val="clear"/>
          </w:tcPr>
          <w:p>
            <w:r>
              <w:rPr>
                <w:b/>
                <w:color w:val="503200"/>
                <w:sz w:val="16"/>
              </w:rPr>
              <w:t xml:space="preserve">Cours actuel : </w:t>
            </w:r>
            <w:r>
              <w:rPr>
                <w:color w:val="000000"/>
                <w:sz w:val="17"/>
              </w:rPr>
              <w:t>39,275 FCFA</w:t>
            </w:r>
          </w:p>
          <w:p>
            <w:r>
              <w:rPr>
                <w:b/>
                <w:color w:val="503200"/>
                <w:sz w:val="16"/>
              </w:rPr>
              <w:t xml:space="preserve">Var. 100 jours : </w:t>
            </w:r>
            <w:r>
              <w:rPr>
                <w:b/>
                <w:color w:val="007800"/>
                <w:sz w:val="17"/>
              </w:rPr>
              <w:t>+37.83%</w:t>
            </w:r>
          </w:p>
          <w:p>
            <w:r>
              <w:rPr>
                <w:b/>
                <w:color w:val="503200"/>
                <w:sz w:val="16"/>
              </w:rPr>
              <w:t xml:space="preserve">Plus haut 100j : </w:t>
            </w:r>
            <w:r>
              <w:rPr>
                <w:color w:val="000000"/>
                <w:sz w:val="17"/>
              </w:rPr>
              <w:t>39,275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25.3/100 → Moyen</w:t>
      </w:r>
    </w:p>
    <w:p>
      <w:pPr>
        <w:spacing w:before="40" w:after="80"/>
      </w:pPr>
      <w:r>
        <w:rPr>
          <w:rFonts w:ascii="Courier New" w:hAnsi="Courier New"/>
          <w:color w:val="825A00"/>
          <w:sz w:val="18"/>
        </w:rPr>
        <w:t>█████░░░░░░░░░░░░░░░  25.3/100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10.28% (Moyenne) — μ=30,928 FCFA, σ=3,180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β=1.8015 (Très agressif) — Cov=0.000063, Var(idx)=0.000035, ρ=0.560,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9,609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σ_j=1.89%/j (Stable) — Vol. annualisée≈30.0%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37,096</w:t>
            </w:r>
          </w:p>
        </w:tc>
        <w:tc>
          <w:tcPr>
            <w:tcW w:type="dxa" w:w="1440"/>
            <w:shd w:fill="FAFAFA" w:val="clear"/>
          </w:tcPr>
          <w:p>
            <w:r>
              <w:rPr>
                <w:b/>
                <w:sz w:val="17"/>
              </w:rPr>
              <w:t>38,607</w:t>
            </w:r>
          </w:p>
        </w:tc>
        <w:tc>
          <w:tcPr>
            <w:tcW w:type="dxa" w:w="1440"/>
            <w:shd w:fill="FAFAFA" w:val="clear"/>
          </w:tcPr>
          <w:p>
            <w:r>
              <w:rPr>
                <w:sz w:val="17"/>
              </w:rPr>
              <w:t>40,117</w:t>
            </w:r>
          </w:p>
        </w:tc>
        <w:tc>
          <w:tcPr>
            <w:tcW w:type="dxa" w:w="1440"/>
            <w:shd w:fill="FAFAFA" w:val="clear"/>
          </w:tcPr>
          <w:p>
            <w:r>
              <w:rPr>
                <w:b/>
                <w:color w:val="C00000"/>
                <w:sz w:val="17"/>
              </w:rPr>
              <w:t>-1.7%</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36,466</w:t>
            </w:r>
          </w:p>
        </w:tc>
        <w:tc>
          <w:tcPr>
            <w:tcW w:type="dxa" w:w="1440"/>
            <w:shd w:fill="FAFAFA" w:val="clear"/>
          </w:tcPr>
          <w:p>
            <w:r>
              <w:rPr>
                <w:b/>
                <w:sz w:val="17"/>
              </w:rPr>
              <w:t>38,602</w:t>
            </w:r>
          </w:p>
        </w:tc>
        <w:tc>
          <w:tcPr>
            <w:tcW w:type="dxa" w:w="1440"/>
            <w:shd w:fill="FAFAFA" w:val="clear"/>
          </w:tcPr>
          <w:p>
            <w:r>
              <w:rPr>
                <w:sz w:val="17"/>
              </w:rPr>
              <w:t>40,738</w:t>
            </w:r>
          </w:p>
        </w:tc>
        <w:tc>
          <w:tcPr>
            <w:tcW w:type="dxa" w:w="1440"/>
            <w:shd w:fill="FAFAFA" w:val="clear"/>
          </w:tcPr>
          <w:p>
            <w:r>
              <w:rPr>
                <w:b/>
                <w:color w:val="C00000"/>
                <w:sz w:val="17"/>
              </w:rPr>
              <w:t>-1.7%</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35,942</w:t>
            </w:r>
          </w:p>
        </w:tc>
        <w:tc>
          <w:tcPr>
            <w:tcW w:type="dxa" w:w="1440"/>
            <w:shd w:fill="FAFAFA" w:val="clear"/>
          </w:tcPr>
          <w:p>
            <w:r>
              <w:rPr>
                <w:b/>
                <w:sz w:val="17"/>
              </w:rPr>
              <w:t>38,554</w:t>
            </w:r>
          </w:p>
        </w:tc>
        <w:tc>
          <w:tcPr>
            <w:tcW w:type="dxa" w:w="1440"/>
            <w:shd w:fill="FAFAFA" w:val="clear"/>
          </w:tcPr>
          <w:p>
            <w:r>
              <w:rPr>
                <w:sz w:val="17"/>
              </w:rPr>
              <w:t>41,167</w:t>
            </w:r>
          </w:p>
        </w:tc>
        <w:tc>
          <w:tcPr>
            <w:tcW w:type="dxa" w:w="1440"/>
            <w:shd w:fill="FAFAFA" w:val="clear"/>
          </w:tcPr>
          <w:p>
            <w:r>
              <w:rPr>
                <w:b/>
                <w:color w:val="C00000"/>
                <w:sz w:val="17"/>
              </w:rPr>
              <w:t>-1.8%</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35,501</w:t>
            </w:r>
          </w:p>
        </w:tc>
        <w:tc>
          <w:tcPr>
            <w:tcW w:type="dxa" w:w="1440"/>
            <w:shd w:fill="FAFAFA" w:val="clear"/>
          </w:tcPr>
          <w:p>
            <w:r>
              <w:rPr>
                <w:b/>
                <w:sz w:val="17"/>
              </w:rPr>
              <w:t>38,514</w:t>
            </w:r>
          </w:p>
        </w:tc>
        <w:tc>
          <w:tcPr>
            <w:tcW w:type="dxa" w:w="1440"/>
            <w:shd w:fill="FAFAFA" w:val="clear"/>
          </w:tcPr>
          <w:p>
            <w:r>
              <w:rPr>
                <w:sz w:val="17"/>
              </w:rPr>
              <w:t>41,528</w:t>
            </w:r>
          </w:p>
        </w:tc>
        <w:tc>
          <w:tcPr>
            <w:tcW w:type="dxa" w:w="1440"/>
            <w:shd w:fill="FAFAFA" w:val="clear"/>
          </w:tcPr>
          <w:p>
            <w:r>
              <w:rPr>
                <w:b/>
                <w:color w:val="C00000"/>
                <w:sz w:val="17"/>
              </w:rPr>
              <w:t>-1.9%</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35,117</w:t>
            </w:r>
          </w:p>
        </w:tc>
        <w:tc>
          <w:tcPr>
            <w:tcW w:type="dxa" w:w="1440"/>
            <w:shd w:fill="FFDCE0" w:val="clear"/>
          </w:tcPr>
          <w:p>
            <w:r>
              <w:rPr>
                <w:b/>
                <w:sz w:val="17"/>
              </w:rPr>
              <w:t>38,484</w:t>
            </w:r>
          </w:p>
        </w:tc>
        <w:tc>
          <w:tcPr>
            <w:tcW w:type="dxa" w:w="1440"/>
            <w:shd w:fill="FFDCE0" w:val="clear"/>
          </w:tcPr>
          <w:p>
            <w:r>
              <w:rPr>
                <w:sz w:val="17"/>
              </w:rPr>
              <w:t>41,851</w:t>
            </w:r>
          </w:p>
        </w:tc>
        <w:tc>
          <w:tcPr>
            <w:tcW w:type="dxa" w:w="1440"/>
            <w:shd w:fill="FFDCE0"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34,774</w:t>
            </w:r>
          </w:p>
        </w:tc>
        <w:tc>
          <w:tcPr>
            <w:tcW w:type="dxa" w:w="1440"/>
            <w:shd w:fill="FFDCE0" w:val="clear"/>
          </w:tcPr>
          <w:p>
            <w:r>
              <w:rPr>
                <w:b/>
                <w:sz w:val="17"/>
              </w:rPr>
              <w:t>38,460</w:t>
            </w:r>
          </w:p>
        </w:tc>
        <w:tc>
          <w:tcPr>
            <w:tcW w:type="dxa" w:w="1440"/>
            <w:shd w:fill="FFDCE0" w:val="clear"/>
          </w:tcPr>
          <w:p>
            <w:r>
              <w:rPr>
                <w:sz w:val="17"/>
              </w:rPr>
              <w:t>42,146</w:t>
            </w:r>
          </w:p>
        </w:tc>
        <w:tc>
          <w:tcPr>
            <w:tcW w:type="dxa" w:w="1440"/>
            <w:shd w:fill="FFDCE0" w:val="clear"/>
          </w:tcPr>
          <w:p>
            <w:r>
              <w:rPr>
                <w:b/>
                <w:color w:val="C00000"/>
                <w:sz w:val="17"/>
              </w:rPr>
              <w:t>-2.1%</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34,459</w:t>
            </w:r>
          </w:p>
        </w:tc>
        <w:tc>
          <w:tcPr>
            <w:tcW w:type="dxa" w:w="1440"/>
            <w:shd w:fill="FFDCE0" w:val="clear"/>
          </w:tcPr>
          <w:p>
            <w:r>
              <w:rPr>
                <w:b/>
                <w:sz w:val="17"/>
              </w:rPr>
              <w:t>38,438</w:t>
            </w:r>
          </w:p>
        </w:tc>
        <w:tc>
          <w:tcPr>
            <w:tcW w:type="dxa" w:w="1440"/>
            <w:shd w:fill="FFDCE0" w:val="clear"/>
          </w:tcPr>
          <w:p>
            <w:r>
              <w:rPr>
                <w:sz w:val="17"/>
              </w:rPr>
              <w:t>42,417</w:t>
            </w:r>
          </w:p>
        </w:tc>
        <w:tc>
          <w:tcPr>
            <w:tcW w:type="dxa" w:w="1440"/>
            <w:shd w:fill="FFDCE0" w:val="clear"/>
          </w:tcPr>
          <w:p>
            <w:r>
              <w:rPr>
                <w:b/>
                <w:color w:val="C00000"/>
                <w:sz w:val="17"/>
              </w:rPr>
              <w:t>-2.1%</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34,166</w:t>
            </w:r>
          </w:p>
        </w:tc>
        <w:tc>
          <w:tcPr>
            <w:tcW w:type="dxa" w:w="1440"/>
            <w:shd w:fill="FFDCE0" w:val="clear"/>
          </w:tcPr>
          <w:p>
            <w:r>
              <w:rPr>
                <w:b/>
                <w:sz w:val="17"/>
              </w:rPr>
              <w:t>38,417</w:t>
            </w:r>
          </w:p>
        </w:tc>
        <w:tc>
          <w:tcPr>
            <w:tcW w:type="dxa" w:w="1440"/>
            <w:shd w:fill="FFDCE0" w:val="clear"/>
          </w:tcPr>
          <w:p>
            <w:r>
              <w:rPr>
                <w:sz w:val="17"/>
              </w:rPr>
              <w:t>42,669</w:t>
            </w:r>
          </w:p>
        </w:tc>
        <w:tc>
          <w:tcPr>
            <w:tcW w:type="dxa" w:w="1440"/>
            <w:shd w:fill="FFDCE0" w:val="clear"/>
          </w:tcPr>
          <w:p>
            <w:r>
              <w:rPr>
                <w:b/>
                <w:color w:val="C00000"/>
                <w:sz w:val="17"/>
              </w:rPr>
              <w:t>-2.2%</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33,891</w:t>
            </w:r>
          </w:p>
        </w:tc>
        <w:tc>
          <w:tcPr>
            <w:tcW w:type="dxa" w:w="1440"/>
            <w:shd w:fill="FFDCE0" w:val="clear"/>
          </w:tcPr>
          <w:p>
            <w:r>
              <w:rPr>
                <w:b/>
                <w:sz w:val="17"/>
              </w:rPr>
              <w:t>38,398</w:t>
            </w:r>
          </w:p>
        </w:tc>
        <w:tc>
          <w:tcPr>
            <w:tcW w:type="dxa" w:w="1440"/>
            <w:shd w:fill="FFDCE0" w:val="clear"/>
          </w:tcPr>
          <w:p>
            <w:r>
              <w:rPr>
                <w:sz w:val="17"/>
              </w:rPr>
              <w:t>42,905</w:t>
            </w:r>
          </w:p>
        </w:tc>
        <w:tc>
          <w:tcPr>
            <w:tcW w:type="dxa" w:w="1440"/>
            <w:shd w:fill="FFDCE0" w:val="clear"/>
          </w:tcPr>
          <w:p>
            <w:r>
              <w:rPr>
                <w:b/>
                <w:color w:val="C00000"/>
                <w:sz w:val="17"/>
              </w:rPr>
              <w:t>-2.2%</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33,631</w:t>
            </w:r>
          </w:p>
        </w:tc>
        <w:tc>
          <w:tcPr>
            <w:tcW w:type="dxa" w:w="1440"/>
            <w:shd w:fill="FFDCE0" w:val="clear"/>
          </w:tcPr>
          <w:p>
            <w:r>
              <w:rPr>
                <w:b/>
                <w:sz w:val="17"/>
              </w:rPr>
              <w:t>38,379</w:t>
            </w:r>
          </w:p>
        </w:tc>
        <w:tc>
          <w:tcPr>
            <w:tcW w:type="dxa" w:w="1440"/>
            <w:shd w:fill="FFDCE0" w:val="clear"/>
          </w:tcPr>
          <w:p>
            <w:r>
              <w:rPr>
                <w:sz w:val="17"/>
              </w:rPr>
              <w:t>43,127</w:t>
            </w:r>
          </w:p>
        </w:tc>
        <w:tc>
          <w:tcPr>
            <w:tcW w:type="dxa" w:w="1440"/>
            <w:shd w:fill="FFDCE0" w:val="clear"/>
          </w:tcPr>
          <w:p>
            <w:r>
              <w:rPr>
                <w:b/>
                <w:color w:val="C00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SONATEL (SNTS)**</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3 927,50 milliards FCFA, Sonatel confirme son statut de valeur phare de la BRVM, représentant à elle seule une part significative de la capitalisation totale du marché régional. Le BPA de 4 136 FCFA par action signifie que chaque titre génère près de 4 136 FCFA de bénéfice net, un niveau remarquable pour la place. Le PER de 9,5x situe le titre dans la fourchette basse de la moyenne BRVM (8-12x), suggérant une sous-évaluation relative au regard de la qualité de l'émetteur. Le P/B de 2,81x traduit une prime de croissance accordée par le marché (valorisation à 2,8 fois les fonds propres), cohérente avec la rentabilité élevée du groupe. Enfin, l'EV/EBITDA de 4,1x, très inférieur au seuil de 5x, indique que la valeur d'entreprise reste bon marché par rapport à la capacité opérationnelle de génération de cash-flows.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SNTS affiche une progression spectaculaire de +37,83%, avec une dernière séance en hausse de +0,69%, portant le cours à 39 275 FCFA — soit précisément le plus haut de la période, ce qui témoigne d'un momentum haussier intact. Le range de trading est large, entre un plus bas de 27 160 FCFA et le plus haut actuel, matérialisant une amplitude de plus de 12 000 FCFA. La tendance générale est donc clairement haussière, soutenue par des publications financières solides et un intérêt accru des investisseurs pour les valeurs télécoms de qualité. Les statistiques descriptives révèlent une moyenne de 30 928 FCFA supérieure à la médiane de 29 498 FCFA, avec un mode à 28 500 FCFA : cet écart confirme une distribution asymétrique où le cours a passé plus de temps sous sa moyenne avant de s'envoler récemment. L'écart-type de 3 196 FCFA (CV de 10,3%) indique une dispersion modérée, tandis que le kurtosis de 0,648 (mésokurtique) suggère un risque de pics limité, proche d'une distribution normale. Le skewness positif de 1,315 confirme cette asymétrie à droite, avec davantage de journées sous la moyenne mais des gains récents très marqués. La volatilité annualisée de 30,0% positionne le titre en zone modérée haute (15-30%), acceptable pour une valeur de fond de portefeuille.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(36 405,5 FCFA) et la MM50 (33 264,3 FCFA) sont toutes deux nettement inférieures au cours actuel de 39 275 FCFA, avec une MM20 au-dessus de la MM50 — configuration haussière classique (golden cross). Le prix évoluant au-dessus de ses deux moyennes, la dynamique est clairement positive et justifie la décision d'**Achat**.</w:t>
      </w:r>
    </w:p>
    <w:p>
      <w:pPr>
        <w:spacing w:after="120" w:line="276" w:lineRule="auto"/>
      </w:pPr>
      <w:r>
        <w:t>**Bandes de Bollinger** : Le cours (39 275 FCFA) se situe dans la moitié supérieure de la bande, entre la borne inférieure (31 605,94 FCFA) et la borne supérieure (41 205,06 FCFA), sans la franchir. Cette position proche de la borne haute traduit une pression acheteuse soutenue mais non encore excessive, d'où la décision **Neutre** qui invite à la prudence sur les points d'entrée.</w:t>
      </w:r>
    </w:p>
    <w:p>
      <w:pPr>
        <w:spacing w:after="120" w:line="276" w:lineRule="auto"/>
      </w:pPr>
      <w:r>
        <w:t>**MACD** : La ligne MACD (1 867,595) évolue au-dessus de sa ligne de signal (1 721,43), avec un histogramme positif — configuration haussière confirmant l'accélération du momentum. La décision d'**Achat** est cohérente avec cette dynamique positive.</w:t>
      </w:r>
    </w:p>
    <w:p>
      <w:pPr>
        <w:spacing w:after="120" w:line="276" w:lineRule="auto"/>
      </w:pPr>
      <w:r>
        <w:t>**RSI** : À 64,246, le RSI se situe en zone neutre haute, sans atteindre le seuil de surachat (70). Le titre conserve donc un potentiel de hausse résiduel avant saturation, justifiant la décision **Neutre** — ni signal d'achat agressif, ni signal de vente.</w:t>
      </w:r>
    </w:p>
    <w:p>
      <w:pPr>
        <w:spacing w:after="120" w:line="276" w:lineRule="auto"/>
      </w:pPr>
      <w:r>
        <w:t>**Stochastique** : Le %K (100,0) est au maximum absolu et le %D (95,809) très proche, avec un %K au-dessus du %D — configuration de surachat extrême. Cette situation justifie la décision de **Vente**, signalant un risque de correction à court terme après la forte progression.</w:t>
      </w:r>
    </w:p>
    <w:p>
      <w:pPr>
        <w:spacing w:after="120" w:line="276" w:lineRule="auto"/>
      </w:pPr>
      <w:r>
        <w:t>**Conclusion technique** : Les indicateurs de tendance (MM, MACD) sont résolument haussiers et confirment la solidité du mouvement, tandis que les oscillateurs (Stochastique à 100, RSI à 64) signalent un essoufflement imminent et un risque de consolidation. La convergence MM/MACD soutient la tendance de fond, mais la divergence avec le Stochastique en surachat extrême appelle à la prudence sur les achats à court terme. Le titre reste techniquement acheteur sur le moyen terme, avec une fenêtre de repli possible vers 36 000-37 000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Sonatel affiche un chiffre d'affaires consolidé de 1 923,122 milliards FCFA, en croissance de +8,3% sur un an, porté par la Data mobile, le Fixe Broadband et Orange Money. Le résultat net s'établit à 413,588 milliards FCFA (+5,1%), avec une marge nette de 21,5% et une marge opérationnelle de 34,8%. La rentabilité des fonds propres (ROE) atteint un niveau exceptionnel de 29,56%, très au-dessus du seuil de 15% considéré comme excellent, tandis que le ROA de 12,65% confirme l'efficacité dans l'utilisation des actifs (rotation de 58,8%). Sur le plan de la structure financière, l'autonomie financière de 42,79% est saine, la solvabilité générale de 174,79% et la couverture des intérêts de 2 744,7% témoignent d'une solidité remarquable. En tant qu'entreprise télécom, les délais d'exploitation sont bien maîtrisés : délai clients de 46,16 jours (risque trésorerie modéré), délai fournisseurs de 201,39 jours (favorable à la trésorerie) et durée de stockage de 14,49 jours. Le BFR est négatif à -284,906 milliards FCFA — un signal très favorable signifiant que l'exploitation autofinance le cycle. La trésorerie nette de 536,105 milliards FCFA et le Free Cash Flow de 408,087 milliards FCFA confirment la capacité de génération de cash. Les rapports trimestriels enrichissent cette analyse : le rapport T3 2025 (30/09/2025) indique un CA 9M de 1 432,5 Mds FCFA (+8,6%) et un résultat net de 311 Mds FCFA (+8,0%), avec une marge EBITDAaL de 47,9%. Le communiqué du S1 2026 (27/07/2026) révèle une accélération : CA de 1 049,8 Mds FCFA (+9,3%), résultat net de 230 Mds FCFA (+10,5%), EBITDAaL de 510,8 Mds FCFA (48,7% du CA) et notation relevée à AAA(wu) par GCR Ratings. Sur cette base, on estime que l'exercice 2026 devrait enregistrer un CA proche de 2 100 Mds FCFA et un résultat net d'environ 450 Mds FCFA, confirmant la trajectoire de croissance rentable. Le dividende proposé de 1 933 FCFA brut (1 740 FCFA net) offre un rendement attractif d'environ 4,4% au cours actuel. La recommandation fondamentale est donc positive : solidité financière exceptionnelle, croissance soutenue, risques principaux liés à la pression fiscale et réglementaire ainsi qu'à la concurrence sur le Mobile Money.</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converge vers un profil d'investissement très favorable. La valorisation (Partie 0) est attractive : PER de 9,5x dans le bas de la fourchette BRVM, EV/EBITDA de 4,1x sous le seuil de 5x, malgré un P/B de 2,81x justifié par un ROE de 29,6%. Le comportement du cours (Partie 1) est haussier (+37,83% sur 100 jours), avec une volatilité modérée (30%) et des statistiques rassurantes (kurtosis proche de la normale, skewness positif). Les signaux techniques (Partie 2) sont majoritairement acheteurs (MM, MACD) mais tempérés par un Stochastique en surachat extrême (100) et un RSI à 64, appelant à une consolidation de court terme. Les fondamentaux (Partie 3) sont excellents : ROE de 29,6%, BFR négatif, trésorerie nette de 536 Mds FCFA, notation AAA, et estimations 2026 en accélération (CA +9,3% au S1 2026). Les prédictions IA (J+1 à J+10) anticipent une légère correction de 39 275 FCFA vers 38 484 FCFA (-2,0%), ce qui contredit partiellement le momentum mais confirme la thèse d'une consolidation technique après le rallye. Sur la base de cette convergence — valorisation bon marché, fondamentaux solides, technique haussière avec respiration attendue — la recommandation finale est **ACHAT**, avec un niveau de confiance **Élevé** et un risque global **Moyen** (volatilité modérée, pressions réglementaires). L'horizon optimal est le **moyen terme (3-12 mois)**, avec un point d'entrée idéal sur repli vers 37 000-38 000 FCFA pour profiter de la tendance de fond tout en intégrant la consolidation attendue.</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174.97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6,087 titres</w:t>
            </w:r>
          </w:p>
        </w:tc>
        <w:tc>
          <w:tcPr>
            <w:tcW w:type="dxa" w:w="2268"/>
            <w:shd w:fill="FFF2CC" w:val="clear"/>
          </w:tcPr>
          <w:p>
            <w:r>
              <w:rPr>
                <w:b/>
                <w:color w:val="503200"/>
                <w:sz w:val="16"/>
              </w:rPr>
              <w:t xml:space="preserve">Cours actuel : </w:t>
            </w:r>
            <w:r>
              <w:rPr>
                <w:color w:val="000000"/>
                <w:sz w:val="17"/>
              </w:rPr>
              <w:t>8,100 FCFA</w:t>
            </w:r>
          </w:p>
          <w:p>
            <w:r>
              <w:rPr>
                <w:b/>
                <w:color w:val="503200"/>
                <w:sz w:val="16"/>
              </w:rPr>
              <w:t xml:space="preserve">Var. 100 jours : </w:t>
            </w:r>
            <w:r>
              <w:rPr>
                <w:b/>
                <w:color w:val="007800"/>
                <w:sz w:val="17"/>
              </w:rPr>
              <w:t>+2.92%</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40.5%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5.05% (Moyenne) — μ=8,025 FCFA, σ=405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β=0.3804 (Défensif) — Cov=0.000013, Var(idx)=0.000035, ρ=0.087,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6,087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σ_j=2.55%/j (Stable) — Vol. annualisée≈40.5%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1928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7,598</w:t>
            </w:r>
          </w:p>
        </w:tc>
        <w:tc>
          <w:tcPr>
            <w:tcW w:type="dxa" w:w="1440"/>
            <w:shd w:fill="FAFAFA" w:val="clear"/>
          </w:tcPr>
          <w:p>
            <w:r>
              <w:rPr>
                <w:b/>
                <w:sz w:val="17"/>
              </w:rPr>
              <w:t>8,027</w:t>
            </w:r>
          </w:p>
        </w:tc>
        <w:tc>
          <w:tcPr>
            <w:tcW w:type="dxa" w:w="1440"/>
            <w:shd w:fill="FAFAFA" w:val="clear"/>
          </w:tcPr>
          <w:p>
            <w:r>
              <w:rPr>
                <w:sz w:val="17"/>
              </w:rPr>
              <w:t>8,457</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7,411</w:t>
            </w:r>
          </w:p>
        </w:tc>
        <w:tc>
          <w:tcPr>
            <w:tcW w:type="dxa" w:w="1440"/>
            <w:shd w:fill="FAFAFA" w:val="clear"/>
          </w:tcPr>
          <w:p>
            <w:r>
              <w:rPr>
                <w:b/>
                <w:sz w:val="17"/>
              </w:rPr>
              <w:t>8,018</w:t>
            </w:r>
          </w:p>
        </w:tc>
        <w:tc>
          <w:tcPr>
            <w:tcW w:type="dxa" w:w="1440"/>
            <w:shd w:fill="FAFAFA" w:val="clear"/>
          </w:tcPr>
          <w:p>
            <w:r>
              <w:rPr>
                <w:sz w:val="17"/>
              </w:rPr>
              <w:t>8,624</w:t>
            </w:r>
          </w:p>
        </w:tc>
        <w:tc>
          <w:tcPr>
            <w:tcW w:type="dxa" w:w="1440"/>
            <w:shd w:fill="FAFAFA" w:val="clear"/>
          </w:tcPr>
          <w:p>
            <w:r>
              <w:rPr>
                <w:b/>
                <w:color w:val="C00000"/>
                <w:sz w:val="17"/>
              </w:rPr>
              <w:t>-1.0%</w:t>
            </w:r>
          </w:p>
        </w:tc>
      </w:tr>
      <w:tr>
        <w:tc>
          <w:tcPr>
            <w:tcW w:type="dxa" w:w="1440"/>
            <w:shd w:fill="FAFAFA" w:val="clear"/>
          </w:tcPr>
          <w:p>
            <w:r>
              <w:rPr>
                <w:sz w:val="17"/>
              </w:rPr>
              <w:t>J+3  Moyenne</w:t>
            </w:r>
          </w:p>
        </w:tc>
        <w:tc>
          <w:tcPr>
            <w:tcW w:type="dxa" w:w="1440"/>
            <w:shd w:fill="FAFAFA" w:val="clear"/>
          </w:tcPr>
          <w:p>
            <w:r>
              <w:rPr>
                <w:sz w:val="17"/>
              </w:rPr>
              <w:t>2026-09-16</w:t>
            </w:r>
          </w:p>
        </w:tc>
        <w:tc>
          <w:tcPr>
            <w:tcW w:type="dxa" w:w="1440"/>
            <w:shd w:fill="FAFAFA" w:val="clear"/>
          </w:tcPr>
          <w:p>
            <w:r>
              <w:rPr>
                <w:sz w:val="17"/>
              </w:rPr>
              <w:t>7,263</w:t>
            </w:r>
          </w:p>
        </w:tc>
        <w:tc>
          <w:tcPr>
            <w:tcW w:type="dxa" w:w="1440"/>
            <w:shd w:fill="FAFAFA" w:val="clear"/>
          </w:tcPr>
          <w:p>
            <w:r>
              <w:rPr>
                <w:b/>
                <w:sz w:val="17"/>
              </w:rPr>
              <w:t>8,004</w:t>
            </w:r>
          </w:p>
        </w:tc>
        <w:tc>
          <w:tcPr>
            <w:tcW w:type="dxa" w:w="1440"/>
            <w:shd w:fill="FAFAFA" w:val="clear"/>
          </w:tcPr>
          <w:p>
            <w:r>
              <w:rPr>
                <w:sz w:val="17"/>
              </w:rPr>
              <w:t>8,746</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7,138</w:t>
            </w:r>
          </w:p>
        </w:tc>
        <w:tc>
          <w:tcPr>
            <w:tcW w:type="dxa" w:w="1440"/>
            <w:shd w:fill="FAFAFA" w:val="clear"/>
          </w:tcPr>
          <w:p>
            <w:r>
              <w:rPr>
                <w:b/>
                <w:sz w:val="17"/>
              </w:rPr>
              <w:t>7,993</w:t>
            </w:r>
          </w:p>
        </w:tc>
        <w:tc>
          <w:tcPr>
            <w:tcW w:type="dxa" w:w="1440"/>
            <w:shd w:fill="FAFAFA" w:val="clear"/>
          </w:tcPr>
          <w:p>
            <w:r>
              <w:rPr>
                <w:sz w:val="17"/>
              </w:rPr>
              <w:t>8,849</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2026-09-18</w:t>
            </w:r>
          </w:p>
        </w:tc>
        <w:tc>
          <w:tcPr>
            <w:tcW w:type="dxa" w:w="1440"/>
            <w:shd w:fill="FAFAFA" w:val="clear"/>
          </w:tcPr>
          <w:p>
            <w:r>
              <w:rPr>
                <w:sz w:val="17"/>
              </w:rPr>
              <w:t>7,029</w:t>
            </w:r>
          </w:p>
        </w:tc>
        <w:tc>
          <w:tcPr>
            <w:tcW w:type="dxa" w:w="1440"/>
            <w:shd w:fill="FAFAFA" w:val="clear"/>
          </w:tcPr>
          <w:p>
            <w:r>
              <w:rPr>
                <w:b/>
                <w:sz w:val="17"/>
              </w:rPr>
              <w:t>7,984</w:t>
            </w:r>
          </w:p>
        </w:tc>
        <w:tc>
          <w:tcPr>
            <w:tcW w:type="dxa" w:w="1440"/>
            <w:shd w:fill="FAFAFA" w:val="clear"/>
          </w:tcPr>
          <w:p>
            <w:r>
              <w:rPr>
                <w:sz w:val="17"/>
              </w:rPr>
              <w:t>8,939</w:t>
            </w:r>
          </w:p>
        </w:tc>
        <w:tc>
          <w:tcPr>
            <w:tcW w:type="dxa" w:w="1440"/>
            <w:shd w:fill="FAFAFA" w:val="clear"/>
          </w:tcPr>
          <w:p>
            <w:r>
              <w:rPr>
                <w:b/>
                <w:color w:val="C00000"/>
                <w:sz w:val="17"/>
              </w:rPr>
              <w:t>-1.4%</w:t>
            </w:r>
          </w:p>
        </w:tc>
      </w:tr>
      <w:tr>
        <w:tc>
          <w:tcPr>
            <w:tcW w:type="dxa" w:w="1440"/>
            <w:shd w:fill="FAFAFA" w:val="clear"/>
          </w:tcPr>
          <w:p>
            <w:r>
              <w:rPr>
                <w:sz w:val="17"/>
              </w:rPr>
              <w:t>J+6  ⭐</w:t>
            </w:r>
          </w:p>
        </w:tc>
        <w:tc>
          <w:tcPr>
            <w:tcW w:type="dxa" w:w="1440"/>
            <w:shd w:fill="FAFAFA" w:val="clear"/>
          </w:tcPr>
          <w:p>
            <w:r>
              <w:rPr>
                <w:sz w:val="17"/>
              </w:rPr>
              <w:t>2026-09-21</w:t>
            </w:r>
          </w:p>
        </w:tc>
        <w:tc>
          <w:tcPr>
            <w:tcW w:type="dxa" w:w="1440"/>
            <w:shd w:fill="FAFAFA" w:val="clear"/>
          </w:tcPr>
          <w:p>
            <w:r>
              <w:rPr>
                <w:sz w:val="17"/>
              </w:rPr>
              <w:t>6,929</w:t>
            </w:r>
          </w:p>
        </w:tc>
        <w:tc>
          <w:tcPr>
            <w:tcW w:type="dxa" w:w="1440"/>
            <w:shd w:fill="FAFAFA" w:val="clear"/>
          </w:tcPr>
          <w:p>
            <w:r>
              <w:rPr>
                <w:b/>
                <w:sz w:val="17"/>
              </w:rPr>
              <w:t>7,974</w:t>
            </w:r>
          </w:p>
        </w:tc>
        <w:tc>
          <w:tcPr>
            <w:tcW w:type="dxa" w:w="1440"/>
            <w:shd w:fill="FAFAFA" w:val="clear"/>
          </w:tcPr>
          <w:p>
            <w:r>
              <w:rPr>
                <w:sz w:val="17"/>
              </w:rPr>
              <w:t>9,019</w:t>
            </w:r>
          </w:p>
        </w:tc>
        <w:tc>
          <w:tcPr>
            <w:tcW w:type="dxa" w:w="1440"/>
            <w:shd w:fill="FAFAFA" w:val="clear"/>
          </w:tcPr>
          <w:p>
            <w:r>
              <w:rPr>
                <w:b/>
                <w:color w:val="C00000"/>
                <w:sz w:val="17"/>
              </w:rPr>
              <w:t>-1.6%</w:t>
            </w:r>
          </w:p>
        </w:tc>
      </w:tr>
      <w:tr>
        <w:tc>
          <w:tcPr>
            <w:tcW w:type="dxa" w:w="1440"/>
            <w:shd w:fill="FAFAFA" w:val="clear"/>
          </w:tcPr>
          <w:p>
            <w:r>
              <w:rPr>
                <w:sz w:val="17"/>
              </w:rPr>
              <w:t>J+7  ⭐</w:t>
            </w:r>
          </w:p>
        </w:tc>
        <w:tc>
          <w:tcPr>
            <w:tcW w:type="dxa" w:w="1440"/>
            <w:shd w:fill="FAFAFA" w:val="clear"/>
          </w:tcPr>
          <w:p>
            <w:r>
              <w:rPr>
                <w:sz w:val="17"/>
              </w:rPr>
              <w:t>2026-09-22</w:t>
            </w:r>
          </w:p>
        </w:tc>
        <w:tc>
          <w:tcPr>
            <w:tcW w:type="dxa" w:w="1440"/>
            <w:shd w:fill="FAFAFA" w:val="clear"/>
          </w:tcPr>
          <w:p>
            <w:r>
              <w:rPr>
                <w:sz w:val="17"/>
              </w:rPr>
              <w:t>6,838</w:t>
            </w:r>
          </w:p>
        </w:tc>
        <w:tc>
          <w:tcPr>
            <w:tcW w:type="dxa" w:w="1440"/>
            <w:shd w:fill="FAFAFA" w:val="clear"/>
          </w:tcPr>
          <w:p>
            <w:r>
              <w:rPr>
                <w:b/>
                <w:sz w:val="17"/>
              </w:rPr>
              <w:t>7,965</w:t>
            </w:r>
          </w:p>
        </w:tc>
        <w:tc>
          <w:tcPr>
            <w:tcW w:type="dxa" w:w="1440"/>
            <w:shd w:fill="FAFAFA" w:val="clear"/>
          </w:tcPr>
          <w:p>
            <w:r>
              <w:rPr>
                <w:sz w:val="17"/>
              </w:rPr>
              <w:t>9,093</w:t>
            </w:r>
          </w:p>
        </w:tc>
        <w:tc>
          <w:tcPr>
            <w:tcW w:type="dxa" w:w="1440"/>
            <w:shd w:fill="FAFAFA" w:val="clear"/>
          </w:tcPr>
          <w:p>
            <w:r>
              <w:rPr>
                <w:b/>
                <w:color w:val="C00000"/>
                <w:sz w:val="17"/>
              </w:rPr>
              <w:t>-1.7%</w:t>
            </w:r>
          </w:p>
        </w:tc>
      </w:tr>
      <w:tr>
        <w:tc>
          <w:tcPr>
            <w:tcW w:type="dxa" w:w="1440"/>
            <w:shd w:fill="FAFAFA" w:val="clear"/>
          </w:tcPr>
          <w:p>
            <w:r>
              <w:rPr>
                <w:sz w:val="17"/>
              </w:rPr>
              <w:t>J+8  ⭐</w:t>
            </w:r>
          </w:p>
        </w:tc>
        <w:tc>
          <w:tcPr>
            <w:tcW w:type="dxa" w:w="1440"/>
            <w:shd w:fill="FAFAFA" w:val="clear"/>
          </w:tcPr>
          <w:p>
            <w:r>
              <w:rPr>
                <w:sz w:val="17"/>
              </w:rPr>
              <w:t>2026-09-23</w:t>
            </w:r>
          </w:p>
        </w:tc>
        <w:tc>
          <w:tcPr>
            <w:tcW w:type="dxa" w:w="1440"/>
            <w:shd w:fill="FAFAFA" w:val="clear"/>
          </w:tcPr>
          <w:p>
            <w:r>
              <w:rPr>
                <w:sz w:val="17"/>
              </w:rPr>
              <w:t>6,752</w:t>
            </w:r>
          </w:p>
        </w:tc>
        <w:tc>
          <w:tcPr>
            <w:tcW w:type="dxa" w:w="1440"/>
            <w:shd w:fill="FAFAFA" w:val="clear"/>
          </w:tcPr>
          <w:p>
            <w:r>
              <w:rPr>
                <w:b/>
                <w:sz w:val="17"/>
              </w:rPr>
              <w:t>7,956</w:t>
            </w:r>
          </w:p>
        </w:tc>
        <w:tc>
          <w:tcPr>
            <w:tcW w:type="dxa" w:w="1440"/>
            <w:shd w:fill="FAFAFA" w:val="clear"/>
          </w:tcPr>
          <w:p>
            <w:r>
              <w:rPr>
                <w:sz w:val="17"/>
              </w:rPr>
              <w:t>9,160</w:t>
            </w:r>
          </w:p>
        </w:tc>
        <w:tc>
          <w:tcPr>
            <w:tcW w:type="dxa" w:w="1440"/>
            <w:shd w:fill="FAFAFA" w:val="clear"/>
          </w:tcPr>
          <w:p>
            <w:r>
              <w:rPr>
                <w:b/>
                <w:color w:val="C00000"/>
                <w:sz w:val="17"/>
              </w:rPr>
              <w:t>-1.8%</w:t>
            </w:r>
          </w:p>
        </w:tc>
      </w:tr>
      <w:tr>
        <w:tc>
          <w:tcPr>
            <w:tcW w:type="dxa" w:w="1440"/>
            <w:shd w:fill="FAFAFA" w:val="clear"/>
          </w:tcPr>
          <w:p>
            <w:r>
              <w:rPr>
                <w:sz w:val="17"/>
              </w:rPr>
              <w:t>J+9  ⭐</w:t>
            </w:r>
          </w:p>
        </w:tc>
        <w:tc>
          <w:tcPr>
            <w:tcW w:type="dxa" w:w="1440"/>
            <w:shd w:fill="FAFAFA" w:val="clear"/>
          </w:tcPr>
          <w:p>
            <w:r>
              <w:rPr>
                <w:sz w:val="17"/>
              </w:rPr>
              <w:t>2026-09-24</w:t>
            </w:r>
          </w:p>
        </w:tc>
        <w:tc>
          <w:tcPr>
            <w:tcW w:type="dxa" w:w="1440"/>
            <w:shd w:fill="FAFAFA" w:val="clear"/>
          </w:tcPr>
          <w:p>
            <w:r>
              <w:rPr>
                <w:sz w:val="17"/>
              </w:rPr>
              <w:t>6,672</w:t>
            </w:r>
          </w:p>
        </w:tc>
        <w:tc>
          <w:tcPr>
            <w:tcW w:type="dxa" w:w="1440"/>
            <w:shd w:fill="FAFAFA" w:val="clear"/>
          </w:tcPr>
          <w:p>
            <w:r>
              <w:rPr>
                <w:b/>
                <w:sz w:val="17"/>
              </w:rPr>
              <w:t>7,948</w:t>
            </w:r>
          </w:p>
        </w:tc>
        <w:tc>
          <w:tcPr>
            <w:tcW w:type="dxa" w:w="1440"/>
            <w:shd w:fill="FAFAFA" w:val="clear"/>
          </w:tcPr>
          <w:p>
            <w:r>
              <w:rPr>
                <w:sz w:val="17"/>
              </w:rPr>
              <w:t>9,223</w:t>
            </w:r>
          </w:p>
        </w:tc>
        <w:tc>
          <w:tcPr>
            <w:tcW w:type="dxa" w:w="1440"/>
            <w:shd w:fill="FAFAFA" w:val="clear"/>
          </w:tcPr>
          <w:p>
            <w:r>
              <w:rPr>
                <w:b/>
                <w:color w:val="C00000"/>
                <w:sz w:val="17"/>
              </w:rPr>
              <w:t>-1.9%</w:t>
            </w:r>
          </w:p>
        </w:tc>
      </w:tr>
      <w:tr>
        <w:tc>
          <w:tcPr>
            <w:tcW w:type="dxa" w:w="1440"/>
            <w:shd w:fill="FAFAFA" w:val="clear"/>
          </w:tcPr>
          <w:p>
            <w:r>
              <w:rPr>
                <w:sz w:val="17"/>
              </w:rPr>
              <w:t>J+10  ⭐</w:t>
            </w:r>
          </w:p>
        </w:tc>
        <w:tc>
          <w:tcPr>
            <w:tcW w:type="dxa" w:w="1440"/>
            <w:shd w:fill="FAFAFA" w:val="clear"/>
          </w:tcPr>
          <w:p>
            <w:r>
              <w:rPr>
                <w:sz w:val="17"/>
              </w:rPr>
              <w:t>2026-09-25</w:t>
            </w:r>
          </w:p>
        </w:tc>
        <w:tc>
          <w:tcPr>
            <w:tcW w:type="dxa" w:w="1440"/>
            <w:shd w:fill="FAFAFA" w:val="clear"/>
          </w:tcPr>
          <w:p>
            <w:r>
              <w:rPr>
                <w:sz w:val="17"/>
              </w:rPr>
              <w:t>6,596</w:t>
            </w:r>
          </w:p>
        </w:tc>
        <w:tc>
          <w:tcPr>
            <w:tcW w:type="dxa" w:w="1440"/>
            <w:shd w:fill="FAFAFA" w:val="clear"/>
          </w:tcPr>
          <w:p>
            <w:r>
              <w:rPr>
                <w:b/>
                <w:sz w:val="17"/>
              </w:rPr>
              <w:t>7,939</w:t>
            </w:r>
          </w:p>
        </w:tc>
        <w:tc>
          <w:tcPr>
            <w:tcW w:type="dxa" w:w="1440"/>
            <w:shd w:fill="FAFAFA" w:val="clear"/>
          </w:tcPr>
          <w:p>
            <w:r>
              <w:rPr>
                <w:sz w:val="17"/>
              </w:rPr>
              <w:t>9,282</w:t>
            </w:r>
          </w:p>
        </w:tc>
        <w:tc>
          <w:tcPr>
            <w:tcW w:type="dxa" w:w="1440"/>
            <w:shd w:fill="FAFAFA" w:val="clear"/>
          </w:tcPr>
          <w:p>
            <w:r>
              <w:rPr>
                <w:b/>
                <w:color w:val="C00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(SOGB CI)**</w:t>
        <w:br/>
        <w:t>*Bourse Régionale des Valeurs Mobilières (BRVM) — Secteur : Agro-industrie (Hévéa &amp; Palmier à huile)*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174,97 milliards FCFA, SOGC se positionne parmi les valeurs moyennes à grandes de la cote BRVM, reflétant sa stature d'acteur agro-industriel de référence en Afrique de l'Ouest. Le BPA de 578 FCFA/action signifie que chaque titre génère près de 578 FCFA de bénéfice net, un niveau de rentabilité par action appréciable. Le PER de 14,0x traduit une valorisation modérée, légèrement supérieure à la moyenne BRVM (~8-12x), ce qui suggère que le marché intègre déjà une prime de qualité et de régularité bénéficiaire. Le P/B de 2,56x indique que le marché valorise l'entreprise à 2,56 fois ses fonds propres comptables, soit une prime de croissance justifiée par un ROE de 18,26% nettement supérieur au coût des capitaux propres. Enfin, l'EV/EBITDA de 7,3x situe la valeur d'entreprise à 7,3 fois sa capacité opérationnelle brute, un niveau raisonnable qui n'implique ni surévaluation manifeste ni décote excessive.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SOGC affiche une variation totale de +2,92%, avec une dernière séance en hausse de +1,19%, portant le cours actuel à 8 100 FCFA. Le range de trading s'établit entre un plus bas de 7 100 FCFA et un plus haut de 8 875 FCFA, soit une amplitude de 25%, témoignant d'une réelle dynamique de marché. La tendance générale est haussière mais avec des phases de consolidation, le cours actuel se situant dans la moitié inférieure du range. Les statistiques descriptives révèlent une moyenne de 8 025 FCFA légèrement inférieure à la médiane de 8 145 FCFA, suggérant une asymétrie négative modérée confirmée par le skewness de -0,421 (distribution symétrique avec légère queue à gauche). L'écart-type de 408 FCFA et le coefficient de variation de 5,1% indiquent une dispersion modérée du cours autour de sa moyenne, tandis que le kurtosis de -0,796 (mésokurtique) signale une distribution proche de la normale, sans risque excessif de pics extrêmes. La volatilité annualisée de 40,5% classe le titre dans la catégorie des valeurs à volatilité élevée (&gt;30%), ce qui est cohérent avec son exposition aux prix des matières premières agricoles.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(8 178,5 FCFA) et la MM50 (8 180,8 FCFA) sont quasi confondues et légèrement supérieures au cours actuel de 8 100 FCFA, plaçant le titre sous ses moyennes court et moyen terme. Cette configuration génère un signal de vente, confirmant une pression baissière de court terme malgré la hausse de la dernière séance.</w:t>
      </w:r>
    </w:p>
    <w:p>
      <w:pPr>
        <w:spacing w:after="120" w:line="276" w:lineRule="auto"/>
      </w:pPr>
      <w:r>
        <w:t>**Bandes de Bollinger** : Le cours (8 100 FCFA) évolue dans la partie basse de la bande, entre la borne inférieure (7 578,35 FCFA) et la borne supérieure (8 778,65 FCFA), sans atteindre les extrêmes. La décision est neutre, indiquant l'absence de signal de survente ou de surachat, avec une volatilité qui reste contenue dans les bandes.</w:t>
      </w:r>
    </w:p>
    <w:p>
      <w:pPr>
        <w:spacing w:after="120" w:line="276" w:lineRule="auto"/>
      </w:pPr>
      <w:r>
        <w:t>**MACD** : La valeur du MACD (-15,289) est nettement inférieure à son signal (20,892), générant un croisement baissier et un momentum négatif. Cette divergence confirme la pression vendeuse à court terme et justifie la décision de vente, bien que l'écart commence peut-être à se réduire.</w:t>
      </w:r>
    </w:p>
    <w:p>
      <w:pPr>
        <w:spacing w:after="120" w:line="276" w:lineRule="auto"/>
      </w:pPr>
      <w:r>
        <w:t>**RSI** : À 48,421, le RSI se situe dans la zone neutre (30-70), sans signal de surachat ni de survente. Cette position médiane indique un équilibre relatif entre acheteurs et vendeurs, justifiant la décision neutre.</w:t>
      </w:r>
    </w:p>
    <w:p>
      <w:pPr>
        <w:spacing w:after="120" w:line="276" w:lineRule="auto"/>
      </w:pPr>
      <w:r>
        <w:t>**Stochastique** : Le %K (34,043) est supérieur au %D (22,837), avec un croisement haussier en zone basse (proche de la survente). La décision reste neutre, mais ce croisement pourrait annoncer un retournement à la hausse si le %K franchit durablement le %D.</w:t>
      </w:r>
    </w:p>
    <w:p>
      <w:pPr>
        <w:spacing w:after="120" w:line="276" w:lineRule="auto"/>
      </w:pPr>
      <w:r>
        <w:t>**Conclusion technique** : Les indicateurs sont majoritairement baissiers (MM, MACD) ou neutres (Bollinger, RSI, Stochastique), avec une divergence entre le signal de vente des moyennes mobiles et le croisement haussier du stochastique. Le titre se trouve dans une phase de consolidation baissière, mais la proximité de la borne inférieure de Bollinger et le croisement du stochastique suggèrent qu'un rebond technique n'est pas exclu à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états financiers de SOGC affichent un chiffre d'affaires de 98,979 milliards FCFA, en croissance de 10,70% par rapport à 2024, porté par la hausse des prix de l'huile de palme (+20%) et de palmiste (+47%) ainsi que par la croissance des volumes de caoutchouc (+9%). Le résultat net s'établit à 12,493 milliards FCFA, en baisse de 5% sur un an, impacté par une hausse de 15% des coûts de matières premières (coagulum). La rentabilité reste solide avec un ROE de 18,26% (excellent, &gt;15%) et un ROA de 13,84%, tandis que la marge nette de 12,62% et la marge opérationnelle de 17,24% témoignent d'une bonne maîtrise des charges. La structure financière est très saine : autonomie financière de 75,79%, ratio d'endettement de 24,21%, et une trésorerie nette positive de 4,575 milliards FCFA. Le BFR de 7,124 milliards FCFA (positif) et les délais clients (29,60 jours) et fournisseurs (31,72 jours) sont équilibrés, bien que la durée de stockage de 97,67 jours immobilise du capital. Le rapport annuel 2025 (publié le 31/12/2025) confirme une politique de dividende attractive avec un dividende brut proposé de 570 FCFA/action (rendement de 7,04% au cours actuel), soit un taux de distribution de 98,9% du bénéfice net. Les rapports trimestriels 2025 (T1, S1, 9M) montrent une dynamique exceptionnelle sur les neuf premiers mois (+21,3% de CA, +39,5% de résultat net), mais la direction alerte sur un ralentissement au S2 2025 lié à la concurrence accrue pour l'achat de coagulum et à la baisse des cours du caoutchouc (SICOM). On estime que l'exercice 2025 devrait se clôturer avec un résultat net autour de 12,5 milliards FCFA, confirmant la résilience malgré un environnement plus difficile. La recommandation fondamentale est de **CONSERVER** le titre : la solidité financière, la générosité du dividende et la résilience des marges compensent la baisse du résultat net et les risques de volatilité des matières premières.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SOGC (PER 14,0x, P/B 2,56x, EV/EBITDA 7,3x) indique une juste valorisation, sans décote ni surévaluation manifeste, le marché intégrant une prime de qualité justifiée par un ROE de 18,26%. Le comportement du cours sur 100 jours (+2,92%) est haussier mais avec une volatilité élevée (40,5%) et une distribution symétrique (skewness -0,421, kurtosis -0,796), ce qui est préoccupant pour les investisseurs averses au risque. Les signaux techniques sont majoritairement baissiers (MM, MACD) mais tempérés par des indicateurs neutres (RSI, Bollinger) et un croisement haussier du stochastique, suggérant une possible stabilisation. Les fondamentaux restent solides : CA en croissance (+10,7%), ROE excellent (18,26%), structure financière saine (autonomie 75,79%), et dividende attractif (570 FCFA/action, rendement 7,04%), bien que le résultat net recule de 5% en 2025. Les prédictions IA pour les 10 prochains jours (8 027 → 7 984 FCFA) anticipent une légère baisse, confirmant la pression baissière de court terme. Sur la base de cette synthèse, la recommandation finale est **CONSERVER** avec un niveau de confiance **Moyen** et un risque global **Moyen**. La convergence entre une valorisation correcte, des fondamentaux solides mais en légère dégradation, et des signaux techniques baissiers à court terme plaide pour une position attentiste. L'horizon d'investissement optimal est le **moyen terme (3-12 mois)**, en surveillant l'évolution des cours du caoutchouc et la capacité de la société à maintenir ses marges dans un contexte concurrentiel accru.</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212.13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4,436 titres</w:t>
            </w:r>
          </w:p>
        </w:tc>
        <w:tc>
          <w:tcPr>
            <w:tcW w:type="dxa" w:w="2268"/>
            <w:shd w:fill="FFF2CC" w:val="clear"/>
          </w:tcPr>
          <w:p>
            <w:r>
              <w:rPr>
                <w:b/>
                <w:color w:val="503200"/>
                <w:sz w:val="16"/>
              </w:rPr>
              <w:t xml:space="preserve">Cours actuel : </w:t>
            </w:r>
            <w:r>
              <w:rPr>
                <w:color w:val="000000"/>
                <w:sz w:val="17"/>
              </w:rPr>
              <w:t>8,300 FCFA</w:t>
            </w:r>
          </w:p>
          <w:p>
            <w:r>
              <w:rPr>
                <w:b/>
                <w:color w:val="503200"/>
                <w:sz w:val="16"/>
              </w:rPr>
              <w:t xml:space="preserve">Var. 100 jours : </w:t>
            </w:r>
            <w:r>
              <w:rPr>
                <w:b/>
                <w:color w:val="007800"/>
                <w:sz w:val="17"/>
              </w:rPr>
              <w:t>+13.70%</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44.6%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10.33% (Moyenne) — μ=7,762 FCFA, σ=802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β=0.9792 (Neutre (suit le marché)) — Cov=0.000034, Var(idx)=0.000035, ρ=0.206,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4,436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σ_j=2.81%/j (Stable) — Vol. annualisée≈44.6%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7,700</w:t>
            </w:r>
          </w:p>
        </w:tc>
        <w:tc>
          <w:tcPr>
            <w:tcW w:type="dxa" w:w="1440"/>
            <w:shd w:fill="FAFAFA" w:val="clear"/>
          </w:tcPr>
          <w:p>
            <w:r>
              <w:rPr>
                <w:b/>
                <w:sz w:val="17"/>
              </w:rPr>
              <w:t>8,237</w:t>
            </w:r>
          </w:p>
        </w:tc>
        <w:tc>
          <w:tcPr>
            <w:tcW w:type="dxa" w:w="1440"/>
            <w:shd w:fill="FAFAFA" w:val="clear"/>
          </w:tcPr>
          <w:p>
            <w:r>
              <w:rPr>
                <w:sz w:val="17"/>
              </w:rPr>
              <w:t>8,775</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7,460</w:t>
            </w:r>
          </w:p>
        </w:tc>
        <w:tc>
          <w:tcPr>
            <w:tcW w:type="dxa" w:w="1440"/>
            <w:shd w:fill="FAFAFA" w:val="clear"/>
          </w:tcPr>
          <w:p>
            <w:r>
              <w:rPr>
                <w:b/>
                <w:sz w:val="17"/>
              </w:rPr>
              <w:t>8,219</w:t>
            </w:r>
          </w:p>
        </w:tc>
        <w:tc>
          <w:tcPr>
            <w:tcW w:type="dxa" w:w="1440"/>
            <w:shd w:fill="FAFAFA" w:val="clear"/>
          </w:tcPr>
          <w:p>
            <w:r>
              <w:rPr>
                <w:sz w:val="17"/>
              </w:rPr>
              <w:t>8,977</w:t>
            </w:r>
          </w:p>
        </w:tc>
        <w:tc>
          <w:tcPr>
            <w:tcW w:type="dxa" w:w="1440"/>
            <w:shd w:fill="FAFAFA" w:val="clear"/>
          </w:tcPr>
          <w:p>
            <w:r>
              <w:rPr>
                <w:b/>
                <w:color w:val="C00000"/>
                <w:sz w:val="17"/>
              </w:rPr>
              <w:t>-1.0%</w:t>
            </w:r>
          </w:p>
        </w:tc>
      </w:tr>
      <w:tr>
        <w:tc>
          <w:tcPr>
            <w:tcW w:type="dxa" w:w="1440"/>
            <w:shd w:fill="FAFAFA" w:val="clear"/>
          </w:tcPr>
          <w:p>
            <w:r>
              <w:rPr>
                <w:sz w:val="17"/>
              </w:rPr>
              <w:t>J+3  Moyenne</w:t>
            </w:r>
          </w:p>
        </w:tc>
        <w:tc>
          <w:tcPr>
            <w:tcW w:type="dxa" w:w="1440"/>
            <w:shd w:fill="FAFAFA" w:val="clear"/>
          </w:tcPr>
          <w:p>
            <w:r>
              <w:rPr>
                <w:sz w:val="17"/>
              </w:rPr>
              <w:t>2026-09-16</w:t>
            </w:r>
          </w:p>
        </w:tc>
        <w:tc>
          <w:tcPr>
            <w:tcW w:type="dxa" w:w="1440"/>
            <w:shd w:fill="FAFAFA" w:val="clear"/>
          </w:tcPr>
          <w:p>
            <w:r>
              <w:rPr>
                <w:sz w:val="17"/>
              </w:rPr>
              <w:t>7,265</w:t>
            </w:r>
          </w:p>
        </w:tc>
        <w:tc>
          <w:tcPr>
            <w:tcW w:type="dxa" w:w="1440"/>
            <w:shd w:fill="FAFAFA" w:val="clear"/>
          </w:tcPr>
          <w:p>
            <w:r>
              <w:rPr>
                <w:b/>
                <w:sz w:val="17"/>
              </w:rPr>
              <w:t>8,190</w:t>
            </w:r>
          </w:p>
        </w:tc>
        <w:tc>
          <w:tcPr>
            <w:tcW w:type="dxa" w:w="1440"/>
            <w:shd w:fill="FAFAFA" w:val="clear"/>
          </w:tcPr>
          <w:p>
            <w:r>
              <w:rPr>
                <w:sz w:val="17"/>
              </w:rPr>
              <w:t>9,115</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7,096</w:t>
            </w:r>
          </w:p>
        </w:tc>
        <w:tc>
          <w:tcPr>
            <w:tcW w:type="dxa" w:w="1440"/>
            <w:shd w:fill="FAFAFA" w:val="clear"/>
          </w:tcPr>
          <w:p>
            <w:r>
              <w:rPr>
                <w:b/>
                <w:sz w:val="17"/>
              </w:rPr>
              <w:t>8,161</w:t>
            </w:r>
          </w:p>
        </w:tc>
        <w:tc>
          <w:tcPr>
            <w:tcW w:type="dxa" w:w="1440"/>
            <w:shd w:fill="FAFAFA" w:val="clear"/>
          </w:tcPr>
          <w:p>
            <w:r>
              <w:rPr>
                <w:sz w:val="17"/>
              </w:rPr>
              <w:t>9,225</w:t>
            </w:r>
          </w:p>
        </w:tc>
        <w:tc>
          <w:tcPr>
            <w:tcW w:type="dxa" w:w="1440"/>
            <w:shd w:fill="FAFAFA" w:val="clear"/>
          </w:tcPr>
          <w:p>
            <w:r>
              <w:rPr>
                <w:b/>
                <w:color w:val="C00000"/>
                <w:sz w:val="17"/>
              </w:rPr>
              <w:t>-1.7%</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6,946</w:t>
            </w:r>
          </w:p>
        </w:tc>
        <w:tc>
          <w:tcPr>
            <w:tcW w:type="dxa" w:w="1440"/>
            <w:shd w:fill="FFDCE0" w:val="clear"/>
          </w:tcPr>
          <w:p>
            <w:r>
              <w:rPr>
                <w:b/>
                <w:sz w:val="17"/>
              </w:rPr>
              <w:t>8,133</w:t>
            </w:r>
          </w:p>
        </w:tc>
        <w:tc>
          <w:tcPr>
            <w:tcW w:type="dxa" w:w="1440"/>
            <w:shd w:fill="FFDCE0" w:val="clear"/>
          </w:tcPr>
          <w:p>
            <w:r>
              <w:rPr>
                <w:sz w:val="17"/>
              </w:rPr>
              <w:t>9,319</w:t>
            </w:r>
          </w:p>
        </w:tc>
        <w:tc>
          <w:tcPr>
            <w:tcW w:type="dxa" w:w="1440"/>
            <w:shd w:fill="FFDCE0"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6,811</w:t>
            </w:r>
          </w:p>
        </w:tc>
        <w:tc>
          <w:tcPr>
            <w:tcW w:type="dxa" w:w="1440"/>
            <w:shd w:fill="FFDCE0" w:val="clear"/>
          </w:tcPr>
          <w:p>
            <w:r>
              <w:rPr>
                <w:b/>
                <w:sz w:val="17"/>
              </w:rPr>
              <w:t>8,106</w:t>
            </w:r>
          </w:p>
        </w:tc>
        <w:tc>
          <w:tcPr>
            <w:tcW w:type="dxa" w:w="1440"/>
            <w:shd w:fill="FFDCE0" w:val="clear"/>
          </w:tcPr>
          <w:p>
            <w:r>
              <w:rPr>
                <w:sz w:val="17"/>
              </w:rPr>
              <w:t>9,402</w:t>
            </w:r>
          </w:p>
        </w:tc>
        <w:tc>
          <w:tcPr>
            <w:tcW w:type="dxa" w:w="1440"/>
            <w:shd w:fill="FFDCE0" w:val="clear"/>
          </w:tcPr>
          <w:p>
            <w:r>
              <w:rPr>
                <w:b/>
                <w:color w:val="C00000"/>
                <w:sz w:val="17"/>
              </w:rPr>
              <w:t>-2.3%</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6,686</w:t>
            </w:r>
          </w:p>
        </w:tc>
        <w:tc>
          <w:tcPr>
            <w:tcW w:type="dxa" w:w="1440"/>
            <w:shd w:fill="FFDCE0" w:val="clear"/>
          </w:tcPr>
          <w:p>
            <w:r>
              <w:rPr>
                <w:b/>
                <w:sz w:val="17"/>
              </w:rPr>
              <w:t>8,081</w:t>
            </w:r>
          </w:p>
        </w:tc>
        <w:tc>
          <w:tcPr>
            <w:tcW w:type="dxa" w:w="1440"/>
            <w:shd w:fill="FFDCE0" w:val="clear"/>
          </w:tcPr>
          <w:p>
            <w:r>
              <w:rPr>
                <w:sz w:val="17"/>
              </w:rPr>
              <w:t>9,476</w:t>
            </w:r>
          </w:p>
        </w:tc>
        <w:tc>
          <w:tcPr>
            <w:tcW w:type="dxa" w:w="1440"/>
            <w:shd w:fill="FFDCE0" w:val="clear"/>
          </w:tcPr>
          <w:p>
            <w:r>
              <w:rPr>
                <w:b/>
                <w:color w:val="C00000"/>
                <w:sz w:val="17"/>
              </w:rPr>
              <w:t>-2.6%</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6,570</w:t>
            </w:r>
          </w:p>
        </w:tc>
        <w:tc>
          <w:tcPr>
            <w:tcW w:type="dxa" w:w="1440"/>
            <w:shd w:fill="FFDCE0" w:val="clear"/>
          </w:tcPr>
          <w:p>
            <w:r>
              <w:rPr>
                <w:b/>
                <w:sz w:val="17"/>
              </w:rPr>
              <w:t>8,056</w:t>
            </w:r>
          </w:p>
        </w:tc>
        <w:tc>
          <w:tcPr>
            <w:tcW w:type="dxa" w:w="1440"/>
            <w:shd w:fill="FFDCE0" w:val="clear"/>
          </w:tcPr>
          <w:p>
            <w:r>
              <w:rPr>
                <w:sz w:val="17"/>
              </w:rPr>
              <w:t>9,543</w:t>
            </w:r>
          </w:p>
        </w:tc>
        <w:tc>
          <w:tcPr>
            <w:tcW w:type="dxa" w:w="1440"/>
            <w:shd w:fill="FFDCE0" w:val="clear"/>
          </w:tcPr>
          <w:p>
            <w:r>
              <w:rPr>
                <w:b/>
                <w:color w:val="C00000"/>
                <w:sz w:val="17"/>
              </w:rPr>
              <w:t>-2.9%</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6,461</w:t>
            </w:r>
          </w:p>
        </w:tc>
        <w:tc>
          <w:tcPr>
            <w:tcW w:type="dxa" w:w="1440"/>
            <w:shd w:fill="FFDCE0" w:val="clear"/>
          </w:tcPr>
          <w:p>
            <w:r>
              <w:rPr>
                <w:b/>
                <w:sz w:val="17"/>
              </w:rPr>
              <w:t>8,033</w:t>
            </w:r>
          </w:p>
        </w:tc>
        <w:tc>
          <w:tcPr>
            <w:tcW w:type="dxa" w:w="1440"/>
            <w:shd w:fill="FFDCE0" w:val="clear"/>
          </w:tcPr>
          <w:p>
            <w:r>
              <w:rPr>
                <w:sz w:val="17"/>
              </w:rPr>
              <w:t>9,605</w:t>
            </w:r>
          </w:p>
        </w:tc>
        <w:tc>
          <w:tcPr>
            <w:tcW w:type="dxa" w:w="1440"/>
            <w:shd w:fill="FFDCE0" w:val="clear"/>
          </w:tcPr>
          <w:p>
            <w:r>
              <w:rPr>
                <w:b/>
                <w:color w:val="C00000"/>
                <w:sz w:val="17"/>
              </w:rPr>
              <w:t>-3.2%</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6,358</w:t>
            </w:r>
          </w:p>
        </w:tc>
        <w:tc>
          <w:tcPr>
            <w:tcW w:type="dxa" w:w="1440"/>
            <w:shd w:fill="FFDCE0" w:val="clear"/>
          </w:tcPr>
          <w:p>
            <w:r>
              <w:rPr>
                <w:b/>
                <w:sz w:val="17"/>
              </w:rPr>
              <w:t>8,010</w:t>
            </w:r>
          </w:p>
        </w:tc>
        <w:tc>
          <w:tcPr>
            <w:tcW w:type="dxa" w:w="1440"/>
            <w:shd w:fill="FFDCE0" w:val="clear"/>
          </w:tcPr>
          <w:p>
            <w:r>
              <w:rPr>
                <w:sz w:val="17"/>
              </w:rPr>
              <w:t>9,662</w:t>
            </w:r>
          </w:p>
        </w:tc>
        <w:tc>
          <w:tcPr>
            <w:tcW w:type="dxa" w:w="1440"/>
            <w:shd w:fill="FFDCE0" w:val="clear"/>
          </w:tcPr>
          <w:p>
            <w:r>
              <w:rPr>
                <w:b/>
                <w:color w:val="C00000"/>
                <w:sz w:val="17"/>
              </w:rPr>
              <w:t>-3.5%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 📊 RAPPORT D'ANALYSE FINANCIÈRE — SPHC (SAPH CI)</w:t>
        <w:br/>
        <w:t>### Bourse Régionale des Valeurs Mobilières (BRVM) — Secteur : Agro-industrie / Hévéa</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212,13 Mds FCFA, SPHC s'impose comme une valeur de premier plan de la cote BRVM, représentant un pilier du compartiment agro-industriel ivoirien. Le BPA de 977 FCFA/action signifie que chaque titre génère près d'un millier de francs de bénéfice net, un niveau de rentabilité par action robuste pour le marché régional. Le PER de 8,5x positionne le titre nettement sous la moyenne BRVM (~8-12x), suggérant une sous-évaluation relative au regard de la croissance bénéficiaire affichée (+32,9% en 2025). Le P/B de 1,54x indique que le marché valorise SPHC à une prime modérée de 54% sur sa valeur comptable (capitaux propres de 137,94 Mds FCFA), ce qui reste raisonnable pour une entreprise affichant un ROE de 18,1%. Enfin, l'EV/EBITDA de 5,3x traduit une valorisation d'entreprise (dette incluse) modérée par rapport à la capacité opérationnelle de génération de cash, renforçant le diagnostic de valorisation attractive.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SPHC affiche une performance positive de +13,70%, avec une dernière séance (J-1) particulièrement dynamique à +3,04%, portant le cours à 8 300 FCFA. Le titre a évolué dans un range large de 6 720 FCFA (plus bas) à 10 300 FCFA (plus haut), soit une amplitude de trading de 53%, témoignant d'une forte volatilité intra-période. La tendance générale demeure haussière sur la période, mais le cours actuel (8 300 FCFA) se situe en retrait de 19,4% par rapport à son plus haut, signalant une phase de correction après un pic. Les statistiques descriptives révèlent une moyenne (7 762 FCFA) supérieure à la médiane (7 565 FCFA), écart confirmant une asymétrie positive (skewness de 1,496) : les journées de forte hausse, bien que moins fréquentes, tirent la moyenne vers le haut. L'écart-type de 806 FCFA (CV de 10,4%) indique une dispersion modérée du cours autour de sa moyenne, tandis que le kurtosis de 1,628 (leptokurtique) signale des queues épaisses, donc un risque accru de pics de volatilité brutaux. Avec une volatilité annualisée de 44,6%, SPHC se classe dans la catégorie des titres à volatilité élevée (&gt;30%), ce qui implique un risque de marché significatif mais aussi des opportunités de trading.</w:t>
      </w:r>
    </w:p>
    <w:p>
      <w:pPr>
        <w:spacing w:after="120" w:line="276" w:lineRule="auto"/>
      </w:pPr>
      <w:r>
        <w:t>---</w:t>
      </w:r>
    </w:p>
    <w:p>
      <w:pPr>
        <w:spacing w:after="120" w:line="276" w:lineRule="auto"/>
      </w:pPr>
      <w:r>
        <w:t>## PARTIE 2 : ANALYSE TECHNIQUE DÉTAILLÉE</w:t>
      </w:r>
    </w:p>
    <w:p>
      <w:pPr>
        <w:spacing w:after="120" w:line="276" w:lineRule="auto"/>
      </w:pPr>
      <w:r>
        <w:t>**Moyennes Mobiles** : La MM20 (9 125 FCFA) se situe au-dessus de la MM50 (8 215,2 FCFA), configuration haussière classique (golden cross). Toutefois, le cours actuel (8 300 FCFA) évolue sous la MM20 mais au-dessus de la MM50, ce qui traduit une correction de court terme au sein d'une tendance de fond encore positive. La décision fournie est **Achat**, cohérente avec la structure haussière des moyennes.</w:t>
      </w:r>
    </w:p>
    <w:p>
      <w:pPr>
        <w:spacing w:after="120" w:line="276" w:lineRule="auto"/>
      </w:pPr>
      <w:r>
        <w:t>**Bandes de Bollinger** : Le cours (8 300 FCFA) se situe dans la partie basse de la bande (borne inférieure à 7 687,74 FCFA, borne supérieure à 10 562,26 FCFA), à environ 20% de la borne basse. Cette position suggère que le titre n'est ni suracheté ni survendu, mais évolue dans une zone de faiblesse relative. La décision **Neutre** reflète l'absence de signal directionnel fort, avec une volatilité qui reste contenue dans les bandes.</w:t>
      </w:r>
    </w:p>
    <w:p>
      <w:pPr>
        <w:spacing w:after="120" w:line="276" w:lineRule="auto"/>
      </w:pPr>
      <w:r>
        <w:t>**MACD** : La valeur du MACD (103,997) est nettement inférieure à son signal (333,206), générant un croisement baissier et un momentum négatif. Cette divergence indique que la dynamique haussière s'essouffle, justifiant la décision **Vente** à court terme. Le MACD reste toutefois positif, ce qui tempère la portée baissière du signal.</w:t>
      </w:r>
    </w:p>
    <w:p>
      <w:pPr>
        <w:spacing w:after="120" w:line="276" w:lineRule="auto"/>
      </w:pPr>
      <w:r>
        <w:t>**RSI** : À 35,995, le RSI se situe dans la zone neutre basse (30-70), sans atteindre la zone de survente (&lt;30). Cela indique que le titre n'est pas encore survendu, mais s'approche d'une zone où un rebond technique pourrait se matérialiser. La décision **Neutre** est cohérente avec cette position intermédiaire.</w:t>
      </w:r>
    </w:p>
    <w:p>
      <w:pPr>
        <w:spacing w:after="120" w:line="276" w:lineRule="auto"/>
      </w:pPr>
      <w:r>
        <w:t>**Stochastique** : Le %K (15,433) et le %D (6,836) sont tous deux en zone de survente profonde (&lt;20), avec un %K au-dessus du %D, signalant un début de croisement haussier potentiel. Cette configuration justifie la décision **Achat**, anticipant un rebond technique à court terme.</w:t>
      </w:r>
    </w:p>
    <w:p>
      <w:pPr>
        <w:spacing w:after="120" w:line="276" w:lineRule="auto"/>
      </w:pPr>
      <w:r>
        <w:t>**Conclusion technique** : Les indicateurs présentent un tableau mitigé. Les signaux haussiers (Moyennes Mobiles, Stochastique) coexistent avec des signaux baissiers (MACD) et neutres (Bollinger, RSI). La convergence du Stochastique en zone de survente et de la MM50 comme support dynamique suggère qu'un rebond technique est probable, mais la faiblesse du MACD appelle à la prudence. Le titre se trouve à un point d'inflexion technique, avec un biais légèrement haussier à court terme.</w:t>
      </w:r>
    </w:p>
    <w:p>
      <w:pPr>
        <w:spacing w:after="120" w:line="276" w:lineRule="auto"/>
      </w:pPr>
      <w:r>
        <w:t>---</w:t>
      </w:r>
    </w:p>
    <w:p>
      <w:pPr>
        <w:spacing w:after="120" w:line="276" w:lineRule="auto"/>
      </w:pPr>
      <w:r>
        <w:t>## PARTIE 3 : ANALYSE FONDAMENTALE</w:t>
      </w:r>
    </w:p>
    <w:p>
      <w:pPr>
        <w:spacing w:after="120" w:line="276" w:lineRule="auto"/>
      </w:pPr>
      <w:r>
        <w:t>En 2025, SPHC a réalisé un chiffre d'affaires de 340,83 Mds FCFA, en croissance de 21,97% par rapport à 2024 (279,44 Mds FCFA), portée par une hausse des volumes vendus (+16,8%) et des prix moyens (+17,6%) selon le rapport T3 2025 (daté du 30/09/2025). Le résultat net s'établit à 24,97 Mds FCFA, en progression de 32,9%, avec une marge nette de 7,33% (contre 6,7% en 2024). Les ratios de rentabilité sont excellents : ROE de 18,10% (&gt;15%, seuil d'excellence) et ROA de 11,06%, témoignant d'une utilisation efficace des capitaux propres et des actifs. La structure financière est saine, avec une autonomie financière de 61,08% (capitaux propres de 137,94 Mds FCFA pour un total bilan de 225,84 Mds FCFA) et un ratio d'endettement maîtrisé de 25,81%. Cependant, deux points de vigilance émergent : une trésorerie nette négative de -15,41 Mds FCFA et un BFR de 65,39 Mds FCFA, reflétant un besoin de financement du cycle d'exploitation (délai clients de 35 jours, durée de stockage de 72,33 jours). Le rapport T1 2026 (daté du 31/03/2026) révèle un net ralentissement : CA de 71,8 Mds FCFA (-24%) et résultat net de 2,6 Mds FCFA (-78%), pénalisé par la chute des cours mondiaux du caoutchouc (SICOM 20 à 1,91 USD/kg) et l'engorgement du port de San Pedro. Sur la base de ce T1 2026, on estime que l'exercice 2026 pourrait afficher une contraction du CA et du résultat net, sauf reprise des cours au second semestre. La politique de dividende reste attractive, avec un DPA proposé de 489 FCFA/action (rendement de 5,9% au cours actuel), en hausse de 32,7% sur un an. **Recommandation fondamentale** : la solidité bilancielle et la rentabilité historique sont indéniables, mais la dégradation récente des performances trimestrielles et la dépendance aux cours mondiaux du caoutchouc imposent une surveillance active.</w:t>
      </w:r>
    </w:p>
    <w:p>
      <w:pPr>
        <w:spacing w:after="120" w:line="276" w:lineRule="auto"/>
      </w:pPr>
      <w:r>
        <w:t>---</w:t>
      </w:r>
    </w:p>
    <w:p>
      <w:pPr>
        <w:spacing w:after="120" w:line="276" w:lineRule="auto"/>
      </w:pPr>
      <w:r>
        <w:t>## PARTIE 4 : CONCLUSION D'INVESTISSEMENT</w:t>
      </w:r>
    </w:p>
    <w:p>
      <w:pPr>
        <w:spacing w:after="120" w:line="276" w:lineRule="auto"/>
      </w:pPr>
      <w:r>
        <w:t>La valorisation de SPHC apparaît attractive (PER de 8,5x sous la moyenne BRVM, EV/EBITDA de 5,3x, P/B de 1,54x), suggérant une sous-évaluation relative au regard des fondamentaux historiques. Le comportement du cours sur 100 jours est haussier (+13,70%) mais marqué par une volatilité élevée (44,6%) et une asymétrie positive (skewness de 1,496) avec un risque de pics (kurtosis de 1,628), ce qui est préoccupant pour les investisseurs averses au risque. Les signaux techniques sont mitigés : les Moyennes Mobiles et le Stochastique plaident pour un rebond, tandis que le MACD et la position du cours sous la MM20 suggèrent une correction en cours. Les fondamentaux 2025 sont solides (CA +21,97%, RN +32,9%, ROE de 18,10%), mais le T1 2026 (CA -24%, RN -78%) révèle une dégradation significative qui pourrait peser sur l'exercice en cours. Les prédictions IA (J+1 à J+10) anticipent une légère baisse vers 8 133 FCFA d'ici le 18/09/2026, confirmant la pression baissière de court terme. **Recommandation finale : CONSERVER**, avec un niveau de confiance **Moyen** et un risque global **Élevé**. La convergence entre valorisation attractive et fondamentaux 2025 solides est contrebalancée par la dégradation du T1 2026 et les signaux techniques baissiers à court terme. L'horizon optimal est le **moyen terme (3-12 mois)**, en attendant la confirmation d'une reprise des cours du caoutchouc et l'amélioration des indicateurs de trésorerie. Un passage à **ACHAT** serait justifié si le T2 2026 confirme un rebond des volumes et des prix, et si la trésorerie nette se redresse.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34.61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5,980 titres</w:t>
            </w:r>
          </w:p>
        </w:tc>
        <w:tc>
          <w:tcPr>
            <w:tcW w:type="dxa" w:w="2268"/>
            <w:shd w:fill="FFF2CC" w:val="clear"/>
          </w:tcPr>
          <w:p>
            <w:r>
              <w:rPr>
                <w:b/>
                <w:color w:val="503200"/>
                <w:sz w:val="16"/>
              </w:rPr>
              <w:t xml:space="preserve">Cours actuel : </w:t>
            </w:r>
            <w:r>
              <w:rPr>
                <w:color w:val="000000"/>
                <w:sz w:val="17"/>
              </w:rPr>
              <w:t>2,575 FCFA</w:t>
            </w:r>
          </w:p>
          <w:p>
            <w:r>
              <w:rPr>
                <w:b/>
                <w:color w:val="503200"/>
                <w:sz w:val="16"/>
              </w:rPr>
              <w:t xml:space="preserve">Var. 100 jours : </w:t>
            </w:r>
            <w:r>
              <w:rPr>
                <w:b/>
                <w:color w:val="B40000"/>
                <w:sz w:val="17"/>
              </w:rPr>
              <w:t>-6.53%</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2,500 FCFA</w:t>
            </w:r>
          </w:p>
          <w:p>
            <w:r>
              <w:rPr>
                <w:b/>
                <w:color w:val="503200"/>
                <w:sz w:val="16"/>
              </w:rPr>
              <w:t xml:space="preserve">Volatilité ann. : </w:t>
            </w:r>
            <w:r>
              <w:rPr>
                <w:color w:val="000000"/>
                <w:sz w:val="17"/>
              </w:rPr>
              <w:t>57.2%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11.06% (Moyenne) — μ=2,958 FCFA, σ=327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β=-0.8774 (Contre-cyclique) — Cov=-0.000030, Var(idx)=0.000035, ρ=-0.143,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5,980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σ_j=3.60%/j (Modérée) — Vol. annualisée≈57.2%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2,464</w:t>
            </w:r>
          </w:p>
        </w:tc>
        <w:tc>
          <w:tcPr>
            <w:tcW w:type="dxa" w:w="1440"/>
            <w:shd w:fill="FAFAFA" w:val="clear"/>
          </w:tcPr>
          <w:p>
            <w:r>
              <w:rPr>
                <w:b/>
                <w:sz w:val="17"/>
              </w:rPr>
              <w:t>2,568</w:t>
            </w:r>
          </w:p>
        </w:tc>
        <w:tc>
          <w:tcPr>
            <w:tcW w:type="dxa" w:w="1440"/>
            <w:shd w:fill="FAFAFA" w:val="clear"/>
          </w:tcPr>
          <w:p>
            <w:r>
              <w:rPr>
                <w:sz w:val="17"/>
              </w:rPr>
              <w:t>2,671</w:t>
            </w:r>
          </w:p>
        </w:tc>
        <w:tc>
          <w:tcPr>
            <w:tcW w:type="dxa" w:w="1440"/>
            <w:shd w:fill="FAFAFA" w:val="clear"/>
          </w:tcPr>
          <w:p>
            <w:r>
              <w:rPr>
                <w:b/>
                <w:color w:val="C00000"/>
                <w:sz w:val="17"/>
              </w:rPr>
              <w:t>-0.3%</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2,401</w:t>
            </w:r>
          </w:p>
        </w:tc>
        <w:tc>
          <w:tcPr>
            <w:tcW w:type="dxa" w:w="1440"/>
            <w:shd w:fill="FAFAFA" w:val="clear"/>
          </w:tcPr>
          <w:p>
            <w:r>
              <w:rPr>
                <w:b/>
                <w:sz w:val="17"/>
              </w:rPr>
              <w:t>2,547</w:t>
            </w:r>
          </w:p>
        </w:tc>
        <w:tc>
          <w:tcPr>
            <w:tcW w:type="dxa" w:w="1440"/>
            <w:shd w:fill="FAFAFA" w:val="clear"/>
          </w:tcPr>
          <w:p>
            <w:r>
              <w:rPr>
                <w:sz w:val="17"/>
              </w:rPr>
              <w:t>2,693</w:t>
            </w:r>
          </w:p>
        </w:tc>
        <w:tc>
          <w:tcPr>
            <w:tcW w:type="dxa" w:w="1440"/>
            <w:shd w:fill="FAFAFA" w:val="clear"/>
          </w:tcPr>
          <w:p>
            <w:r>
              <w:rPr>
                <w:b/>
                <w:color w:val="C00000"/>
                <w:sz w:val="17"/>
              </w:rPr>
              <w:t>-1.1%</w:t>
            </w:r>
          </w:p>
        </w:tc>
      </w:tr>
      <w:tr>
        <w:tc>
          <w:tcPr>
            <w:tcW w:type="dxa" w:w="1440"/>
            <w:shd w:fill="FFDCE0" w:val="clear"/>
          </w:tcPr>
          <w:p>
            <w:r>
              <w:rPr>
                <w:sz w:val="17"/>
              </w:rPr>
              <w:t>J+3  Moyenne</w:t>
            </w:r>
          </w:p>
        </w:tc>
        <w:tc>
          <w:tcPr>
            <w:tcW w:type="dxa" w:w="1440"/>
            <w:shd w:fill="FFDCE0" w:val="clear"/>
          </w:tcPr>
          <w:p>
            <w:r>
              <w:rPr>
                <w:sz w:val="17"/>
              </w:rPr>
              <w:t>2026-09-16</w:t>
            </w:r>
          </w:p>
        </w:tc>
        <w:tc>
          <w:tcPr>
            <w:tcW w:type="dxa" w:w="1440"/>
            <w:shd w:fill="FFDCE0" w:val="clear"/>
          </w:tcPr>
          <w:p>
            <w:r>
              <w:rPr>
                <w:sz w:val="17"/>
              </w:rPr>
              <w:t>2,341</w:t>
            </w:r>
          </w:p>
        </w:tc>
        <w:tc>
          <w:tcPr>
            <w:tcW w:type="dxa" w:w="1440"/>
            <w:shd w:fill="FFDCE0" w:val="clear"/>
          </w:tcPr>
          <w:p>
            <w:r>
              <w:rPr>
                <w:b/>
                <w:sz w:val="17"/>
              </w:rPr>
              <w:t>2,518</w:t>
            </w:r>
          </w:p>
        </w:tc>
        <w:tc>
          <w:tcPr>
            <w:tcW w:type="dxa" w:w="1440"/>
            <w:shd w:fill="FFDCE0" w:val="clear"/>
          </w:tcPr>
          <w:p>
            <w:r>
              <w:rPr>
                <w:sz w:val="17"/>
              </w:rPr>
              <w:t>2,694</w:t>
            </w:r>
          </w:p>
        </w:tc>
        <w:tc>
          <w:tcPr>
            <w:tcW w:type="dxa" w:w="1440"/>
            <w:shd w:fill="FFDCE0" w:val="clear"/>
          </w:tcPr>
          <w:p>
            <w:r>
              <w:rPr>
                <w:b/>
                <w:color w:val="C00000"/>
                <w:sz w:val="17"/>
              </w:rPr>
              <w:t>-2.2%</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2,285</w:t>
            </w:r>
          </w:p>
        </w:tc>
        <w:tc>
          <w:tcPr>
            <w:tcW w:type="dxa" w:w="1440"/>
            <w:shd w:fill="FFDCE0" w:val="clear"/>
          </w:tcPr>
          <w:p>
            <w:r>
              <w:rPr>
                <w:b/>
                <w:sz w:val="17"/>
              </w:rPr>
              <w:t>2,486</w:t>
            </w:r>
          </w:p>
        </w:tc>
        <w:tc>
          <w:tcPr>
            <w:tcW w:type="dxa" w:w="1440"/>
            <w:shd w:fill="FFDCE0" w:val="clear"/>
          </w:tcPr>
          <w:p>
            <w:r>
              <w:rPr>
                <w:sz w:val="17"/>
              </w:rPr>
              <w:t>2,687</w:t>
            </w:r>
          </w:p>
        </w:tc>
        <w:tc>
          <w:tcPr>
            <w:tcW w:type="dxa" w:w="1440"/>
            <w:shd w:fill="FFDCE0" w:val="clear"/>
          </w:tcPr>
          <w:p>
            <w:r>
              <w:rPr>
                <w:b/>
                <w:color w:val="C00000"/>
                <w:sz w:val="17"/>
              </w:rPr>
              <w:t>-3.5%</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2,233</w:t>
            </w:r>
          </w:p>
        </w:tc>
        <w:tc>
          <w:tcPr>
            <w:tcW w:type="dxa" w:w="1440"/>
            <w:shd w:fill="FFDCE0" w:val="clear"/>
          </w:tcPr>
          <w:p>
            <w:r>
              <w:rPr>
                <w:b/>
                <w:sz w:val="17"/>
              </w:rPr>
              <w:t>2,455</w:t>
            </w:r>
          </w:p>
        </w:tc>
        <w:tc>
          <w:tcPr>
            <w:tcW w:type="dxa" w:w="1440"/>
            <w:shd w:fill="FFDCE0" w:val="clear"/>
          </w:tcPr>
          <w:p>
            <w:r>
              <w:rPr>
                <w:sz w:val="17"/>
              </w:rPr>
              <w:t>2,677</w:t>
            </w:r>
          </w:p>
        </w:tc>
        <w:tc>
          <w:tcPr>
            <w:tcW w:type="dxa" w:w="1440"/>
            <w:shd w:fill="FFDCE0" w:val="clear"/>
          </w:tcPr>
          <w:p>
            <w:r>
              <w:rPr>
                <w:b/>
                <w:color w:val="C00000"/>
                <w:sz w:val="17"/>
              </w:rPr>
              <w:t>-4.6%</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2,187</w:t>
            </w:r>
          </w:p>
        </w:tc>
        <w:tc>
          <w:tcPr>
            <w:tcW w:type="dxa" w:w="1440"/>
            <w:shd w:fill="FFDCE0" w:val="clear"/>
          </w:tcPr>
          <w:p>
            <w:r>
              <w:rPr>
                <w:b/>
                <w:sz w:val="17"/>
              </w:rPr>
              <w:t>2,427</w:t>
            </w:r>
          </w:p>
        </w:tc>
        <w:tc>
          <w:tcPr>
            <w:tcW w:type="dxa" w:w="1440"/>
            <w:shd w:fill="FFDCE0" w:val="clear"/>
          </w:tcPr>
          <w:p>
            <w:r>
              <w:rPr>
                <w:sz w:val="17"/>
              </w:rPr>
              <w:t>2,668</w:t>
            </w:r>
          </w:p>
        </w:tc>
        <w:tc>
          <w:tcPr>
            <w:tcW w:type="dxa" w:w="1440"/>
            <w:shd w:fill="FFDCE0" w:val="clear"/>
          </w:tcPr>
          <w:p>
            <w:r>
              <w:rPr>
                <w:b/>
                <w:color w:val="C00000"/>
                <w:sz w:val="17"/>
              </w:rPr>
              <w:t>-5.7%</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2,146</w:t>
            </w:r>
          </w:p>
        </w:tc>
        <w:tc>
          <w:tcPr>
            <w:tcW w:type="dxa" w:w="1440"/>
            <w:shd w:fill="FFDCE0" w:val="clear"/>
          </w:tcPr>
          <w:p>
            <w:r>
              <w:rPr>
                <w:b/>
                <w:sz w:val="17"/>
              </w:rPr>
              <w:t>2,403</w:t>
            </w:r>
          </w:p>
        </w:tc>
        <w:tc>
          <w:tcPr>
            <w:tcW w:type="dxa" w:w="1440"/>
            <w:shd w:fill="FFDCE0" w:val="clear"/>
          </w:tcPr>
          <w:p>
            <w:r>
              <w:rPr>
                <w:sz w:val="17"/>
              </w:rPr>
              <w:t>2,660</w:t>
            </w:r>
          </w:p>
        </w:tc>
        <w:tc>
          <w:tcPr>
            <w:tcW w:type="dxa" w:w="1440"/>
            <w:shd w:fill="FFDCE0" w:val="clear"/>
          </w:tcPr>
          <w:p>
            <w:r>
              <w:rPr>
                <w:b/>
                <w:color w:val="C00000"/>
                <w:sz w:val="17"/>
              </w:rPr>
              <w:t>-6.7%</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2,109</w:t>
            </w:r>
          </w:p>
        </w:tc>
        <w:tc>
          <w:tcPr>
            <w:tcW w:type="dxa" w:w="1440"/>
            <w:shd w:fill="FFDCE0" w:val="clear"/>
          </w:tcPr>
          <w:p>
            <w:r>
              <w:rPr>
                <w:b/>
                <w:sz w:val="17"/>
              </w:rPr>
              <w:t>2,381</w:t>
            </w:r>
          </w:p>
        </w:tc>
        <w:tc>
          <w:tcPr>
            <w:tcW w:type="dxa" w:w="1440"/>
            <w:shd w:fill="FFDCE0" w:val="clear"/>
          </w:tcPr>
          <w:p>
            <w:r>
              <w:rPr>
                <w:sz w:val="17"/>
              </w:rPr>
              <w:t>2,653</w:t>
            </w:r>
          </w:p>
        </w:tc>
        <w:tc>
          <w:tcPr>
            <w:tcW w:type="dxa" w:w="1440"/>
            <w:shd w:fill="FFDCE0" w:val="clear"/>
          </w:tcPr>
          <w:p>
            <w:r>
              <w:rPr>
                <w:b/>
                <w:color w:val="C00000"/>
                <w:sz w:val="17"/>
              </w:rPr>
              <w:t>-7.5%</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2,076</w:t>
            </w:r>
          </w:p>
        </w:tc>
        <w:tc>
          <w:tcPr>
            <w:tcW w:type="dxa" w:w="1440"/>
            <w:shd w:fill="FFDCE0" w:val="clear"/>
          </w:tcPr>
          <w:p>
            <w:r>
              <w:rPr>
                <w:b/>
                <w:sz w:val="17"/>
              </w:rPr>
              <w:t>2,362</w:t>
            </w:r>
          </w:p>
        </w:tc>
        <w:tc>
          <w:tcPr>
            <w:tcW w:type="dxa" w:w="1440"/>
            <w:shd w:fill="FFDCE0" w:val="clear"/>
          </w:tcPr>
          <w:p>
            <w:r>
              <w:rPr>
                <w:sz w:val="17"/>
              </w:rPr>
              <w:t>2,649</w:t>
            </w:r>
          </w:p>
        </w:tc>
        <w:tc>
          <w:tcPr>
            <w:tcW w:type="dxa" w:w="1440"/>
            <w:shd w:fill="FFDCE0" w:val="clear"/>
          </w:tcPr>
          <w:p>
            <w:r>
              <w:rPr>
                <w:b/>
                <w:color w:val="C00000"/>
                <w:sz w:val="17"/>
              </w:rPr>
              <w:t>-8.3%</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2,046</w:t>
            </w:r>
          </w:p>
        </w:tc>
        <w:tc>
          <w:tcPr>
            <w:tcW w:type="dxa" w:w="1440"/>
            <w:shd w:fill="FFDCE0" w:val="clear"/>
          </w:tcPr>
          <w:p>
            <w:r>
              <w:rPr>
                <w:b/>
                <w:sz w:val="17"/>
              </w:rPr>
              <w:t>2,346</w:t>
            </w:r>
          </w:p>
        </w:tc>
        <w:tc>
          <w:tcPr>
            <w:tcW w:type="dxa" w:w="1440"/>
            <w:shd w:fill="FFDCE0" w:val="clear"/>
          </w:tcPr>
          <w:p>
            <w:r>
              <w:rPr>
                <w:sz w:val="17"/>
              </w:rPr>
              <w:t>2,646</w:t>
            </w:r>
          </w:p>
        </w:tc>
        <w:tc>
          <w:tcPr>
            <w:tcW w:type="dxa" w:w="1440"/>
            <w:shd w:fill="FFDCE0" w:val="clear"/>
          </w:tcPr>
          <w:p>
            <w:r>
              <w:rPr>
                <w:b/>
                <w:color w:val="C00000"/>
                <w:sz w:val="17"/>
              </w:rPr>
              <w:t>-8.9%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ACTION STAC (SETAO)**</w:t>
        <w:br/>
        <w:t>**Bourse Régionale des Valeurs Mobilières (BRVM) — Secteur : BTP / Études &amp; Travaux**</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STAC s'élève à 34,61 milliards FCFA, un niveau qui reste significatif à l'échelle de la BRVM mais qui contraste fortement avec la taille réelle de l'entreprise (total actif de 5,447 milliards FCFA en 2025). Le BPA est négatif à -7 FCFA/action, ce qui signifie que chaque action détruite de la valeur comptable plutôt que d'en générer, et rend le PER inexploitable (-358,4x) — un ratio négatif qui signale une société déficitaire sans capacité bénéficiaire actuelle. Le P/B de 97,01x constitue un signal d'alerte majeur : le marché valorise l'action à près de 100 fois sa valeur comptable (capitaux propres de seulement 356,75 M FCFA), soit une prime totalement déconnectée des fondamentaux. Le ratio EV/EBITDA n'est pas fourni, mais avec un EBE de -650,13 M FCFA en 2025, il serait également négatif et non pertinent. En synthèse, la valorisation boursière de STAC apparaît **hors de prix** au regard de ses performances opérationnelles et de sa structure financière.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STAC a enregistré une variation totale de **-6,53%**, avec une dernière séance en repli de -0,19%, clôturant à **2 575 FCFA**. Le titre a évolué dans un range de trading de 1 140 FCFA, entre un plus haut de 3 640 FCFA et un plus bas de 2 500 FCFA, ce qui traduit une tendance baissière structurelle avec une pression vendeuse persistante. Les statistiques descriptives révèlent une moyenne de 2 958 FCFA supérieure à la médiane de 2 892 FCFA, confirmant une asymétrie positive (skewness de 0,548) : le cours a passé plus de journées sous sa moyenne, avec quelques pics haussiers isolés. L'écart-type de 329 FCFA (CV = 11,1%) indique une dispersion modérée autour de la moyenne, tandis que le kurtosis de -0,828 (mésokurtique) suggère une distribution proche de la normale, sans risque extrême de pics violents. La volatilité annualisée de **57,2%** classe le titre dans la catégorie **très élevée** (&gt;30%), ce qui est cohérent avec un dossier spéculatif en difficulté. Le mode à 3 000 FCFA, nettement au-dessus du cours actuel, confirme que le titre a perdu son ancrage haussier et évolue désormais dans une zone de faiblesse.</w:t>
      </w:r>
    </w:p>
    <w:p>
      <w:pPr>
        <w:spacing w:after="120" w:line="276" w:lineRule="auto"/>
      </w:pPr>
      <w:r>
        <w:t>---</w:t>
      </w:r>
    </w:p>
    <w:p>
      <w:pPr>
        <w:spacing w:after="120" w:line="276" w:lineRule="auto"/>
      </w:pPr>
      <w:r>
        <w:t>### **PARTIE 2 : ANALYSE TECHNIQUE DÉTAILLÉE**</w:t>
      </w:r>
    </w:p>
    <w:p>
      <w:pPr>
        <w:spacing w:after="120" w:line="276" w:lineRule="auto"/>
      </w:pPr>
      <w:r>
        <w:t>**Moyennes Mobiles** : La MM20 (2 605 FCFA) et la MM50 (2 829,9 FCFA) sont toutes deux supérieures au cours actuel de 2 575 FCFA, avec une MM50 nettement au-dessus de la MM20 — configuration baissière classique (death cross). Le cours évolue sous ses deux moyennes, confirmant la pression vendeuse et justifiant la décision **Vente**.</w:t>
      </w:r>
    </w:p>
    <w:p>
      <w:pPr>
        <w:spacing w:after="120" w:line="276" w:lineRule="auto"/>
      </w:pPr>
      <w:r>
        <w:t>**Bandes de Bollinger** : Le cours (2 575 FCFA) se situe dans la partie basse de la bande, entre la borne inférieure (2 415,76 FCFA) et la borne supérieure (2 794,24 FCFA), sans toucher les extrêmes. Cette position médiane-basse traduit une volatilité contenue mais une absence de signal directionnel fort, justifiant la décision **Neutre**.</w:t>
      </w:r>
    </w:p>
    <w:p>
      <w:pPr>
        <w:spacing w:after="120" w:line="276" w:lineRule="auto"/>
      </w:pPr>
      <w:r>
        <w:t>**MACD** : La valeur du MACD (-64,92) est supérieure à son signal (-71,043), générant un croisement haussier (MACD &gt; Signal) bien que les deux restent en territoire négatif. Ce momentum positif naissant, mais fragile, justifie la décision **Achat** à court terme, à condition d'une confirmation.</w:t>
      </w:r>
    </w:p>
    <w:p>
      <w:pPr>
        <w:spacing w:after="120" w:line="276" w:lineRule="auto"/>
      </w:pPr>
      <w:r>
        <w:t>**RSI** : À 48,667, le RSI se situe en zone neutre (30-70), sans signal de surachat (&gt;70) ni de survente (&lt;30). Cette position médiane indique un équilibre entre acheteurs et vendeurs, justifiant la décision **Neutre**.</w:t>
      </w:r>
    </w:p>
    <w:p>
      <w:pPr>
        <w:spacing w:after="120" w:line="276" w:lineRule="auto"/>
      </w:pPr>
      <w:r>
        <w:t>**Stochastique** : Le %K (22,727) est supérieur au %D (15,657), avec un croisement haussier en zone de survente (&lt;20 pour le %D). Ce signal précoce de retournement potentiel est toutefois affaibli par la faiblesse globale du titre, justifiant la décision **Neutre**.</w:t>
      </w:r>
    </w:p>
    <w:p>
      <w:pPr>
        <w:spacing w:after="120" w:line="276" w:lineRule="auto"/>
      </w:pPr>
      <w:r>
        <w:t>**Conclusion technique** : Les indicateurs sont majoritairement baissiers (MM, position du cours) ou neutres (Bollinger, RSI, Stochastique), avec un seul signal haussier isolé (MACD). La convergence des signaux négatifs (cours sous MM20/MM50, tendance baissière) domine, et le léger rebond technique suggéré par le MACD et le Stochastique ne suffit pas à inverser la tendance. **La configuration technique reste défavorable, avec un risque de poursuite de la baisse vers 2 500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STAC a réalisé un chiffre d'affaires de **3,878 milliards FCFA**, en croissance spectaculaire de +116,26% par rapport à 2024 (1,793 Mds FCFA), portée par le redémarrage des travaux de l'aéroport d'Abidjan. Cependant, cette dynamique commerciale ne s'est pas traduite en rentabilité : le résultat net reste négatif à **-96,56 M FCFA**, et le ROE s'établit à **-27,07%** (destruction de valeur pour les actionnaires), tandis que le ROA est de **-1,77%**. La marge nette est de **-2,49%**, la marge opérationnelle de **-19,90%**, et l'EBE de **-650,13 M FCFA** — l'entreprise ne génère pas de cash-flow opérationnel positif (flux opérationnel de -2,212 Mds FCFA). La structure financière est très fragile : l'autonomie financière n'est que de **6,55%** (capitaux propres/total bilan), le ratio d'endettement de **93,45%**, et la capacité de remboursement de **77,53 années** de CAF — un niveau alarmant. Le BFR est négatif (-930,47 M FCFA), ce qui est favorable, mais la trésorerie nette de 1,330 Mds FCFA est consommée par les pertes opérationnelles.</w:t>
      </w:r>
    </w:p>
    <w:p>
      <w:pPr>
        <w:spacing w:after="120" w:line="276" w:lineRule="auto"/>
      </w:pPr>
      <w:r>
        <w:t>**Estimations basées sur les rapports trimestriels** : Le rapport T3 2025 (daté du 30/09/2025) indique un CA cumulé de 3 456 M FCFA sur 9 mois (+176%), avec une perte nette réduite de 22% à -477 M FCFA. La direction maintient une prévision de CA annuel de 4 Mds FCFA, ce qui implique un T4 très faible (~544 M FCFA). Le rapport S1 2025 (30/06/2025) montrait un CA de 2 271 M FCFA (+290%) mais une perte nette de -557 M FCFA. **On estime donc que l'exercice 2025 devrait se solder par une perte nette annuelle comprise entre -100 et -150 M FCFA**, avec un CA proche de 4 Mds FCFA. Les rapports antérieurs (2024, 2021) confirment une **volatilité extrême des résultats** : après une année 2020 exceptionnelle (CA de 15,9 Mds FCFA, RN de 2,32 Mds FCFA), la société a enchaîné les pertes (2023 : -1 118 M FCFA ; 2024 : -348 M FCFA). La dépendance à un seul projet (aéroport d'Abidjan) et l'absence de dividendes depuis 2018 constituent des risques majeurs.</w:t>
      </w:r>
    </w:p>
    <w:p>
      <w:pPr>
        <w:spacing w:after="120" w:line="276" w:lineRule="auto"/>
      </w:pPr>
      <w:r>
        <w:t>**Recommandation fondamentale** : STAC présente un profil **très spéculatif et risqué**. La croissance du CA est réelle mais non rentable, la structure financière est précaire (capitaux propres quasi-inexistants), et la visibilité à moyen terme reste faible. **La solidité financière est insuffisante pour un investissement prudent.**</w:t>
      </w:r>
    </w:p>
    <w:p>
      <w:pPr>
        <w:spacing w:after="120" w:line="276" w:lineRule="auto"/>
      </w:pPr>
      <w:r>
        <w:t>---</w:t>
      </w:r>
    </w:p>
    <w:p>
      <w:pPr>
        <w:spacing w:after="120" w:line="276" w:lineRule="auto"/>
      </w:pPr>
      <w:r>
        <w:t>### **PARTIE 4 : CONCLUSION D'INVESTISSEMENT**</w:t>
      </w:r>
    </w:p>
    <w:p>
      <w:pPr>
        <w:spacing w:after="120" w:line="276" w:lineRule="auto"/>
      </w:pPr>
      <w:r>
        <w:t>**Synthèse des 4 parties** : La valorisation (Partie 0) est **totalement déconnectée** des fondamentaux (P/B de 97x, PER négatif), signalant une surévaluation manifeste. Le comportement du cours (Partie 1) est baissier (-6,53% sur 100 jours), avec une volatilité très élevée (57,2%) et une asymétrie positive suggérant une pression vendeuse persistante. Les signaux techniques (Partie 2) sont majoritairement baissiers (cours sous MM20/MM50), avec un léger rebond technique non confirmé (MACD, Stochastique). Les fondamentaux (Partie 3) sont **préoccupants** : perte nette en 2025 (-96,56 M FCFA), ROE négatif (-27,07%), autonomie financière de 6,55%, et dépendance à un projet unique. Les prédictions IA (J+1 à J+10) anticipent une **poursuite de la baisse** vers 2 455 FCFA (-4,7% depuis 2 575 FCFA), confirmant la tendance baissière.</w:t>
      </w:r>
    </w:p>
    <w:p>
      <w:pPr>
        <w:spacing w:after="120" w:line="276" w:lineRule="auto"/>
      </w:pPr>
      <w:r>
        <w:t>**Recommandation finale** : **VENTE** (avec un niveau de confiance **Moyen** et un risque **Élevé**). La convergence des signaux négatifs — valorisation excessive, technique baissière, fondamentaux dégradés, et prédictions IA à la baisse — justifie une recommandation de vente. Le seul point positif (croissance du CA) est insuffisant pour compenser l'absence de rentabilité et la fragilité financière. **Horizon d'investissement suggéré : court terme (&lt;3 mois)** pour les investisseurs cherchant à se positionner à la baisse, ou **évitement total** pour les profils prudents. Une surveillance des annonces de nouveaux contrats (au-delà de l'aéroport d'Abidjan) et de la trésorerie est indispensable avant tout investissement à long terme.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398.60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3,733 titres</w:t>
            </w:r>
          </w:p>
        </w:tc>
        <w:tc>
          <w:tcPr>
            <w:tcW w:type="dxa" w:w="2268"/>
            <w:shd w:fill="FFF2CC" w:val="clear"/>
          </w:tcPr>
          <w:p>
            <w:r>
              <w:rPr>
                <w:b/>
                <w:color w:val="503200"/>
                <w:sz w:val="16"/>
              </w:rPr>
              <w:t xml:space="preserve">Cours actuel : </w:t>
            </w:r>
            <w:r>
              <w:rPr>
                <w:color w:val="000000"/>
                <w:sz w:val="17"/>
              </w:rPr>
              <w:t>22,200 FCFA</w:t>
            </w:r>
          </w:p>
          <w:p>
            <w:r>
              <w:rPr>
                <w:b/>
                <w:color w:val="503200"/>
                <w:sz w:val="16"/>
              </w:rPr>
              <w:t xml:space="preserve">Var. 100 jours : </w:t>
            </w:r>
            <w:r>
              <w:rPr>
                <w:b/>
                <w:color w:val="007800"/>
                <w:sz w:val="17"/>
              </w:rPr>
              <w:t>+8.29%</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35.7%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5.86% (Moyenne) — μ=22,389 FCFA, σ=1,312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β=0.2644 (Défensif) — Cov=0.000009, Var(idx)=0.000035, ρ=0.069,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3,733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σ_j=2.25%/j (Stable) — Vol. annualisée≈35.7%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21,229</w:t>
            </w:r>
          </w:p>
        </w:tc>
        <w:tc>
          <w:tcPr>
            <w:tcW w:type="dxa" w:w="1440"/>
            <w:shd w:fill="FAFAFA" w:val="clear"/>
          </w:tcPr>
          <w:p>
            <w:r>
              <w:rPr>
                <w:b/>
                <w:sz w:val="17"/>
              </w:rPr>
              <w:t>22,294</w:t>
            </w:r>
          </w:p>
        </w:tc>
        <w:tc>
          <w:tcPr>
            <w:tcW w:type="dxa" w:w="1440"/>
            <w:shd w:fill="FAFAFA" w:val="clear"/>
          </w:tcPr>
          <w:p>
            <w:r>
              <w:rPr>
                <w:sz w:val="17"/>
              </w:rPr>
              <w:t>23,359</w:t>
            </w:r>
          </w:p>
        </w:tc>
        <w:tc>
          <w:tcPr>
            <w:tcW w:type="dxa" w:w="1440"/>
            <w:shd w:fill="FAFAFA" w:val="clear"/>
          </w:tcPr>
          <w:p>
            <w:r>
              <w:rPr>
                <w:b/>
                <w:color w:val="008000"/>
                <w:sz w:val="17"/>
              </w:rPr>
              <w:t>+0.4%</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20,866</w:t>
            </w:r>
          </w:p>
        </w:tc>
        <w:tc>
          <w:tcPr>
            <w:tcW w:type="dxa" w:w="1440"/>
            <w:shd w:fill="FAFAFA" w:val="clear"/>
          </w:tcPr>
          <w:p>
            <w:r>
              <w:rPr>
                <w:b/>
                <w:sz w:val="17"/>
              </w:rPr>
              <w:t>22,379</w:t>
            </w:r>
          </w:p>
        </w:tc>
        <w:tc>
          <w:tcPr>
            <w:tcW w:type="dxa" w:w="1440"/>
            <w:shd w:fill="FAFAFA" w:val="clear"/>
          </w:tcPr>
          <w:p>
            <w:r>
              <w:rPr>
                <w:sz w:val="17"/>
              </w:rPr>
              <w:t>23,891</w:t>
            </w:r>
          </w:p>
        </w:tc>
        <w:tc>
          <w:tcPr>
            <w:tcW w:type="dxa" w:w="1440"/>
            <w:shd w:fill="FAFAFA" w:val="clear"/>
          </w:tcPr>
          <w:p>
            <w:r>
              <w:rPr>
                <w:b/>
                <w:color w:val="008000"/>
                <w:sz w:val="17"/>
              </w:rPr>
              <w:t>+0.8%</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20,632</w:t>
            </w:r>
          </w:p>
        </w:tc>
        <w:tc>
          <w:tcPr>
            <w:tcW w:type="dxa" w:w="1440"/>
            <w:shd w:fill="FAFAFA" w:val="clear"/>
          </w:tcPr>
          <w:p>
            <w:r>
              <w:rPr>
                <w:b/>
                <w:sz w:val="17"/>
              </w:rPr>
              <w:t>22,494</w:t>
            </w:r>
          </w:p>
        </w:tc>
        <w:tc>
          <w:tcPr>
            <w:tcW w:type="dxa" w:w="1440"/>
            <w:shd w:fill="FAFAFA" w:val="clear"/>
          </w:tcPr>
          <w:p>
            <w:r>
              <w:rPr>
                <w:sz w:val="17"/>
              </w:rPr>
              <w:t>24,356</w:t>
            </w:r>
          </w:p>
        </w:tc>
        <w:tc>
          <w:tcPr>
            <w:tcW w:type="dxa" w:w="1440"/>
            <w:shd w:fill="FAFAFA" w:val="clear"/>
          </w:tcPr>
          <w:p>
            <w:r>
              <w:rPr>
                <w:b/>
                <w:color w:val="008000"/>
                <w:sz w:val="17"/>
              </w:rPr>
              <w:t>+1.3%</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20,456</w:t>
            </w:r>
          </w:p>
        </w:tc>
        <w:tc>
          <w:tcPr>
            <w:tcW w:type="dxa" w:w="1440"/>
            <w:shd w:fill="FAFAFA" w:val="clear"/>
          </w:tcPr>
          <w:p>
            <w:r>
              <w:rPr>
                <w:b/>
                <w:sz w:val="17"/>
              </w:rPr>
              <w:t>22,617</w:t>
            </w:r>
          </w:p>
        </w:tc>
        <w:tc>
          <w:tcPr>
            <w:tcW w:type="dxa" w:w="1440"/>
            <w:shd w:fill="FAFAFA" w:val="clear"/>
          </w:tcPr>
          <w:p>
            <w:r>
              <w:rPr>
                <w:sz w:val="17"/>
              </w:rPr>
              <w:t>24,779</w:t>
            </w:r>
          </w:p>
        </w:tc>
        <w:tc>
          <w:tcPr>
            <w:tcW w:type="dxa" w:w="1440"/>
            <w:shd w:fill="FAFAFA" w:val="clear"/>
          </w:tcPr>
          <w:p>
            <w:r>
              <w:rPr>
                <w:b/>
                <w:color w:val="008000"/>
                <w:sz w:val="17"/>
              </w:rPr>
              <w:t>+1.9%</w:t>
            </w:r>
          </w:p>
        </w:tc>
      </w:tr>
      <w:tr>
        <w:tc>
          <w:tcPr>
            <w:tcW w:type="dxa" w:w="1440"/>
            <w:shd w:fill="C6EFCE" w:val="clear"/>
          </w:tcPr>
          <w:p>
            <w:r>
              <w:rPr>
                <w:sz w:val="17"/>
              </w:rPr>
              <w:t>J+5  ⭐</w:t>
            </w:r>
          </w:p>
        </w:tc>
        <w:tc>
          <w:tcPr>
            <w:tcW w:type="dxa" w:w="1440"/>
            <w:shd w:fill="C6EFCE" w:val="clear"/>
          </w:tcPr>
          <w:p>
            <w:r>
              <w:rPr>
                <w:sz w:val="17"/>
              </w:rPr>
              <w:t>2026-09-18</w:t>
            </w:r>
          </w:p>
        </w:tc>
        <w:tc>
          <w:tcPr>
            <w:tcW w:type="dxa" w:w="1440"/>
            <w:shd w:fill="C6EFCE" w:val="clear"/>
          </w:tcPr>
          <w:p>
            <w:r>
              <w:rPr>
                <w:sz w:val="17"/>
              </w:rPr>
              <w:t>20,371</w:t>
            </w:r>
          </w:p>
        </w:tc>
        <w:tc>
          <w:tcPr>
            <w:tcW w:type="dxa" w:w="1440"/>
            <w:shd w:fill="C6EFCE" w:val="clear"/>
          </w:tcPr>
          <w:p>
            <w:r>
              <w:rPr>
                <w:b/>
                <w:sz w:val="17"/>
              </w:rPr>
              <w:t>22,809</w:t>
            </w:r>
          </w:p>
        </w:tc>
        <w:tc>
          <w:tcPr>
            <w:tcW w:type="dxa" w:w="1440"/>
            <w:shd w:fill="C6EFCE" w:val="clear"/>
          </w:tcPr>
          <w:p>
            <w:r>
              <w:rPr>
                <w:sz w:val="17"/>
              </w:rPr>
              <w:t>25,246</w:t>
            </w:r>
          </w:p>
        </w:tc>
        <w:tc>
          <w:tcPr>
            <w:tcW w:type="dxa" w:w="1440"/>
            <w:shd w:fill="C6EFCE" w:val="clear"/>
          </w:tcPr>
          <w:p>
            <w:r>
              <w:rPr>
                <w:b/>
                <w:color w:val="008000"/>
                <w:sz w:val="17"/>
              </w:rPr>
              <w:t>+2.7%</w:t>
            </w:r>
          </w:p>
        </w:tc>
      </w:tr>
      <w:tr>
        <w:tc>
          <w:tcPr>
            <w:tcW w:type="dxa" w:w="1440"/>
            <w:shd w:fill="C6EFCE" w:val="clear"/>
          </w:tcPr>
          <w:p>
            <w:r>
              <w:rPr>
                <w:sz w:val="17"/>
              </w:rPr>
              <w:t>J+6  ⭐</w:t>
            </w:r>
          </w:p>
        </w:tc>
        <w:tc>
          <w:tcPr>
            <w:tcW w:type="dxa" w:w="1440"/>
            <w:shd w:fill="C6EFCE" w:val="clear"/>
          </w:tcPr>
          <w:p>
            <w:r>
              <w:rPr>
                <w:sz w:val="17"/>
              </w:rPr>
              <w:t>2026-09-21</w:t>
            </w:r>
          </w:p>
        </w:tc>
        <w:tc>
          <w:tcPr>
            <w:tcW w:type="dxa" w:w="1440"/>
            <w:shd w:fill="C6EFCE" w:val="clear"/>
          </w:tcPr>
          <w:p>
            <w:r>
              <w:rPr>
                <w:sz w:val="17"/>
              </w:rPr>
              <w:t>20,354</w:t>
            </w:r>
          </w:p>
        </w:tc>
        <w:tc>
          <w:tcPr>
            <w:tcW w:type="dxa" w:w="1440"/>
            <w:shd w:fill="C6EFCE" w:val="clear"/>
          </w:tcPr>
          <w:p>
            <w:r>
              <w:rPr>
                <w:b/>
                <w:sz w:val="17"/>
              </w:rPr>
              <w:t>23,053</w:t>
            </w:r>
          </w:p>
        </w:tc>
        <w:tc>
          <w:tcPr>
            <w:tcW w:type="dxa" w:w="1440"/>
            <w:shd w:fill="C6EFCE" w:val="clear"/>
          </w:tcPr>
          <w:p>
            <w:r>
              <w:rPr>
                <w:sz w:val="17"/>
              </w:rPr>
              <w:t>25,751</w:t>
            </w:r>
          </w:p>
        </w:tc>
        <w:tc>
          <w:tcPr>
            <w:tcW w:type="dxa" w:w="1440"/>
            <w:shd w:fill="C6EFCE" w:val="clear"/>
          </w:tcPr>
          <w:p>
            <w:r>
              <w:rPr>
                <w:b/>
                <w:color w:val="008000"/>
                <w:sz w:val="17"/>
              </w:rPr>
              <w:t>+3.8%</w:t>
            </w:r>
          </w:p>
        </w:tc>
      </w:tr>
      <w:tr>
        <w:tc>
          <w:tcPr>
            <w:tcW w:type="dxa" w:w="1440"/>
            <w:shd w:fill="C6EFCE" w:val="clear"/>
          </w:tcPr>
          <w:p>
            <w:r>
              <w:rPr>
                <w:sz w:val="17"/>
              </w:rPr>
              <w:t>J+7  ⭐</w:t>
            </w:r>
          </w:p>
        </w:tc>
        <w:tc>
          <w:tcPr>
            <w:tcW w:type="dxa" w:w="1440"/>
            <w:shd w:fill="C6EFCE" w:val="clear"/>
          </w:tcPr>
          <w:p>
            <w:r>
              <w:rPr>
                <w:sz w:val="17"/>
              </w:rPr>
              <w:t>2026-09-22</w:t>
            </w:r>
          </w:p>
        </w:tc>
        <w:tc>
          <w:tcPr>
            <w:tcW w:type="dxa" w:w="1440"/>
            <w:shd w:fill="C6EFCE" w:val="clear"/>
          </w:tcPr>
          <w:p>
            <w:r>
              <w:rPr>
                <w:sz w:val="17"/>
              </w:rPr>
              <w:t>20,434</w:t>
            </w:r>
          </w:p>
        </w:tc>
        <w:tc>
          <w:tcPr>
            <w:tcW w:type="dxa" w:w="1440"/>
            <w:shd w:fill="C6EFCE" w:val="clear"/>
          </w:tcPr>
          <w:p>
            <w:r>
              <w:rPr>
                <w:b/>
                <w:sz w:val="17"/>
              </w:rPr>
              <w:t>23,391</w:t>
            </w:r>
          </w:p>
        </w:tc>
        <w:tc>
          <w:tcPr>
            <w:tcW w:type="dxa" w:w="1440"/>
            <w:shd w:fill="C6EFCE" w:val="clear"/>
          </w:tcPr>
          <w:p>
            <w:r>
              <w:rPr>
                <w:sz w:val="17"/>
              </w:rPr>
              <w:t>26,348</w:t>
            </w:r>
          </w:p>
        </w:tc>
        <w:tc>
          <w:tcPr>
            <w:tcW w:type="dxa" w:w="1440"/>
            <w:shd w:fill="C6EFCE" w:val="clear"/>
          </w:tcPr>
          <w:p>
            <w:r>
              <w:rPr>
                <w:b/>
                <w:color w:val="008000"/>
                <w:sz w:val="17"/>
              </w:rPr>
              <w:t>+5.4%</w:t>
            </w:r>
          </w:p>
        </w:tc>
      </w:tr>
      <w:tr>
        <w:tc>
          <w:tcPr>
            <w:tcW w:type="dxa" w:w="1440"/>
            <w:shd w:fill="C6EFCE" w:val="clear"/>
          </w:tcPr>
          <w:p>
            <w:r>
              <w:rPr>
                <w:sz w:val="17"/>
              </w:rPr>
              <w:t>J+8  ⭐</w:t>
            </w:r>
          </w:p>
        </w:tc>
        <w:tc>
          <w:tcPr>
            <w:tcW w:type="dxa" w:w="1440"/>
            <w:shd w:fill="C6EFCE" w:val="clear"/>
          </w:tcPr>
          <w:p>
            <w:r>
              <w:rPr>
                <w:sz w:val="17"/>
              </w:rPr>
              <w:t>2026-09-23</w:t>
            </w:r>
          </w:p>
        </w:tc>
        <w:tc>
          <w:tcPr>
            <w:tcW w:type="dxa" w:w="1440"/>
            <w:shd w:fill="C6EFCE" w:val="clear"/>
          </w:tcPr>
          <w:p>
            <w:r>
              <w:rPr>
                <w:sz w:val="17"/>
              </w:rPr>
              <w:t>20,474</w:t>
            </w:r>
          </w:p>
        </w:tc>
        <w:tc>
          <w:tcPr>
            <w:tcW w:type="dxa" w:w="1440"/>
            <w:shd w:fill="C6EFCE" w:val="clear"/>
          </w:tcPr>
          <w:p>
            <w:r>
              <w:rPr>
                <w:b/>
                <w:sz w:val="17"/>
              </w:rPr>
              <w:t>23,673</w:t>
            </w:r>
          </w:p>
        </w:tc>
        <w:tc>
          <w:tcPr>
            <w:tcW w:type="dxa" w:w="1440"/>
            <w:shd w:fill="C6EFCE" w:val="clear"/>
          </w:tcPr>
          <w:p>
            <w:r>
              <w:rPr>
                <w:sz w:val="17"/>
              </w:rPr>
              <w:t>26,873</w:t>
            </w:r>
          </w:p>
        </w:tc>
        <w:tc>
          <w:tcPr>
            <w:tcW w:type="dxa" w:w="1440"/>
            <w:shd w:fill="C6EFCE" w:val="clear"/>
          </w:tcPr>
          <w:p>
            <w:r>
              <w:rPr>
                <w:b/>
                <w:color w:val="008000"/>
                <w:sz w:val="17"/>
              </w:rPr>
              <w:t>+6.6%</w:t>
            </w:r>
          </w:p>
        </w:tc>
      </w:tr>
      <w:tr>
        <w:tc>
          <w:tcPr>
            <w:tcW w:type="dxa" w:w="1440"/>
            <w:shd w:fill="C6EFCE" w:val="clear"/>
          </w:tcPr>
          <w:p>
            <w:r>
              <w:rPr>
                <w:sz w:val="17"/>
              </w:rPr>
              <w:t>J+9  ⭐</w:t>
            </w:r>
          </w:p>
        </w:tc>
        <w:tc>
          <w:tcPr>
            <w:tcW w:type="dxa" w:w="1440"/>
            <w:shd w:fill="C6EFCE" w:val="clear"/>
          </w:tcPr>
          <w:p>
            <w:r>
              <w:rPr>
                <w:sz w:val="17"/>
              </w:rPr>
              <w:t>2026-09-24</w:t>
            </w:r>
          </w:p>
        </w:tc>
        <w:tc>
          <w:tcPr>
            <w:tcW w:type="dxa" w:w="1440"/>
            <w:shd w:fill="C6EFCE" w:val="clear"/>
          </w:tcPr>
          <w:p>
            <w:r>
              <w:rPr>
                <w:sz w:val="17"/>
              </w:rPr>
              <w:t>20,490</w:t>
            </w:r>
          </w:p>
        </w:tc>
        <w:tc>
          <w:tcPr>
            <w:tcW w:type="dxa" w:w="1440"/>
            <w:shd w:fill="C6EFCE" w:val="clear"/>
          </w:tcPr>
          <w:p>
            <w:r>
              <w:rPr>
                <w:b/>
                <w:sz w:val="17"/>
              </w:rPr>
              <w:t>23,919</w:t>
            </w:r>
          </w:p>
        </w:tc>
        <w:tc>
          <w:tcPr>
            <w:tcW w:type="dxa" w:w="1440"/>
            <w:shd w:fill="C6EFCE" w:val="clear"/>
          </w:tcPr>
          <w:p>
            <w:r>
              <w:rPr>
                <w:sz w:val="17"/>
              </w:rPr>
              <w:t>27,348</w:t>
            </w:r>
          </w:p>
        </w:tc>
        <w:tc>
          <w:tcPr>
            <w:tcW w:type="dxa" w:w="1440"/>
            <w:shd w:fill="C6EFCE" w:val="clear"/>
          </w:tcPr>
          <w:p>
            <w:r>
              <w:rPr>
                <w:b/>
                <w:color w:val="008000"/>
                <w:sz w:val="17"/>
              </w:rPr>
              <w:t>+7.7%</w:t>
            </w:r>
          </w:p>
        </w:tc>
      </w:tr>
      <w:tr>
        <w:tc>
          <w:tcPr>
            <w:tcW w:type="dxa" w:w="1440"/>
            <w:shd w:fill="C6EFCE" w:val="clear"/>
          </w:tcPr>
          <w:p>
            <w:r>
              <w:rPr>
                <w:sz w:val="17"/>
              </w:rPr>
              <w:t>J+10  ⭐</w:t>
            </w:r>
          </w:p>
        </w:tc>
        <w:tc>
          <w:tcPr>
            <w:tcW w:type="dxa" w:w="1440"/>
            <w:shd w:fill="C6EFCE" w:val="clear"/>
          </w:tcPr>
          <w:p>
            <w:r>
              <w:rPr>
                <w:sz w:val="17"/>
              </w:rPr>
              <w:t>2026-09-25</w:t>
            </w:r>
          </w:p>
        </w:tc>
        <w:tc>
          <w:tcPr>
            <w:tcW w:type="dxa" w:w="1440"/>
            <w:shd w:fill="C6EFCE" w:val="clear"/>
          </w:tcPr>
          <w:p>
            <w:r>
              <w:rPr>
                <w:sz w:val="17"/>
              </w:rPr>
              <w:t>20,452</w:t>
            </w:r>
          </w:p>
        </w:tc>
        <w:tc>
          <w:tcPr>
            <w:tcW w:type="dxa" w:w="1440"/>
            <w:shd w:fill="C6EFCE" w:val="clear"/>
          </w:tcPr>
          <w:p>
            <w:r>
              <w:rPr>
                <w:b/>
                <w:sz w:val="17"/>
              </w:rPr>
              <w:t>24,093</w:t>
            </w:r>
          </w:p>
        </w:tc>
        <w:tc>
          <w:tcPr>
            <w:tcW w:type="dxa" w:w="1440"/>
            <w:shd w:fill="C6EFCE" w:val="clear"/>
          </w:tcPr>
          <w:p>
            <w:r>
              <w:rPr>
                <w:sz w:val="17"/>
              </w:rPr>
              <w:t>27,733</w:t>
            </w:r>
          </w:p>
        </w:tc>
        <w:tc>
          <w:tcPr>
            <w:tcW w:type="dxa" w:w="1440"/>
            <w:shd w:fill="C6EFCE" w:val="clear"/>
          </w:tcPr>
          <w:p>
            <w:r>
              <w:rPr>
                <w:b/>
                <w:color w:val="008000"/>
                <w:sz w:val="17"/>
              </w:rPr>
              <w:t>+8.5%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 (SITAB S.A.)**</w:t>
        <w:br/>
        <w:t>*Bourse Régionale des Valeurs Mobilières (BRVM) — Secteur : Entreprise non bancaire (Distribution de tabac)*</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398,60 Mds FCFA, STBC s'impose comme l'une des valeurs les plus capitalisées de la cote BRVM, ce qui témoigne de sa liquidité relative et de son statut de valeur de rendement prisée des investisseurs institutionnels ouest-africains. Le BPA de 2 014 FCFA/action signifie que chaque titre génère près de 2 014 FCFA de bénéfice net, un niveau élevé qui traduit la forte rentabilité opérationnelle de la société. Le PER de 11,0x se situe dans la fourchette moyenne du marché BRVM (8-12x), indiquant que les investisseurs paient un prix raisonnable pour les bénéfices, sans prime excessive ni décote marquée. En revanche, le P/B de 8,79x révèle que le marché valorise STBC à près de 9 fois sa valeur comptable — une prime très élevée qui s'explique par la structure bilantielle atypique de la société (capitaux propres modestes de 45,3 Mds face à un résultat net de 36,2 Mds, soit un ROE exceptionnel de 79,75%). Enfin, l'EV/EBITDA de 7,9x, dans la fourchette raisonnable de 5-10x, suggère que la valeur totale de l'entreprise (incluant sa trésorerie nette positive) reste cohérente avec sa capacité opérationnelle, ce qui nuance la cherté apparente du P/B.</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STBC affiche une variation totale de +8,29%, avec une dernière séance en hausse de +0,91%, portant le cours actuel à 22 200 FCFA. Le titre a évolué dans un range de 19 705 FCFA (plus bas) à 25 000 FCFA (plus haut), soit une amplitude de trading de 26,9% qui traduit une certaine nervosité du marché. La tendance générale est haussière sur la période, mais le cours actuel (22 200 FCFA) se situe en dessous de la moyenne (22 389 FCFA) et de la médiane (22 218 FCFA), suggérant une consolidation après le pic de 25 000 FCFA. Les statistiques descriptives révèlent une distribution quasi-symétrique : la moyenne (22 389 FCFA) et la médiane (22 218 FCFA) sont très proches, et le skewness de 0,198 confirme cette symétrie. L'écart-type de 1 318 FCFA (CV=5,9%) indique une dispersion modérée du cours autour de sa moyenne, tandis que le kurtosis de -0,814 (mésokurtique) signale une distribution proche de la normale, sans risque de pics extrêmes marqués. La volatilité annualisée de 35,7% positionne STBC dans la catégorie des titres à volatilité élevée (&gt;30%), ce qui est cohérent avec le contexte réglementaire incertain du secteur du tabac et la sensibilité du titre aux annonces fiscales.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(22 437,5 FCFA) et la MM50 (23 225,5 FCFA) se situent toutes deux au-dessus du cours actuel (22 200 FCFA), avec une MM20 inférieure à la MM50 — configuration baissière classique (death cross). Le cours évolue sous ses deux moyennes, ce qui confirme la pression vendeuse et justifie la décision technique de **Vente**. La MM50, plus éloignée du cours, joue le rôle de résistance dynamique à 23 225 FCFA.</w:t>
      </w:r>
    </w:p>
    <w:p>
      <w:pPr>
        <w:spacing w:after="120" w:line="276" w:lineRule="auto"/>
      </w:pPr>
      <w:r>
        <w:t>**Bandes de Bollinger** : Le cours (22 200 FCFA) se situe dans la partie basse de la bande, entre la borne inférieure (21 319,5 FCFA) et la borne supérieure (23 555,4 FCFA), mais plus proche de la borne inférieure. Cette position suggère que le titre n'est ni suracheté ni survendu, mais qu'il évolue dans un canal baissier. La largeur des bandes (2 235,9 FCFA) reflète une volatilité modérée, et la décision **Neutre** indique l'absence de signal fort de retournement.</w:t>
      </w:r>
    </w:p>
    <w:p>
      <w:pPr>
        <w:spacing w:after="120" w:line="276" w:lineRule="auto"/>
      </w:pPr>
      <w:r>
        <w:t>**MACD** : La valeur du MACD (-347,576) est légèrement inférieure à son signal (-344,015), avec un histogramme négatif. Cette divergence baissière indique que le momentum reste négatif, bien que l'écart entre les deux lignes soit faible (3,56 points), ce qui pourrait annoncer un prochain croisement. La décision **Vente** est cohérente avec cette configuration.</w:t>
      </w:r>
    </w:p>
    <w:p>
      <w:pPr>
        <w:spacing w:after="120" w:line="276" w:lineRule="auto"/>
      </w:pPr>
      <w:r>
        <w:t>**RSI** : À 42,647, le RSI se situe dans la zone neutre (30-70), sans signal de surachat (&gt;70) ni de survente (&lt;30). Cette valeur médiane indique un équilibre relatif entre acheteurs et vendeurs, mais avec une légère prédominance baissière (RSI &lt; 50). La décision **Neutre** reflète cette absence de signal directionnel fort.</w:t>
      </w:r>
    </w:p>
    <w:p>
      <w:pPr>
        <w:spacing w:after="120" w:line="276" w:lineRule="auto"/>
      </w:pPr>
      <w:r>
        <w:t>**Stochastique** : Le %K (58,702) est supérieur au %D (49,965), avec un croisement récent à la hausse qui pourrait signaler un début de retournement positif. Cependant, les deux lignes restent dans la zone médiane (20-80), sans signal de surachat ou de survente. La décision **Neutre** est cohérente avec cette configuration ambiguë.</w:t>
      </w:r>
    </w:p>
    <w:p>
      <w:pPr>
        <w:spacing w:after="120" w:line="276" w:lineRule="auto"/>
      </w:pPr>
      <w:r>
        <w:t>**Conclusion technique** : Les indicateurs techniques sont majoritairement baissiers (MM, MACD) ou neutres (Bollinger, RSI, Stochastique), avec une convergence vers un signal de **Vente modérée**. Le cours évolue sous ses moyennes mobiles, le MACD est négatif, et le RSI reste sous 50. Cependant, le Stochastique montre un début de croisement haussier qui pourrait annoncer un rebond technique à court terme. La tendance de fond reste baissière, mais le potentiel de rebond vers la MM20 (22 437 FCFA) n'est pas exclu.</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STBC (SITAB) a réalisé un chiffre d'affaires de 268,537 Mds FCFA, en croissance de +25,3% par rapport à 2024, portée par une hausse des volumes (+5,6%) et un effet prix favorable. Le résultat net s'établit à 36,158 Mds FCFA, en baisse de -17,5% par rapport à 2024 (44,174 Mds), sous l'effet de la hausse des droits d'accises (de 49% à 70%) et d'un contrôle fiscal. La marge nette se contracte à 13,46% (contre 20,4% en 2024), et la marge opérationnelle à 17,12%. Le ROE reste exceptionnel à 79,75% (résultat net/capitaux propres de 45,337 Mds), et le ROA à 48,09%, confirmant l'efficacité exceptionnelle du modèle "pur trading" de la société. Le BFR est positif à 5,639 Mds FCFA, avec un délai client de 42,57 jours (risque de trésorerie modéré) et une durée de stockage très faible de 5,73 jours. La structure financière est très saine : autonomie financière de 60,3%, endettement quasi nul (dettes financières de 1,4 M FCFA), liquidité générale de 225%, et trésorerie nette de 30,763 Mds FCFA (en baisse de -36% sur un an).</w:t>
      </w:r>
    </w:p>
    <w:p>
      <w:pPr>
        <w:spacing w:after="120" w:line="276" w:lineRule="auto"/>
      </w:pPr>
      <w:r>
        <w:t>**Estimations basées sur les rapports trimestriels** : Le rapport T1 2026 (publié en 2026) indique un CA de 68,8 Mds FCFA (+12%) et un résultat net de 9,3 Mds FCFA (-1%), avec des volumes en hausse de +10% — un redressement de la dynamique commerciale après la contraction de 2025. Le rapport T2 2026 (publié en 2026) confirme cette tendance avec un CA de 70,05 Mds FCFA (+1%) et un résultat net de 8,64 Mds FCFA (-0,2%), mais un résultat des activités ordinaires en hausse de +4% à 11,50 Mds FCFA, témoignant d'une meilleure maîtrise des charges. Sur la base de ces deux trimestres, on estime que l'exercice 2026 devrait afficher un CA annuel d'environ 275-280 Mds FCFA (+2-4%) et un résultat net de l'ordre de 36-38 Mds FCFA (stable), avec une marge nette maintenue autour de 13%. La politique de dividende reste généreuse : 1 940 FCFA/action proposé pour 2025 (rendement de 8,7% au cours actuel de 22 200 FCFA), avec un taux de distribution de 84,9% — élevé mais soutenable grâce à la trésorerie confortable.</w:t>
      </w:r>
    </w:p>
    <w:p>
      <w:pPr>
        <w:spacing w:after="120" w:line="276" w:lineRule="auto"/>
      </w:pPr>
      <w:r>
        <w:t>**Recommandation fondamentale** : STBC présente une solidité financière remarquable (zéro dette, trésorerie élevée, ROE exceptionnel) et une capacité à générer des marges élevées malgré un environnement fiscal contraignant. Cependant, la dégradation de la rentabilité en 2025 et la pression continue sur les marges constituent des signaux d'alerte. La recommandation fondamentale est **CONSERVER**, avec une surveillance attentive de l'évolution des volumes et des charges en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recommandation nuancée. **Valorisation (Partie 0)** : le PER de 11,0x est raisonnable, mais le P/B de 8,79x traduit une prime excessive qui reflète la rentabilité exceptionnelle (ROE de 79,75%) plutôt qu'une surévaluation — l'EV/EBITDA de 7,9x confirme cette lecture. **Comportement du cours (Partie 1)** : la tendance haussière sur 100 jours (+8,29%) masque une consolidation récente sous les 22 500 FCFA, avec une volatilité élevée (35,7%) et une distribution symétrique (skewness de 0,198) sans risque de pics extrêmes (kurtosis de -0,814). **Signaux techniques (Partie 2)** : les indicateurs sont majoritairement baissiers (MM, MACD) ou neutres (Bollinger, RSI, Stochastique), avec une convergence vers une **Vente modérée** à court terme. **Fondamentaux (Partie 3)** : la société affiche une solidité financière exceptionnelle (zéro dette, trésorerie de 30,8 Mds FCFA, ROE de 79,75%) mais une dégradation de la rentabilité en 2025 (marge nette de 13,46% contre 20,4% en 2024) et une politique de dividende généreuse (1 940 FCFA/action, rendement de 8,7%). Les rapports T1 et T2 2026 montrent un redressement des volumes (+10% au T1) et une stabilisation du résultat net, ce qui pourrait inverser la tendance baissière des marges. **Prédictions IA (J+1 à J+10)** : la trajectoire prévue (22 294 FCFA à 22 809 FCFA, soit +2,7% sur 10 jours) est haussière et contredit les signaux techniques baissiers à court terme, suggérant un possible rebond technique.</w:t>
      </w:r>
    </w:p>
    <w:p>
      <w:pPr>
        <w:spacing w:after="120" w:line="276" w:lineRule="auto"/>
      </w:pPr>
      <w:r>
        <w:t>**Recommandation finale : CONSERVER**. La convergence entre une valorisation raisonnable (PER de 11,0x), des fondamentaux solides (zéro dette, ROE de 79,75%) et des prédictions IA haussières à court terme (+2,7%) plaide pour le maintien de la position. Cependant, les signaux techniques baissiers (cours sous MM20 et MM50, MACD négatif) et la dégradation de la rentabilité en 2025 incitent à la prudence. **Niveau de confiance : Moyen** — les signaux sont contradictoires entre technique (baissier) et fondamental/prédictions (haussier). **Niveau de risque global : Moyen** — la volatilité élevée (35,7%) et le risque réglementaire (taxes sur le tabac) sont compensés par la solidité financière et le rendement du dividende. **Horizon d'investissement optimal : Moyen terme (3-12 mois)** — le temps de vérifier si le redressement des volumes en 2026 se confirme et si la maîtrise des charges permet de restaurer les marges. Un renforcement de la position (ACHAT) serait justifié si le cours franchit la MM50 (23 225 FCFA) avec des volumes en hausse, ou si les résultats du S1 2026 confirment l'amélioration de la rentabilité.</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206.51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6,868 titres</w:t>
            </w:r>
          </w:p>
        </w:tc>
        <w:tc>
          <w:tcPr>
            <w:tcW w:type="dxa" w:w="2268"/>
            <w:shd w:fill="FFF2CC" w:val="clear"/>
          </w:tcPr>
          <w:p>
            <w:r>
              <w:rPr>
                <w:b/>
                <w:color w:val="503200"/>
                <w:sz w:val="16"/>
              </w:rPr>
              <w:t xml:space="preserve">Cours actuel : </w:t>
            </w:r>
            <w:r>
              <w:rPr>
                <w:color w:val="000000"/>
                <w:sz w:val="17"/>
              </w:rPr>
              <w:t>3,280 FCFA</w:t>
            </w:r>
          </w:p>
          <w:p>
            <w:r>
              <w:rPr>
                <w:b/>
                <w:color w:val="503200"/>
                <w:sz w:val="16"/>
              </w:rPr>
              <w:t xml:space="preserve">Var. 100 jours : </w:t>
            </w:r>
            <w:r>
              <w:rPr>
                <w:b/>
                <w:color w:val="007800"/>
                <w:sz w:val="17"/>
              </w:rPr>
              <w:t>+17.35%</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40.8%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6.96% (Moyenne) — μ=2,961 FCFA, σ=206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β=-0.4021 (Contre-cyclique) — Cov=-0.000014, Var(idx)=0.000035, ρ=-0.092,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6,868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σ_j=2.57%/j (Stable) — Vol. annualisée≈40.8%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3,056</w:t>
            </w:r>
          </w:p>
        </w:tc>
        <w:tc>
          <w:tcPr>
            <w:tcW w:type="dxa" w:w="1440"/>
            <w:shd w:fill="FAFAFA" w:val="clear"/>
          </w:tcPr>
          <w:p>
            <w:r>
              <w:rPr>
                <w:b/>
                <w:sz w:val="17"/>
              </w:rPr>
              <w:t>3,238</w:t>
            </w:r>
          </w:p>
        </w:tc>
        <w:tc>
          <w:tcPr>
            <w:tcW w:type="dxa" w:w="1440"/>
            <w:shd w:fill="FAFAFA" w:val="clear"/>
          </w:tcPr>
          <w:p>
            <w:r>
              <w:rPr>
                <w:sz w:val="17"/>
              </w:rPr>
              <w:t>3,421</w:t>
            </w:r>
          </w:p>
        </w:tc>
        <w:tc>
          <w:tcPr>
            <w:tcW w:type="dxa" w:w="1440"/>
            <w:shd w:fill="FAFAFA" w:val="clear"/>
          </w:tcPr>
          <w:p>
            <w:r>
              <w:rPr>
                <w:b/>
                <w:color w:val="C00000"/>
                <w:sz w:val="17"/>
              </w:rPr>
              <w:t>-1.3%</w:t>
            </w:r>
          </w:p>
        </w:tc>
      </w:tr>
      <w:tr>
        <w:tc>
          <w:tcPr>
            <w:tcW w:type="dxa" w:w="1440"/>
            <w:shd w:fill="FFDCE0" w:val="clear"/>
          </w:tcPr>
          <w:p>
            <w:r>
              <w:rPr>
                <w:sz w:val="17"/>
              </w:rPr>
              <w:t>J+2  ⭐</w:t>
            </w:r>
          </w:p>
        </w:tc>
        <w:tc>
          <w:tcPr>
            <w:tcW w:type="dxa" w:w="1440"/>
            <w:shd w:fill="FFDCE0" w:val="clear"/>
          </w:tcPr>
          <w:p>
            <w:r>
              <w:rPr>
                <w:sz w:val="17"/>
              </w:rPr>
              <w:t>2026-09-15</w:t>
            </w:r>
          </w:p>
        </w:tc>
        <w:tc>
          <w:tcPr>
            <w:tcW w:type="dxa" w:w="1440"/>
            <w:shd w:fill="FFDCE0" w:val="clear"/>
          </w:tcPr>
          <w:p>
            <w:r>
              <w:rPr>
                <w:sz w:val="17"/>
              </w:rPr>
              <w:t>2,946</w:t>
            </w:r>
          </w:p>
        </w:tc>
        <w:tc>
          <w:tcPr>
            <w:tcW w:type="dxa" w:w="1440"/>
            <w:shd w:fill="FFDCE0" w:val="clear"/>
          </w:tcPr>
          <w:p>
            <w:r>
              <w:rPr>
                <w:b/>
                <w:sz w:val="17"/>
              </w:rPr>
              <w:t>3,202</w:t>
            </w:r>
          </w:p>
        </w:tc>
        <w:tc>
          <w:tcPr>
            <w:tcW w:type="dxa" w:w="1440"/>
            <w:shd w:fill="FFDCE0" w:val="clear"/>
          </w:tcPr>
          <w:p>
            <w:r>
              <w:rPr>
                <w:sz w:val="17"/>
              </w:rPr>
              <w:t>3,457</w:t>
            </w:r>
          </w:p>
        </w:tc>
        <w:tc>
          <w:tcPr>
            <w:tcW w:type="dxa" w:w="1440"/>
            <w:shd w:fill="FFDCE0" w:val="clear"/>
          </w:tcPr>
          <w:p>
            <w:r>
              <w:rPr>
                <w:b/>
                <w:color w:val="C00000"/>
                <w:sz w:val="17"/>
              </w:rPr>
              <w:t>-2.4%</w:t>
            </w:r>
          </w:p>
        </w:tc>
      </w:tr>
      <w:tr>
        <w:tc>
          <w:tcPr>
            <w:tcW w:type="dxa" w:w="1440"/>
            <w:shd w:fill="FFDCE0" w:val="clear"/>
          </w:tcPr>
          <w:p>
            <w:r>
              <w:rPr>
                <w:sz w:val="17"/>
              </w:rPr>
              <w:t>J+3  ⭐</w:t>
            </w:r>
          </w:p>
        </w:tc>
        <w:tc>
          <w:tcPr>
            <w:tcW w:type="dxa" w:w="1440"/>
            <w:shd w:fill="FFDCE0" w:val="clear"/>
          </w:tcPr>
          <w:p>
            <w:r>
              <w:rPr>
                <w:sz w:val="17"/>
              </w:rPr>
              <w:t>2026-09-16</w:t>
            </w:r>
          </w:p>
        </w:tc>
        <w:tc>
          <w:tcPr>
            <w:tcW w:type="dxa" w:w="1440"/>
            <w:shd w:fill="FFDCE0" w:val="clear"/>
          </w:tcPr>
          <w:p>
            <w:r>
              <w:rPr>
                <w:sz w:val="17"/>
              </w:rPr>
              <w:t>2,857</w:t>
            </w:r>
          </w:p>
        </w:tc>
        <w:tc>
          <w:tcPr>
            <w:tcW w:type="dxa" w:w="1440"/>
            <w:shd w:fill="FFDCE0" w:val="clear"/>
          </w:tcPr>
          <w:p>
            <w:r>
              <w:rPr>
                <w:b/>
                <w:sz w:val="17"/>
              </w:rPr>
              <w:t>3,167</w:t>
            </w:r>
          </w:p>
        </w:tc>
        <w:tc>
          <w:tcPr>
            <w:tcW w:type="dxa" w:w="1440"/>
            <w:shd w:fill="FFDCE0" w:val="clear"/>
          </w:tcPr>
          <w:p>
            <w:r>
              <w:rPr>
                <w:sz w:val="17"/>
              </w:rPr>
              <w:t>3,476</w:t>
            </w:r>
          </w:p>
        </w:tc>
        <w:tc>
          <w:tcPr>
            <w:tcW w:type="dxa" w:w="1440"/>
            <w:shd w:fill="FFDCE0" w:val="clear"/>
          </w:tcPr>
          <w:p>
            <w:r>
              <w:rPr>
                <w:b/>
                <w:color w:val="C00000"/>
                <w:sz w:val="17"/>
              </w:rPr>
              <w:t>-3.4%</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2,781</w:t>
            </w:r>
          </w:p>
        </w:tc>
        <w:tc>
          <w:tcPr>
            <w:tcW w:type="dxa" w:w="1440"/>
            <w:shd w:fill="FFDCE0" w:val="clear"/>
          </w:tcPr>
          <w:p>
            <w:r>
              <w:rPr>
                <w:b/>
                <w:sz w:val="17"/>
              </w:rPr>
              <w:t>3,135</w:t>
            </w:r>
          </w:p>
        </w:tc>
        <w:tc>
          <w:tcPr>
            <w:tcW w:type="dxa" w:w="1440"/>
            <w:shd w:fill="FFDCE0" w:val="clear"/>
          </w:tcPr>
          <w:p>
            <w:r>
              <w:rPr>
                <w:sz w:val="17"/>
              </w:rPr>
              <w:t>3,489</w:t>
            </w:r>
          </w:p>
        </w:tc>
        <w:tc>
          <w:tcPr>
            <w:tcW w:type="dxa" w:w="1440"/>
            <w:shd w:fill="FFDCE0" w:val="clear"/>
          </w:tcPr>
          <w:p>
            <w:r>
              <w:rPr>
                <w:b/>
                <w:color w:val="C00000"/>
                <w:sz w:val="17"/>
              </w:rPr>
              <w:t>-4.4%</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2,714</w:t>
            </w:r>
          </w:p>
        </w:tc>
        <w:tc>
          <w:tcPr>
            <w:tcW w:type="dxa" w:w="1440"/>
            <w:shd w:fill="FFDCE0" w:val="clear"/>
          </w:tcPr>
          <w:p>
            <w:r>
              <w:rPr>
                <w:b/>
                <w:sz w:val="17"/>
              </w:rPr>
              <w:t>3,106</w:t>
            </w:r>
          </w:p>
        </w:tc>
        <w:tc>
          <w:tcPr>
            <w:tcW w:type="dxa" w:w="1440"/>
            <w:shd w:fill="FFDCE0" w:val="clear"/>
          </w:tcPr>
          <w:p>
            <w:r>
              <w:rPr>
                <w:sz w:val="17"/>
              </w:rPr>
              <w:t>3,498</w:t>
            </w:r>
          </w:p>
        </w:tc>
        <w:tc>
          <w:tcPr>
            <w:tcW w:type="dxa" w:w="1440"/>
            <w:shd w:fill="FFDCE0" w:val="clear"/>
          </w:tcPr>
          <w:p>
            <w:r>
              <w:rPr>
                <w:b/>
                <w:color w:val="C00000"/>
                <w:sz w:val="17"/>
              </w:rPr>
              <w:t>-5.3%</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2,652</w:t>
            </w:r>
          </w:p>
        </w:tc>
        <w:tc>
          <w:tcPr>
            <w:tcW w:type="dxa" w:w="1440"/>
            <w:shd w:fill="FFDCE0" w:val="clear"/>
          </w:tcPr>
          <w:p>
            <w:r>
              <w:rPr>
                <w:b/>
                <w:sz w:val="17"/>
              </w:rPr>
              <w:t>3,078</w:t>
            </w:r>
          </w:p>
        </w:tc>
        <w:tc>
          <w:tcPr>
            <w:tcW w:type="dxa" w:w="1440"/>
            <w:shd w:fill="FFDCE0" w:val="clear"/>
          </w:tcPr>
          <w:p>
            <w:r>
              <w:rPr>
                <w:sz w:val="17"/>
              </w:rPr>
              <w:t>3,503</w:t>
            </w:r>
          </w:p>
        </w:tc>
        <w:tc>
          <w:tcPr>
            <w:tcW w:type="dxa" w:w="1440"/>
            <w:shd w:fill="FFDCE0" w:val="clear"/>
          </w:tcPr>
          <w:p>
            <w:r>
              <w:rPr>
                <w:b/>
                <w:color w:val="C00000"/>
                <w:sz w:val="17"/>
              </w:rPr>
              <w:t>-6.2%</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2,596</w:t>
            </w:r>
          </w:p>
        </w:tc>
        <w:tc>
          <w:tcPr>
            <w:tcW w:type="dxa" w:w="1440"/>
            <w:shd w:fill="FFDCE0" w:val="clear"/>
          </w:tcPr>
          <w:p>
            <w:r>
              <w:rPr>
                <w:b/>
                <w:sz w:val="17"/>
              </w:rPr>
              <w:t>3,051</w:t>
            </w:r>
          </w:p>
        </w:tc>
        <w:tc>
          <w:tcPr>
            <w:tcW w:type="dxa" w:w="1440"/>
            <w:shd w:fill="FFDCE0" w:val="clear"/>
          </w:tcPr>
          <w:p>
            <w:r>
              <w:rPr>
                <w:sz w:val="17"/>
              </w:rPr>
              <w:t>3,507</w:t>
            </w:r>
          </w:p>
        </w:tc>
        <w:tc>
          <w:tcPr>
            <w:tcW w:type="dxa" w:w="1440"/>
            <w:shd w:fill="FFDCE0" w:val="clear"/>
          </w:tcPr>
          <w:p>
            <w:r>
              <w:rPr>
                <w:b/>
                <w:color w:val="C00000"/>
                <w:sz w:val="17"/>
              </w:rPr>
              <w:t>-7.0%</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2,543</w:t>
            </w:r>
          </w:p>
        </w:tc>
        <w:tc>
          <w:tcPr>
            <w:tcW w:type="dxa" w:w="1440"/>
            <w:shd w:fill="FFDCE0" w:val="clear"/>
          </w:tcPr>
          <w:p>
            <w:r>
              <w:rPr>
                <w:b/>
                <w:sz w:val="17"/>
              </w:rPr>
              <w:t>3,026</w:t>
            </w:r>
          </w:p>
        </w:tc>
        <w:tc>
          <w:tcPr>
            <w:tcW w:type="dxa" w:w="1440"/>
            <w:shd w:fill="FFDCE0" w:val="clear"/>
          </w:tcPr>
          <w:p>
            <w:r>
              <w:rPr>
                <w:sz w:val="17"/>
              </w:rPr>
              <w:t>3,509</w:t>
            </w:r>
          </w:p>
        </w:tc>
        <w:tc>
          <w:tcPr>
            <w:tcW w:type="dxa" w:w="1440"/>
            <w:shd w:fill="FFDCE0" w:val="clear"/>
          </w:tcPr>
          <w:p>
            <w:r>
              <w:rPr>
                <w:b/>
                <w:color w:val="C00000"/>
                <w:sz w:val="17"/>
              </w:rPr>
              <w:t>-7.7%</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2,494</w:t>
            </w:r>
          </w:p>
        </w:tc>
        <w:tc>
          <w:tcPr>
            <w:tcW w:type="dxa" w:w="1440"/>
            <w:shd w:fill="FFDCE0" w:val="clear"/>
          </w:tcPr>
          <w:p>
            <w:r>
              <w:rPr>
                <w:b/>
                <w:sz w:val="17"/>
              </w:rPr>
              <w:t>3,002</w:t>
            </w:r>
          </w:p>
        </w:tc>
        <w:tc>
          <w:tcPr>
            <w:tcW w:type="dxa" w:w="1440"/>
            <w:shd w:fill="FFDCE0" w:val="clear"/>
          </w:tcPr>
          <w:p>
            <w:r>
              <w:rPr>
                <w:sz w:val="17"/>
              </w:rPr>
              <w:t>3,510</w:t>
            </w:r>
          </w:p>
        </w:tc>
        <w:tc>
          <w:tcPr>
            <w:tcW w:type="dxa" w:w="1440"/>
            <w:shd w:fill="FFDCE0" w:val="clear"/>
          </w:tcPr>
          <w:p>
            <w:r>
              <w:rPr>
                <w:b/>
                <w:color w:val="C00000"/>
                <w:sz w:val="17"/>
              </w:rPr>
              <w:t>-8.5%</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2,447</w:t>
            </w:r>
          </w:p>
        </w:tc>
        <w:tc>
          <w:tcPr>
            <w:tcW w:type="dxa" w:w="1440"/>
            <w:shd w:fill="FFDCE0" w:val="clear"/>
          </w:tcPr>
          <w:p>
            <w:r>
              <w:rPr>
                <w:b/>
                <w:sz w:val="17"/>
              </w:rPr>
              <w:t>2,978</w:t>
            </w:r>
          </w:p>
        </w:tc>
        <w:tc>
          <w:tcPr>
            <w:tcW w:type="dxa" w:w="1440"/>
            <w:shd w:fill="FFDCE0" w:val="clear"/>
          </w:tcPr>
          <w:p>
            <w:r>
              <w:rPr>
                <w:sz w:val="17"/>
              </w:rPr>
              <w:t>3,510</w:t>
            </w:r>
          </w:p>
        </w:tc>
        <w:tc>
          <w:tcPr>
            <w:tcW w:type="dxa" w:w="1440"/>
            <w:shd w:fill="FFDCE0" w:val="clear"/>
          </w:tcPr>
          <w:p>
            <w:r>
              <w:rPr>
                <w:b/>
                <w:color w:val="C00000"/>
                <w:sz w:val="17"/>
              </w:rPr>
              <w:t>-9.2%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RAPPORT D'ANALYSE FINANCIÈRE — TOTALENERGIES MARKETING CÔTE D'IVOIRE (TTLC)</w:t>
        <w:br/>
        <w:t>**Bourse Régionale des Valeurs Mobilières (BRVM) — Secteur : Distribution pétrolière / Énergie**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**206,51 milliards FCFA**, TTLC figure parmi les valeurs les plus importantes de la cote BRVM, ce qui en fait un pilier de l'indice composite et un titre de référence pour les investisseurs institutionnels régionaux. Le BPA s'établit à **144 FCFA/action**, ce qui signifie que chaque titre détenu génère théoriquement 144 FCFA de bénéfice net annuel. Le PER de **22,7x** traduit un prix payé très supérieur à la moyenne du marché BRVM (généralement comprise entre 8 et 12x), signalant soit une anticipation de croissance forte, soit une surévaluation relative — d'autant que le bénéfice net a reculé de 3 % en 2025. Le P/B de **5,70x**, largement au-dessus du seuil de 4x, indique que le marché valorise l'entreprise à près de six fois sa valeur comptable, une prime exigeante qui suppose une confiance élevée dans la qualité des actifs et la pérennité des marges. Enfin, l'EV/EBITDA de **11,7x**, dans la fourchette haute (10-15x), confirme que la valeur d'entreprise (dette incluse) est chèrement valorisée par rapport à sa capacité opérationnelle, ce qui laisse peu de marge d'erreur en cas de dégradation des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TTLC affiche une progression totale de **+17,35 %**, avec un cours actuel de **3 280 FCFA** et une variation nulle en dernière séance (J-1 : +0,00 %), signe d'une stabilisation après la récente poussée haussière. Le range de trading est large, entre un plus bas de **2 650 FCFA** et un plus haut de **3 595 FCFA**, soit une amplitude de près de 36 %, ce qui témoigne d'une dynamique nettement haussière sur la période, le cours actuel se situant dans la moitié supérieure de cette fourchette. Les statistiques descriptives révèlent une **moyenne de 2 961 FCFA** supérieure à la **médiane de 2 900 FCFA** (elle-même égale au mode), écart qui confirme une distribution asymétrique avec quelques séances de forte hausse tirant la moyenne vers le haut. L'écart-type de **207 FCFA** pour un coefficient de variation de **7,0 %** indique une dispersion modérée du cours autour de sa moyenne, tandis que le kurtosis de **0,359** (mésokurtique) suggère une distribution proche de la normale, sans risque excessif de pics extrêmes. Le skewness de **1,090**, positif, confirme une asymétrie à droite : les journées sous la moyenne sont plus fréquentes, mais les hausses, moins nombreuses, sont plus amples. Enfin, la **volatilité annualisée de 40,8 %** place TTLC dans la catégorie des titres à volatilité élevée (&gt;30 %), ce qui implique un risque de marché non négligeable et justifie une approche prudente en matière de dimensionnement de position.</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**3 328,5 FCFA** et la MM50 à **3 089,5 FCFA**, toutes deux inférieures au cours actuel de 3 280 FCFA pour la MM20 (léger écart) mais nettement en dessous pour la MM50. La configuration MM20 &gt; MM50 traduit une tendance de fond haussière, et le signal « Achat » est justifié par le positionnement du cours au-dessus de la MM50, bien que la proximité avec la MM20 appelle à la vigilance.</w:t>
      </w:r>
    </w:p>
    <w:p>
      <w:pPr>
        <w:spacing w:after="120" w:line="276" w:lineRule="auto"/>
      </w:pPr>
      <w:r>
        <w:t>**Bandes de Bollinger** : La borne supérieure se situe à **3 530,65 FCFA** et la borne inférieure à **3 126,35 FCFA**, encadrant un cours actuel de 3 280 FCFA qui évolue dans la partie médiane de ces bandes. Cette position centrale, couplée à un signal « Neutre », indique l'absence de pression directionnelle forte et une volatilité en cours de normalisation, sans signal de surachat ou de survente.</w:t>
      </w:r>
    </w:p>
    <w:p>
      <w:pPr>
        <w:spacing w:after="120" w:line="276" w:lineRule="auto"/>
      </w:pPr>
      <w:r>
        <w:t>**MACD** : La valeur du MACD (**57,80**) est inférieure à son signal (**84,49**), configuration baissière qui justifie la décision « Vente ». Cette divergence négative indique un essoufflement du momentum haussier et suggère que la récente progression du cours pourrait marquer une pause, voire une correction à court terme.</w:t>
      </w:r>
    </w:p>
    <w:p>
      <w:pPr>
        <w:spacing w:after="120" w:line="276" w:lineRule="auto"/>
      </w:pPr>
      <w:r>
        <w:t>**RSI** : À **42,31**, le RSI se situe dans la zone neutre (30-70), sans signal de surachat ni de survente. Cette valeur, légèrement sous la barre des 50, traduit un équilibre entre acheteurs et vendeurs, avec une légère prédominance baissière, cohérente avec la décision « Neutre ».</w:t>
      </w:r>
    </w:p>
    <w:p>
      <w:pPr>
        <w:spacing w:after="120" w:line="276" w:lineRule="auto"/>
      </w:pPr>
      <w:r>
        <w:t>**Stochastique** : Le %K (**20,25**) et le %D (**21,52**) évoluent tous deux en zone basse, proche du seuil de survente (20), sans croisement haussier confirmé. La décision « Neutre » reflète cette situation d'attente : le titre n'est pas encore en survente technique, mais la pression baissière reste présente.</w:t>
      </w:r>
    </w:p>
    <w:p>
      <w:pPr>
        <w:spacing w:after="120" w:line="276" w:lineRule="auto"/>
      </w:pPr>
      <w:r>
        <w:t>**Conclusion technique** : Les indicateurs techniques présentent un tableau mitigé, avec une tendance de fond haussière (MM) mais un momentum affaibli (MACD baissier, RSI neutre-bas, Stochastique en zone basse). La convergence des signaux « Neutre » et « Vente » suggère une phase de consolidation, voire une correction à court terme, avant une éventuelle reprise. Le titre se trouve à un point d'inflexion technique qui nécessite une confirmation avant tout engagement directionnel.</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TotalEnergies Marketing Côte d'Ivoire a réalisé un chiffre d'affaires de **588,71 milliards FCFA**, en repli de **-5,21 %** par rapport à 2024 (621,04 Mds FCFA), dans un contexte de baisse des volumes hors réseau. Le résultat net s'établit à **9,087 milliards FCFA**, en léger recul de 3 % par rapport aux 9,374 Mds FCFA de 2024, mais la rentabilité opérationnelle s'améliore nettement : l'EBE progresse de **+12 %** à 22,347 Mds FCFA et le résultat d'exploitation bondit de **+18 %** à 12,329 Mds FCFA, preuve d'une meilleure maîtrise des marges. Le **ROE de 25,10 %** demeure excellent (&gt;15 %), confirmant la capacité de l'entreprise à générer des profits élevés sur ses fonds propres, tandis que le **ROA de 4,82 %** reflète la faible intensité capitalistique du modèle de distribution. La marge nette se maintient à **1,54 %**, typique du secteur pétrolier aval, et la marge brute de **11,81 %** traduit une gestion serrée des coûts d'approvisionnement. Le **BFR est négatif (-9,662 Mds FCFA)**, ce qui constitue un point fort : l'entreprise finance son cycle d'exploitation par ses fournisseurs (délai fournisseurs de **49,72 jours**) plutôt que par ses propres ressources, générant une trésorerie opérationnelle abondante (**CAF de 19,106 Mds FCFA**). Toutefois, la **trésorerie nette est négative (-21,926 Mds FCFA)** et le **ratio d'endettement de 90,23 %** (dettes totales / capitaux propres) signale une dépendance élevée aux financements externes, avec une autonomie financière limitée à **19,21 %** (bien en deçà du seuil de 30 % considéré comme sain). La **liquidité générale de 78,77 %** (&lt;1) indique que l'actif circulant ne couvre pas intégralement le passif circulant, ce qui pourrait poser un risque de refinancement à court terme.</w:t>
      </w:r>
    </w:p>
    <w:p>
      <w:pPr>
        <w:spacing w:after="120" w:line="276" w:lineRule="auto"/>
      </w:pPr>
      <w:r>
        <w:t>**Estimations basées sur les rapports trimestriels** : Le rapport du **T1 2026** (publié en 2026) fait état d'un chiffre d'affaires de **154,392 Mds FCFA**, en hausse de **+4,3 %** sur un an, et d'un résultat net de **2,329 Mds FCFA** (+5,5 %), confirmant un retour à la croissance après le repli de 2025. Le réseau de distribution compte désormais **182 stations**, et la société poursuit sa diversification vers le GPL et les lubrifiants. Sur cette base, on peut estimer que l'exercice 2026 devrait renouer avec une croissance modérée du CA (autour de +4 à +5 %) et une légère amélioration du résultat net, sous réserve de la stabilité des prix pétroliers et de l'absence de chocs macroéconomiques. Le rapport du **T3 2025** (30 septembre 2025) soulignait déjà une contraction de **-30,2 %** du résultat net cumulé à fin septembre, principalement due à un effet de base défavorable et à une anticipation fiscale prudente, mais la direction réaffirmait sa politique d'investissement dans les segments porteurs.</w:t>
      </w:r>
    </w:p>
    <w:p>
      <w:pPr>
        <w:spacing w:after="120" w:line="276" w:lineRule="auto"/>
      </w:pPr>
      <w:r>
        <w:t>**Recommandation fondamentale** : TTLC présente des fondamentaux solides (ROE élevé, BFR négatif, marque leader) mais des fragilités structurelles (trésorerie nette négative, endettement élevé, payout &gt;100 %). La dynamique du T1 2026 est encourageante et pourrait soutenir le titre à moyen terme, mais la soutenabilité de la politique de dividende et la dépendance aux financements court terme constituent des risques à surveiller. **Recommandation : CONSERVER**, avec un biais positif si la croissance du T1 2026 se confirme sur les trimestres suivants.</w:t>
      </w:r>
    </w:p>
    <w:p>
      <w:pPr>
        <w:spacing w:after="120" w:line="276" w:lineRule="auto"/>
      </w:pPr>
      <w:r>
        <w:t>---</w:t>
      </w:r>
    </w:p>
    <w:p>
      <w:pPr>
        <w:spacing w:after="120" w:line="276" w:lineRule="auto"/>
      </w:pPr>
      <w:r>
        <w:t>## PARTIE 4 : CONCLUSION D'INVESTISSEMENT</w:t>
      </w:r>
    </w:p>
    <w:p>
      <w:pPr>
        <w:spacing w:after="120" w:line="276" w:lineRule="auto"/>
      </w:pPr>
      <w:r>
        <w:t>La valorisation de TTLC apparaît exigeante (PER 22,7x, P/B 5,70x, EV/EBITDA 11,7x), nettement supérieure aux standards du marché BRVM, ce qui intègre déjà une prime de qualité et des anticipations de croissance qui devront être confirmées par les résultats. Le comportement du cours sur 100 jours est haussier (+17,35 %) mais la volatilité annualisée de 40,8 % et le skewness positif (1,090) indiquent un risque de correction amplifiée, tandis que la distribution mésokurtique (kurtosis 0,359) suggère l'absence de pics extrêmes. Les signaux techniques sont mitigés : la tendance de fond reste haussière (MM20 &gt; MM50), mais le MACD baissier, le RSI neutre-bas et le Stochastique en zone basse convergent vers une phase de consolidation, voire de repli à court terme. Les fondamentaux sont solides (ROE 25,10 %, BFR négatif, EBE +12 % en 2025) mais entachés par une trésorerie nette négative (-21,9 Mds FCFA) et un endettement élevé (90,23 %), bien que le T1 2026 (+4,3 % de CA, +5,5 % de résultat net) confirme un retour à la croissance. Les prédictions IA anticipent une trajectoire baissière à court terme (3 238 FCFA à J+1, 3 106 FCFA à J+5, soit -5,3 %), ce qui contredit la tendance haussière récente mais s'aligne sur les signaux techniques baissiers (MACD, Stochastique). **Recommandation finale : CONSERVER**, avec un niveau de confiance **Moyen** et un risque global **Élevé**. La convergence entre valorisation exigeante, technique incertaine et prédictions baissières invite à la prudence, mais la solidité fondamentale et les perspectives du T1 2026 justifient de ne pas vendre. **Horizon d'investissement optimal : moyen terme (3-12 mois)**, en attendant la confirmation de la reprise de la croissance et une clarification sur la soutenabilité du dividende.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126.73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2,635 titres</w:t>
            </w:r>
          </w:p>
        </w:tc>
        <w:tc>
          <w:tcPr>
            <w:tcW w:type="dxa" w:w="2268"/>
            <w:shd w:fill="FFF2CC" w:val="clear"/>
          </w:tcPr>
          <w:p>
            <w:r>
              <w:rPr>
                <w:b/>
                <w:color w:val="503200"/>
                <w:sz w:val="16"/>
              </w:rPr>
              <w:t xml:space="preserve">Cours actuel : </w:t>
            </w:r>
            <w:r>
              <w:rPr>
                <w:color w:val="000000"/>
                <w:sz w:val="17"/>
              </w:rPr>
              <w:t>3,890 FCFA</w:t>
            </w:r>
          </w:p>
          <w:p>
            <w:r>
              <w:rPr>
                <w:b/>
                <w:color w:val="503200"/>
                <w:sz w:val="16"/>
              </w:rPr>
              <w:t xml:space="preserve">Var. 100 jours : </w:t>
            </w:r>
            <w:r>
              <w:rPr>
                <w:b/>
                <w:color w:val="007800"/>
                <w:sz w:val="17"/>
              </w:rPr>
              <w:t>+18.60%</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45.3%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10.24% (Moyenne) — μ=3,568 FCFA, σ=365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β=0.6934 (Défensif) — Cov=0.000024, Var(idx)=0.000035, ρ=0.143,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2,635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σ_j=2.85%/j (Stable) — Vol. annualisée≈45.3%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3,715</w:t>
            </w:r>
          </w:p>
        </w:tc>
        <w:tc>
          <w:tcPr>
            <w:tcW w:type="dxa" w:w="1440"/>
            <w:shd w:fill="FAFAFA" w:val="clear"/>
          </w:tcPr>
          <w:p>
            <w:r>
              <w:rPr>
                <w:b/>
                <w:sz w:val="17"/>
              </w:rPr>
              <w:t>3,861</w:t>
            </w:r>
          </w:p>
        </w:tc>
        <w:tc>
          <w:tcPr>
            <w:tcW w:type="dxa" w:w="1440"/>
            <w:shd w:fill="FAFAFA" w:val="clear"/>
          </w:tcPr>
          <w:p>
            <w:r>
              <w:rPr>
                <w:sz w:val="17"/>
              </w:rPr>
              <w:t>4,007</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3,651</w:t>
            </w:r>
          </w:p>
        </w:tc>
        <w:tc>
          <w:tcPr>
            <w:tcW w:type="dxa" w:w="1440"/>
            <w:shd w:fill="FAFAFA" w:val="clear"/>
          </w:tcPr>
          <w:p>
            <w:r>
              <w:rPr>
                <w:b/>
                <w:sz w:val="17"/>
              </w:rPr>
              <w:t>3,857</w:t>
            </w:r>
          </w:p>
        </w:tc>
        <w:tc>
          <w:tcPr>
            <w:tcW w:type="dxa" w:w="1440"/>
            <w:shd w:fill="FAFAFA" w:val="clear"/>
          </w:tcPr>
          <w:p>
            <w:r>
              <w:rPr>
                <w:sz w:val="17"/>
              </w:rPr>
              <w:t>4,064</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3,602</w:t>
            </w:r>
          </w:p>
        </w:tc>
        <w:tc>
          <w:tcPr>
            <w:tcW w:type="dxa" w:w="1440"/>
            <w:shd w:fill="FAFAFA" w:val="clear"/>
          </w:tcPr>
          <w:p>
            <w:r>
              <w:rPr>
                <w:b/>
                <w:sz w:val="17"/>
              </w:rPr>
              <w:t>3,854</w:t>
            </w:r>
          </w:p>
        </w:tc>
        <w:tc>
          <w:tcPr>
            <w:tcW w:type="dxa" w:w="1440"/>
            <w:shd w:fill="FAFAFA" w:val="clear"/>
          </w:tcPr>
          <w:p>
            <w:r>
              <w:rPr>
                <w:sz w:val="17"/>
              </w:rPr>
              <w:t>4,106</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3,561</w:t>
            </w:r>
          </w:p>
        </w:tc>
        <w:tc>
          <w:tcPr>
            <w:tcW w:type="dxa" w:w="1440"/>
            <w:shd w:fill="FAFAFA" w:val="clear"/>
          </w:tcPr>
          <w:p>
            <w:r>
              <w:rPr>
                <w:b/>
                <w:sz w:val="17"/>
              </w:rPr>
              <w:t>3,852</w:t>
            </w:r>
          </w:p>
        </w:tc>
        <w:tc>
          <w:tcPr>
            <w:tcW w:type="dxa" w:w="1440"/>
            <w:shd w:fill="FAFAFA" w:val="clear"/>
          </w:tcPr>
          <w:p>
            <w:r>
              <w:rPr>
                <w:sz w:val="17"/>
              </w:rPr>
              <w:t>4,143</w:t>
            </w:r>
          </w:p>
        </w:tc>
        <w:tc>
          <w:tcPr>
            <w:tcW w:type="dxa" w:w="1440"/>
            <w:shd w:fill="FAFAFA" w:val="clear"/>
          </w:tcPr>
          <w:p>
            <w:r>
              <w:rPr>
                <w:b/>
                <w:color w:val="C00000"/>
                <w:sz w:val="17"/>
              </w:rPr>
              <w:t>-1.0%</w:t>
            </w:r>
          </w:p>
        </w:tc>
      </w:tr>
      <w:tr>
        <w:tc>
          <w:tcPr>
            <w:tcW w:type="dxa" w:w="1440"/>
            <w:shd w:fill="FAFAFA" w:val="clear"/>
          </w:tcPr>
          <w:p>
            <w:r>
              <w:rPr>
                <w:sz w:val="17"/>
              </w:rPr>
              <w:t>J+5  ⭐</w:t>
            </w:r>
          </w:p>
        </w:tc>
        <w:tc>
          <w:tcPr>
            <w:tcW w:type="dxa" w:w="1440"/>
            <w:shd w:fill="FAFAFA" w:val="clear"/>
          </w:tcPr>
          <w:p>
            <w:r>
              <w:rPr>
                <w:sz w:val="17"/>
              </w:rPr>
              <w:t>2026-09-18</w:t>
            </w:r>
          </w:p>
        </w:tc>
        <w:tc>
          <w:tcPr>
            <w:tcW w:type="dxa" w:w="1440"/>
            <w:shd w:fill="FAFAFA" w:val="clear"/>
          </w:tcPr>
          <w:p>
            <w:r>
              <w:rPr>
                <w:sz w:val="17"/>
              </w:rPr>
              <w:t>3,525</w:t>
            </w:r>
          </w:p>
        </w:tc>
        <w:tc>
          <w:tcPr>
            <w:tcW w:type="dxa" w:w="1440"/>
            <w:shd w:fill="FAFAFA" w:val="clear"/>
          </w:tcPr>
          <w:p>
            <w:r>
              <w:rPr>
                <w:b/>
                <w:sz w:val="17"/>
              </w:rPr>
              <w:t>3,851</w:t>
            </w:r>
          </w:p>
        </w:tc>
        <w:tc>
          <w:tcPr>
            <w:tcW w:type="dxa" w:w="1440"/>
            <w:shd w:fill="FAFAFA" w:val="clear"/>
          </w:tcPr>
          <w:p>
            <w:r>
              <w:rPr>
                <w:sz w:val="17"/>
              </w:rPr>
              <w:t>4,176</w:t>
            </w:r>
          </w:p>
        </w:tc>
        <w:tc>
          <w:tcPr>
            <w:tcW w:type="dxa" w:w="1440"/>
            <w:shd w:fill="FAFAFA" w:val="clear"/>
          </w:tcPr>
          <w:p>
            <w:r>
              <w:rPr>
                <w:b/>
                <w:color w:val="C00000"/>
                <w:sz w:val="17"/>
              </w:rPr>
              <w:t>-1.0%</w:t>
            </w:r>
          </w:p>
        </w:tc>
      </w:tr>
      <w:tr>
        <w:tc>
          <w:tcPr>
            <w:tcW w:type="dxa" w:w="1440"/>
            <w:shd w:fill="FAFAFA" w:val="clear"/>
          </w:tcPr>
          <w:p>
            <w:r>
              <w:rPr>
                <w:sz w:val="17"/>
              </w:rPr>
              <w:t>J+6  ⭐</w:t>
            </w:r>
          </w:p>
        </w:tc>
        <w:tc>
          <w:tcPr>
            <w:tcW w:type="dxa" w:w="1440"/>
            <w:shd w:fill="FAFAFA" w:val="clear"/>
          </w:tcPr>
          <w:p>
            <w:r>
              <w:rPr>
                <w:sz w:val="17"/>
              </w:rPr>
              <w:t>2026-09-21</w:t>
            </w:r>
          </w:p>
        </w:tc>
        <w:tc>
          <w:tcPr>
            <w:tcW w:type="dxa" w:w="1440"/>
            <w:shd w:fill="FAFAFA" w:val="clear"/>
          </w:tcPr>
          <w:p>
            <w:r>
              <w:rPr>
                <w:sz w:val="17"/>
              </w:rPr>
              <w:t>3,493</w:t>
            </w:r>
          </w:p>
        </w:tc>
        <w:tc>
          <w:tcPr>
            <w:tcW w:type="dxa" w:w="1440"/>
            <w:shd w:fill="FAFAFA" w:val="clear"/>
          </w:tcPr>
          <w:p>
            <w:r>
              <w:rPr>
                <w:b/>
                <w:sz w:val="17"/>
              </w:rPr>
              <w:t>3,850</w:t>
            </w:r>
          </w:p>
        </w:tc>
        <w:tc>
          <w:tcPr>
            <w:tcW w:type="dxa" w:w="1440"/>
            <w:shd w:fill="FAFAFA" w:val="clear"/>
          </w:tcPr>
          <w:p>
            <w:r>
              <w:rPr>
                <w:sz w:val="17"/>
              </w:rPr>
              <w:t>4,206</w:t>
            </w:r>
          </w:p>
        </w:tc>
        <w:tc>
          <w:tcPr>
            <w:tcW w:type="dxa" w:w="1440"/>
            <w:shd w:fill="FAFAFA" w:val="clear"/>
          </w:tcPr>
          <w:p>
            <w:r>
              <w:rPr>
                <w:b/>
                <w:color w:val="C00000"/>
                <w:sz w:val="17"/>
              </w:rPr>
              <w:t>-1.0%</w:t>
            </w:r>
          </w:p>
        </w:tc>
      </w:tr>
      <w:tr>
        <w:tc>
          <w:tcPr>
            <w:tcW w:type="dxa" w:w="1440"/>
            <w:shd w:fill="FAFAFA" w:val="clear"/>
          </w:tcPr>
          <w:p>
            <w:r>
              <w:rPr>
                <w:sz w:val="17"/>
              </w:rPr>
              <w:t>J+7  ⭐</w:t>
            </w:r>
          </w:p>
        </w:tc>
        <w:tc>
          <w:tcPr>
            <w:tcW w:type="dxa" w:w="1440"/>
            <w:shd w:fill="FAFAFA" w:val="clear"/>
          </w:tcPr>
          <w:p>
            <w:r>
              <w:rPr>
                <w:sz w:val="17"/>
              </w:rPr>
              <w:t>2026-09-22</w:t>
            </w:r>
          </w:p>
        </w:tc>
        <w:tc>
          <w:tcPr>
            <w:tcW w:type="dxa" w:w="1440"/>
            <w:shd w:fill="FAFAFA" w:val="clear"/>
          </w:tcPr>
          <w:p>
            <w:r>
              <w:rPr>
                <w:sz w:val="17"/>
              </w:rPr>
              <w:t>3,464</w:t>
            </w:r>
          </w:p>
        </w:tc>
        <w:tc>
          <w:tcPr>
            <w:tcW w:type="dxa" w:w="1440"/>
            <w:shd w:fill="FAFAFA" w:val="clear"/>
          </w:tcPr>
          <w:p>
            <w:r>
              <w:rPr>
                <w:b/>
                <w:sz w:val="17"/>
              </w:rPr>
              <w:t>3,849</w:t>
            </w:r>
          </w:p>
        </w:tc>
        <w:tc>
          <w:tcPr>
            <w:tcW w:type="dxa" w:w="1440"/>
            <w:shd w:fill="FAFAFA" w:val="clear"/>
          </w:tcPr>
          <w:p>
            <w:r>
              <w:rPr>
                <w:sz w:val="17"/>
              </w:rPr>
              <w:t>4,234</w:t>
            </w:r>
          </w:p>
        </w:tc>
        <w:tc>
          <w:tcPr>
            <w:tcW w:type="dxa" w:w="1440"/>
            <w:shd w:fill="FAFAFA" w:val="clear"/>
          </w:tcPr>
          <w:p>
            <w:r>
              <w:rPr>
                <w:b/>
                <w:color w:val="C00000"/>
                <w:sz w:val="17"/>
              </w:rPr>
              <w:t>-1.1%</w:t>
            </w:r>
          </w:p>
        </w:tc>
      </w:tr>
      <w:tr>
        <w:tc>
          <w:tcPr>
            <w:tcW w:type="dxa" w:w="1440"/>
            <w:shd w:fill="FAFAFA" w:val="clear"/>
          </w:tcPr>
          <w:p>
            <w:r>
              <w:rPr>
                <w:sz w:val="17"/>
              </w:rPr>
              <w:t>J+8  ⭐</w:t>
            </w:r>
          </w:p>
        </w:tc>
        <w:tc>
          <w:tcPr>
            <w:tcW w:type="dxa" w:w="1440"/>
            <w:shd w:fill="FAFAFA" w:val="clear"/>
          </w:tcPr>
          <w:p>
            <w:r>
              <w:rPr>
                <w:sz w:val="17"/>
              </w:rPr>
              <w:t>2026-09-23</w:t>
            </w:r>
          </w:p>
        </w:tc>
        <w:tc>
          <w:tcPr>
            <w:tcW w:type="dxa" w:w="1440"/>
            <w:shd w:fill="FAFAFA" w:val="clear"/>
          </w:tcPr>
          <w:p>
            <w:r>
              <w:rPr>
                <w:sz w:val="17"/>
              </w:rPr>
              <w:t>3,436</w:t>
            </w:r>
          </w:p>
        </w:tc>
        <w:tc>
          <w:tcPr>
            <w:tcW w:type="dxa" w:w="1440"/>
            <w:shd w:fill="FAFAFA" w:val="clear"/>
          </w:tcPr>
          <w:p>
            <w:r>
              <w:rPr>
                <w:b/>
                <w:sz w:val="17"/>
              </w:rPr>
              <w:t>3,848</w:t>
            </w:r>
          </w:p>
        </w:tc>
        <w:tc>
          <w:tcPr>
            <w:tcW w:type="dxa" w:w="1440"/>
            <w:shd w:fill="FAFAFA" w:val="clear"/>
          </w:tcPr>
          <w:p>
            <w:r>
              <w:rPr>
                <w:sz w:val="17"/>
              </w:rPr>
              <w:t>4,259</w:t>
            </w:r>
          </w:p>
        </w:tc>
        <w:tc>
          <w:tcPr>
            <w:tcW w:type="dxa" w:w="1440"/>
            <w:shd w:fill="FAFAFA" w:val="clear"/>
          </w:tcPr>
          <w:p>
            <w:r>
              <w:rPr>
                <w:b/>
                <w:color w:val="C00000"/>
                <w:sz w:val="17"/>
              </w:rPr>
              <w:t>-1.1%</w:t>
            </w:r>
          </w:p>
        </w:tc>
      </w:tr>
      <w:tr>
        <w:tc>
          <w:tcPr>
            <w:tcW w:type="dxa" w:w="1440"/>
            <w:shd w:fill="FAFAFA" w:val="clear"/>
          </w:tcPr>
          <w:p>
            <w:r>
              <w:rPr>
                <w:sz w:val="17"/>
              </w:rPr>
              <w:t>J+9  ⭐</w:t>
            </w:r>
          </w:p>
        </w:tc>
        <w:tc>
          <w:tcPr>
            <w:tcW w:type="dxa" w:w="1440"/>
            <w:shd w:fill="FAFAFA" w:val="clear"/>
          </w:tcPr>
          <w:p>
            <w:r>
              <w:rPr>
                <w:sz w:val="17"/>
              </w:rPr>
              <w:t>2026-09-24</w:t>
            </w:r>
          </w:p>
        </w:tc>
        <w:tc>
          <w:tcPr>
            <w:tcW w:type="dxa" w:w="1440"/>
            <w:shd w:fill="FAFAFA" w:val="clear"/>
          </w:tcPr>
          <w:p>
            <w:r>
              <w:rPr>
                <w:sz w:val="17"/>
              </w:rPr>
              <w:t>3,410</w:t>
            </w:r>
          </w:p>
        </w:tc>
        <w:tc>
          <w:tcPr>
            <w:tcW w:type="dxa" w:w="1440"/>
            <w:shd w:fill="FAFAFA" w:val="clear"/>
          </w:tcPr>
          <w:p>
            <w:r>
              <w:rPr>
                <w:b/>
                <w:sz w:val="17"/>
              </w:rPr>
              <w:t>3,847</w:t>
            </w:r>
          </w:p>
        </w:tc>
        <w:tc>
          <w:tcPr>
            <w:tcW w:type="dxa" w:w="1440"/>
            <w:shd w:fill="FAFAFA" w:val="clear"/>
          </w:tcPr>
          <w:p>
            <w:r>
              <w:rPr>
                <w:sz w:val="17"/>
              </w:rPr>
              <w:t>4,283</w:t>
            </w:r>
          </w:p>
        </w:tc>
        <w:tc>
          <w:tcPr>
            <w:tcW w:type="dxa" w:w="1440"/>
            <w:shd w:fill="FAFAFA" w:val="clear"/>
          </w:tcPr>
          <w:p>
            <w:r>
              <w:rPr>
                <w:b/>
                <w:color w:val="C00000"/>
                <w:sz w:val="17"/>
              </w:rPr>
              <w:t>-1.1%</w:t>
            </w:r>
          </w:p>
        </w:tc>
      </w:tr>
      <w:tr>
        <w:tc>
          <w:tcPr>
            <w:tcW w:type="dxa" w:w="1440"/>
            <w:shd w:fill="FAFAFA" w:val="clear"/>
          </w:tcPr>
          <w:p>
            <w:r>
              <w:rPr>
                <w:sz w:val="17"/>
              </w:rPr>
              <w:t>J+10  ⭐</w:t>
            </w:r>
          </w:p>
        </w:tc>
        <w:tc>
          <w:tcPr>
            <w:tcW w:type="dxa" w:w="1440"/>
            <w:shd w:fill="FAFAFA" w:val="clear"/>
          </w:tcPr>
          <w:p>
            <w:r>
              <w:rPr>
                <w:sz w:val="17"/>
              </w:rPr>
              <w:t>2026-09-25</w:t>
            </w:r>
          </w:p>
        </w:tc>
        <w:tc>
          <w:tcPr>
            <w:tcW w:type="dxa" w:w="1440"/>
            <w:shd w:fill="FAFAFA" w:val="clear"/>
          </w:tcPr>
          <w:p>
            <w:r>
              <w:rPr>
                <w:sz w:val="17"/>
              </w:rPr>
              <w:t>3,386</w:t>
            </w:r>
          </w:p>
        </w:tc>
        <w:tc>
          <w:tcPr>
            <w:tcW w:type="dxa" w:w="1440"/>
            <w:shd w:fill="FAFAFA" w:val="clear"/>
          </w:tcPr>
          <w:p>
            <w:r>
              <w:rPr>
                <w:b/>
                <w:sz w:val="17"/>
              </w:rPr>
              <w:t>3,846</w:t>
            </w:r>
          </w:p>
        </w:tc>
        <w:tc>
          <w:tcPr>
            <w:tcW w:type="dxa" w:w="1440"/>
            <w:shd w:fill="FAFAFA" w:val="clear"/>
          </w:tcPr>
          <w:p>
            <w:r>
              <w:rPr>
                <w:sz w:val="17"/>
              </w:rPr>
              <w:t>4,306</w:t>
            </w:r>
          </w:p>
        </w:tc>
        <w:tc>
          <w:tcPr>
            <w:tcW w:type="dxa" w:w="1440"/>
            <w:shd w:fill="FAFAFA" w:val="clear"/>
          </w:tcPr>
          <w:p>
            <w:r>
              <w:rPr>
                <w:b/>
                <w:color w:val="C00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**RAPPORT D'ANALYSE FINANCIÈRE — TTLS (TotalEnergies Marketing Sénégal)**</w:t>
        <w:br/>
        <w:t>**Bourse Régionale des Valeurs Mobilières (BRVM) — Secteur Énergie / Distribution Pétrolière**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126,73 milliards FCFA, TTLS s'impose comme l'une des valeurs les plus capitalisées de la BRVM, ce qui témoigne de sa position de leader sur le marché sénégalais des produits pétroliers. Le BPA de 208 FCFA/action signifie que chaque titre génère 208 FCFA de bénéfice net, ce qui, rapporté au cours actuel de 3 890 FCFA, donne un PER de 18,7x — nettement supérieur à la moyenne BRVM (8-12x), indiquant que les investisseurs paient une prime significative pour cette valeur défensive. Le P/B de 4,49x confirme cette prime : le marché valorise l'entreprise à plus de quatre fois sa valeur comptable, ce qui est exigeant et suggère que la qualité de la franchise (réseau de 140 stations, marque TotalEnergies, actionnaire à 69,1%) est pleinement intégrée dans les cours. L'EV/EBITDA de 7,9x, en revanche, se situe dans la fourchette raisonnable de 5-10x, indiquant que la valeur d'entreprise reste cohérente avec la capacité opérationnelle de génération de cash-flow. Globalement, la valorisation apparaît tendue sur les multiples de bénéfices et de fonds propres, mais soutenue par la solidité du business model.</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TTLS a enregistré une progression totale de +18,60%, avec une dernière séance en hausse de +1,04%, portant le cours actuel à 3 890 FCFA. Le range de trading est large, avec un plus haut à 4 500 FCFA et un plus bas à 2 845 FCFA, soit une amplitude de 58%, ce qui traduit une tendance générale haussière mais avec des corrections significatives. La moyenne (3 568 FCFA) et la médiane (3 592 FCFA) sont très proches, confirmant une distribution symétrique du cours sur la période, sans biais directionnel marqué. L'écart-type de 367 FCFA et le coefficient de variation de 10,3% indiquent une dispersion modérée autour de la moyenne, ce qui est rassurant pour un titre affichant une volatilité annualisée de 45,3% — cette dernière se situe dans la catégorie élevée (&gt;30%), reflétant la sensibilité du titre aux prix du pétrole et aux décisions réglementaires. Le kurtosis de -0,376 (mésokurtique) suggère une distribution proche de la normale, sans risque de pics extrêmes fréquents, tandis que le skewness de 0,185 (symétrique) confirme l'absence d'asymétrie marquée. En synthèse, le titre affiche une tendance haussière sur 100 jours, mais avec une volatilité élevée qui appelle à la prudence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(3 807,5 FCFA) et la MM50 (3 845,3 FCFA) se situent toutes deux sous le cours actuel (3 890 FCFA), ce qui est théoriquement un signal haussier. Cependant, la MM20 est inférieure à la MM50, indiquant une tendance de fond encore fragile, et la décision technique fournie est "Vente", probablement en raison du croisement baissier des moyennes ou de la proximité du cours avec ces niveaux.</w:t>
      </w:r>
    </w:p>
    <w:p>
      <w:pPr>
        <w:spacing w:after="120" w:line="276" w:lineRule="auto"/>
      </w:pPr>
      <w:r>
        <w:t>**Bandes de Bollinger** : Le cours (3 890 FCFA) évolue à l'intérieur des bandes, entre la borne inférieure (3 635,5 FCFA) et la borne supérieure (3 979,5 FCFA), sans les toucher. Cette position médiane, associée à une largeur de bande modérée, justifie la décision "Neutre" : le titre n'est ni suracheté ni survendu selon ce critère.</w:t>
      </w:r>
    </w:p>
    <w:p>
      <w:pPr>
        <w:spacing w:after="120" w:line="276" w:lineRule="auto"/>
      </w:pPr>
      <w:r>
        <w:t>**MACD** : La valeur du MACD (29,647) est supérieure à son signal (22,209), avec un histogramme positif, ce qui indique un momentum haussier en cours. La décision "Achat" est cohérente avec cette configuration, bien que l'écart entre les deux lignes reste modéré, suggérant une dynamique positive mais sans excès.</w:t>
      </w:r>
    </w:p>
    <w:p>
      <w:pPr>
        <w:spacing w:after="120" w:line="276" w:lineRule="auto"/>
      </w:pPr>
      <w:r>
        <w:t>**RSI** : À 49,091, le RSI se situe exactement dans la zone neutre (30-70), sans signal de surachat ou de survente. La décision "Neutre" reflète l'absence de pression directionnelle claire, le titre évoluant dans un équilibre relatif.</w:t>
      </w:r>
    </w:p>
    <w:p>
      <w:pPr>
        <w:spacing w:after="120" w:line="276" w:lineRule="auto"/>
      </w:pPr>
      <w:r>
        <w:t>**Stochastique** : Le %K (100,0) est en zone de surachat extrême, tandis que le %D (77,367) reste élevé. La décision "Vente" est justifiée par la position du %K à son plus haut niveau, signalant un risque de correction à court terme, même si le %D n'a pas encore croisé à la baisse.</w:t>
      </w:r>
    </w:p>
    <w:p>
      <w:pPr>
        <w:spacing w:after="120" w:line="276" w:lineRule="auto"/>
      </w:pPr>
      <w:r>
        <w:t>**Conclusion technique** : Les indicateurs sont divergents : le MACD donne un signal d'achat, tandis que les moyennes mobiles et le stochastique suggèrent une vente, et le RSI/Bollinger restent neutres. Cette configuration mitigée indique une absence de tendance claire à court terme, avec un risque de consolidation après la récente hausse. La prudence est de mise, en attendant une convergence des signaux.</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TTLS a réalisé un chiffre d'affaires de 455,209 milliards FCFA, en baisse de 6,1% par rapport à 2024 (484,945 milliards FCFA), principalement en raison de l'arrêt stratégique de la commercialisation du fuel lourd (39,5 milliards FCFA de CA en 2024). Le résultat net s'établit à 6,779 milliards FCFA (contre 7,140 milliards en 2024, soit -5,1%), avec une marge nette de 1,49%, typique du secteur de distribution pétrolière. Le ROE atteint 24,0%, un niveau excellent (&gt;15%), témoignant d'une rentabilité des fonds propres très solide, tandis que le ROA de 3,95% reflète la faible intensité capitalistique de l'activité. Les délais clients (47,43 jours) et fournisseurs (97,76 jours) sont élevés, mais le BFR négatif (-36,899 milliards FCFA) est favorable, car il signifie que les fournisseurs financent une partie du cycle d'exploitation. La trésorerie nette de 13,941 milliards FCFA et le free cash-flow de 17,483 milliards FCFA confirment la solidité financière. Sur la base du rapport T1 2026 (publié le 31 mars 2026), le CA a baissé de 10% à 99,9 milliards FCFA, mais le résultat d'exploitation a progressé de 28% à 2,6 milliards FCFA grâce à l'amélioration des marges sur les lubrifiants, et le résultat net a augmenté de 5% à 1,585 milliards FCFA. On estime donc que l'exercice 2026 devrait être marqué par une poursuite de la contraction du CA (effet prix réglementaire), mais avec une amélioration de la rentabilité opérationnelle, compensant partiellement la baisse des volumes. Le principal risque reste la dépendance aux décisions de l'État sénégalais sur les prix à la pompe et la volatilité des prix du pétrole. La recommandation fondamentale est de **CONSERVER** : la société est solide, leader sur son marché, avec une politique de dividende généreuse (7,691 milliards FCFA versés en 2025, soit un rendement estimé à ~6%), mais la croissance du CA reste sous pression.</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TTLS (Partie 0) apparaît tendue avec un PER de 18,7x et un P/B de 4,49x, nettement supérieurs aux moyennes BRVM, ce qui suggère une surévaluation relative malgré un EV/EBITDA raisonnable de 7,9x. Le comportement du cours (Partie 1) est haussier sur 100 jours (+18,60%), mais la volatilité élevée (45,3%) et la distribution symétrique (skewness 0,185, kurtosis -0,376) indiquent un risque de correction, d'autant que le titre évolue proche de sa borne supérieure de Bollinger. Les signaux techniques (Partie 2) sont divergents : le MACD est haussier, mais les moyennes mobiles et le stochastique donnent des signaux de vente, tandis que le RSI et les Bollinger restent neutres — une configuration qui plaide pour une consolidation à court terme. Les fondamentaux (Partie 3) restent solides : ROE de 24%, trésorerie nette positive, BFR négatif favorable, et une amélioration de la rentabilité opérationnelle au T1 2026 (+28% de résultat d'exploitation) malgré la baisse du CA. Les prédictions IA (J+1 à J+10) anticipent une légère baisse du cours, de 3 861 FCFA à 3 851 FCFA, ce qui confirme la possibilité d'une consolidation après la récente hausse. Sur la base de cette synthèse, la recommandation finale est **CONSERVER**, avec un niveau de confiance **Moyen** et un risque global **Moyen**. En effet, la convergence entre la valorisation exigeante, les signaux techniques mitigés et la prédiction baissière à court terme incite à la prudence, mais la solidité fondamentale et le rendement du dividende justifient de ne pas vendre. L'horizon d'investissement optimal est le **moyen terme (3-12 mois)**, en attendant une clarification sur la politique de dividende et une reprise des volumes de vente.</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495.90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20 titres</w:t>
            </w:r>
          </w:p>
        </w:tc>
        <w:tc>
          <w:tcPr>
            <w:tcW w:type="dxa" w:w="2268"/>
            <w:shd w:fill="FFF2CC" w:val="clear"/>
          </w:tcPr>
          <w:p>
            <w:r>
              <w:rPr>
                <w:b/>
                <w:color w:val="503200"/>
                <w:sz w:val="16"/>
              </w:rPr>
              <w:t xml:space="preserve">Cours actuel : </w:t>
            </w:r>
            <w:r>
              <w:rPr>
                <w:color w:val="000000"/>
                <w:sz w:val="17"/>
              </w:rPr>
              <w:t>54,000 FCFA</w:t>
            </w:r>
          </w:p>
          <w:p>
            <w:r>
              <w:rPr>
                <w:b/>
                <w:color w:val="503200"/>
                <w:sz w:val="16"/>
              </w:rPr>
              <w:t xml:space="preserve">Var. 100 jours : </w:t>
            </w:r>
            <w:r>
              <w:rPr>
                <w:b/>
                <w:color w:val="B40000"/>
                <w:sz w:val="17"/>
              </w:rPr>
              <w:t>-12.90%</w:t>
            </w:r>
          </w:p>
          <w:p>
            <w:r>
              <w:rPr>
                <w:b/>
                <w:color w:val="503200"/>
                <w:sz w:val="16"/>
              </w:rPr>
              <w:t xml:space="preserve">Plus haut 100j : </w:t>
            </w:r>
            <w:r>
              <w:rPr>
                <w:color w:val="000000"/>
                <w:sz w:val="17"/>
              </w:rPr>
              <w:t>63,345 FCFA</w:t>
            </w:r>
          </w:p>
          <w:p>
            <w:r>
              <w:rPr>
                <w:b/>
                <w:color w:val="503200"/>
                <w:sz w:val="16"/>
              </w:rPr>
              <w:t xml:space="preserve">Plus bas 100j : </w:t>
            </w:r>
            <w:r>
              <w:rPr>
                <w:color w:val="000000"/>
                <w:sz w:val="17"/>
              </w:rPr>
              <w:t>50,000 FCFA</w:t>
            </w:r>
          </w:p>
          <w:p>
            <w:r>
              <w:rPr>
                <w:b/>
                <w:color w:val="503200"/>
                <w:sz w:val="16"/>
              </w:rPr>
              <w:t xml:space="preserve">Volatilité ann. : </w:t>
            </w:r>
            <w:r>
              <w:rPr>
                <w:color w:val="000000"/>
                <w:sz w:val="17"/>
              </w:rPr>
              <w:t>58.9%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27.8/100 → Moyen</w:t>
      </w:r>
    </w:p>
    <w:p>
      <w:pPr>
        <w:spacing w:before="40" w:after="80"/>
      </w:pPr>
      <w:r>
        <w:rPr>
          <w:rFonts w:ascii="Courier New" w:hAnsi="Courier New"/>
          <w:color w:val="825A00"/>
          <w:sz w:val="18"/>
        </w:rPr>
        <w:t>█████░░░░░░░░░░░░░░░  27.8/100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5.38% (Moyenne) — μ=55,849 FCFA, σ=3,005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β=-0.1587 (Contre-cyclique) — Cov=-0.000006, Var(idx)=0.000035, ρ=-0.025,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20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σ_j=3.71%/j (Modérée) — Vol. annualisée≈58.9%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54/100  (Moyen)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2026-09-14</w:t>
            </w:r>
          </w:p>
        </w:tc>
        <w:tc>
          <w:tcPr>
            <w:tcW w:type="dxa" w:w="1440"/>
            <w:shd w:fill="FAFAFA" w:val="clear"/>
          </w:tcPr>
          <w:p>
            <w:r>
              <w:rPr>
                <w:sz w:val="17"/>
              </w:rPr>
              <w:t>50,170</w:t>
            </w:r>
          </w:p>
        </w:tc>
        <w:tc>
          <w:tcPr>
            <w:tcW w:type="dxa" w:w="1440"/>
            <w:shd w:fill="FAFAFA" w:val="clear"/>
          </w:tcPr>
          <w:p>
            <w:r>
              <w:rPr>
                <w:b/>
                <w:sz w:val="17"/>
              </w:rPr>
              <w:t>53,478</w:t>
            </w:r>
          </w:p>
        </w:tc>
        <w:tc>
          <w:tcPr>
            <w:tcW w:type="dxa" w:w="1440"/>
            <w:shd w:fill="FAFAFA" w:val="clear"/>
          </w:tcPr>
          <w:p>
            <w:r>
              <w:rPr>
                <w:sz w:val="17"/>
              </w:rPr>
              <w:t>56,787</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2026-09-15</w:t>
            </w:r>
          </w:p>
        </w:tc>
        <w:tc>
          <w:tcPr>
            <w:tcW w:type="dxa" w:w="1440"/>
            <w:shd w:fill="FAFAFA" w:val="clear"/>
          </w:tcPr>
          <w:p>
            <w:r>
              <w:rPr>
                <w:sz w:val="17"/>
              </w:rPr>
              <w:t>48,888</w:t>
            </w:r>
          </w:p>
        </w:tc>
        <w:tc>
          <w:tcPr>
            <w:tcW w:type="dxa" w:w="1440"/>
            <w:shd w:fill="FAFAFA" w:val="clear"/>
          </w:tcPr>
          <w:p>
            <w:r>
              <w:rPr>
                <w:b/>
                <w:sz w:val="17"/>
              </w:rPr>
              <w:t>53,575</w:t>
            </w:r>
          </w:p>
        </w:tc>
        <w:tc>
          <w:tcPr>
            <w:tcW w:type="dxa" w:w="1440"/>
            <w:shd w:fill="FAFAFA" w:val="clear"/>
          </w:tcPr>
          <w:p>
            <w:r>
              <w:rPr>
                <w:sz w:val="17"/>
              </w:rPr>
              <w:t>58,263</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2026-09-16</w:t>
            </w:r>
          </w:p>
        </w:tc>
        <w:tc>
          <w:tcPr>
            <w:tcW w:type="dxa" w:w="1440"/>
            <w:shd w:fill="FAFAFA" w:val="clear"/>
          </w:tcPr>
          <w:p>
            <w:r>
              <w:rPr>
                <w:sz w:val="17"/>
              </w:rPr>
              <w:t>47,830</w:t>
            </w:r>
          </w:p>
        </w:tc>
        <w:tc>
          <w:tcPr>
            <w:tcW w:type="dxa" w:w="1440"/>
            <w:shd w:fill="FAFAFA" w:val="clear"/>
          </w:tcPr>
          <w:p>
            <w:r>
              <w:rPr>
                <w:b/>
                <w:sz w:val="17"/>
              </w:rPr>
              <w:t>53,570</w:t>
            </w:r>
          </w:p>
        </w:tc>
        <w:tc>
          <w:tcPr>
            <w:tcW w:type="dxa" w:w="1440"/>
            <w:shd w:fill="FAFAFA" w:val="clear"/>
          </w:tcPr>
          <w:p>
            <w:r>
              <w:rPr>
                <w:sz w:val="17"/>
              </w:rPr>
              <w:t>59,311</w:t>
            </w:r>
          </w:p>
        </w:tc>
        <w:tc>
          <w:tcPr>
            <w:tcW w:type="dxa" w:w="1440"/>
            <w:shd w:fill="FAFAFA" w:val="clear"/>
          </w:tcPr>
          <w:p>
            <w:r>
              <w:rPr>
                <w:b/>
                <w:color w:val="C00000"/>
                <w:sz w:val="17"/>
              </w:rPr>
              <w:t>-0.8%</w:t>
            </w:r>
          </w:p>
        </w:tc>
      </w:tr>
      <w:tr>
        <w:tc>
          <w:tcPr>
            <w:tcW w:type="dxa" w:w="1440"/>
            <w:shd w:fill="FAFAFA" w:val="clear"/>
          </w:tcPr>
          <w:p>
            <w:r>
              <w:rPr>
                <w:sz w:val="17"/>
              </w:rPr>
              <w:t>J+4  ⭐</w:t>
            </w:r>
          </w:p>
        </w:tc>
        <w:tc>
          <w:tcPr>
            <w:tcW w:type="dxa" w:w="1440"/>
            <w:shd w:fill="FAFAFA" w:val="clear"/>
          </w:tcPr>
          <w:p>
            <w:r>
              <w:rPr>
                <w:sz w:val="17"/>
              </w:rPr>
              <w:t>2026-09-17</w:t>
            </w:r>
          </w:p>
        </w:tc>
        <w:tc>
          <w:tcPr>
            <w:tcW w:type="dxa" w:w="1440"/>
            <w:shd w:fill="FAFAFA" w:val="clear"/>
          </w:tcPr>
          <w:p>
            <w:r>
              <w:rPr>
                <w:sz w:val="17"/>
              </w:rPr>
              <w:t>46,913</w:t>
            </w:r>
          </w:p>
        </w:tc>
        <w:tc>
          <w:tcPr>
            <w:tcW w:type="dxa" w:w="1440"/>
            <w:shd w:fill="FAFAFA" w:val="clear"/>
          </w:tcPr>
          <w:p>
            <w:r>
              <w:rPr>
                <w:b/>
                <w:sz w:val="17"/>
              </w:rPr>
              <w:t>53,538</w:t>
            </w:r>
          </w:p>
        </w:tc>
        <w:tc>
          <w:tcPr>
            <w:tcW w:type="dxa" w:w="1440"/>
            <w:shd w:fill="FAFAFA" w:val="clear"/>
          </w:tcPr>
          <w:p>
            <w:r>
              <w:rPr>
                <w:sz w:val="17"/>
              </w:rPr>
              <w:t>60,162</w:t>
            </w:r>
          </w:p>
        </w:tc>
        <w:tc>
          <w:tcPr>
            <w:tcW w:type="dxa" w:w="1440"/>
            <w:shd w:fill="FAFAFA" w:val="clear"/>
          </w:tcPr>
          <w:p>
            <w:r>
              <w:rPr>
                <w:b/>
                <w:color w:val="C00000"/>
                <w:sz w:val="17"/>
              </w:rPr>
              <w:t>-0.9%</w:t>
            </w:r>
          </w:p>
        </w:tc>
      </w:tr>
      <w:tr>
        <w:tc>
          <w:tcPr>
            <w:tcW w:type="dxa" w:w="1440"/>
            <w:shd w:fill="FAFAFA" w:val="clear"/>
          </w:tcPr>
          <w:p>
            <w:r>
              <w:rPr>
                <w:sz w:val="17"/>
              </w:rPr>
              <w:t>J+5  ⭐</w:t>
            </w:r>
          </w:p>
        </w:tc>
        <w:tc>
          <w:tcPr>
            <w:tcW w:type="dxa" w:w="1440"/>
            <w:shd w:fill="FAFAFA" w:val="clear"/>
          </w:tcPr>
          <w:p>
            <w:r>
              <w:rPr>
                <w:sz w:val="17"/>
              </w:rPr>
              <w:t>2026-09-18</w:t>
            </w:r>
          </w:p>
        </w:tc>
        <w:tc>
          <w:tcPr>
            <w:tcW w:type="dxa" w:w="1440"/>
            <w:shd w:fill="FAFAFA" w:val="clear"/>
          </w:tcPr>
          <w:p>
            <w:r>
              <w:rPr>
                <w:sz w:val="17"/>
              </w:rPr>
              <w:t>46,095</w:t>
            </w:r>
          </w:p>
        </w:tc>
        <w:tc>
          <w:tcPr>
            <w:tcW w:type="dxa" w:w="1440"/>
            <w:shd w:fill="FAFAFA" w:val="clear"/>
          </w:tcPr>
          <w:p>
            <w:r>
              <w:rPr>
                <w:b/>
                <w:sz w:val="17"/>
              </w:rPr>
              <w:t>53,495</w:t>
            </w:r>
          </w:p>
        </w:tc>
        <w:tc>
          <w:tcPr>
            <w:tcW w:type="dxa" w:w="1440"/>
            <w:shd w:fill="FAFAFA" w:val="clear"/>
          </w:tcPr>
          <w:p>
            <w:r>
              <w:rPr>
                <w:sz w:val="17"/>
              </w:rPr>
              <w:t>60,895</w:t>
            </w:r>
          </w:p>
        </w:tc>
        <w:tc>
          <w:tcPr>
            <w:tcW w:type="dxa" w:w="1440"/>
            <w:shd w:fill="FAFAFA" w:val="clear"/>
          </w:tcPr>
          <w:p>
            <w:r>
              <w:rPr>
                <w:b/>
                <w:color w:val="C00000"/>
                <w:sz w:val="17"/>
              </w:rPr>
              <w:t>-0.9%</w:t>
            </w:r>
          </w:p>
        </w:tc>
      </w:tr>
      <w:tr>
        <w:tc>
          <w:tcPr>
            <w:tcW w:type="dxa" w:w="1440"/>
            <w:shd w:fill="FAFAFA" w:val="clear"/>
          </w:tcPr>
          <w:p>
            <w:r>
              <w:rPr>
                <w:sz w:val="17"/>
              </w:rPr>
              <w:t>J+6  ⭐</w:t>
            </w:r>
          </w:p>
        </w:tc>
        <w:tc>
          <w:tcPr>
            <w:tcW w:type="dxa" w:w="1440"/>
            <w:shd w:fill="FAFAFA" w:val="clear"/>
          </w:tcPr>
          <w:p>
            <w:r>
              <w:rPr>
                <w:sz w:val="17"/>
              </w:rPr>
              <w:t>2026-09-21</w:t>
            </w:r>
          </w:p>
        </w:tc>
        <w:tc>
          <w:tcPr>
            <w:tcW w:type="dxa" w:w="1440"/>
            <w:shd w:fill="FAFAFA" w:val="clear"/>
          </w:tcPr>
          <w:p>
            <w:r>
              <w:rPr>
                <w:sz w:val="17"/>
              </w:rPr>
              <w:t>45,348</w:t>
            </w:r>
          </w:p>
        </w:tc>
        <w:tc>
          <w:tcPr>
            <w:tcW w:type="dxa" w:w="1440"/>
            <w:shd w:fill="FAFAFA" w:val="clear"/>
          </w:tcPr>
          <w:p>
            <w:r>
              <w:rPr>
                <w:b/>
                <w:sz w:val="17"/>
              </w:rPr>
              <w:t>53,447</w:t>
            </w:r>
          </w:p>
        </w:tc>
        <w:tc>
          <w:tcPr>
            <w:tcW w:type="dxa" w:w="1440"/>
            <w:shd w:fill="FAFAFA" w:val="clear"/>
          </w:tcPr>
          <w:p>
            <w:r>
              <w:rPr>
                <w:sz w:val="17"/>
              </w:rPr>
              <w:t>61,546</w:t>
            </w:r>
          </w:p>
        </w:tc>
        <w:tc>
          <w:tcPr>
            <w:tcW w:type="dxa" w:w="1440"/>
            <w:shd w:fill="FAFAFA" w:val="clear"/>
          </w:tcPr>
          <w:p>
            <w:r>
              <w:rPr>
                <w:b/>
                <w:color w:val="C00000"/>
                <w:sz w:val="17"/>
              </w:rPr>
              <w:t>-1.0%</w:t>
            </w:r>
          </w:p>
        </w:tc>
      </w:tr>
      <w:tr>
        <w:tc>
          <w:tcPr>
            <w:tcW w:type="dxa" w:w="1440"/>
            <w:shd w:fill="FAFAFA" w:val="clear"/>
          </w:tcPr>
          <w:p>
            <w:r>
              <w:rPr>
                <w:sz w:val="17"/>
              </w:rPr>
              <w:t>J+7  ⭐</w:t>
            </w:r>
          </w:p>
        </w:tc>
        <w:tc>
          <w:tcPr>
            <w:tcW w:type="dxa" w:w="1440"/>
            <w:shd w:fill="FAFAFA" w:val="clear"/>
          </w:tcPr>
          <w:p>
            <w:r>
              <w:rPr>
                <w:sz w:val="17"/>
              </w:rPr>
              <w:t>2026-09-22</w:t>
            </w:r>
          </w:p>
        </w:tc>
        <w:tc>
          <w:tcPr>
            <w:tcW w:type="dxa" w:w="1440"/>
            <w:shd w:fill="FAFAFA" w:val="clear"/>
          </w:tcPr>
          <w:p>
            <w:r>
              <w:rPr>
                <w:sz w:val="17"/>
              </w:rPr>
              <w:t>44,657</w:t>
            </w:r>
          </w:p>
        </w:tc>
        <w:tc>
          <w:tcPr>
            <w:tcW w:type="dxa" w:w="1440"/>
            <w:shd w:fill="FAFAFA" w:val="clear"/>
          </w:tcPr>
          <w:p>
            <w:r>
              <w:rPr>
                <w:b/>
                <w:sz w:val="17"/>
              </w:rPr>
              <w:t>53,397</w:t>
            </w:r>
          </w:p>
        </w:tc>
        <w:tc>
          <w:tcPr>
            <w:tcW w:type="dxa" w:w="1440"/>
            <w:shd w:fill="FAFAFA" w:val="clear"/>
          </w:tcPr>
          <w:p>
            <w:r>
              <w:rPr>
                <w:sz w:val="17"/>
              </w:rPr>
              <w:t>62,137</w:t>
            </w:r>
          </w:p>
        </w:tc>
        <w:tc>
          <w:tcPr>
            <w:tcW w:type="dxa" w:w="1440"/>
            <w:shd w:fill="FAFAFA" w:val="clear"/>
          </w:tcPr>
          <w:p>
            <w:r>
              <w:rPr>
                <w:b/>
                <w:color w:val="C00000"/>
                <w:sz w:val="17"/>
              </w:rPr>
              <w:t>-1.1%</w:t>
            </w:r>
          </w:p>
        </w:tc>
      </w:tr>
      <w:tr>
        <w:tc>
          <w:tcPr>
            <w:tcW w:type="dxa" w:w="1440"/>
            <w:shd w:fill="FAFAFA" w:val="clear"/>
          </w:tcPr>
          <w:p>
            <w:r>
              <w:rPr>
                <w:sz w:val="17"/>
              </w:rPr>
              <w:t>J+8  ⭐</w:t>
            </w:r>
          </w:p>
        </w:tc>
        <w:tc>
          <w:tcPr>
            <w:tcW w:type="dxa" w:w="1440"/>
            <w:shd w:fill="FAFAFA" w:val="clear"/>
          </w:tcPr>
          <w:p>
            <w:r>
              <w:rPr>
                <w:sz w:val="17"/>
              </w:rPr>
              <w:t>2026-09-23</w:t>
            </w:r>
          </w:p>
        </w:tc>
        <w:tc>
          <w:tcPr>
            <w:tcW w:type="dxa" w:w="1440"/>
            <w:shd w:fill="FAFAFA" w:val="clear"/>
          </w:tcPr>
          <w:p>
            <w:r>
              <w:rPr>
                <w:sz w:val="17"/>
              </w:rPr>
              <w:t>44,012</w:t>
            </w:r>
          </w:p>
        </w:tc>
        <w:tc>
          <w:tcPr>
            <w:tcW w:type="dxa" w:w="1440"/>
            <w:shd w:fill="FAFAFA" w:val="clear"/>
          </w:tcPr>
          <w:p>
            <w:r>
              <w:rPr>
                <w:b/>
                <w:sz w:val="17"/>
              </w:rPr>
              <w:t>53,347</w:t>
            </w:r>
          </w:p>
        </w:tc>
        <w:tc>
          <w:tcPr>
            <w:tcW w:type="dxa" w:w="1440"/>
            <w:shd w:fill="FAFAFA" w:val="clear"/>
          </w:tcPr>
          <w:p>
            <w:r>
              <w:rPr>
                <w:sz w:val="17"/>
              </w:rPr>
              <w:t>62,681</w:t>
            </w:r>
          </w:p>
        </w:tc>
        <w:tc>
          <w:tcPr>
            <w:tcW w:type="dxa" w:w="1440"/>
            <w:shd w:fill="FAFAFA" w:val="clear"/>
          </w:tcPr>
          <w:p>
            <w:r>
              <w:rPr>
                <w:b/>
                <w:color w:val="C00000"/>
                <w:sz w:val="17"/>
              </w:rPr>
              <w:t>-1.2%</w:t>
            </w:r>
          </w:p>
        </w:tc>
      </w:tr>
      <w:tr>
        <w:tc>
          <w:tcPr>
            <w:tcW w:type="dxa" w:w="1440"/>
            <w:shd w:fill="FAFAFA" w:val="clear"/>
          </w:tcPr>
          <w:p>
            <w:r>
              <w:rPr>
                <w:sz w:val="17"/>
              </w:rPr>
              <w:t>J+9  ⭐</w:t>
            </w:r>
          </w:p>
        </w:tc>
        <w:tc>
          <w:tcPr>
            <w:tcW w:type="dxa" w:w="1440"/>
            <w:shd w:fill="FAFAFA" w:val="clear"/>
          </w:tcPr>
          <w:p>
            <w:r>
              <w:rPr>
                <w:sz w:val="17"/>
              </w:rPr>
              <w:t>2026-09-24</w:t>
            </w:r>
          </w:p>
        </w:tc>
        <w:tc>
          <w:tcPr>
            <w:tcW w:type="dxa" w:w="1440"/>
            <w:shd w:fill="FAFAFA" w:val="clear"/>
          </w:tcPr>
          <w:p>
            <w:r>
              <w:rPr>
                <w:sz w:val="17"/>
              </w:rPr>
              <w:t>43,404</w:t>
            </w:r>
          </w:p>
        </w:tc>
        <w:tc>
          <w:tcPr>
            <w:tcW w:type="dxa" w:w="1440"/>
            <w:shd w:fill="FAFAFA" w:val="clear"/>
          </w:tcPr>
          <w:p>
            <w:r>
              <w:rPr>
                <w:b/>
                <w:sz w:val="17"/>
              </w:rPr>
              <w:t>53,296</w:t>
            </w:r>
          </w:p>
        </w:tc>
        <w:tc>
          <w:tcPr>
            <w:tcW w:type="dxa" w:w="1440"/>
            <w:shd w:fill="FAFAFA" w:val="clear"/>
          </w:tcPr>
          <w:p>
            <w:r>
              <w:rPr>
                <w:sz w:val="17"/>
              </w:rPr>
              <w:t>63,187</w:t>
            </w:r>
          </w:p>
        </w:tc>
        <w:tc>
          <w:tcPr>
            <w:tcW w:type="dxa" w:w="1440"/>
            <w:shd w:fill="FAFAFA" w:val="clear"/>
          </w:tcPr>
          <w:p>
            <w:r>
              <w:rPr>
                <w:b/>
                <w:color w:val="C00000"/>
                <w:sz w:val="17"/>
              </w:rPr>
              <w:t>-1.3%</w:t>
            </w:r>
          </w:p>
        </w:tc>
      </w:tr>
      <w:tr>
        <w:tc>
          <w:tcPr>
            <w:tcW w:type="dxa" w:w="1440"/>
            <w:shd w:fill="FAFAFA" w:val="clear"/>
          </w:tcPr>
          <w:p>
            <w:r>
              <w:rPr>
                <w:sz w:val="17"/>
              </w:rPr>
              <w:t>J+10  ⭐</w:t>
            </w:r>
          </w:p>
        </w:tc>
        <w:tc>
          <w:tcPr>
            <w:tcW w:type="dxa" w:w="1440"/>
            <w:shd w:fill="FAFAFA" w:val="clear"/>
          </w:tcPr>
          <w:p>
            <w:r>
              <w:rPr>
                <w:sz w:val="17"/>
              </w:rPr>
              <w:t>2026-09-25</w:t>
            </w:r>
          </w:p>
        </w:tc>
        <w:tc>
          <w:tcPr>
            <w:tcW w:type="dxa" w:w="1440"/>
            <w:shd w:fill="FAFAFA" w:val="clear"/>
          </w:tcPr>
          <w:p>
            <w:r>
              <w:rPr>
                <w:sz w:val="17"/>
              </w:rPr>
              <w:t>42,828</w:t>
            </w:r>
          </w:p>
        </w:tc>
        <w:tc>
          <w:tcPr>
            <w:tcW w:type="dxa" w:w="1440"/>
            <w:shd w:fill="FAFAFA" w:val="clear"/>
          </w:tcPr>
          <w:p>
            <w:r>
              <w:rPr>
                <w:b/>
                <w:sz w:val="17"/>
              </w:rPr>
              <w:t>53,245</w:t>
            </w:r>
          </w:p>
        </w:tc>
        <w:tc>
          <w:tcPr>
            <w:tcW w:type="dxa" w:w="1440"/>
            <w:shd w:fill="FAFAFA" w:val="clear"/>
          </w:tcPr>
          <w:p>
            <w:r>
              <w:rPr>
                <w:sz w:val="17"/>
              </w:rPr>
              <w:t>63,661</w:t>
            </w:r>
          </w:p>
        </w:tc>
        <w:tc>
          <w:tcPr>
            <w:tcW w:type="dxa" w:w="1440"/>
            <w:shd w:fill="FAFAFA" w:val="clear"/>
          </w:tcPr>
          <w:p>
            <w:r>
              <w:rPr>
                <w:b/>
                <w:color w:val="C00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UNILEVER CÔTE D'IVOIRE (UNLC)**</w:t>
        <w:br/>
        <w:t>*Bourse Régionale des Valeurs Mobilières (BRVM) — Marché des Actions*</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495,90 milliards FCFA, un niveau significatif qui place la société parmi les valeurs les plus importantes de la cote BRVM, bien que très en deçà des géants télécoms ou bancaires de la place. Les ratios de valorisation classiques (BPA, PER, P/B, EV/EBITDA) ne sont pas calculables en l'absence de données financières structurées exploitables et de bénéfices par action publiés récents, ce qui prive l'investisseur d'une lecture directe du prix payé par unité de bénéfice ou de valeur comptable. Cette absence de ratios est en soi un signal de vigilance : elle reflète la fragilité des fondamentaux (capitaux propres négatifs, résultat net modeste) qui rendent les multiples traditionnels inopérants ou non pertinents. Dans ce contexte, l'évaluation de l'action repose davantage sur des considérations techniques, de rendement absent (aucun dividende) et de potentiel de redressement que sur une analyse de valorisation classique.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UNLC affiche une variation totale de -12,90%, avec une dernière séance en repli de -0,55%, confirmant une tendance baissière de fond. Le cours actuel de 54 000 FCFA se situe dans la partie basse du range de trading établi entre un plus bas de 50 000 FCFA et un plus haut de 63 345 FCFA, ce qui traduit une pression vendeuse persistante et une incapacité du titre à reconquérir ses sommets. La moyenne (55 849 FCFA) et la médiane (55 838 FCFA) sont quasi confondues, signe d'une distribution symétrique sans valeurs extrêmes dominantes, tandis que le mode à 58 000 FCFA indique que ce niveau a été le plus fréquemment traité, sans pour autant servir de support durable. L'écart-type de 3 020 FCFA et le coefficient de variation de 5,4% révèlent une dispersion modérée du cours autour de sa moyenne, mais la volatilité annualisée de 58,9% classe le titre dans la catégorie des valeurs à volatilité élevée (&gt;30%), ce qui implique un risque de fluctuation important pour l'investisseur. Le kurtosis de -0,475 (mésokurtique) suggère une distribution proche de la normale, donc un risque de pics extrêmes limité, tandis que le skewness de 0,181 (distribution symétrique) indique une absence de biais directionnel marqué, ni vers les hausses ni vers les baisses extrêmes. En synthèse, le titre évolue dans un canal baissier modéré, avec une volatilité élevée mais une distribution statistique équilibrée, ce qui plaide pour une prudence sans panique.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(54 092,75 FCFA) et la MM50 (53 611,40 FCFA) se situent toutes deux sous le cours actuel de 54 000 FCFA, avec une MM20 légèrement supérieure à la MM50, configuration qui traduit une dynamique haussière de court terme. La décision technique qui en résulte est à l'**Achat**, le cours évoluant au-dessus de ses deux moyennes, ce qui constitue un signal positif de reprise potentielle malgré la tendance baissière de fond sur 100 jours.</w:t>
      </w:r>
    </w:p>
    <w:p>
      <w:pPr>
        <w:spacing w:after="120" w:line="276" w:lineRule="auto"/>
      </w:pPr>
      <w:r>
        <w:t>**Bandes de Bollinger** : Le cours actuel (54 000 FCFA) se situe à mi-chemin entre la borne inférieure (49 848,53 FCFA) et la borne supérieure (58 336,97 FCFA), sans contact avec les extrêmes, ce qui traduit une volatilité contenue et une absence de signal directionnel fort. La décision associée est **Neutre**, le titre évoluant dans un canal équilibré sans pression acheteuse ou vendeuse dominante.</w:t>
      </w:r>
    </w:p>
    <w:p>
      <w:pPr>
        <w:spacing w:after="120" w:line="276" w:lineRule="auto"/>
      </w:pPr>
      <w:r>
        <w:t>**MACD** : La valeur du MACD (-261,275) est inférieure à son signal (-244,291), générant un croisement baissier et une divergence négative qui indique un momentum affaibli. La décision qui en découle est à la **Vente**, le MACD évoluant en territoire négatif, ce qui suggère que la pression baissière pourrait persister à court terme.</w:t>
      </w:r>
    </w:p>
    <w:p>
      <w:pPr>
        <w:spacing w:after="120" w:line="276" w:lineRule="auto"/>
      </w:pPr>
      <w:r>
        <w:t>**RSI** : Avec une valeur de 55,339, le RSI se situe dans la zone neutre (30-70), sans atteindre les seuils de surachat (&gt;70) ou de survente (&lt;30), ce qui indique un équilibre entre acheteurs et vendeurs. La décision est **Neutre**, le titre ne présentant ni excès haussier ni excès baissier susceptible de déclencher un retournement.</w:t>
      </w:r>
    </w:p>
    <w:p>
      <w:pPr>
        <w:spacing w:after="120" w:line="276" w:lineRule="auto"/>
      </w:pPr>
      <w:r>
        <w:t>**Stochastique** : Le %K (58,651) est supérieur au %D (54,089), avec un croisement récent à la hausse qui suggère une reprise du momentum acheteur à court terme. La décision associée est **Neutre**, le stochastique évoluant dans une zone médiane sans signal fort de surachat ou de survente.</w:t>
      </w:r>
    </w:p>
    <w:p>
      <w:pPr>
        <w:spacing w:after="120" w:line="276" w:lineRule="auto"/>
      </w:pPr>
      <w:r>
        <w:t>**Conclusion technique** : Les indicateurs techniques présentent une divergence notable : les moyennes mobiles et le stochastique émettent des signaux positifs (Achat/Neutre haussier), tandis que le MACD reste baissier et que les bandes de Bollinger et le RSI sont neutres. Cette configuration mitigée traduit un marché indécis, avec une légère prédominance des signaux haussiers de court terme (MM, Stochastique) mais une pression baissière persistante du MACD qui invite à la prudence. Le titre se trouve à un point d'inflexion technique, et la confirmation d'un retournement dépendra de la capacité du cours à se maintenir au-dessus de la MM20 (54 092 FCFA) et à franchir la borne supérieure des Bollinger (58 337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L'analyse fondamentale d'UNLC s'appuie sur les rapports financiers officiels disponibles, dont les plus récents datent du 31 décembre 2023 (exercice 2023) et du 31 décembre 2022 (exercice 2022), complétés par des données remontant à 2021. **En 2023**, UNILEVER Côte d'Ivoire a réalisé un chiffre d'affaires de 24 336 010 000 FCFA, stable par rapport à 2022, avec un bénéfice net de 640 334 855 FCFA, en forte amélioration après la perte nette de 6 908 362 002 FCFA enregistrée en 2022 (rapport du 31/12/2023). La marge nette 2023 s'établit à 2,63%, très en deçà de la moyenne sectorielle des FMCG en Afrique de l'Ouest (5-10%), tandis que le résultat d'exploitation passe de -6 258 M FCFA en 2022 à +3 340 M FCFA en 2023, témoignant d'un redressement opérationnel réel mais fragile. **En 2022**, le chiffre d'affaires s'élevait à 36 174,6 millions FCFA (rapport du 31/12/2022), en baisse de 21,5% par rapport à 2021, sous l'effet de la cession de l'activité "Thé" (Lipton) et des perturbations régionales (embargo malien, restrictions BCEAO). La perte nette de 6 382,6 millions FCFA en 2022 (marge nette de -17,6%) contrastait avec le bénéfice marginal de 175 130 FCFA en 2021, illustrant la volatilité extrême des résultats. **En 2021**, le chiffre d'affaires était de 24 336 010 000 FCFA avec un bénéfice net de 6 090 755 732 FCFA (marge nette de 25,0%), un résultat exceptionnel porté par la cession de Lipton (produit exceptionnel de +16,7 milliards FCFA). Les capitaux propres restent négatifs à -10 658 M FCFA en 2023, et le report à nouveau s'élève à -35 635 M FCFA, ce qui fragilise structurellement la société et limite sa capacité à distribuer des dividendes (aucun dividende versé en 2022 et 2023). Le ratio dette nette/EBITDA n'est pas calculable précisément, mais les dettes financières s'élèvent à 4 379 M FCFA en 2023 (vs 3 827 M FCFA en 2022), avec une trésorerie passive de 14 874 M FCFA qui dépasse largement la trésorerie active, signalant un risque de liquidité. En synthèse, UNLC présente une amélioration opérationnelle en 2023 (retour à un bénéfice modeste, résultat d'exploitation positif), mais la structure financière reste précaire (capitaux propres négatifs, endettement, absence de dividende), et la dépendance au marché ivoirien ainsi que la concurrence accrue (Nestlé, P&amp;G) constituent des risques majeurs. La recommandation fondamentale est de **CONSERVER avec vigilance**, en attendant une confirmation durable de la rentabilité et une reconstitution des capitaux propres.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précédentes et des prédictions IA (J+1 à J+10) conduit à une recommandation nuancée. **Sur le plan de la valorisation (Partie 0)**, l'absence de ratios PER/P/B/EV-EBITDA calculables empêche toute conclusion directe de sous-évaluation ou de surévaluation, mais la capitalisation de 495,90 Mds FCFA pour une société aux capitaux propres négatifs et au bénéfice modeste suggère une valorisation tendue. **Le comportement du cours (Partie 1)** est baissier sur 100 jours (-12,90%), avec une volatilité élevée (58,9%) et une distribution statistique symétrique (skewness 0,181) sans risque de pics extrêmes (kurtosis -0,475), ce qui est préoccupant pour la tendance mais rassurant pour la stabilité statistique. **Les signaux techniques (Partie 2)** sont divergents : les moyennes mobiles et le stochastique sont haussiers, le MACD est baissier, et les Bollinger/RSI sont neutres, créant une incertitude directionnelle. **Les fondamentaux (Partie 3)** montrent une amélioration en 2023 (bénéfice de 640 M FCFA, résultat d'exploitation positif) mais une structure financière fragile (capitaux propres négatifs, absence de dividende, endettement). **Les prédictions IA (J+1 à J+10)** anticipent une légère baisse du cours de 53 478 FCFA (J+1) à 53 495 FCFA (J+5), suivie d'une stabilisation autour de 53 500 FCFA, ce qui contredit les signaux haussiers des moyennes mobiles et du stochastique, et confirme la pression baissière du MACD. **Recommandation finale : CONSERVER**, avec un niveau de confiance **Moyen** et un risque global **Élevé**. La convergence entre la faiblesse des fondamentaux, la tendance baissière de fond et les prédictions IA baissières l'emporte sur les signaux techniques haussiers de court terme, qui apparaissent comme un rebond technique sans confirmation. L'horizon d'investissement optimal est **long terme (&gt;1 an)**, en attendant une reconstitution des capitaux propres et une reprise durable de la rentabilité, avec un suivi trimestriel rigoureux des indicateurs clés (marge nette, trésorerie, endettement). Une vente serait justifiée en cas de nouvelle perte en 2024 ou de dégradation supplémentaire de la structure financière.</w:t>
      </w:r>
    </w:p>
    <w:p>
      <w:pPr>
        <w:spacing w:after="120" w:line="276" w:lineRule="auto"/>
      </w:pPr>
      <w:r>
        <w:t>---</w:t>
      </w:r>
    </w:p>
    <w:p>
      <w:pPr>
        <w:spacing w:after="120" w:line="276" w:lineRule="auto"/>
      </w:pPr>
      <w:r>
        <w:t>*Ce rapport est fourni à titre informatif et ne constitue pas un conseil en investissement. Les données fondamentales utilisées datent de 2021 à 2023 et peuvent ne plus refléter la situation actuelle de la société.*</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49.80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13,195 titres</w:t>
            </w:r>
          </w:p>
        </w:tc>
        <w:tc>
          <w:tcPr>
            <w:tcW w:type="dxa" w:w="2268"/>
            <w:shd w:fill="FFF2CC" w:val="clear"/>
          </w:tcPr>
          <w:p>
            <w:r>
              <w:rPr>
                <w:b/>
                <w:color w:val="503200"/>
                <w:sz w:val="16"/>
              </w:rPr>
              <w:t xml:space="preserve">Cours actuel : </w:t>
            </w:r>
            <w:r>
              <w:rPr>
                <w:color w:val="000000"/>
                <w:sz w:val="17"/>
              </w:rPr>
              <w:t>2,400 FCFA</w:t>
            </w:r>
          </w:p>
          <w:p>
            <w:r>
              <w:rPr>
                <w:b/>
                <w:color w:val="503200"/>
                <w:sz w:val="16"/>
              </w:rPr>
              <w:t xml:space="preserve">Var. 100 jours : </w:t>
            </w:r>
            <w:r>
              <w:rPr>
                <w:b/>
                <w:color w:val="007800"/>
                <w:sz w:val="17"/>
              </w:rPr>
              <w:t>+28.00%</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19.8/100 → Faible</w:t>
      </w:r>
    </w:p>
    <w:p>
      <w:pPr>
        <w:spacing w:before="40" w:after="80"/>
      </w:pPr>
      <w:r>
        <w:rPr>
          <w:rFonts w:ascii="Courier New" w:hAnsi="Courier New"/>
          <w:color w:val="006400"/>
          <w:sz w:val="18"/>
        </w:rPr>
        <w:t>███░░░░░░░░░░░░░░░░░  19.8/100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13.86% (Moyenne) — μ=1,941 FCFA, σ=269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β=-0.1425 (Contre-cyclique) — Cov=-0.000005, Var(idx)=0.000035, ρ=-0.026,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13,195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σ_j=3.18%/j (Modérée) — Vol. annualisée≈50.4%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2026-09-14</w:t>
            </w:r>
          </w:p>
        </w:tc>
        <w:tc>
          <w:tcPr>
            <w:tcW w:type="dxa" w:w="1440"/>
            <w:shd w:fill="FAFAFA" w:val="clear"/>
          </w:tcPr>
          <w:p>
            <w:r>
              <w:rPr>
                <w:sz w:val="17"/>
              </w:rPr>
              <w:t>2,270</w:t>
            </w:r>
          </w:p>
        </w:tc>
        <w:tc>
          <w:tcPr>
            <w:tcW w:type="dxa" w:w="1440"/>
            <w:shd w:fill="FAFAFA" w:val="clear"/>
          </w:tcPr>
          <w:p>
            <w:r>
              <w:rPr>
                <w:b/>
                <w:sz w:val="17"/>
              </w:rPr>
              <w:t>2,367</w:t>
            </w:r>
          </w:p>
        </w:tc>
        <w:tc>
          <w:tcPr>
            <w:tcW w:type="dxa" w:w="1440"/>
            <w:shd w:fill="FAFAFA" w:val="clear"/>
          </w:tcPr>
          <w:p>
            <w:r>
              <w:rPr>
                <w:sz w:val="17"/>
              </w:rPr>
              <w:t>2,463</w:t>
            </w:r>
          </w:p>
        </w:tc>
        <w:tc>
          <w:tcPr>
            <w:tcW w:type="dxa" w:w="1440"/>
            <w:shd w:fill="FAFAFA" w:val="clear"/>
          </w:tcPr>
          <w:p>
            <w:r>
              <w:rPr>
                <w:b/>
                <w:color w:val="C00000"/>
                <w:sz w:val="17"/>
              </w:rPr>
              <w:t>-1.4%</w:t>
            </w:r>
          </w:p>
        </w:tc>
      </w:tr>
      <w:tr>
        <w:tc>
          <w:tcPr>
            <w:tcW w:type="dxa" w:w="1440"/>
            <w:shd w:fill="FAFAFA" w:val="clear"/>
          </w:tcPr>
          <w:p>
            <w:r>
              <w:rPr>
                <w:sz w:val="17"/>
              </w:rPr>
              <w:t>J+2  Moyenne</w:t>
            </w:r>
          </w:p>
        </w:tc>
        <w:tc>
          <w:tcPr>
            <w:tcW w:type="dxa" w:w="1440"/>
            <w:shd w:fill="FAFAFA" w:val="clear"/>
          </w:tcPr>
          <w:p>
            <w:r>
              <w:rPr>
                <w:sz w:val="17"/>
              </w:rPr>
              <w:t>2026-09-15</w:t>
            </w:r>
          </w:p>
        </w:tc>
        <w:tc>
          <w:tcPr>
            <w:tcW w:type="dxa" w:w="1440"/>
            <w:shd w:fill="FAFAFA" w:val="clear"/>
          </w:tcPr>
          <w:p>
            <w:r>
              <w:rPr>
                <w:sz w:val="17"/>
              </w:rPr>
              <w:t>2,223</w:t>
            </w:r>
          </w:p>
        </w:tc>
        <w:tc>
          <w:tcPr>
            <w:tcW w:type="dxa" w:w="1440"/>
            <w:shd w:fill="FAFAFA" w:val="clear"/>
          </w:tcPr>
          <w:p>
            <w:r>
              <w:rPr>
                <w:b/>
                <w:sz w:val="17"/>
              </w:rPr>
              <w:t>2,359</w:t>
            </w:r>
          </w:p>
        </w:tc>
        <w:tc>
          <w:tcPr>
            <w:tcW w:type="dxa" w:w="1440"/>
            <w:shd w:fill="FAFAFA" w:val="clear"/>
          </w:tcPr>
          <w:p>
            <w:r>
              <w:rPr>
                <w:sz w:val="17"/>
              </w:rPr>
              <w:t>2,495</w:t>
            </w:r>
          </w:p>
        </w:tc>
        <w:tc>
          <w:tcPr>
            <w:tcW w:type="dxa" w:w="1440"/>
            <w:shd w:fill="FAFAFA" w:val="clear"/>
          </w:tcPr>
          <w:p>
            <w:r>
              <w:rPr>
                <w:b/>
                <w:color w:val="C00000"/>
                <w:sz w:val="17"/>
              </w:rPr>
              <w:t>-1.7%</w:t>
            </w:r>
          </w:p>
        </w:tc>
      </w:tr>
      <w:tr>
        <w:tc>
          <w:tcPr>
            <w:tcW w:type="dxa" w:w="1440"/>
            <w:shd w:fill="FFDCE0" w:val="clear"/>
          </w:tcPr>
          <w:p>
            <w:r>
              <w:rPr>
                <w:sz w:val="17"/>
              </w:rPr>
              <w:t>J+3  Moyenne</w:t>
            </w:r>
          </w:p>
        </w:tc>
        <w:tc>
          <w:tcPr>
            <w:tcW w:type="dxa" w:w="1440"/>
            <w:shd w:fill="FFDCE0" w:val="clear"/>
          </w:tcPr>
          <w:p>
            <w:r>
              <w:rPr>
                <w:sz w:val="17"/>
              </w:rPr>
              <w:t>2026-09-16</w:t>
            </w:r>
          </w:p>
        </w:tc>
        <w:tc>
          <w:tcPr>
            <w:tcW w:type="dxa" w:w="1440"/>
            <w:shd w:fill="FFDCE0" w:val="clear"/>
          </w:tcPr>
          <w:p>
            <w:r>
              <w:rPr>
                <w:sz w:val="17"/>
              </w:rPr>
              <w:t>2,183</w:t>
            </w:r>
          </w:p>
        </w:tc>
        <w:tc>
          <w:tcPr>
            <w:tcW w:type="dxa" w:w="1440"/>
            <w:shd w:fill="FFDCE0" w:val="clear"/>
          </w:tcPr>
          <w:p>
            <w:r>
              <w:rPr>
                <w:b/>
                <w:sz w:val="17"/>
              </w:rPr>
              <w:t>2,349</w:t>
            </w:r>
          </w:p>
        </w:tc>
        <w:tc>
          <w:tcPr>
            <w:tcW w:type="dxa" w:w="1440"/>
            <w:shd w:fill="FFDCE0" w:val="clear"/>
          </w:tcPr>
          <w:p>
            <w:r>
              <w:rPr>
                <w:sz w:val="17"/>
              </w:rPr>
              <w:t>2,514</w:t>
            </w:r>
          </w:p>
        </w:tc>
        <w:tc>
          <w:tcPr>
            <w:tcW w:type="dxa" w:w="1440"/>
            <w:shd w:fill="FFDCE0" w:val="clear"/>
          </w:tcPr>
          <w:p>
            <w:r>
              <w:rPr>
                <w:b/>
                <w:color w:val="C00000"/>
                <w:sz w:val="17"/>
              </w:rPr>
              <w:t>-2.1%</w:t>
            </w:r>
          </w:p>
        </w:tc>
      </w:tr>
      <w:tr>
        <w:tc>
          <w:tcPr>
            <w:tcW w:type="dxa" w:w="1440"/>
            <w:shd w:fill="FFDCE0" w:val="clear"/>
          </w:tcPr>
          <w:p>
            <w:r>
              <w:rPr>
                <w:sz w:val="17"/>
              </w:rPr>
              <w:t>J+4  ⭐</w:t>
            </w:r>
          </w:p>
        </w:tc>
        <w:tc>
          <w:tcPr>
            <w:tcW w:type="dxa" w:w="1440"/>
            <w:shd w:fill="FFDCE0" w:val="clear"/>
          </w:tcPr>
          <w:p>
            <w:r>
              <w:rPr>
                <w:sz w:val="17"/>
              </w:rPr>
              <w:t>2026-09-17</w:t>
            </w:r>
          </w:p>
        </w:tc>
        <w:tc>
          <w:tcPr>
            <w:tcW w:type="dxa" w:w="1440"/>
            <w:shd w:fill="FFDCE0" w:val="clear"/>
          </w:tcPr>
          <w:p>
            <w:r>
              <w:rPr>
                <w:sz w:val="17"/>
              </w:rPr>
              <w:t>2,148</w:t>
            </w:r>
          </w:p>
        </w:tc>
        <w:tc>
          <w:tcPr>
            <w:tcW w:type="dxa" w:w="1440"/>
            <w:shd w:fill="FFDCE0" w:val="clear"/>
          </w:tcPr>
          <w:p>
            <w:r>
              <w:rPr>
                <w:b/>
                <w:sz w:val="17"/>
              </w:rPr>
              <w:t>2,339</w:t>
            </w:r>
          </w:p>
        </w:tc>
        <w:tc>
          <w:tcPr>
            <w:tcW w:type="dxa" w:w="1440"/>
            <w:shd w:fill="FFDCE0" w:val="clear"/>
          </w:tcPr>
          <w:p>
            <w:r>
              <w:rPr>
                <w:sz w:val="17"/>
              </w:rPr>
              <w:t>2,529</w:t>
            </w:r>
          </w:p>
        </w:tc>
        <w:tc>
          <w:tcPr>
            <w:tcW w:type="dxa" w:w="1440"/>
            <w:shd w:fill="FFDCE0" w:val="clear"/>
          </w:tcPr>
          <w:p>
            <w:r>
              <w:rPr>
                <w:b/>
                <w:color w:val="C00000"/>
                <w:sz w:val="17"/>
              </w:rPr>
              <w:t>-2.6%</w:t>
            </w:r>
          </w:p>
        </w:tc>
      </w:tr>
      <w:tr>
        <w:tc>
          <w:tcPr>
            <w:tcW w:type="dxa" w:w="1440"/>
            <w:shd w:fill="FFDCE0" w:val="clear"/>
          </w:tcPr>
          <w:p>
            <w:r>
              <w:rPr>
                <w:sz w:val="17"/>
              </w:rPr>
              <w:t>J+5  ⭐</w:t>
            </w:r>
          </w:p>
        </w:tc>
        <w:tc>
          <w:tcPr>
            <w:tcW w:type="dxa" w:w="1440"/>
            <w:shd w:fill="FFDCE0" w:val="clear"/>
          </w:tcPr>
          <w:p>
            <w:r>
              <w:rPr>
                <w:sz w:val="17"/>
              </w:rPr>
              <w:t>2026-09-18</w:t>
            </w:r>
          </w:p>
        </w:tc>
        <w:tc>
          <w:tcPr>
            <w:tcW w:type="dxa" w:w="1440"/>
            <w:shd w:fill="FFDCE0" w:val="clear"/>
          </w:tcPr>
          <w:p>
            <w:r>
              <w:rPr>
                <w:sz w:val="17"/>
              </w:rPr>
              <w:t>2,117</w:t>
            </w:r>
          </w:p>
        </w:tc>
        <w:tc>
          <w:tcPr>
            <w:tcW w:type="dxa" w:w="1440"/>
            <w:shd w:fill="FFDCE0" w:val="clear"/>
          </w:tcPr>
          <w:p>
            <w:r>
              <w:rPr>
                <w:b/>
                <w:sz w:val="17"/>
              </w:rPr>
              <w:t>2,329</w:t>
            </w:r>
          </w:p>
        </w:tc>
        <w:tc>
          <w:tcPr>
            <w:tcW w:type="dxa" w:w="1440"/>
            <w:shd w:fill="FFDCE0" w:val="clear"/>
          </w:tcPr>
          <w:p>
            <w:r>
              <w:rPr>
                <w:sz w:val="17"/>
              </w:rPr>
              <w:t>2,541</w:t>
            </w:r>
          </w:p>
        </w:tc>
        <w:tc>
          <w:tcPr>
            <w:tcW w:type="dxa" w:w="1440"/>
            <w:shd w:fill="FFDCE0" w:val="clear"/>
          </w:tcPr>
          <w:p>
            <w:r>
              <w:rPr>
                <w:b/>
                <w:color w:val="C00000"/>
                <w:sz w:val="17"/>
              </w:rPr>
              <w:t>-3.0%</w:t>
            </w:r>
          </w:p>
        </w:tc>
      </w:tr>
      <w:tr>
        <w:tc>
          <w:tcPr>
            <w:tcW w:type="dxa" w:w="1440"/>
            <w:shd w:fill="FFDCE0" w:val="clear"/>
          </w:tcPr>
          <w:p>
            <w:r>
              <w:rPr>
                <w:sz w:val="17"/>
              </w:rPr>
              <w:t>J+6  ⭐</w:t>
            </w:r>
          </w:p>
        </w:tc>
        <w:tc>
          <w:tcPr>
            <w:tcW w:type="dxa" w:w="1440"/>
            <w:shd w:fill="FFDCE0" w:val="clear"/>
          </w:tcPr>
          <w:p>
            <w:r>
              <w:rPr>
                <w:sz w:val="17"/>
              </w:rPr>
              <w:t>2026-09-21</w:t>
            </w:r>
          </w:p>
        </w:tc>
        <w:tc>
          <w:tcPr>
            <w:tcW w:type="dxa" w:w="1440"/>
            <w:shd w:fill="FFDCE0" w:val="clear"/>
          </w:tcPr>
          <w:p>
            <w:r>
              <w:rPr>
                <w:sz w:val="17"/>
              </w:rPr>
              <w:t>2,089</w:t>
            </w:r>
          </w:p>
        </w:tc>
        <w:tc>
          <w:tcPr>
            <w:tcW w:type="dxa" w:w="1440"/>
            <w:shd w:fill="FFDCE0" w:val="clear"/>
          </w:tcPr>
          <w:p>
            <w:r>
              <w:rPr>
                <w:b/>
                <w:sz w:val="17"/>
              </w:rPr>
              <w:t>2,320</w:t>
            </w:r>
          </w:p>
        </w:tc>
        <w:tc>
          <w:tcPr>
            <w:tcW w:type="dxa" w:w="1440"/>
            <w:shd w:fill="FFDCE0" w:val="clear"/>
          </w:tcPr>
          <w:p>
            <w:r>
              <w:rPr>
                <w:sz w:val="17"/>
              </w:rPr>
              <w:t>2,551</w:t>
            </w:r>
          </w:p>
        </w:tc>
        <w:tc>
          <w:tcPr>
            <w:tcW w:type="dxa" w:w="1440"/>
            <w:shd w:fill="FFDCE0" w:val="clear"/>
          </w:tcPr>
          <w:p>
            <w:r>
              <w:rPr>
                <w:b/>
                <w:color w:val="C00000"/>
                <w:sz w:val="17"/>
              </w:rPr>
              <w:t>-3.3%</w:t>
            </w:r>
          </w:p>
        </w:tc>
      </w:tr>
      <w:tr>
        <w:tc>
          <w:tcPr>
            <w:tcW w:type="dxa" w:w="1440"/>
            <w:shd w:fill="FFDCE0" w:val="clear"/>
          </w:tcPr>
          <w:p>
            <w:r>
              <w:rPr>
                <w:sz w:val="17"/>
              </w:rPr>
              <w:t>J+7  ⭐</w:t>
            </w:r>
          </w:p>
        </w:tc>
        <w:tc>
          <w:tcPr>
            <w:tcW w:type="dxa" w:w="1440"/>
            <w:shd w:fill="FFDCE0" w:val="clear"/>
          </w:tcPr>
          <w:p>
            <w:r>
              <w:rPr>
                <w:sz w:val="17"/>
              </w:rPr>
              <w:t>2026-09-22</w:t>
            </w:r>
          </w:p>
        </w:tc>
        <w:tc>
          <w:tcPr>
            <w:tcW w:type="dxa" w:w="1440"/>
            <w:shd w:fill="FFDCE0" w:val="clear"/>
          </w:tcPr>
          <w:p>
            <w:r>
              <w:rPr>
                <w:sz w:val="17"/>
              </w:rPr>
              <w:t>2,062</w:t>
            </w:r>
          </w:p>
        </w:tc>
        <w:tc>
          <w:tcPr>
            <w:tcW w:type="dxa" w:w="1440"/>
            <w:shd w:fill="FFDCE0" w:val="clear"/>
          </w:tcPr>
          <w:p>
            <w:r>
              <w:rPr>
                <w:b/>
                <w:sz w:val="17"/>
              </w:rPr>
              <w:t>2,311</w:t>
            </w:r>
          </w:p>
        </w:tc>
        <w:tc>
          <w:tcPr>
            <w:tcW w:type="dxa" w:w="1440"/>
            <w:shd w:fill="FFDCE0" w:val="clear"/>
          </w:tcPr>
          <w:p>
            <w:r>
              <w:rPr>
                <w:sz w:val="17"/>
              </w:rPr>
              <w:t>2,560</w:t>
            </w:r>
          </w:p>
        </w:tc>
        <w:tc>
          <w:tcPr>
            <w:tcW w:type="dxa" w:w="1440"/>
            <w:shd w:fill="FFDCE0" w:val="clear"/>
          </w:tcPr>
          <w:p>
            <w:r>
              <w:rPr>
                <w:b/>
                <w:color w:val="C00000"/>
                <w:sz w:val="17"/>
              </w:rPr>
              <w:t>-3.7%</w:t>
            </w:r>
          </w:p>
        </w:tc>
      </w:tr>
      <w:tr>
        <w:tc>
          <w:tcPr>
            <w:tcW w:type="dxa" w:w="1440"/>
            <w:shd w:fill="FFDCE0" w:val="clear"/>
          </w:tcPr>
          <w:p>
            <w:r>
              <w:rPr>
                <w:sz w:val="17"/>
              </w:rPr>
              <w:t>J+8  ⭐</w:t>
            </w:r>
          </w:p>
        </w:tc>
        <w:tc>
          <w:tcPr>
            <w:tcW w:type="dxa" w:w="1440"/>
            <w:shd w:fill="FFDCE0" w:val="clear"/>
          </w:tcPr>
          <w:p>
            <w:r>
              <w:rPr>
                <w:sz w:val="17"/>
              </w:rPr>
              <w:t>2026-09-23</w:t>
            </w:r>
          </w:p>
        </w:tc>
        <w:tc>
          <w:tcPr>
            <w:tcW w:type="dxa" w:w="1440"/>
            <w:shd w:fill="FFDCE0" w:val="clear"/>
          </w:tcPr>
          <w:p>
            <w:r>
              <w:rPr>
                <w:sz w:val="17"/>
              </w:rPr>
              <w:t>2,037</w:t>
            </w:r>
          </w:p>
        </w:tc>
        <w:tc>
          <w:tcPr>
            <w:tcW w:type="dxa" w:w="1440"/>
            <w:shd w:fill="FFDCE0" w:val="clear"/>
          </w:tcPr>
          <w:p>
            <w:r>
              <w:rPr>
                <w:b/>
                <w:sz w:val="17"/>
              </w:rPr>
              <w:t>2,302</w:t>
            </w:r>
          </w:p>
        </w:tc>
        <w:tc>
          <w:tcPr>
            <w:tcW w:type="dxa" w:w="1440"/>
            <w:shd w:fill="FFDCE0" w:val="clear"/>
          </w:tcPr>
          <w:p>
            <w:r>
              <w:rPr>
                <w:sz w:val="17"/>
              </w:rPr>
              <w:t>2,568</w:t>
            </w:r>
          </w:p>
        </w:tc>
        <w:tc>
          <w:tcPr>
            <w:tcW w:type="dxa" w:w="1440"/>
            <w:shd w:fill="FFDCE0" w:val="clear"/>
          </w:tcPr>
          <w:p>
            <w:r>
              <w:rPr>
                <w:b/>
                <w:color w:val="C00000"/>
                <w:sz w:val="17"/>
              </w:rPr>
              <w:t>-4.1%</w:t>
            </w:r>
          </w:p>
        </w:tc>
      </w:tr>
      <w:tr>
        <w:tc>
          <w:tcPr>
            <w:tcW w:type="dxa" w:w="1440"/>
            <w:shd w:fill="FFDCE0" w:val="clear"/>
          </w:tcPr>
          <w:p>
            <w:r>
              <w:rPr>
                <w:sz w:val="17"/>
              </w:rPr>
              <w:t>J+9  ⭐</w:t>
            </w:r>
          </w:p>
        </w:tc>
        <w:tc>
          <w:tcPr>
            <w:tcW w:type="dxa" w:w="1440"/>
            <w:shd w:fill="FFDCE0" w:val="clear"/>
          </w:tcPr>
          <w:p>
            <w:r>
              <w:rPr>
                <w:sz w:val="17"/>
              </w:rPr>
              <w:t>2026-09-24</w:t>
            </w:r>
          </w:p>
        </w:tc>
        <w:tc>
          <w:tcPr>
            <w:tcW w:type="dxa" w:w="1440"/>
            <w:shd w:fill="FFDCE0" w:val="clear"/>
          </w:tcPr>
          <w:p>
            <w:r>
              <w:rPr>
                <w:sz w:val="17"/>
              </w:rPr>
              <w:t>2,014</w:t>
            </w:r>
          </w:p>
        </w:tc>
        <w:tc>
          <w:tcPr>
            <w:tcW w:type="dxa" w:w="1440"/>
            <w:shd w:fill="FFDCE0" w:val="clear"/>
          </w:tcPr>
          <w:p>
            <w:r>
              <w:rPr>
                <w:b/>
                <w:sz w:val="17"/>
              </w:rPr>
              <w:t>2,294</w:t>
            </w:r>
          </w:p>
        </w:tc>
        <w:tc>
          <w:tcPr>
            <w:tcW w:type="dxa" w:w="1440"/>
            <w:shd w:fill="FFDCE0" w:val="clear"/>
          </w:tcPr>
          <w:p>
            <w:r>
              <w:rPr>
                <w:sz w:val="17"/>
              </w:rPr>
              <w:t>2,574</w:t>
            </w:r>
          </w:p>
        </w:tc>
        <w:tc>
          <w:tcPr>
            <w:tcW w:type="dxa" w:w="1440"/>
            <w:shd w:fill="FFDCE0" w:val="clear"/>
          </w:tcPr>
          <w:p>
            <w:r>
              <w:rPr>
                <w:b/>
                <w:color w:val="C00000"/>
                <w:sz w:val="17"/>
              </w:rPr>
              <w:t>-4.4%</w:t>
            </w:r>
          </w:p>
        </w:tc>
      </w:tr>
      <w:tr>
        <w:tc>
          <w:tcPr>
            <w:tcW w:type="dxa" w:w="1440"/>
            <w:shd w:fill="FFDCE0" w:val="clear"/>
          </w:tcPr>
          <w:p>
            <w:r>
              <w:rPr>
                <w:sz w:val="17"/>
              </w:rPr>
              <w:t>J+10  ⭐</w:t>
            </w:r>
          </w:p>
        </w:tc>
        <w:tc>
          <w:tcPr>
            <w:tcW w:type="dxa" w:w="1440"/>
            <w:shd w:fill="FFDCE0" w:val="clear"/>
          </w:tcPr>
          <w:p>
            <w:r>
              <w:rPr>
                <w:sz w:val="17"/>
              </w:rPr>
              <w:t>2026-09-25</w:t>
            </w:r>
          </w:p>
        </w:tc>
        <w:tc>
          <w:tcPr>
            <w:tcW w:type="dxa" w:w="1440"/>
            <w:shd w:fill="FFDCE0" w:val="clear"/>
          </w:tcPr>
          <w:p>
            <w:r>
              <w:rPr>
                <w:sz w:val="17"/>
              </w:rPr>
              <w:t>1,992</w:t>
            </w:r>
          </w:p>
        </w:tc>
        <w:tc>
          <w:tcPr>
            <w:tcW w:type="dxa" w:w="1440"/>
            <w:shd w:fill="FFDCE0" w:val="clear"/>
          </w:tcPr>
          <w:p>
            <w:r>
              <w:rPr>
                <w:b/>
                <w:sz w:val="17"/>
              </w:rPr>
              <w:t>2,286</w:t>
            </w:r>
          </w:p>
        </w:tc>
        <w:tc>
          <w:tcPr>
            <w:tcW w:type="dxa" w:w="1440"/>
            <w:shd w:fill="FFDCE0" w:val="clear"/>
          </w:tcPr>
          <w:p>
            <w:r>
              <w:rPr>
                <w:sz w:val="17"/>
              </w:rPr>
              <w:t>2,580</w:t>
            </w:r>
          </w:p>
        </w:tc>
        <w:tc>
          <w:tcPr>
            <w:tcW w:type="dxa" w:w="1440"/>
            <w:shd w:fill="FFDCE0" w:val="clear"/>
          </w:tcPr>
          <w:p>
            <w:r>
              <w:rPr>
                <w:b/>
                <w:color w:val="C00000"/>
                <w:sz w:val="17"/>
              </w:rPr>
              <w:t>-4.8%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pPr>
      <w:r>
        <w:t>**RAPPORT D'ANALYSE FINANCIÈRE — UNIWAX (UNXC)**</w:t>
        <w:br/>
        <w:t>*Bourse Régionale des Valeurs Mobilières (BRVM) — Secteur : Entreprise industrielle (Textile)*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49,80 Mds FCFA, UNIWAX se situe dans la catégorie des valeurs moyennes de la cote BRVM, loin des poids lourds bancaires et télécoms mais suffisamment liquide pour intéresser les investisseurs institutionnels régionaux. Le BPA ressort à -105 FCFA/action sur l'exercice 2024, traduisant une société déficitaire, ce qui rend le PER négatif (-22,8x) et donc non interprétable en termes de cherté relative — un PER négatif signale simplement que l'entreprise détruit de la valeur comptable à court terme, et non qu'elle se paie à rabais. Le P/B de 3,19x indique en revanche que le marché valorise UNXC à plus de trois fois ses fonds propres comptables, soit une prime de croissance significative (fourchette 2-4x) qui traduit l'anticipation d'un redressement opérationnel durable. Le ratio EV/EBITDA n'est pas fourni dans les données disponibles, ce qui s'explique par la volatilité récente de l'EBITDA (négatif en 2024, redevenu positif en 2025), rendant le multiple peu pertinent sur base historique.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UNXC affiche une progression spectaculaire de +28,00%, avec un cours actuel de 2 400 FCFA et une variation nulle sur la dernière séance (J-1 : +0,00%), signe d'une pause dans le mouvement haussier. Le range de trading est particulièrement large, avec un plus haut à 2 495 FCFA et un plus bas à 1 250 FCFA, soit un écart de près de 100% entre les deux extrêmes — ce qui témoigne d'une revalorisation massive du titre sur la période. La tendance générale est donc clairement haussière, portée par le retour à une rentabilité opérationnelle positive annoncée dans les rapports 2025-2026. Les statistiques descriptives révèlent une moyenne de 1 941 FCFA légèrement supérieure à la médiane (1 900 FCFA) et au mode (1 900 FCFA), avec un skewness de 0,218 indiquant une distribution quasi-symétrique, sans biais marqué vers les hausses ou les baisses. L'écart-type de 270 FCFA (CV = 13,9%) traduit une dispersion modérée du cours autour de sa moyenne, tandis que le kurtosis de 0,404 (mésokurtique) suggère une distribution proche de la normale, sans risque de pics extrêmes significatif. La volatilité annualisée de 50,4% classe le titre dans la catégorie des valeurs à volatilité élevée (&gt;30%), ce qui est cohérent avec un titre en phase de retournement fondamental et de forte spéculation.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(2 374,5 FCFA) et la MM50 (1 997,3 FCFA) sont toutes deux inférieures au cours actuel (2 400 FCFA), et la MM20 se situe au-dessus de la MM50, configurant un croisement haussier classique (golden cross). Cette configuration confirme la dynamique positive de court et moyen terme, justifiant la décision technique d'**Achat**.</w:t>
      </w:r>
    </w:p>
    <w:p>
      <w:pPr>
        <w:spacing w:after="120" w:line="276" w:lineRule="auto"/>
      </w:pPr>
      <w:r>
        <w:t>**Bandes de Bollinger** : Le cours (2 400 FCFA) évolue dans la partie supérieure de la bande, entre la borne inférieure (2 126,3 FCFA) et la borne supérieure (2 622,7 FCFA), sans franchir cette dernière. Cette position médiane-haute, couplée à un écart-type de 270 FCFA, indique une volatilité soutenue mais sans excès, justifiant la décision **Neutre** — le titre n'est ni en surachat technique, ni en survente.</w:t>
      </w:r>
    </w:p>
    <w:p>
      <w:pPr>
        <w:spacing w:after="120" w:line="276" w:lineRule="auto"/>
      </w:pPr>
      <w:r>
        <w:t>**MACD** : La valeur du MACD (100,193) est inférieure à son signal (124,095), générant un croisement baissier qui traduit un essoufflement du momentum haussier. Cette divergence négative, bien que modérée, justifie la décision de **Vente** à court terme, en cohérence avec la pause observée sur la dernière séance.</w:t>
      </w:r>
    </w:p>
    <w:p>
      <w:pPr>
        <w:spacing w:after="120" w:line="276" w:lineRule="auto"/>
      </w:pPr>
      <w:r>
        <w:t>**RSI** : À 41,333, le RSI se situe dans la zone neutre (30-70), sans signal de surachat (&gt;70) ni de survente (&lt;30). Cette valeur médiane-basse suggère que le titre conserve un potentiel de rebond, mais sans urgence, justifiant la décision **Neutre**.</w:t>
      </w:r>
    </w:p>
    <w:p>
      <w:pPr>
        <w:spacing w:after="120" w:line="276" w:lineRule="auto"/>
      </w:pPr>
      <w:r>
        <w:t>**Stochastique** : Le %K (38,71) est supérieur au %D (27,957), avec un croisement haussier en zone basse — signal d'achat potentiel à court terme. Toutefois, les deux courbes restent sous la barre des 50, ce qui tempère la portée du signal et justifie la décision **Neutre**.</w:t>
      </w:r>
    </w:p>
    <w:p>
      <w:pPr>
        <w:spacing w:after="120" w:line="276" w:lineRule="auto"/>
      </w:pPr>
      <w:r>
        <w:t>**Conclusion technique** : Les indicateurs sont globalement partagés — les moyennes mobiles et le stochastique plaident pour un maintien haussier, tandis que le MACD signale un essoufflement et que le RSI/Bollinger restent neutres. Le titre se trouve dans une phase de consolidation après une forte hausse, avec un biais haussier de moyen terme mais une prudence de court terme justifiée.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2024 (états financiers annuels) brossent un tableau contrasté : UNIWAX a réalisé un chiffre d'affaires de 27,333 Mds FCFA, en baisse de -7,93% par rapport à 2023, avec un résultat net déficitaire de -2,189 Mds FCFA (marge nette de -8,01%). Le ROE ressort à -14,04% et le ROA à -6,39%, confirmant la destruction de valeur sur cet exercice. La structure financière reste néanmoins solide, avec une autonomie financière de 45,53% (capitaux propres/total bilan), une liquidité générale de 126,23% et un endettement financier très faible (dépendance financière de 2,11%). Les délais d'exploitation sont préoccupants : délai clients de 51 jours (risque de trésorerie modéré), durée de stockage de 254,72 jours (immobilisation de capital très élevée) et délai fournisseurs de 267,82 jours (favorable à la trésorerie). Le BFR ressort à 2,149 Mds FCFA, ce qui est défavorable pour une entreprise industrielle. Les rapports narratifs les plus récents (S1 2026, publié en 2026) révèlent une **inversion de tendance majeure** : le chiffre d'affaires du S1 2026 s'établit à 15,752 Mds FCFA (+0,3% vs S1 2025), et surtout le **résultat d'exploitation redevient positif à 771 millions FCFA** (contre -314 millions au S1 2025), soit une amélioration de +345,4%. Le résultat net du S1 2026 est de 771 millions FCFA, contre 8,216 Mds FCFA au S1 2025 — mais ce dernier incluait une plus-value exceptionnelle de cession de terrain de près de 10 Mds FCFA. Sur l'ensemble de l'exercice 2025 (rapport publié en 2025), le CA a progressé à 29,03 Mds FCFA (+6,2%), l'EBE est redevenu positif à 1,13 Md FCFA (contre -0,35 Md en 2024) et la perte nette a été réduite de 71% à -624 millions FCFA. On estime, sur la base du S1 2026, que l'exercice 2026 devrait confirmer le retour à une rentabilité opérationnelle positive, avec un résultat net annuel attendu entre 1,5 et 2 Mds FCFA si la dynamique se poursuit — un scénario crédible mais encore fragile, dépendant de la confirmation de la rentabilité au S2 2026. La recommandation fondamentale est donc **CONSERVER avec biais acheteur**, la solidité du bilan et le redressement opérationnel étant réels, mais la valorisation actuelle (P/B 3,19x) intégrant déjà une bonne partie de l'amélioration attendue.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dessine un profil d'investissement contrasté. Sur le plan de la **valorisation (Partie 0)**, le PER négatif et le P/B de 3,19x indiquent que le marché paie déjà cher une société encore déficitaire en 2024, mais dont le redressement 2025-2026 est en cours — la prime de croissance est donc justifiée mais exigeante. Le **comportement du cours (Partie 1)** est nettement haussier (+28% sur 100 jours), avec une volatilité élevée (50,4%) et une distribution symétrique (skewness 0,218) sans risque de pics extrêmes (kurtosis 0,404), ce qui est plutôt favorable pour un investisseur dynamique. Les **signaux techniques (Partie 2)** sont mitigés : les moyennes mobiles et le stochastique sont haussiers, mais le MACD est baissier et le RSI/Bollinger neutres — le titre est en consolidation après une forte hausse. Les **fondamentaux (Partie 3)** sont en nette amélioration : retour à un résultat d'exploitation positif au S1 2026 (771 M FCFA), EBE positif en 2025 (1,13 Md FCFA), perte nette réduite de 71% — mais la rentabilité reste fragile et dépendante de la confirmation au S2 2026. Les **prédictions IA (J+1 à J+10)** anticipent une légère correction baissière (2 367 → 2 329 FCFA, soit -1,6% sur 5 séances), ce qui contredit partiellement les signaux haussiers de moyen terme mais confirme la phase de consolidation technique. **Recommandation finale : CONSERVER**, avec un biais acheteur pour les investisseurs déjà positionnés et une opportunité d'achat sur repli vers 2 200-2 300 FCFA. Le niveau de confiance est **Moyen** (redressement réel mais fragile, valorisation exigeante), le risque global est **Élevé** (volatilité 50,4%, dépendance aux marchés d'export, rentabilité non encore confirmée sur un exercice complet), et l'horizon optimal est le **moyen terme (3-12 mois)**, le temps que la rentabilité opérationnelle se confirme sur l'ensemble de l'exercice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