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30/09/2026 à 10:40</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47 ACHAT  |  1 NEUTRE  |  0 VENTE  (sur 48 sociétés)</w:t>
      </w:r>
    </w:p>
    <w:p>
      <w:pPr>
        <w:spacing w:before="20" w:after="20"/>
        <w:ind w:left="360" w:right="360"/>
        <w:shd w:val="clear" w:color="auto" w:fill="EBF5FB"/>
      </w:pPr>
      <w:r>
        <w:rPr>
          <w:b/>
          <w:sz w:val="19"/>
        </w:rPr>
        <w:t xml:space="preserve">Top opportunité :  </w:t>
      </w:r>
      <w:r>
        <w:rPr>
          <w:color w:val="008000"/>
          <w:sz w:val="19"/>
        </w:rPr>
        <w:t>ABJC  (score 79/100)</w:t>
      </w:r>
    </w:p>
    <w:p>
      <w:pPr>
        <w:spacing w:before="20" w:after="20"/>
        <w:ind w:left="360" w:right="360"/>
        <w:shd w:val="clear" w:color="auto" w:fill="EBF5FB"/>
      </w:pPr>
      <w:r>
        <w:rPr>
          <w:b/>
          <w:sz w:val="19"/>
        </w:rPr>
        <w:t xml:space="preserve">Secteur surperformant :  </w:t>
      </w:r>
      <w:r>
        <w:rPr>
          <w:color w:val="008000"/>
          <w:sz w:val="19"/>
        </w:rPr>
        <w:t>SERVICES PUBLICS  (+72.9%)</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13 sociétés — vérifier avant d'investir</w:t>
      </w:r>
    </w:p>
    <w:p>
      <w:pPr>
        <w:spacing w:before="20" w:after="20"/>
        <w:ind w:left="360" w:right="360"/>
        <w:shd w:val="clear" w:color="auto" w:fill="EBF5FB"/>
      </w:pPr>
      <w:r>
        <w:rPr>
          <w:b/>
          <w:sz w:val="19"/>
        </w:rPr>
        <w:t xml:space="preserve">⚠️ Liquidité réduite :  </w:t>
      </w:r>
      <w:r>
        <w:rPr>
          <w:color w:val="C00000"/>
          <w:sz w:val="19"/>
        </w:rPr>
        <w:t>11 titres à faible liquidité — risque de sortie</w:t>
      </w:r>
    </w:p>
    <w:p/>
    <w:p>
      <w:r>
        <w:br w:type="page"/>
      </w:r>
    </w:p>
    <w:p>
      <w:pPr>
        <w:pStyle w:val="Heading1"/>
      </w:pPr>
      <w:r>
        <w:t>SYNTHÈSE GÉNÉRALE</w:t>
      </w:r>
    </w:p>
    <w:p>
      <w:pPr>
        <w:spacing w:after="240"/>
      </w:pPr>
      <w:r>
        <w:t xml:space="preserve">Ce rapport présente une analyse détaillée de 48 sociétés cotées à la Bourse Régionale des Valeurs Mobilières (BRVM). </w:t>
      </w:r>
      <w:r>
        <w:t xml:space="preserve">L'indice BRVM Composite s'établit à 548.04 points </w:t>
      </w:r>
      <w:r>
        <w:rPr>
          <w:color w:val="008000"/>
        </w:rPr>
        <w:t>(+0.48%)</w:t>
      </w:r>
      <w:r>
        <w:t xml:space="preserve"> sur la séance. </w:t>
      </w:r>
      <w:r>
        <w:t>La capitalisation globale du marché atteint 21 491,234 milliards FCFA.</w:t>
      </w:r>
    </w:p>
    <w:p/>
    <w:p>
      <w:pPr>
        <w:pStyle w:val="Heading3"/>
      </w:pPr>
      <w:r>
        <w:t>📊 Évolution de l'indice BRVM Composite (100 derniers jours)</w:t>
      </w:r>
    </w:p>
    <w:p>
      <w:r>
        <w:rPr>
          <w:b/>
        </w:rPr>
        <w:t xml:space="preserve">BRVM Composite — </w:t>
      </w:r>
      <w:r>
        <w:t xml:space="preserve">Sur les 100 derniers jours de cotation (2026-05-06 au 2026-09-29), l'indice BRVM Composite a évolué de </w:t>
      </w:r>
      <w:r>
        <w:rPr>
          <w:b/>
          <w:color w:val="008000"/>
        </w:rPr>
        <w:t>+35.88%</w:t>
      </w:r>
      <w:r>
        <w:t>, passant de 403.33 pts à 548.04 pts. Le plus haut atteint est 555.90 pts et le plus bas 403.33 pts. Sur l'ensemble de la période, la moyenne de l'indice s'établit à 478.71 pts, la médiane à 479.00 pts et le mode à 403.33 pts</w:t>
      </w:r>
      <w:r>
        <w:t xml:space="preserve"> (distribution symétrique). </w:t>
      </w:r>
      <w:r>
        <w:t xml:space="preserve">L'écart-type de 46.87 pts (CV=9.8%) traduit une modérée dispersion des cotations. Le kurtosis de -1.19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+38.21%</w:t>
      </w:r>
      <w:r>
        <w:t xml:space="preserve"> sur la période, passant de 15 549,608 Mds FCFA à 21 491,234 Mds FCFA. Le pic de capitalisation observé est de 21 491,234 Mds FCFA et le plancher de 15 549,608 Mds FCFA. La moyenne de la capitalisation sur la période s'établit à 18 464,950 Mds FCFA, la médiane à 18 452,323 Mds FCFA et le mode à 15 549,608 Mds FCFA</w:t>
      </w:r>
      <w:r>
        <w:t xml:space="preserve"> (distribution symétrique). </w:t>
      </w:r>
      <w:r>
        <w:t>L'écart-type de 1 831,485 Mds FCFA (CV=9.9%) reflète une modérée variabilité de la valorisation du marché. Le kurtosis de -1.18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FTSC - FTSC - FILTISAC COTE D'IVOIRE</w:t>
      </w:r>
      <w:r>
        <w:t xml:space="preserve"> | Prix: 1995 FCFA | </w:t>
      </w:r>
      <w:r>
        <w:rPr>
          <w:b/>
          <w:color w:val="008000"/>
        </w:rPr>
        <w:t>ACHAT FORT</w:t>
      </w:r>
      <w:r>
        <w:t xml:space="preserve"> | Confiance: Élevée | Risque: Faible</w:t>
      </w:r>
    </w:p>
    <w:p>
      <w:pPr>
        <w:pStyle w:val="ListNumber"/>
      </w:pPr>
      <w:r>
        <w:rPr>
          <w:b/>
        </w:rPr>
        <w:t>ABJC - ABJC - SERVAIR ABIDJAN CI</w:t>
      </w:r>
      <w:r>
        <w:t xml:space="preserve"> | Prix: 3650 FCFA | </w:t>
      </w:r>
      <w:r>
        <w:rPr>
          <w:b/>
          <w:color w:val="008000"/>
        </w:rPr>
        <w:t>ACHAT</w:t>
      </w:r>
      <w:r>
        <w:t xml:space="preserve"> | Confiance: Élevée | Risque: Faible</w:t>
      </w:r>
    </w:p>
    <w:p>
      <w:pPr>
        <w:pStyle w:val="ListNumber"/>
      </w:pPr>
      <w:r>
        <w:rPr>
          <w:b/>
        </w:rPr>
        <w:t>BBGC - BRIDGE BANK GROUP COTE D'IVOIRE</w:t>
      </w:r>
      <w:r>
        <w:t xml:space="preserve"> | Prix: 9000 FCFA | </w:t>
      </w:r>
      <w:r>
        <w:rPr>
          <w:b/>
          <w:color w:val="008000"/>
        </w:rPr>
        <w:t>ACHAT</w:t>
      </w:r>
      <w:r>
        <w:t xml:space="preserve"> | Confiance: Moyen | Risque: Faible</w:t>
      </w:r>
    </w:p>
    <w:p>
      <w:pPr>
        <w:pStyle w:val="ListNumber"/>
      </w:pPr>
      <w:r>
        <w:rPr>
          <w:b/>
        </w:rPr>
        <w:t>BICB - BIIC BN - Banque internationale pour le commerce du benin</w:t>
      </w:r>
      <w:r>
        <w:t xml:space="preserve"> | Prix: 8560 FCFA | </w:t>
      </w:r>
      <w:r>
        <w:rPr>
          <w:b/>
          <w:color w:val="008000"/>
        </w:rPr>
        <w:t>ACHAT</w:t>
      </w:r>
      <w:r>
        <w:t xml:space="preserve"> | Confiance: Élevée | Risque: Moyen</w:t>
      </w:r>
    </w:p>
    <w:p>
      <w:pPr>
        <w:pStyle w:val="ListNumber"/>
      </w:pPr>
      <w:r>
        <w:rPr>
          <w:b/>
        </w:rPr>
        <w:t>BICC - BICI CI - Banque internationale pour le commerce et l'industrie de la Côte d'Ivoire</w:t>
      </w:r>
      <w:r>
        <w:t xml:space="preserve"> | Prix: 34895 FCFA | </w:t>
      </w:r>
      <w:r>
        <w:rPr>
          <w:b/>
          <w:color w:val="008000"/>
        </w:rPr>
        <w:t>ACHAT</w:t>
      </w:r>
      <w:r>
        <w:t xml:space="preserve"> | Confiance: Élevée | Risque: Moyen</w:t>
      </w:r>
    </w:p>
    <w:p>
      <w:pPr>
        <w:pStyle w:val="ListNumber"/>
      </w:pPr>
      <w:r>
        <w:rPr>
          <w:b/>
        </w:rPr>
        <w:t>BNBC - BNBC - BERNABE CI</w:t>
      </w:r>
      <w:r>
        <w:t xml:space="preserve"> | Prix: 1990 FCFA | </w:t>
      </w:r>
      <w:r>
        <w:rPr>
          <w:b/>
          <w:color w:val="008000"/>
        </w:rPr>
        <w:t>ACHAT</w:t>
      </w:r>
      <w:r>
        <w:t xml:space="preserve"> | Confiance: Moyen | Risque: Faible</w:t>
      </w:r>
    </w:p>
    <w:p>
      <w:pPr>
        <w:pStyle w:val="ListNumber"/>
      </w:pPr>
      <w:r>
        <w:rPr>
          <w:b/>
        </w:rPr>
        <w:t>BOAB - BANK OF AFRICA BENIN</w:t>
      </w:r>
      <w:r>
        <w:t xml:space="preserve"> | Prix: 9400 FCFA | </w:t>
      </w:r>
      <w:r>
        <w:rPr>
          <w:b/>
          <w:color w:val="008000"/>
        </w:rPr>
        <w:t>ACHAT</w:t>
      </w:r>
      <w:r>
        <w:t xml:space="preserve"> | Confiance: Moyen | Risque: Faible</w:t>
      </w:r>
    </w:p>
    <w:p>
      <w:pPr>
        <w:pStyle w:val="ListNumber"/>
      </w:pPr>
      <w:r>
        <w:rPr>
          <w:b/>
        </w:rPr>
        <w:t>BOABF - BANK OF AFRICA BURKINA FASO</w:t>
      </w:r>
      <w:r>
        <w:t xml:space="preserve"> | Prix: 8190 FCFA | </w:t>
      </w:r>
      <w:r>
        <w:rPr>
          <w:b/>
          <w:color w:val="008000"/>
        </w:rPr>
        <w:t>ACHAT</w:t>
      </w:r>
      <w:r>
        <w:t xml:space="preserve"> | Confiance: Moyen | Risque: Moyen</w:t>
      </w:r>
    </w:p>
    <w:p>
      <w:pPr>
        <w:pStyle w:val="ListNumber"/>
      </w:pPr>
      <w:r>
        <w:rPr>
          <w:b/>
        </w:rPr>
        <w:t>BOAC - BANK OF AFRICA COTE D'IVOIRE</w:t>
      </w:r>
      <w:r>
        <w:t xml:space="preserve"> | Prix: 11600 FCFA | </w:t>
      </w:r>
      <w:r>
        <w:rPr>
          <w:b/>
          <w:color w:val="008000"/>
        </w:rPr>
        <w:t>ACHAT</w:t>
      </w:r>
      <w:r>
        <w:t xml:space="preserve"> | Confiance: Moyen | Risque: Moyen</w:t>
      </w:r>
    </w:p>
    <w:p>
      <w:pPr>
        <w:pStyle w:val="ListNumber"/>
      </w:pPr>
      <w:r>
        <w:rPr>
          <w:b/>
        </w:rPr>
        <w:t>BOAM - BANK OF AFRICA MALI</w:t>
      </w:r>
      <w:r>
        <w:t xml:space="preserve"> | Prix: 5995 FCFA | </w:t>
      </w:r>
      <w:r>
        <w:rPr>
          <w:b/>
          <w:color w:val="008000"/>
        </w:rPr>
        <w:t>ACHAT</w:t>
      </w:r>
      <w:r>
        <w:t xml:space="preserve"> | Confiance: Moyen | Risque: Moyen</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CFAC - CFAC - CFAO MOTORS CI</w:t>
      </w:r>
      <w:r>
        <w:t xml:space="preserve"> | Prix: 1600 FCFA | </w:t>
      </w:r>
      <w:r>
        <w:rPr>
          <w:b/>
          <w:color w:val="C00000"/>
        </w:rPr>
        <w:t>CONSERVER</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72.95%</w:t>
      </w:r>
      <w:r>
        <w:t xml:space="preserve">  |  </w:t>
      </w:r>
      <w:r>
        <w:rPr>
          <w:b/>
        </w:rPr>
        <w:t xml:space="preserve">vs BRVM Composite: </w:t>
      </w:r>
      <w:r>
        <w:rPr>
          <w:b/>
          <w:color w:val="008000"/>
        </w:rPr>
        <w:t>+37.07%  🟢 Surperformance</w:t>
      </w:r>
      <w:r>
        <w:br/>
      </w:r>
      <w:r>
        <w:rPr>
          <w:b/>
        </w:rPr>
        <w:t xml:space="preserve">Sentiment général: </w:t>
      </w:r>
      <w:r>
        <w:t xml:space="preserve">ACHAT  |  </w:t>
      </w:r>
      <w:r>
        <w:rPr>
          <w:b/>
        </w:rPr>
        <w:t xml:space="preserve">Risque moyen: </w:t>
      </w:r>
      <w:r>
        <w:t xml:space="preserve">Moyen  |  </w:t>
      </w:r>
      <w:r>
        <w:rPr>
          <w:b/>
        </w:rPr>
        <w:t xml:space="preserve">Prix moyen: </w:t>
      </w:r>
      <w:r>
        <w:t>9720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41.04%</w:t>
      </w:r>
      <w:r>
        <w:t xml:space="preserve">  |  </w:t>
      </w:r>
      <w:r>
        <w:rPr>
          <w:b/>
        </w:rPr>
        <w:t xml:space="preserve">vs BRVM Composite: </w:t>
      </w:r>
      <w:r>
        <w:rPr>
          <w:b/>
          <w:color w:val="008000"/>
        </w:rPr>
        <w:t>+5.16%  🟢 Surperformance</w:t>
      </w:r>
      <w:r>
        <w:br/>
      </w:r>
      <w:r>
        <w:rPr>
          <w:b/>
        </w:rPr>
        <w:t xml:space="preserve">Sentiment général: </w:t>
      </w:r>
      <w:r>
        <w:t xml:space="preserve">ACHAT  |  </w:t>
      </w:r>
      <w:r>
        <w:rPr>
          <w:b/>
        </w:rPr>
        <w:t xml:space="preserve">Risque moyen: </w:t>
      </w:r>
      <w:r>
        <w:t xml:space="preserve">Moyen  |  </w:t>
      </w:r>
      <w:r>
        <w:rPr>
          <w:b/>
        </w:rPr>
        <w:t xml:space="preserve">Prix moyen: </w:t>
      </w:r>
      <w:r>
        <w:t>13677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33.69%</w:t>
      </w:r>
      <w:r>
        <w:t xml:space="preserve">  |  </w:t>
      </w:r>
      <w:r>
        <w:rPr>
          <w:b/>
        </w:rPr>
        <w:t xml:space="preserve">vs BRVM Composite: </w:t>
      </w:r>
      <w:r>
        <w:rPr>
          <w:b/>
          <w:color w:val="C00000"/>
        </w:rPr>
        <w:t>-2.18%  🔴 Sous-performance</w:t>
      </w:r>
      <w:r>
        <w:br/>
      </w:r>
      <w:r>
        <w:rPr>
          <w:b/>
        </w:rPr>
        <w:t xml:space="preserve">Sentiment général: </w:t>
      </w:r>
      <w:r>
        <w:t xml:space="preserve">ACHAT  |  </w:t>
      </w:r>
      <w:r>
        <w:rPr>
          <w:b/>
        </w:rPr>
        <w:t xml:space="preserve">Risque moyen: </w:t>
      </w:r>
      <w:r>
        <w:t xml:space="preserve">Moyen  |  </w:t>
      </w:r>
      <w:r>
        <w:rPr>
          <w:b/>
        </w:rPr>
        <w:t xml:space="preserve">Prix moyen: </w:t>
      </w:r>
      <w:r>
        <w:t>22583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27.39%</w:t>
      </w:r>
      <w:r>
        <w:t xml:space="preserve">  |  </w:t>
      </w:r>
      <w:r>
        <w:rPr>
          <w:b/>
        </w:rPr>
        <w:t xml:space="preserve">vs BRVM Composite: </w:t>
      </w:r>
      <w:r>
        <w:rPr>
          <w:b/>
          <w:color w:val="C00000"/>
        </w:rPr>
        <w:t>-8.49%  🔴 Sous-performance</w:t>
      </w:r>
      <w:r>
        <w:br/>
      </w:r>
      <w:r>
        <w:rPr>
          <w:b/>
        </w:rPr>
        <w:t xml:space="preserve">Sentiment général: </w:t>
      </w:r>
      <w:r>
        <w:t xml:space="preserve">ACHAT  |  </w:t>
      </w:r>
      <w:r>
        <w:rPr>
          <w:b/>
        </w:rPr>
        <w:t xml:space="preserve">Risque moyen: </w:t>
      </w:r>
      <w:r>
        <w:t xml:space="preserve">Faible  |  </w:t>
      </w:r>
      <w:r>
        <w:rPr>
          <w:b/>
        </w:rPr>
        <w:t xml:space="preserve">Prix moyen: </w:t>
      </w:r>
      <w:r>
        <w:t>6420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Services Financiers</w:t>
      </w:r>
    </w:p>
    <w:p>
      <w:r>
        <w:rPr>
          <w:b/>
        </w:rPr>
        <w:t xml:space="preserve">Nombre de sociétés: </w:t>
      </w:r>
      <w:r>
        <w:t xml:space="preserve">1  |  </w:t>
      </w:r>
      <w:r>
        <w:rPr>
          <w:b/>
        </w:rPr>
        <w:t xml:space="preserve">Performance moyenne (100j): </w:t>
      </w:r>
      <w:r>
        <w:rPr>
          <w:color w:val="008000"/>
        </w:rPr>
        <w:t>24.05%</w:t>
      </w:r>
      <w:r>
        <w:t xml:space="preserve">  |  </w:t>
      </w:r>
      <w:r>
        <w:rPr>
          <w:b/>
        </w:rPr>
        <w:t xml:space="preserve">vs BRVM Composite: </w:t>
      </w:r>
      <w:r>
        <w:rPr>
          <w:b/>
          <w:color w:val="C00000"/>
        </w:rPr>
        <w:t>-11.83%  🔴 Sous-performance</w:t>
      </w:r>
      <w:r>
        <w:br/>
      </w:r>
      <w:r>
        <w:rPr>
          <w:b/>
        </w:rPr>
        <w:t xml:space="preserve">Sentiment général: </w:t>
      </w:r>
      <w:r>
        <w:t xml:space="preserve">ACHAT  |  </w:t>
      </w:r>
      <w:r>
        <w:rPr>
          <w:b/>
        </w:rPr>
        <w:t xml:space="preserve">Risque moyen: </w:t>
      </w:r>
      <w:r>
        <w:t xml:space="preserve">Faible  |  </w:t>
      </w:r>
      <w:r>
        <w:rPr>
          <w:b/>
        </w:rPr>
        <w:t xml:space="preserve">Prix moyen: </w:t>
      </w:r>
      <w:r>
        <w:t>9000 FCFA</w:t>
        <w:br/>
      </w:r>
      <w:r>
        <w:rPr>
          <w:b/>
        </w:rPr>
        <w:br/>
        <w:t xml:space="preserve">Sociétés: </w:t>
      </w:r>
      <w:r>
        <w:t>BBGC (BRIDGE BANK GROUP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21.73%</w:t>
      </w:r>
      <w:r>
        <w:t xml:space="preserve">  |  </w:t>
      </w:r>
      <w:r>
        <w:rPr>
          <w:b/>
        </w:rPr>
        <w:t xml:space="preserve">vs BRVM Composite: </w:t>
      </w:r>
      <w:r>
        <w:rPr>
          <w:b/>
          <w:color w:val="C00000"/>
        </w:rPr>
        <w:t>-14.15%  🔴 Sous-performance</w:t>
      </w:r>
      <w:r>
        <w:br/>
      </w:r>
      <w:r>
        <w:rPr>
          <w:b/>
        </w:rPr>
        <w:t xml:space="preserve">Sentiment général: </w:t>
      </w:r>
      <w:r>
        <w:t xml:space="preserve">ACHAT  |  </w:t>
      </w:r>
      <w:r>
        <w:rPr>
          <w:b/>
        </w:rPr>
        <w:t xml:space="preserve">Risque moyen: </w:t>
      </w:r>
      <w:r>
        <w:t xml:space="preserve">Faible  |  </w:t>
      </w:r>
      <w:r>
        <w:rPr>
          <w:b/>
        </w:rPr>
        <w:t xml:space="preserve">Prix moyen: </w:t>
      </w:r>
      <w:r>
        <w:t>2826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19.88%</w:t>
      </w:r>
      <w:r>
        <w:t xml:space="preserve">  |  </w:t>
      </w:r>
      <w:r>
        <w:rPr>
          <w:b/>
        </w:rPr>
        <w:t xml:space="preserve">vs BRVM Composite: </w:t>
      </w:r>
      <w:r>
        <w:rPr>
          <w:b/>
          <w:color w:val="C00000"/>
        </w:rPr>
        <w:t>-16.00%  🔴 Sous-performance</w:t>
      </w:r>
      <w:r>
        <w:br/>
      </w:r>
      <w:r>
        <w:rPr>
          <w:b/>
        </w:rPr>
        <w:t xml:space="preserve">Sentiment général: </w:t>
      </w:r>
      <w:r>
        <w:t xml:space="preserve">ACHAT  |  </w:t>
      </w:r>
      <w:r>
        <w:rPr>
          <w:b/>
        </w:rPr>
        <w:t xml:space="preserve">Risque moyen: </w:t>
      </w:r>
      <w:r>
        <w:t xml:space="preserve">Faible  |  </w:t>
      </w:r>
      <w:r>
        <w:rPr>
          <w:b/>
        </w:rPr>
        <w:t xml:space="preserve">Prix moyen: </w:t>
      </w:r>
      <w:r>
        <w:t>17537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INDUSTRIELS</w:t>
      </w:r>
    </w:p>
    <w:p>
      <w:r>
        <w:rPr>
          <w:b/>
        </w:rPr>
        <w:t xml:space="preserve">Nombre de sociétés: </w:t>
      </w:r>
      <w:r>
        <w:t xml:space="preserve">6  |  </w:t>
      </w:r>
      <w:r>
        <w:rPr>
          <w:b/>
        </w:rPr>
        <w:t xml:space="preserve">Performance moyenne (100j): </w:t>
      </w:r>
      <w:r>
        <w:rPr>
          <w:color w:val="008000"/>
        </w:rPr>
        <w:t>1.98%</w:t>
      </w:r>
      <w:r>
        <w:t xml:space="preserve">  |  </w:t>
      </w:r>
      <w:r>
        <w:rPr>
          <w:b/>
        </w:rPr>
        <w:t xml:space="preserve">vs BRVM Composite: </w:t>
      </w:r>
      <w:r>
        <w:rPr>
          <w:b/>
          <w:color w:val="C00000"/>
        </w:rPr>
        <w:t>-33.90%  🔴 Sous-performance</w:t>
      </w:r>
      <w:r>
        <w:br/>
      </w:r>
      <w:r>
        <w:rPr>
          <w:b/>
        </w:rPr>
        <w:t xml:space="preserve">Sentiment général: </w:t>
      </w:r>
      <w:r>
        <w:t xml:space="preserve">ACHAT  |  </w:t>
      </w:r>
      <w:r>
        <w:rPr>
          <w:b/>
        </w:rPr>
        <w:t xml:space="preserve">Risque moyen: </w:t>
      </w:r>
      <w:r>
        <w:t xml:space="preserve">Faible  |  </w:t>
      </w:r>
      <w:r>
        <w:rPr>
          <w:b/>
        </w:rPr>
        <w:t xml:space="preserve">Prix moyen: </w:t>
      </w:r>
      <w:r>
        <w:t>2403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ABJC, BICB, BICC, CIEC, NEIC, NSBC, ONTBF, PRSC, SGBC, SHEC, SLBC, TTLS</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BBGC, BNBC, BOAB, BOABF, BOAC, BOAM, BOAN, BOAS, CABC, CBIBF, ECOC, ETIT, FTSC, ORAC, ORGT, SDCC, SDSC, SEMC, SMBC, SNTS, SPHC, TTLC, UNLC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LNBB, NTLC, PALC, SAFC, SCRC, SIBC, SICC, SIVC, SOGC, STAC, STBC, UNXC</w:t>
            </w:r>
          </w:p>
        </w:tc>
        <w:tc>
          <w:tcPr>
            <w:tcW w:type="dxa" w:w="2160"/>
            <w:shd w:fill="FFC7CE" w:val="clear"/>
          </w:tcPr>
          <w:p>
            <w:pPr>
              <w:spacing w:before="40" w:after="40"/>
            </w:pPr>
            <w:r/>
            <w:r>
              <w:rPr>
                <w:b w:val="0"/>
                <w:sz w:val="16"/>
              </w:rPr>
              <w:t>CFAC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1941660</w:t>
            </w:r>
          </w:p>
        </w:tc>
        <w:tc>
          <w:tcPr>
            <w:tcW w:type="dxa" w:w="1728"/>
          </w:tcPr>
          <w:p>
            <w:r>
              <w:t>131710521 FCFA</w:t>
            </w:r>
          </w:p>
        </w:tc>
        <w:tc>
          <w:tcPr>
            <w:tcW w:type="dxa" w:w="1728"/>
          </w:tcPr>
          <w:p>
            <w:r>
              <w:t>137.93%</w:t>
            </w:r>
          </w:p>
        </w:tc>
        <w:tc>
          <w:tcPr>
            <w:tcW w:type="dxa" w:w="1728"/>
          </w:tcPr>
          <w:p>
            <w:r>
              <w:t>ACHAT</w:t>
            </w:r>
          </w:p>
        </w:tc>
      </w:tr>
      <w:tr>
        <w:tc>
          <w:tcPr>
            <w:tcW w:type="dxa" w:w="1728"/>
          </w:tcPr>
          <w:p>
            <w:r>
              <w:t>SNTS (SNTS - SONATEL SN)</w:t>
            </w:r>
          </w:p>
        </w:tc>
        <w:tc>
          <w:tcPr>
            <w:tcW w:type="dxa" w:w="1728"/>
          </w:tcPr>
          <w:p>
            <w:r>
              <w:t>22559</w:t>
            </w:r>
          </w:p>
        </w:tc>
        <w:tc>
          <w:tcPr>
            <w:tcW w:type="dxa" w:w="1728"/>
          </w:tcPr>
          <w:p>
            <w:r>
              <w:t>917720865 FCFA</w:t>
            </w:r>
          </w:p>
        </w:tc>
        <w:tc>
          <w:tcPr>
            <w:tcW w:type="dxa" w:w="1728"/>
          </w:tcPr>
          <w:p>
            <w:r>
              <w:t>48.77%</w:t>
            </w:r>
          </w:p>
        </w:tc>
        <w:tc>
          <w:tcPr>
            <w:tcW w:type="dxa" w:w="1728"/>
          </w:tcPr>
          <w:p>
            <w:r>
              <w:t>ACHAT</w:t>
            </w:r>
          </w:p>
        </w:tc>
      </w:tr>
      <w:tr>
        <w:tc>
          <w:tcPr>
            <w:tcW w:type="dxa" w:w="1728"/>
          </w:tcPr>
          <w:p>
            <w:r>
              <w:t>SIBC (SIBC - SOCIETE IVOIRIENNE DE BANQUE)</w:t>
            </w:r>
          </w:p>
        </w:tc>
        <w:tc>
          <w:tcPr>
            <w:tcW w:type="dxa" w:w="1728"/>
          </w:tcPr>
          <w:p>
            <w:r>
              <w:t>16100</w:t>
            </w:r>
          </w:p>
        </w:tc>
        <w:tc>
          <w:tcPr>
            <w:tcW w:type="dxa" w:w="1728"/>
          </w:tcPr>
          <w:p>
            <w:r>
              <w:t>146352318 FCFA</w:t>
            </w:r>
          </w:p>
        </w:tc>
        <w:tc>
          <w:tcPr>
            <w:tcW w:type="dxa" w:w="1728"/>
          </w:tcPr>
          <w:p>
            <w:r>
              <w:t>29.79%</w:t>
            </w:r>
          </w:p>
        </w:tc>
        <w:tc>
          <w:tcPr>
            <w:tcW w:type="dxa" w:w="1728"/>
          </w:tcPr>
          <w:p>
            <w:r>
              <w:t>ACHAT</w:t>
            </w:r>
          </w:p>
        </w:tc>
      </w:tr>
      <w:tr>
        <w:tc>
          <w:tcPr>
            <w:tcW w:type="dxa" w:w="1728"/>
          </w:tcPr>
          <w:p>
            <w:r>
              <w:t>SDSC (SDSC - AFRICA GLOBAL LOGISTICS CI)</w:t>
            </w:r>
          </w:p>
        </w:tc>
        <w:tc>
          <w:tcPr>
            <w:tcW w:type="dxa" w:w="1728"/>
          </w:tcPr>
          <w:p>
            <w:r>
              <w:t>15614</w:t>
            </w:r>
          </w:p>
        </w:tc>
        <w:tc>
          <w:tcPr>
            <w:tcW w:type="dxa" w:w="1728"/>
          </w:tcPr>
          <w:p>
            <w:r>
              <w:t>45705934 FCFA</w:t>
            </w:r>
          </w:p>
        </w:tc>
        <w:tc>
          <w:tcPr>
            <w:tcW w:type="dxa" w:w="1728"/>
          </w:tcPr>
          <w:p>
            <w:r>
              <w:t>78.93%</w:t>
            </w:r>
          </w:p>
        </w:tc>
        <w:tc>
          <w:tcPr>
            <w:tcW w:type="dxa" w:w="1728"/>
          </w:tcPr>
          <w:p>
            <w:r>
              <w:t>ACHAT</w:t>
            </w:r>
          </w:p>
        </w:tc>
      </w:tr>
      <w:tr>
        <w:tc>
          <w:tcPr>
            <w:tcW w:type="dxa" w:w="1728"/>
          </w:tcPr>
          <w:p>
            <w:r>
              <w:t>BBGC (BRIDGE BANK GROUP COTE D'IVOIRE)</w:t>
            </w:r>
          </w:p>
        </w:tc>
        <w:tc>
          <w:tcPr>
            <w:tcW w:type="dxa" w:w="1728"/>
          </w:tcPr>
          <w:p>
            <w:r>
              <w:t>15571</w:t>
            </w:r>
          </w:p>
        </w:tc>
        <w:tc>
          <w:tcPr>
            <w:tcW w:type="dxa" w:w="1728"/>
          </w:tcPr>
          <w:p>
            <w:r>
              <w:t>125378421 FCFA</w:t>
            </w:r>
          </w:p>
        </w:tc>
        <w:tc>
          <w:tcPr>
            <w:tcW w:type="dxa" w:w="1728"/>
          </w:tcPr>
          <w:p>
            <w:r>
              <w:t>24.05%</w:t>
            </w:r>
          </w:p>
        </w:tc>
        <w:tc>
          <w:tcPr>
            <w:tcW w:type="dxa" w:w="1728"/>
          </w:tcPr>
          <w:p>
            <w:r>
              <w:t>ACHAT</w:t>
            </w:r>
          </w:p>
        </w:tc>
      </w:tr>
      <w:tr>
        <w:tc>
          <w:tcPr>
            <w:tcW w:type="dxa" w:w="1728"/>
          </w:tcPr>
          <w:p>
            <w:r>
              <w:t>BOAS (BANK OF AFRICA SENEGAL)</w:t>
            </w:r>
          </w:p>
        </w:tc>
        <w:tc>
          <w:tcPr>
            <w:tcW w:type="dxa" w:w="1728"/>
          </w:tcPr>
          <w:p>
            <w:r>
              <w:t>14669</w:t>
            </w:r>
          </w:p>
        </w:tc>
        <w:tc>
          <w:tcPr>
            <w:tcW w:type="dxa" w:w="1728"/>
          </w:tcPr>
          <w:p>
            <w:r>
              <w:t>119515435 FCFA</w:t>
            </w:r>
          </w:p>
        </w:tc>
        <w:tc>
          <w:tcPr>
            <w:tcW w:type="dxa" w:w="1728"/>
          </w:tcPr>
          <w:p>
            <w:r>
              <w:t>12.73%</w:t>
            </w:r>
          </w:p>
        </w:tc>
        <w:tc>
          <w:tcPr>
            <w:tcW w:type="dxa" w:w="1728"/>
          </w:tcPr>
          <w:p>
            <w:r>
              <w:t>ACHAT</w:t>
            </w:r>
          </w:p>
        </w:tc>
      </w:tr>
      <w:tr>
        <w:tc>
          <w:tcPr>
            <w:tcW w:type="dxa" w:w="1728"/>
          </w:tcPr>
          <w:p>
            <w:r>
              <w:t>UNXC (UNXC - UNIWAX COTE D'IVOIRE)</w:t>
            </w:r>
          </w:p>
        </w:tc>
        <w:tc>
          <w:tcPr>
            <w:tcW w:type="dxa" w:w="1728"/>
          </w:tcPr>
          <w:p>
            <w:r>
              <w:t>12320</w:t>
            </w:r>
          </w:p>
        </w:tc>
        <w:tc>
          <w:tcPr>
            <w:tcW w:type="dxa" w:w="1728"/>
          </w:tcPr>
          <w:p>
            <w:r>
              <w:t>28954155 FCFA</w:t>
            </w:r>
          </w:p>
        </w:tc>
        <w:tc>
          <w:tcPr>
            <w:tcW w:type="dxa" w:w="1728"/>
          </w:tcPr>
          <w:p>
            <w:r>
              <w:t>31.10%</w:t>
            </w:r>
          </w:p>
        </w:tc>
        <w:tc>
          <w:tcPr>
            <w:tcW w:type="dxa" w:w="1728"/>
          </w:tcPr>
          <w:p>
            <w:r>
              <w:t>ACHAT</w:t>
            </w:r>
          </w:p>
        </w:tc>
      </w:tr>
      <w:tr>
        <w:tc>
          <w:tcPr>
            <w:tcW w:type="dxa" w:w="1728"/>
          </w:tcPr>
          <w:p>
            <w:r>
              <w:t>SAFC (SAFCA CI)</w:t>
            </w:r>
          </w:p>
        </w:tc>
        <w:tc>
          <w:tcPr>
            <w:tcW w:type="dxa" w:w="1728"/>
          </w:tcPr>
          <w:p>
            <w:r>
              <w:t>12265</w:t>
            </w:r>
          </w:p>
        </w:tc>
        <w:tc>
          <w:tcPr>
            <w:tcW w:type="dxa" w:w="1728"/>
          </w:tcPr>
          <w:p>
            <w:r>
              <w:t>64992482 FCFA</w:t>
            </w:r>
          </w:p>
        </w:tc>
        <w:tc>
          <w:tcPr>
            <w:tcW w:type="dxa" w:w="1728"/>
          </w:tcPr>
          <w:p>
            <w:r>
              <w:t>37.14%</w:t>
            </w:r>
          </w:p>
        </w:tc>
        <w:tc>
          <w:tcPr>
            <w:tcW w:type="dxa" w:w="1728"/>
          </w:tcPr>
          <w:p>
            <w:r>
              <w:t>ACHAT</w:t>
            </w:r>
          </w:p>
        </w:tc>
      </w:tr>
      <w:tr>
        <w:tc>
          <w:tcPr>
            <w:tcW w:type="dxa" w:w="1728"/>
          </w:tcPr>
          <w:p>
            <w:r>
              <w:t>BOAC (BANK OF AFRICA COTE D'IVOIRE)</w:t>
            </w:r>
          </w:p>
        </w:tc>
        <w:tc>
          <w:tcPr>
            <w:tcW w:type="dxa" w:w="1728"/>
          </w:tcPr>
          <w:p>
            <w:r>
              <w:t>12169</w:t>
            </w:r>
          </w:p>
        </w:tc>
        <w:tc>
          <w:tcPr>
            <w:tcW w:type="dxa" w:w="1728"/>
          </w:tcPr>
          <w:p>
            <w:r>
              <w:t>144422154 FCFA</w:t>
            </w:r>
          </w:p>
        </w:tc>
        <w:tc>
          <w:tcPr>
            <w:tcW w:type="dxa" w:w="1728"/>
          </w:tcPr>
          <w:p>
            <w:r>
              <w:t>32.04%</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PALC (PALC - PALM COTE D'IVOIRE)</w:t>
            </w:r>
          </w:p>
        </w:tc>
        <w:tc>
          <w:tcPr>
            <w:tcW w:type="dxa" w:w="1728"/>
          </w:tcPr>
          <w:p>
            <w:r>
              <w:t>3985</w:t>
            </w:r>
          </w:p>
        </w:tc>
        <w:tc>
          <w:tcPr>
            <w:tcW w:type="dxa" w:w="1728"/>
          </w:tcPr>
          <w:p>
            <w:r>
              <w:t>33664986 FCFA</w:t>
            </w:r>
          </w:p>
        </w:tc>
        <w:tc>
          <w:tcPr>
            <w:tcW w:type="dxa" w:w="1728"/>
          </w:tcPr>
          <w:p>
            <w:r>
              <w:t>5.77%</w:t>
            </w:r>
          </w:p>
        </w:tc>
        <w:tc>
          <w:tcPr>
            <w:tcW w:type="dxa" w:w="1728"/>
          </w:tcPr>
          <w:p>
            <w:r>
              <w:t>ACHAT</w:t>
            </w:r>
          </w:p>
        </w:tc>
      </w:tr>
      <w:tr>
        <w:tc>
          <w:tcPr>
            <w:tcW w:type="dxa" w:w="1728"/>
          </w:tcPr>
          <w:p>
            <w:r>
              <w:t>ABJC (ABJC - SERVAIR ABIDJAN CI)</w:t>
            </w:r>
          </w:p>
        </w:tc>
        <w:tc>
          <w:tcPr>
            <w:tcW w:type="dxa" w:w="1728"/>
          </w:tcPr>
          <w:p>
            <w:r>
              <w:t>3912</w:t>
            </w:r>
          </w:p>
        </w:tc>
        <w:tc>
          <w:tcPr>
            <w:tcW w:type="dxa" w:w="1728"/>
          </w:tcPr>
          <w:p>
            <w:r>
              <w:t>15299854 FCFA</w:t>
            </w:r>
          </w:p>
        </w:tc>
        <w:tc>
          <w:tcPr>
            <w:tcW w:type="dxa" w:w="1728"/>
          </w:tcPr>
          <w:p>
            <w:r>
              <w:t>21.06%</w:t>
            </w:r>
          </w:p>
        </w:tc>
        <w:tc>
          <w:tcPr>
            <w:tcW w:type="dxa" w:w="1728"/>
          </w:tcPr>
          <w:p>
            <w:r>
              <w:t>ACHAT</w:t>
            </w:r>
          </w:p>
        </w:tc>
      </w:tr>
      <w:tr>
        <w:tc>
          <w:tcPr>
            <w:tcW w:type="dxa" w:w="1728"/>
          </w:tcPr>
          <w:p>
            <w:r>
              <w:t>SOGC (SOGC - Société des caoutchoucs de Grand-Béréby)</w:t>
            </w:r>
          </w:p>
        </w:tc>
        <w:tc>
          <w:tcPr>
            <w:tcW w:type="dxa" w:w="1728"/>
          </w:tcPr>
          <w:p>
            <w:r>
              <w:t>3782</w:t>
            </w:r>
          </w:p>
        </w:tc>
        <w:tc>
          <w:tcPr>
            <w:tcW w:type="dxa" w:w="1728"/>
          </w:tcPr>
          <w:p>
            <w:r>
              <w:t>30758310 FCFA</w:t>
            </w:r>
          </w:p>
        </w:tc>
        <w:tc>
          <w:tcPr>
            <w:tcW w:type="dxa" w:w="1728"/>
          </w:tcPr>
          <w:p>
            <w:r>
              <w:t>5.93%</w:t>
            </w:r>
          </w:p>
        </w:tc>
        <w:tc>
          <w:tcPr>
            <w:tcW w:type="dxa" w:w="1728"/>
          </w:tcPr>
          <w:p>
            <w:r>
              <w:t>ACHAT</w:t>
            </w:r>
          </w:p>
        </w:tc>
      </w:tr>
      <w:tr>
        <w:tc>
          <w:tcPr>
            <w:tcW w:type="dxa" w:w="1728"/>
          </w:tcPr>
          <w:p>
            <w:r>
              <w:t>BNBC (BNBC - BERNABE CI)</w:t>
            </w:r>
          </w:p>
        </w:tc>
        <w:tc>
          <w:tcPr>
            <w:tcW w:type="dxa" w:w="1728"/>
          </w:tcPr>
          <w:p>
            <w:r>
              <w:t>3760</w:t>
            </w:r>
          </w:p>
        </w:tc>
        <w:tc>
          <w:tcPr>
            <w:tcW w:type="dxa" w:w="1728"/>
          </w:tcPr>
          <w:p>
            <w:r>
              <w:t>8096430 FCFA</w:t>
            </w:r>
          </w:p>
        </w:tc>
        <w:tc>
          <w:tcPr>
            <w:tcW w:type="dxa" w:w="1728"/>
          </w:tcPr>
          <w:p>
            <w:r>
              <w:t>47.41%</w:t>
            </w:r>
          </w:p>
        </w:tc>
        <w:tc>
          <w:tcPr>
            <w:tcW w:type="dxa" w:w="1728"/>
          </w:tcPr>
          <w:p>
            <w:r>
              <w:t>ACHAT</w:t>
            </w:r>
          </w:p>
        </w:tc>
      </w:tr>
      <w:tr>
        <w:tc>
          <w:tcPr>
            <w:tcW w:type="dxa" w:w="1728"/>
          </w:tcPr>
          <w:p>
            <w:r>
              <w:t>ECOC (ECOC - ECOBANK COTE D'IVOIRE)</w:t>
            </w:r>
          </w:p>
        </w:tc>
        <w:tc>
          <w:tcPr>
            <w:tcW w:type="dxa" w:w="1728"/>
          </w:tcPr>
          <w:p>
            <w:r>
              <w:t>3269</w:t>
            </w:r>
          </w:p>
        </w:tc>
        <w:tc>
          <w:tcPr>
            <w:tcW w:type="dxa" w:w="1728"/>
          </w:tcPr>
          <w:p>
            <w:r>
              <w:t>55713409 FCFA</w:t>
            </w:r>
          </w:p>
        </w:tc>
        <w:tc>
          <w:tcPr>
            <w:tcW w:type="dxa" w:w="1728"/>
          </w:tcPr>
          <w:p>
            <w:r>
              <w:t>4.32%</w:t>
            </w:r>
          </w:p>
        </w:tc>
        <w:tc>
          <w:tcPr>
            <w:tcW w:type="dxa" w:w="1728"/>
          </w:tcPr>
          <w:p>
            <w:r>
              <w:t>ACHAT</w:t>
            </w:r>
          </w:p>
        </w:tc>
      </w:tr>
      <w:tr>
        <w:tc>
          <w:tcPr>
            <w:tcW w:type="dxa" w:w="1728"/>
          </w:tcPr>
          <w:p>
            <w:r>
              <w:t>CFAC (CFAC - CFAO MOTORS CI)</w:t>
            </w:r>
          </w:p>
        </w:tc>
        <w:tc>
          <w:tcPr>
            <w:tcW w:type="dxa" w:w="1728"/>
          </w:tcPr>
          <w:p>
            <w:r>
              <w:t>3146</w:t>
            </w:r>
          </w:p>
        </w:tc>
        <w:tc>
          <w:tcPr>
            <w:tcW w:type="dxa" w:w="1728"/>
          </w:tcPr>
          <w:p>
            <w:r>
              <w:t>5298015 FCFA</w:t>
            </w:r>
          </w:p>
        </w:tc>
        <w:tc>
          <w:tcPr>
            <w:tcW w:type="dxa" w:w="1728"/>
          </w:tcPr>
          <w:p>
            <w:r>
              <w:t>14.29%</w:t>
            </w:r>
          </w:p>
        </w:tc>
        <w:tc>
          <w:tcPr>
            <w:tcW w:type="dxa" w:w="1728"/>
          </w:tcPr>
          <w:p>
            <w:r>
              <w:t>CONSERVER</w:t>
            </w:r>
          </w:p>
        </w:tc>
      </w:tr>
      <w:tr>
        <w:tc>
          <w:tcPr>
            <w:tcW w:type="dxa" w:w="1728"/>
          </w:tcPr>
          <w:p>
            <w:r>
              <w:t>STBC (STBC - SITAB COTE D'IVOIRE)</w:t>
            </w:r>
          </w:p>
        </w:tc>
        <w:tc>
          <w:tcPr>
            <w:tcW w:type="dxa" w:w="1728"/>
          </w:tcPr>
          <w:p>
            <w:r>
              <w:t>3002</w:t>
            </w:r>
          </w:p>
        </w:tc>
        <w:tc>
          <w:tcPr>
            <w:tcW w:type="dxa" w:w="1728"/>
          </w:tcPr>
          <w:p>
            <w:r>
              <w:t>65472102 FCFA</w:t>
            </w:r>
          </w:p>
        </w:tc>
        <w:tc>
          <w:tcPr>
            <w:tcW w:type="dxa" w:w="1728"/>
          </w:tcPr>
          <w:p>
            <w:r>
              <w:t>5.65%</w:t>
            </w:r>
          </w:p>
        </w:tc>
        <w:tc>
          <w:tcPr>
            <w:tcW w:type="dxa" w:w="1728"/>
          </w:tcPr>
          <w:p>
            <w:r>
              <w:t>ACHAT</w:t>
            </w:r>
          </w:p>
        </w:tc>
      </w:tr>
      <w:tr>
        <w:tc>
          <w:tcPr>
            <w:tcW w:type="dxa" w:w="1728"/>
          </w:tcPr>
          <w:p>
            <w:r>
              <w:t>FTSC (FTSC - FILTISAC COTE D'IVOIRE)</w:t>
            </w:r>
          </w:p>
        </w:tc>
        <w:tc>
          <w:tcPr>
            <w:tcW w:type="dxa" w:w="1728"/>
          </w:tcPr>
          <w:p>
            <w:r>
              <w:t>2937</w:t>
            </w:r>
          </w:p>
        </w:tc>
        <w:tc>
          <w:tcPr>
            <w:tcW w:type="dxa" w:w="1728"/>
          </w:tcPr>
          <w:p>
            <w:r>
              <w:t>6103482 FCFA</w:t>
            </w:r>
          </w:p>
        </w:tc>
        <w:tc>
          <w:tcPr>
            <w:tcW w:type="dxa" w:w="1728"/>
          </w:tcPr>
          <w:p>
            <w:r>
              <w:t>-9.32%</w:t>
            </w:r>
          </w:p>
        </w:tc>
        <w:tc>
          <w:tcPr>
            <w:tcW w:type="dxa" w:w="1728"/>
          </w:tcPr>
          <w:p>
            <w:r>
              <w:t>ACHAT FORT</w:t>
            </w:r>
          </w:p>
        </w:tc>
      </w:tr>
      <w:tr>
        <w:tc>
          <w:tcPr>
            <w:tcW w:type="dxa" w:w="1728"/>
          </w:tcPr>
          <w:p>
            <w:r>
              <w:t>NEIC (NEIC - NEI-CEDA CI)</w:t>
            </w:r>
          </w:p>
        </w:tc>
        <w:tc>
          <w:tcPr>
            <w:tcW w:type="dxa" w:w="1728"/>
          </w:tcPr>
          <w:p>
            <w:r>
              <w:t>2935</w:t>
            </w:r>
          </w:p>
        </w:tc>
        <w:tc>
          <w:tcPr>
            <w:tcW w:type="dxa" w:w="1728"/>
          </w:tcPr>
          <w:p>
            <w:r>
              <w:t>7721048 FCFA</w:t>
            </w:r>
          </w:p>
        </w:tc>
        <w:tc>
          <w:tcPr>
            <w:tcW w:type="dxa" w:w="1728"/>
          </w:tcPr>
          <w:p>
            <w:r>
              <w:t>34.11%</w:t>
            </w:r>
          </w:p>
        </w:tc>
        <w:tc>
          <w:tcPr>
            <w:tcW w:type="dxa" w:w="1728"/>
          </w:tcPr>
          <w:p>
            <w:r>
              <w:t>ACHAT</w:t>
            </w:r>
          </w:p>
        </w:tc>
      </w:tr>
      <w:tr>
        <w:tc>
          <w:tcPr>
            <w:tcW w:type="dxa" w:w="1728"/>
          </w:tcPr>
          <w:p>
            <w:r>
              <w:t>SDCC (SDCC - Société de Distribution d'Eau de Côte d'Ivoire)</w:t>
            </w:r>
          </w:p>
        </w:tc>
        <w:tc>
          <w:tcPr>
            <w:tcW w:type="dxa" w:w="1728"/>
          </w:tcPr>
          <w:p>
            <w:r>
              <w:t>2378</w:t>
            </w:r>
          </w:p>
        </w:tc>
        <w:tc>
          <w:tcPr>
            <w:tcW w:type="dxa" w:w="1728"/>
          </w:tcPr>
          <w:p>
            <w:r>
              <w:t>31049503 FCFA</w:t>
            </w:r>
          </w:p>
        </w:tc>
        <w:tc>
          <w:tcPr>
            <w:tcW w:type="dxa" w:w="1728"/>
          </w:tcPr>
          <w:p>
            <w:r>
              <w:t>44.33%</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LNBB - LNBB - LOTERIE NATIONALE DU BENIN</w:t>
      </w:r>
    </w:p>
    <w:p>
      <w:r>
        <w:rPr>
          <w:b/>
        </w:rPr>
        <w:t xml:space="preserve">Score de divergence: </w:t>
      </w:r>
      <w:r>
        <w:t>5/8</w:t>
        <w:br/>
      </w:r>
      <w:r>
        <w:rPr>
          <w:b/>
        </w:rPr>
        <w:t xml:space="preserve">Description: </w:t>
      </w:r>
      <w:r>
        <w:t>Signaux de vente: MM, MACD | Recommandation finale: ACHAT</w:t>
        <w:br/>
      </w:r>
    </w:p>
    <w:p/>
    <w:p>
      <w:pPr>
        <w:pStyle w:val="Heading3"/>
      </w:pPr>
      <w:r>
        <w:t>2. PALC - PALC - PALM COTE D'IVOIRE</w:t>
      </w:r>
    </w:p>
    <w:p>
      <w:r>
        <w:rPr>
          <w:b/>
        </w:rPr>
        <w:t xml:space="preserve">Score de divergence: </w:t>
      </w:r>
      <w:r>
        <w:t>5/8</w:t>
        <w:br/>
      </w:r>
      <w:r>
        <w:rPr>
          <w:b/>
        </w:rPr>
        <w:t xml:space="preserve">Description: </w:t>
      </w:r>
      <w:r>
        <w:t>Signaux de vente: MM, MACD | Recommandation finale: ACHAT</w:t>
        <w:br/>
      </w:r>
    </w:p>
    <w:p/>
    <w:p>
      <w:pPr>
        <w:pStyle w:val="Heading3"/>
      </w:pPr>
      <w:r>
        <w:t>3. SAFC - SAFCA CI</w:t>
      </w:r>
    </w:p>
    <w:p>
      <w:r>
        <w:rPr>
          <w:b/>
        </w:rPr>
        <w:t xml:space="preserve">Score de divergence: </w:t>
      </w:r>
      <w:r>
        <w:t>5/8</w:t>
        <w:br/>
      </w:r>
      <w:r>
        <w:rPr>
          <w:b/>
        </w:rPr>
        <w:t xml:space="preserve">Description: </w:t>
      </w:r>
      <w:r>
        <w:t>Signaux de vente: MM, MACD | Recommandation finale: ACHAT</w:t>
        <w:br/>
      </w:r>
    </w:p>
    <w:p/>
    <w:p>
      <w:pPr>
        <w:pStyle w:val="Heading3"/>
      </w:pPr>
      <w:r>
        <w:t>4. SIVC - SIVC - ERIUM CI (Ex AIR LIQUIDECI)</w:t>
      </w:r>
    </w:p>
    <w:p>
      <w:r>
        <w:rPr>
          <w:b/>
        </w:rPr>
        <w:t xml:space="preserve">Score de divergence: </w:t>
      </w:r>
      <w:r>
        <w:t>5/8</w:t>
        <w:br/>
      </w:r>
      <w:r>
        <w:rPr>
          <w:b/>
        </w:rPr>
        <w:t xml:space="preserve">Description: </w:t>
      </w:r>
      <w:r>
        <w:t>Signaux de vente: MM, MACD | Recommandation finale: ACHAT</w:t>
        <w:br/>
      </w:r>
    </w:p>
    <w:p/>
    <w:p>
      <w:pPr>
        <w:pStyle w:val="Heading3"/>
      </w:pPr>
      <w:r>
        <w:t>5. SOGC - SOGC - Société des caoutchoucs de Grand-Béréby</w:t>
      </w:r>
    </w:p>
    <w:p>
      <w:r>
        <w:rPr>
          <w:b/>
        </w:rPr>
        <w:t xml:space="preserve">Score de divergence: </w:t>
      </w:r>
      <w:r>
        <w:t>5/8</w:t>
        <w:br/>
      </w:r>
      <w:r>
        <w:rPr>
          <w:b/>
        </w:rPr>
        <w:t xml:space="preserve">Description: </w:t>
      </w:r>
      <w:r>
        <w:t>Signaux de vente: MM, MACD | Recommandation finale: ACHAT</w:t>
        <w:br/>
      </w:r>
    </w:p>
    <w:p/>
    <w:p>
      <w:pPr>
        <w:pStyle w:val="Heading3"/>
      </w:pPr>
      <w:r>
        <w:t>6. STAC - STAC - SETAO COTE D'IVOIRE</w:t>
      </w:r>
    </w:p>
    <w:p>
      <w:r>
        <w:rPr>
          <w:b/>
        </w:rPr>
        <w:t xml:space="preserve">Score de divergence: </w:t>
      </w:r>
      <w:r>
        <w:t>5/8</w:t>
        <w:br/>
      </w:r>
      <w:r>
        <w:rPr>
          <w:b/>
        </w:rPr>
        <w:t xml:space="preserve">Description: </w:t>
      </w:r>
      <w:r>
        <w:t>Signaux de vente: MM, MACD | Recommandation finale: ACHAT</w:t>
        <w:br/>
      </w:r>
    </w:p>
    <w:p/>
    <w:p>
      <w:pPr>
        <w:pStyle w:val="Heading3"/>
      </w:pPr>
      <w:r>
        <w:t>7. NTLC - NTLC - NESTLE COTE D'IVOIRE</w:t>
      </w:r>
    </w:p>
    <w:p>
      <w:r>
        <w:rPr>
          <w:b/>
        </w:rPr>
        <w:t xml:space="preserve">Score de divergence: </w:t>
      </w:r>
      <w:r>
        <w:t>4/8</w:t>
        <w:br/>
      </w:r>
      <w:r>
        <w:rPr>
          <w:b/>
        </w:rPr>
        <w:t xml:space="preserve">Description: </w:t>
      </w:r>
      <w:r>
        <w:t>Signaux d'achat: RSI | Signaux de vente: MM, MACD | Recommandation finale: ACHAT</w:t>
        <w:br/>
      </w:r>
    </w:p>
    <w:p/>
    <w:p>
      <w:pPr>
        <w:pStyle w:val="Heading3"/>
      </w:pPr>
      <w:r>
        <w:t>8. SCRC - SCRC - SUCRIVOIRE</w:t>
      </w:r>
    </w:p>
    <w:p>
      <w:r>
        <w:rPr>
          <w:b/>
        </w:rPr>
        <w:t xml:space="preserve">Score de divergence: </w:t>
      </w:r>
      <w:r>
        <w:t>4/8</w:t>
        <w:br/>
      </w:r>
      <w:r>
        <w:rPr>
          <w:b/>
        </w:rPr>
        <w:t xml:space="preserve">Description: </w:t>
      </w:r>
      <w:r>
        <w:t>Signaux d'achat: RSI | Signaux de vente: MM, MACD | Recommandation finale: ACHAT</w:t>
        <w:br/>
      </w:r>
    </w:p>
    <w:p/>
    <w:p>
      <w:pPr>
        <w:pStyle w:val="Heading3"/>
      </w:pPr>
      <w:r>
        <w:t>9. SIBC - SIBC - SOCIETE IVOIRIENNE DE BANQUE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10. SICC - SICC - SICOR COTE D'IVOIRE</w:t>
      </w:r>
    </w:p>
    <w:p>
      <w:r>
        <w:rPr>
          <w:b/>
        </w:rPr>
        <w:t xml:space="preserve">Score de divergence: </w:t>
      </w:r>
      <w:r>
        <w:t>4/8</w:t>
        <w:br/>
      </w:r>
      <w:r>
        <w:rPr>
          <w:b/>
        </w:rPr>
        <w:t xml:space="preserve">Description: </w:t>
      </w:r>
      <w:r>
        <w:t>Signaux d'achat: MM | Signaux de vente: MACD,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29</w:t>
            </w:r>
          </w:p>
        </w:tc>
        <w:tc>
          <w:tcPr>
            <w:tcW w:type="dxa" w:w="2160"/>
          </w:tcPr>
          <w:p>
            <w:r>
              <w:t>0</w:t>
            </w:r>
          </w:p>
        </w:tc>
      </w:tr>
      <w:tr>
        <w:tc>
          <w:tcPr>
            <w:tcW w:type="dxa" w:w="2160"/>
          </w:tcPr>
          <w:p>
            <w:r>
              <w:t>Risque Moyen</w:t>
            </w:r>
          </w:p>
        </w:tc>
        <w:tc>
          <w:tcPr>
            <w:tcW w:type="dxa" w:w="2160"/>
          </w:tcPr>
          <w:p>
            <w:r>
              <w:t>0</w:t>
            </w:r>
          </w:p>
        </w:tc>
        <w:tc>
          <w:tcPr>
            <w:tcW w:type="dxa" w:w="2160"/>
          </w:tcPr>
          <w:p>
            <w:r>
              <w:t>19</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BBGC (BRIDGE BANK GROUP COTE D'IVOIRE)</w:t>
      </w:r>
    </w:p>
    <w:p>
      <w:pPr>
        <w:pStyle w:val="ListBullet"/>
      </w:pPr>
      <w:r>
        <w:t>• BNBC (BNBC - BERNABE CI)</w:t>
      </w:r>
    </w:p>
    <w:p>
      <w:pPr>
        <w:pStyle w:val="ListBullet"/>
      </w:pPr>
      <w:r>
        <w:t>• BOAB (BANK OF AFRICA BENIN)</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NEIC (NEIC - NEI-CEDA CI)</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PALC (PALC - PALM COTE D'IVOIRE)</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NSBC (NSBC - NSIA BANQUE COTE D'IVOIRE)</w:t>
      </w:r>
    </w:p>
    <w:p>
      <w:pPr>
        <w:pStyle w:val="ListBullet"/>
      </w:pPr>
      <w:r>
        <w:t>• ORAC (ORAC - ORANGE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SDSC (SDSC - AFRICA GLOBAL LOGISTICS CI)</w:t>
      </w:r>
    </w:p>
    <w:p>
      <w:pPr>
        <w:pStyle w:val="ListBullet"/>
      </w:pPr>
      <w:r>
        <w:t>• SICC (SICC - SICOR COTE D'IVOIRE)</w:t>
      </w:r>
    </w:p>
    <w:p>
      <w:pPr>
        <w:pStyle w:val="ListBullet"/>
      </w:pPr>
      <w:r>
        <w:t>• SNTS (SNTS - SONATEL SN)</w:t>
      </w:r>
    </w:p>
    <w:p>
      <w:pPr>
        <w:pStyle w:val="ListBullet"/>
      </w:pPr>
      <w:r>
        <w:t>• STAC (STAC - SETAO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Les marchés actions mondiaux résistent malgré l'incertitude sur les taux et les banques centrales (sentiment neutre). La BCE a adopté un ton hawkish, provoquant un repli du MIB italien. Les prix du gaz, pétrole et métaux repartent à la hausse, ravivant les pressions inflationnistes.</w:t>
      </w:r>
    </w:p>
    <w:p>
      <w:pPr>
        <w:pStyle w:val="Heading3"/>
      </w:pPr>
      <w:r>
        <w:rPr>
          <w:color w:val="500050"/>
        </w:rPr>
        <w:t>⚡ Impact estimé sur la BRVM</w:t>
      </w:r>
    </w:p>
    <w:p>
      <w:pPr>
        <w:spacing w:before="20" w:after="40"/>
        <w:ind w:left="280"/>
      </w:pPr>
      <w:r>
        <w:rPr>
          <w:i/>
          <w:sz w:val="18"/>
        </w:rPr>
        <w:t>Le ton hawkish de la BCE et la hausse des matières premières pèsent sur les valorisations. TTLS et SHEC (énergie) pourraient bénéficier indirectement de la hausse du pétrole, mais les coûts énergétiques renchérissent pour FTSC (industriels) et les distributeurs ABJC/PRSC.</w:t>
      </w:r>
    </w:p>
    <w:p>
      <w:pPr>
        <w:pStyle w:val="Heading2"/>
      </w:pPr>
      <w:r>
        <w:rPr>
          <w:color w:val="006E32"/>
        </w:rPr>
        <w:t>🌍 Plan Africain</w:t>
      </w:r>
    </w:p>
    <w:p>
      <w:pPr>
        <w:spacing w:before="20" w:after="40"/>
        <w:ind w:left="0"/>
      </w:pPr>
      <w:r>
        <w:rPr>
          <w:sz w:val="18"/>
        </w:rPr>
        <w:t>L'Afrique reste dépendante du dollar malgré l'offensive chinoise en yuan (négatif). Amara (UCESA) plaide pour une transformation économique par l'investissement et l'emploi. La CEA mobilise les entreprises ouest-africaines autour de la chaîne de valeur du riz.</w:t>
      </w:r>
    </w:p>
    <w:p>
      <w:pPr>
        <w:pStyle w:val="Heading3"/>
      </w:pPr>
      <w:r>
        <w:rPr>
          <w:color w:val="500050"/>
        </w:rPr>
        <w:t>⚡ Impact estimé sur la BRVM</w:t>
      </w:r>
    </w:p>
    <w:p>
      <w:pPr>
        <w:spacing w:before="20" w:after="40"/>
        <w:ind w:left="280"/>
      </w:pPr>
      <w:r>
        <w:rPr>
          <w:i/>
          <w:sz w:val="18"/>
        </w:rPr>
        <w:t>La dépendance au dollar expose les sociétés importatrices (ABJC, PRSC, SLBC) au risque de change. Les initiatives sur le riz et l'investissement soutiennent à moyen terme le secteur consommation de base (SLBC).</w:t>
      </w:r>
    </w:p>
    <w:p>
      <w:pPr>
        <w:pStyle w:val="Heading2"/>
      </w:pPr>
      <w:r>
        <w:rPr>
          <w:color w:val="145A28"/>
        </w:rPr>
        <w:t>🌍 Plan Afrique de l'Ouest</w:t>
      </w:r>
    </w:p>
    <w:p>
      <w:pPr>
        <w:spacing w:before="20" w:after="40"/>
        <w:ind w:left="0"/>
      </w:pPr>
      <w:r>
        <w:rPr>
          <w:sz w:val="18"/>
        </w:rPr>
        <w:t>La BIDC lance la 2e édition du Forum d'investissement de la CEDEAO (positif). La CEA dynamise la chaîne de valeur du riz. Les relations AES-CEDEAO oscillent entre rupture et coopération (neutre).</w:t>
      </w:r>
    </w:p>
    <w:p>
      <w:pPr>
        <w:pStyle w:val="Heading3"/>
      </w:pPr>
      <w:r>
        <w:rPr>
          <w:color w:val="500050"/>
        </w:rPr>
        <w:t>⚡ Impact estimé sur la BRVM</w:t>
      </w:r>
    </w:p>
    <w:p>
      <w:pPr>
        <w:spacing w:before="20" w:after="40"/>
        <w:ind w:left="280"/>
      </w:pPr>
      <w:r>
        <w:rPr>
          <w:i/>
          <w:sz w:val="18"/>
        </w:rPr>
        <w:t>Le Forum BIDC pourrait catalyser des flux vers les sociétés financières régionales (SGBC, BICB, BOAS, NSBC, SIBC). L'intégration rizicole bénéficie à SLBC.</w:t>
      </w:r>
    </w:p>
    <w:p>
      <w:pPr>
        <w:pStyle w:val="Heading2"/>
      </w:pPr>
      <w:r>
        <w:rPr>
          <w:color w:val="8C4600"/>
        </w:rPr>
        <w:t>🏦 Plan UEMOA / Zone Franc</w:t>
      </w:r>
    </w:p>
    <w:p>
      <w:pPr>
        <w:spacing w:before="20" w:after="40"/>
        <w:ind w:left="0"/>
      </w:pPr>
      <w:r>
        <w:rPr>
          <w:sz w:val="18"/>
        </w:rPr>
        <w:t>Données insuffisantes concernant les décisions BCEAO, l'inflation zone et la liquidité bancaire. Aucune actualité spécifique FCFA ou cacao/caoutchouc fournie.</w:t>
      </w:r>
    </w:p>
    <w:p>
      <w:pPr>
        <w:pStyle w:val="Heading3"/>
      </w:pPr>
      <w:r>
        <w:rPr>
          <w:color w:val="500050"/>
        </w:rPr>
        <w:t>⚡ Impact estimé sur la BRVM</w:t>
      </w:r>
    </w:p>
    <w:p>
      <w:pPr>
        <w:spacing w:before="20" w:after="40"/>
        <w:ind w:left="280"/>
      </w:pPr>
      <w:r>
        <w:rPr>
          <w:i/>
          <w:sz w:val="18"/>
        </w:rPr>
        <w:t>Sans données BCEAO, l'impact reste neutre. À surveiller : toute hausse du taux directeur affecterait les marges des banques (SGBC, BICB) et le coût de refinancement des industriels (FTSC).</w:t>
      </w:r>
    </w:p>
    <w:p>
      <w:pPr>
        <w:pStyle w:val="Heading2"/>
      </w:pPr>
      <w:r>
        <w:rPr>
          <w:color w:val="003366"/>
        </w:rPr>
        <w:t>📈 Plan BRVM</w:t>
      </w:r>
    </w:p>
    <w:p>
      <w:pPr>
        <w:spacing w:before="20" w:after="40"/>
        <w:ind w:left="0"/>
      </w:pPr>
      <w:r>
        <w:rPr>
          <w:sz w:val="18"/>
        </w:rPr>
        <w:t>Les résultats des sociétés cotées ivoiriennes sont jugés encourageants (positif). L'indice BRVM Composite s'établit à 548,04 points. Pas d'IPO ni de mouvement de dividende signalé.</w:t>
      </w:r>
    </w:p>
    <w:p>
      <w:pPr>
        <w:pStyle w:val="Heading3"/>
      </w:pPr>
      <w:r>
        <w:rPr>
          <w:color w:val="500050"/>
        </w:rPr>
        <w:t>⚡ Impact estimé sur la BRVM</w:t>
      </w:r>
    </w:p>
    <w:p>
      <w:pPr>
        <w:spacing w:before="20" w:after="40"/>
        <w:ind w:left="280"/>
      </w:pPr>
      <w:r>
        <w:rPr>
          <w:i/>
          <w:sz w:val="18"/>
        </w:rPr>
        <w:t>Sentiment globalement favorable. Recommandations : conserver SGBC et BICB (résultats bancaires solides), surveiller ONTBF et SNTS (télécoms défensifs), opportunité sur SLBC (consommation de base). Prudence sur ABJC/PRSC (consommation discrétionnaire exposée à l'inflation importée).</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Les marchés résistent à l'incertitude géopolitique et monétaire (neutre). La hausse des matières premières constitue un risque inflationniste (négatif). Tensions commerciales latentes.</w:t>
      </w:r>
    </w:p>
    <w:p>
      <w:pPr>
        <w:pStyle w:val="Heading3"/>
      </w:pPr>
      <w:r>
        <w:rPr>
          <w:color w:val="500050"/>
        </w:rPr>
        <w:t>⚡ Impact estimé sur la BRVM</w:t>
      </w:r>
    </w:p>
    <w:p>
      <w:pPr>
        <w:spacing w:before="20" w:after="40"/>
        <w:ind w:left="280"/>
      </w:pPr>
      <w:r>
        <w:rPr>
          <w:i/>
          <w:sz w:val="18"/>
        </w:rPr>
        <w:t>Un environnement mondial incertain détourne les capitaux des marchés frontières. Les investisseurs BRVM privilégient les valeurs défensives (SNTS, ONTBF, SLBC).</w:t>
      </w:r>
    </w:p>
    <w:p>
      <w:pPr>
        <w:pStyle w:val="Heading2"/>
      </w:pPr>
      <w:r>
        <w:rPr>
          <w:color w:val="006E32"/>
        </w:rPr>
        <w:t>🌍 Plan Africain</w:t>
      </w:r>
    </w:p>
    <w:p>
      <w:pPr>
        <w:spacing w:before="20" w:after="40"/>
        <w:ind w:left="0"/>
      </w:pPr>
      <w:r>
        <w:rPr>
          <w:sz w:val="18"/>
        </w:rPr>
        <w:t>Le Mali accuse l'Ukraine de soutenir le terrorisme au Sahel (négatif). Le Burkina Faso plaide pour une solution négociée au Sahara occidental (neutre). Tensions diplomatiques croissantes.</w:t>
      </w:r>
    </w:p>
    <w:p>
      <w:pPr>
        <w:pStyle w:val="Heading3"/>
      </w:pPr>
      <w:r>
        <w:rPr>
          <w:color w:val="500050"/>
        </w:rPr>
        <w:t>⚡ Impact estimé sur la BRVM</w:t>
      </w:r>
    </w:p>
    <w:p>
      <w:pPr>
        <w:spacing w:before="20" w:after="40"/>
        <w:ind w:left="280"/>
      </w:pPr>
      <w:r>
        <w:rPr>
          <w:i/>
          <w:sz w:val="18"/>
        </w:rPr>
        <w:t>L'instabilité sahélienne réduit l'appétit pour les actifs régionaux. Risque de prime de risque accrue sur les sociétés exposées au Mali/Burkina (BOAS, NSBC).</w:t>
      </w:r>
    </w:p>
    <w:p>
      <w:pPr>
        <w:pStyle w:val="Heading2"/>
      </w:pPr>
      <w:r>
        <w:rPr>
          <w:color w:val="145A28"/>
        </w:rPr>
        <w:t>🌍 Plan Afrique de l'Ouest</w:t>
      </w:r>
    </w:p>
    <w:p>
      <w:pPr>
        <w:spacing w:before="20" w:after="40"/>
        <w:ind w:left="0"/>
      </w:pPr>
      <w:r>
        <w:rPr>
          <w:sz w:val="18"/>
        </w:rPr>
        <w:t>Relations AES-CEDEAO entre rupture et coopération (neutre). Tensions Mali-Ukraine. Le Sénégal obtient une victoire sportive (positif marginal).</w:t>
      </w:r>
    </w:p>
    <w:p>
      <w:pPr>
        <w:pStyle w:val="Heading3"/>
      </w:pPr>
      <w:r>
        <w:rPr>
          <w:color w:val="500050"/>
        </w:rPr>
        <w:t>⚡ Impact estimé sur la BRVM</w:t>
      </w:r>
    </w:p>
    <w:p>
      <w:pPr>
        <w:spacing w:before="20" w:after="40"/>
        <w:ind w:left="280"/>
      </w:pPr>
      <w:r>
        <w:rPr>
          <w:i/>
          <w:sz w:val="18"/>
        </w:rPr>
        <w:t>Les tensions AES-CEDEAO pourraient perturber les flux commerciaux régionaux, affectant les sociétés financières panafricaines (BOAS, NSBC) et les industriels (FTSC).</w:t>
      </w:r>
    </w:p>
    <w:p>
      <w:pPr>
        <w:pStyle w:val="Heading2"/>
      </w:pPr>
      <w:r>
        <w:rPr>
          <w:color w:val="8C4600"/>
        </w:rPr>
        <w:t>🏦 Plan UEMOA / Zone Franc</w:t>
      </w:r>
    </w:p>
    <w:p>
      <w:pPr>
        <w:spacing w:before="20" w:after="40"/>
        <w:ind w:left="0"/>
      </w:pPr>
      <w:r>
        <w:rPr>
          <w:sz w:val="18"/>
        </w:rPr>
        <w:t>Situation politique globalement stable dans les pays membres hors Sahel. Données insuffisantes sur les réformes institutionnelles en cours.</w:t>
      </w:r>
    </w:p>
    <w:p>
      <w:pPr>
        <w:pStyle w:val="Heading3"/>
      </w:pPr>
      <w:r>
        <w:rPr>
          <w:color w:val="500050"/>
        </w:rPr>
        <w:t>⚡ Impact estimé sur la BRVM</w:t>
      </w:r>
    </w:p>
    <w:p>
      <w:pPr>
        <w:spacing w:before="20" w:after="40"/>
        <w:ind w:left="280"/>
      </w:pPr>
      <w:r>
        <w:rPr>
          <w:i/>
          <w:sz w:val="18"/>
        </w:rPr>
        <w:t>La stabilité UEMOA (hors Sahel) soutient la confiance des investisseurs. Risque réglementaire limité à court terme.</w:t>
      </w:r>
    </w:p>
    <w:p>
      <w:pPr>
        <w:pStyle w:val="Heading2"/>
      </w:pPr>
      <w:r>
        <w:rPr>
          <w:color w:val="003366"/>
        </w:rPr>
        <w:t>📈 Plan BRVM</w:t>
      </w:r>
    </w:p>
    <w:p>
      <w:pPr>
        <w:spacing w:before="20" w:after="40"/>
        <w:ind w:left="0"/>
      </w:pPr>
      <w:r>
        <w:rPr>
          <w:sz w:val="18"/>
        </w:rPr>
        <w:t>Données insuffisantes concernant la réglementation CREPMF, les nouvelles cotations et la gouvernance des sociétés.</w:t>
      </w:r>
    </w:p>
    <w:p>
      <w:pPr>
        <w:pStyle w:val="Heading3"/>
      </w:pPr>
      <w:r>
        <w:rPr>
          <w:color w:val="500050"/>
        </w:rPr>
        <w:t>⚡ Impact estimé sur la BRVM</w:t>
      </w:r>
    </w:p>
    <w:p>
      <w:pPr>
        <w:spacing w:before="20" w:after="40"/>
        <w:ind w:left="280"/>
      </w:pPr>
      <w:r>
        <w:rPr>
          <w:i/>
          <w:sz w:val="18"/>
        </w:rPr>
        <w:t>Aucune décision réglementaire signalée. Le marché évolue dans son cadre habituel.</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Résistance des marchés actions face à l'incertitude (neutre). BCE hawkish, MIB en baisse. Matières premières en hausse (négatif pour les marges).</w:t>
      </w:r>
    </w:p>
    <w:p>
      <w:pPr>
        <w:pStyle w:val="Heading3"/>
      </w:pPr>
      <w:r>
        <w:rPr>
          <w:color w:val="500050"/>
        </w:rPr>
        <w:t>⚡ Impact estimé sur la BRVM</w:t>
      </w:r>
    </w:p>
    <w:p>
      <w:pPr>
        <w:spacing w:before="20" w:after="40"/>
        <w:ind w:left="280"/>
      </w:pPr>
      <w:r>
        <w:rPr>
          <w:i/>
          <w:sz w:val="18"/>
        </w:rPr>
        <w:t>Corrélation limitée avec les marchés développés. La hausse des matières premières est le principal canal de transmission, affectant les coûts des sociétés importatrices.</w:t>
      </w:r>
    </w:p>
    <w:p>
      <w:pPr>
        <w:pStyle w:val="Heading2"/>
      </w:pPr>
      <w:r>
        <w:rPr>
          <w:color w:val="006E32"/>
        </w:rPr>
        <w:t>🌍 Plan Africain</w:t>
      </w:r>
    </w:p>
    <w:p>
      <w:pPr>
        <w:spacing w:before="20" w:after="40"/>
        <w:ind w:left="0"/>
      </w:pPr>
      <w:r>
        <w:rPr>
          <w:sz w:val="18"/>
        </w:rPr>
        <w:t>Données insuffisantes sur les marchés obligataires africains, les eurobonds et les notations souveraines.</w:t>
      </w:r>
    </w:p>
    <w:p>
      <w:pPr>
        <w:pStyle w:val="Heading3"/>
      </w:pPr>
      <w:r>
        <w:rPr>
          <w:color w:val="500050"/>
        </w:rPr>
        <w:t>⚡ Impact estimé sur la BRVM</w:t>
      </w:r>
    </w:p>
    <w:p>
      <w:pPr>
        <w:spacing w:before="20" w:after="40"/>
        <w:ind w:left="280"/>
      </w:pPr>
      <w:r>
        <w:rPr>
          <w:i/>
          <w:sz w:val="18"/>
        </w:rPr>
        <w:t>Sans données, impact neutre. La concurrence des eurobonds pour les capitaux reste un facteur structurel à surveiller.</w:t>
      </w:r>
    </w:p>
    <w:p>
      <w:pPr>
        <w:pStyle w:val="Heading2"/>
      </w:pPr>
      <w:r>
        <w:rPr>
          <w:color w:val="145A28"/>
        </w:rPr>
        <w:t>🌍 Plan Afrique de l'Ouest</w:t>
      </w:r>
    </w:p>
    <w:p>
      <w:pPr>
        <w:spacing w:before="20" w:after="40"/>
        <w:ind w:left="0"/>
      </w:pPr>
      <w:r>
        <w:rPr>
          <w:sz w:val="18"/>
        </w:rPr>
        <w:t>Le Forum d'investissement CEDEAO (BIDC) pourrait stimuler les flux sous-régionaux. Données insuffisantes sur les bourses concurrentes (Ghana, Nigeria).</w:t>
      </w:r>
    </w:p>
    <w:p>
      <w:pPr>
        <w:pStyle w:val="Heading3"/>
      </w:pPr>
      <w:r>
        <w:rPr>
          <w:color w:val="500050"/>
        </w:rPr>
        <w:t>⚡ Impact estimé sur la BRVM</w:t>
      </w:r>
    </w:p>
    <w:p>
      <w:pPr>
        <w:spacing w:before="20" w:after="40"/>
        <w:ind w:left="280"/>
      </w:pPr>
      <w:r>
        <w:rPr>
          <w:i/>
          <w:sz w:val="18"/>
        </w:rPr>
        <w:t>La BRVM reste la place dominante de l'UEMOA. Le Forum BIDC pourrait attirer de nouveaux capitaux vers les valeurs financières (SGBC, BICB, BOAS).</w:t>
      </w:r>
    </w:p>
    <w:p>
      <w:pPr>
        <w:pStyle w:val="Heading2"/>
      </w:pPr>
      <w:r>
        <w:rPr>
          <w:color w:val="8C4600"/>
        </w:rPr>
        <w:t>🏦 Plan UEMOA / Zone Franc</w:t>
      </w:r>
    </w:p>
    <w:p>
      <w:pPr>
        <w:spacing w:before="20" w:after="40"/>
        <w:ind w:left="0"/>
      </w:pPr>
      <w:r>
        <w:rPr>
          <w:sz w:val="18"/>
        </w:rPr>
        <w:t>Données insuffisantes sur le marché des titres publics, le taux interbancaire et la liquidité.</w:t>
      </w:r>
    </w:p>
    <w:p>
      <w:pPr>
        <w:pStyle w:val="Heading3"/>
      </w:pPr>
      <w:r>
        <w:rPr>
          <w:color w:val="500050"/>
        </w:rPr>
        <w:t>⚡ Impact estimé sur la BRVM</w:t>
      </w:r>
    </w:p>
    <w:p>
      <w:pPr>
        <w:spacing w:before="20" w:after="40"/>
        <w:ind w:left="280"/>
      </w:pPr>
      <w:r>
        <w:rPr>
          <w:i/>
          <w:sz w:val="18"/>
        </w:rPr>
        <w:t>L'arbitrage titres publics/actions reste indéterminé. Une hausse des taux souverains détournerait les flux des actions vers les obligations.</w:t>
      </w:r>
    </w:p>
    <w:p>
      <w:pPr>
        <w:pStyle w:val="Heading2"/>
      </w:pPr>
      <w:r>
        <w:rPr>
          <w:color w:val="003366"/>
        </w:rPr>
        <w:t>📈 Plan BRVM</w:t>
      </w:r>
    </w:p>
    <w:p>
      <w:pPr>
        <w:spacing w:before="20" w:after="40"/>
        <w:ind w:left="0"/>
      </w:pPr>
      <w:r>
        <w:rPr>
          <w:sz w:val="18"/>
        </w:rPr>
        <w:t>Indice BRVM Composite à 548,04 points. Résultats encourageants des sociétés ivoiriennes. Pas de top/flop ni de volumes détaillés fournis.</w:t>
      </w:r>
    </w:p>
    <w:p>
      <w:pPr>
        <w:pStyle w:val="Heading3"/>
      </w:pPr>
      <w:r>
        <w:rPr>
          <w:color w:val="500050"/>
        </w:rPr>
        <w:t>⚡ Impact estimé sur la BRVM</w:t>
      </w:r>
    </w:p>
    <w:p>
      <w:pPr>
        <w:spacing w:before="20" w:after="40"/>
        <w:ind w:left="280"/>
      </w:pPr>
      <w:r>
        <w:rPr>
          <w:i/>
          <w:sz w:val="18"/>
        </w:rPr>
        <w:t>**Achat** : SGBC, BICB (résultats bancaires solides), SLBC (défensif). **Conservation** : SNTS, ONTBF (télécoms stables), TTLS, SHEC (énergie). **Prudence** : ABJC, PRSC, NEIC (consommation discrétionnaire exposée à l'inflation), FTSC (coûts énergétiques).</w:t>
      </w:r>
    </w:p>
    <w:p>
      <w:pPr>
        <w:pStyle w:val="Heading1"/>
      </w:pPr>
      <w:r>
        <w:rPr>
          <w:color w:val="003366"/>
        </w:rPr>
        <w:t>🎯 SYNTHÈSE &amp; RECOMMANDATION FINALE</w:t>
      </w:r>
    </w:p>
    <w:p>
      <w:pPr>
        <w:spacing w:before="120"/>
      </w:pPr>
      <w:r>
        <w:rPr>
          <w:b/>
          <w:color w:val="C85000"/>
          <w:sz w:val="22"/>
        </w:rPr>
        <w:t>**Niveau d'alerte global : ORANGE**</w:t>
      </w:r>
    </w:p>
    <w:p>
      <w:pPr>
        <w:spacing w:before="20" w:after="40"/>
        <w:ind w:left="0"/>
      </w:pPr>
      <w:r>
        <w:rPr>
          <w:sz w:val="18"/>
        </w:rPr>
        <w:t>L'environnement mondial incertain (BCE hawkish, matières premières en hausse) et les tensions géopolitiques sahéliennes créent un climat prudent. Toutefois, les résultats encourageants des sociétés cotées ivoiriennes et les initiatives CEDEAO soutiennent le sentiment. Recommandation : privilégier les valeurs financières (SGBC, BICB) et défensives (SNTS, SLBC), réduire l'exposition à la consommation discrétionnaire (ABJC, PRSC) et surveiller les décisions BCEAO à venir.</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2026-09-29</w:t>
            </w:r>
          </w:p>
        </w:tc>
        <w:tc>
          <w:tcPr>
            <w:tcW w:type="dxa" w:w="1728"/>
          </w:tcPr>
          <w:p>
            <w:r>
              <w:rPr>
                <w:sz w:val="14"/>
              </w:rPr>
              <w:t xml:space="preserve">Taux, banques centrales, résultats… la résistance des marchés actions </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2026-09-29</w:t>
            </w:r>
          </w:p>
        </w:tc>
        <w:tc>
          <w:tcPr>
            <w:tcW w:type="dxa" w:w="1728"/>
          </w:tcPr>
          <w:p>
            <w:r>
              <w:rPr>
                <w:sz w:val="14"/>
              </w:rPr>
              <w:t>Gaz, pétrole, métaux : la facture des matières premières repart à la h</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2026-09-28</w:t>
            </w:r>
          </w:p>
        </w:tc>
        <w:tc>
          <w:tcPr>
            <w:tcW w:type="dxa" w:w="1728"/>
          </w:tcPr>
          <w:p>
            <w:r>
              <w:rPr>
                <w:sz w:val="14"/>
              </w:rPr>
              <w:t>MIB baissier après un repricing hawkish des taux de la Banque centrale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2026-09-28</w:t>
            </w:r>
          </w:p>
        </w:tc>
        <w:tc>
          <w:tcPr>
            <w:tcW w:type="dxa" w:w="1728"/>
          </w:tcPr>
          <w:p>
            <w:r>
              <w:rPr>
                <w:sz w:val="14"/>
              </w:rPr>
              <w:t>La BCE subventionne déjà les banques commerciales : pourquoi pas la tr</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Flambée des taux : le meilleur et le pire pour votre épargne - Les Ech</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2026-09-24</w:t>
            </w:r>
          </w:p>
        </w:tc>
        <w:tc>
          <w:tcPr>
            <w:tcW w:type="dxa" w:w="1728"/>
          </w:tcPr>
          <w:p>
            <w:r>
              <w:rPr>
                <w:sz w:val="14"/>
              </w:rPr>
              <w:t>Les prix des carburants ont fortement augmenté ; des experts donnent d</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2026-09-26</w:t>
            </w:r>
          </w:p>
        </w:tc>
        <w:tc>
          <w:tcPr>
            <w:tcW w:type="dxa" w:w="1728"/>
          </w:tcPr>
          <w:p>
            <w:r>
              <w:rPr>
                <w:sz w:val="14"/>
              </w:rPr>
              <w:t>UCESA : Amara plaide à Victoria Falls pour une croissance inclusive, l</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2026-09-28</w:t>
            </w:r>
          </w:p>
        </w:tc>
        <w:tc>
          <w:tcPr>
            <w:tcW w:type="dxa" w:w="1728"/>
          </w:tcPr>
          <w:p>
            <w:r>
              <w:rPr>
                <w:sz w:val="14"/>
              </w:rPr>
              <w:t>La CEA mobilise les entreprises ouest-africaines pour dynamiser la cha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La BIDC lance les activités de la deuxième édition du Forum d’investis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AES-CEDEAO : entre rupture et coopération - Meer | English edition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La BIDC valide 400 millions de dollars pour quatre projets ouest-afric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2026-09-26</w:t>
            </w:r>
          </w:p>
        </w:tc>
        <w:tc>
          <w:tcPr>
            <w:tcW w:type="dxa" w:w="1728"/>
          </w:tcPr>
          <w:p>
            <w:r>
              <w:rPr>
                <w:sz w:val="14"/>
              </w:rPr>
              <w:t xml:space="preserve">Le parlement de la CEDEAO veut concilier ”ambitions institutionnelles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2026-09-25</w:t>
            </w:r>
          </w:p>
        </w:tc>
        <w:tc>
          <w:tcPr>
            <w:tcW w:type="dxa" w:w="1728"/>
          </w:tcPr>
          <w:p>
            <w:r>
              <w:rPr>
                <w:sz w:val="14"/>
              </w:rPr>
              <w:t>Les femmes parlementaires de la CEDEAO misent sur la ZLECAf pour renfo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2026-09-29</w:t>
            </w:r>
          </w:p>
        </w:tc>
        <w:tc>
          <w:tcPr>
            <w:tcW w:type="dxa" w:w="1728"/>
          </w:tcPr>
          <w:p>
            <w:r>
              <w:rPr>
                <w:sz w:val="14"/>
              </w:rPr>
              <w:t>CAN 2027 : Patrick Vieira tient enfin sa première victoire avec le Sén</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2026-09-29</w:t>
            </w:r>
          </w:p>
        </w:tc>
        <w:tc>
          <w:tcPr>
            <w:tcW w:type="dxa" w:w="1728"/>
          </w:tcPr>
          <w:p>
            <w:r>
              <w:rPr>
                <w:sz w:val="14"/>
              </w:rPr>
              <w:t>Mali : l’exécutif accuse de nouveau l’Ukraine de soutenir le terrorism</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2026-09-29</w:t>
            </w:r>
          </w:p>
        </w:tc>
        <w:tc>
          <w:tcPr>
            <w:tcW w:type="dxa" w:w="1728"/>
          </w:tcPr>
          <w:p>
            <w:r>
              <w:rPr>
                <w:sz w:val="14"/>
              </w:rPr>
              <w:t>Sahara occidental : le Burkina Faso plaide pour une solution « politiq</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2026-09-30</w:t>
            </w:r>
          </w:p>
        </w:tc>
        <w:tc>
          <w:tcPr>
            <w:tcW w:type="dxa" w:w="1728"/>
          </w:tcPr>
          <w:p>
            <w:r>
              <w:rPr>
                <w:sz w:val="14"/>
              </w:rPr>
              <w:t>Burkina Faso : quatre ans de pouvoir pour Ibrahim Traoré - DW.com</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2026-09-28</w:t>
            </w:r>
          </w:p>
        </w:tc>
        <w:tc>
          <w:tcPr>
            <w:tcW w:type="dxa" w:w="1728"/>
          </w:tcPr>
          <w:p>
            <w:r>
              <w:rPr>
                <w:sz w:val="14"/>
              </w:rPr>
              <w:t>​UEMOA 2025 : Une croissance robuste à 6,5 % et un système bancaire pl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UEMOA inflation </w:t>
            </w:r>
          </w:p>
        </w:tc>
      </w:tr>
      <w:tr>
        <w:tc>
          <w:tcPr>
            <w:tcW w:type="dxa" w:w="1728"/>
          </w:tcPr>
          <w:p>
            <w:r>
              <w:rPr>
                <w:sz w:val="14"/>
              </w:rPr>
              <w:t>2026-09-29</w:t>
            </w:r>
          </w:p>
        </w:tc>
        <w:tc>
          <w:tcPr>
            <w:tcW w:type="dxa" w:w="1728"/>
          </w:tcPr>
          <w:p>
            <w:r>
              <w:rPr>
                <w:sz w:val="14"/>
              </w:rPr>
              <w:t>5ᵉ Conférence internationale de l'ERSUMA : « accompagnement des entrep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2026-09-29</w:t>
            </w:r>
          </w:p>
        </w:tc>
        <w:tc>
          <w:tcPr>
            <w:tcW w:type="dxa" w:w="1728"/>
          </w:tcPr>
          <w:p>
            <w:r>
              <w:rPr>
                <w:sz w:val="14"/>
              </w:rPr>
              <w:t xml:space="preserve">Taux, banques centrales, résultats… la résistance des marchés actions </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2026-09-29</w:t>
            </w:r>
          </w:p>
        </w:tc>
        <w:tc>
          <w:tcPr>
            <w:tcW w:type="dxa" w:w="1728"/>
          </w:tcPr>
          <w:p>
            <w:r>
              <w:rPr>
                <w:sz w:val="14"/>
              </w:rPr>
              <w:t>Gaz, pétrole, métaux : la facture des matières premières repart à la h</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2026-09-28</w:t>
            </w:r>
          </w:p>
        </w:tc>
        <w:tc>
          <w:tcPr>
            <w:tcW w:type="dxa" w:w="1728"/>
          </w:tcPr>
          <w:p>
            <w:r>
              <w:rPr>
                <w:sz w:val="14"/>
              </w:rPr>
              <w:t>La CEA mobilise les entreprises ouest-africaines pour dynamiser la cha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AES-CEDEAO : entre rupture et coopération - Meer | English edition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Mali : l’exécutif accuse de nouveau l’Ukraine de soutenir le terrorism</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2026-09-29</w:t>
            </w:r>
          </w:p>
        </w:tc>
        <w:tc>
          <w:tcPr>
            <w:tcW w:type="dxa" w:w="1728"/>
          </w:tcPr>
          <w:p>
            <w:r>
              <w:rPr>
                <w:sz w:val="14"/>
              </w:rPr>
              <w:t xml:space="preserve">Taux, banques centrales, résultats… la résistance des marchés actions </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2026-09-28</w:t>
            </w:r>
          </w:p>
        </w:tc>
        <w:tc>
          <w:tcPr>
            <w:tcW w:type="dxa" w:w="1728"/>
          </w:tcPr>
          <w:p>
            <w:r>
              <w:rPr>
                <w:sz w:val="14"/>
              </w:rPr>
              <w:t>La CEA mobilise les entreprises ouest-africaines pour dynamiser la cha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La BIDC lance les activités de la deuxième édition du Forum d’investis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AES-CEDEAO : entre rupture et coopération - Meer | English edition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Mali : l’exécutif accuse de nouveau l’Ukraine de soutenir le terrorism</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2026-09-29</w:t>
            </w:r>
          </w:p>
        </w:tc>
        <w:tc>
          <w:tcPr>
            <w:tcW w:type="dxa" w:w="1728"/>
          </w:tcPr>
          <w:p>
            <w:r>
              <w:rPr>
                <w:sz w:val="14"/>
              </w:rPr>
              <w:t xml:space="preserve">Taux, banques centrales, résultats… la résistance des marchés actions </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2026-09-28</w:t>
            </w:r>
          </w:p>
        </w:tc>
        <w:tc>
          <w:tcPr>
            <w:tcW w:type="dxa" w:w="1728"/>
          </w:tcPr>
          <w:p>
            <w:r>
              <w:rPr>
                <w:sz w:val="14"/>
              </w:rPr>
              <w:t>La CEA mobilise les entreprises ouest-africaines pour dynamiser la cha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La BIDC lance les activités de la deuxième édition du Forum d’investis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AES-CEDEAO : entre rupture et coopération - Meer | English edition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Mali : l’exécutif accuse de nouveau l’Ukraine de soutenir le terrorism</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2026-09-29</w:t>
            </w:r>
          </w:p>
        </w:tc>
        <w:tc>
          <w:tcPr>
            <w:tcW w:type="dxa" w:w="1728"/>
          </w:tcPr>
          <w:p>
            <w:r>
              <w:rPr>
                <w:sz w:val="14"/>
              </w:rPr>
              <w:t xml:space="preserve">Taux, banques centrales, résultats… la résistance des marchés actions </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2026-09-28</w:t>
            </w:r>
          </w:p>
        </w:tc>
        <w:tc>
          <w:tcPr>
            <w:tcW w:type="dxa" w:w="1728"/>
          </w:tcPr>
          <w:p>
            <w:r>
              <w:rPr>
                <w:sz w:val="14"/>
              </w:rPr>
              <w:t>La CEA mobilise les entreprises ouest-africaines pour dynamiser la cha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La BIDC lance les activités de la deuxième édition du Forum d’investis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AES-CEDEAO : entre rupture et coopération - Meer | English edition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CAN 2027 : Patrick Vieira tient enfin sa première victoire avec le Sén</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2026-09-29</w:t>
            </w:r>
          </w:p>
        </w:tc>
        <w:tc>
          <w:tcPr>
            <w:tcW w:type="dxa" w:w="1728"/>
          </w:tcPr>
          <w:p>
            <w:r>
              <w:rPr>
                <w:sz w:val="14"/>
              </w:rPr>
              <w:t xml:space="preserve">Taux, banques centrales, résultats… la résistance des marchés actions </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2026-09-29</w:t>
            </w:r>
          </w:p>
        </w:tc>
        <w:tc>
          <w:tcPr>
            <w:tcW w:type="dxa" w:w="1728"/>
          </w:tcPr>
          <w:p>
            <w:r>
              <w:rPr>
                <w:sz w:val="14"/>
              </w:rPr>
              <w:t>Gaz, pétrole, métaux : la facture des matières premières repart à la h</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2026-09-28</w:t>
            </w:r>
          </w:p>
        </w:tc>
        <w:tc>
          <w:tcPr>
            <w:tcW w:type="dxa" w:w="1728"/>
          </w:tcPr>
          <w:p>
            <w:r>
              <w:rPr>
                <w:sz w:val="14"/>
              </w:rPr>
              <w:t>La CEA mobilise les entreprises ouest-africaines pour dynamiser la cha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AES-CEDEAO : entre rupture et coopération - Meer | English edition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Mali : l’exécutif accuse de nouveau l’Ukraine de soutenir le terrorism</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2026-09-29</w:t>
            </w:r>
          </w:p>
        </w:tc>
        <w:tc>
          <w:tcPr>
            <w:tcW w:type="dxa" w:w="1728"/>
          </w:tcPr>
          <w:p>
            <w:r>
              <w:rPr>
                <w:sz w:val="14"/>
              </w:rPr>
              <w:t xml:space="preserve">Taux, banques centrales, résultats… la résistance des marchés actions </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2026-09-29</w:t>
            </w:r>
          </w:p>
        </w:tc>
        <w:tc>
          <w:tcPr>
            <w:tcW w:type="dxa" w:w="1728"/>
          </w:tcPr>
          <w:p>
            <w:r>
              <w:rPr>
                <w:sz w:val="14"/>
              </w:rPr>
              <w:t>Gaz, pétrole, métaux : la facture des matières premières repart à la h</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2026-09-29</w:t>
            </w:r>
          </w:p>
        </w:tc>
        <w:tc>
          <w:tcPr>
            <w:tcW w:type="dxa" w:w="1728"/>
          </w:tcPr>
          <w:p>
            <w:r>
              <w:rPr>
                <w:sz w:val="14"/>
              </w:rPr>
              <w:t>AES-CEDEAO : entre rupture et coopération - Meer | English edition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IPO Dangote : la BVMAC et la BRVM opposent leur veto - Africtelegraph</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BRVM bourse</w:t>
            </w:r>
          </w:p>
        </w:tc>
      </w:tr>
      <w:tr>
        <w:tc>
          <w:tcPr>
            <w:tcW w:type="dxa" w:w="1728"/>
          </w:tcPr>
          <w:p>
            <w:r>
              <w:rPr>
                <w:sz w:val="14"/>
              </w:rPr>
              <w:t>2026-09-29</w:t>
            </w:r>
          </w:p>
        </w:tc>
        <w:tc>
          <w:tcPr>
            <w:tcW w:type="dxa" w:w="1728"/>
          </w:tcPr>
          <w:p>
            <w:r>
              <w:rPr>
                <w:sz w:val="14"/>
              </w:rPr>
              <w:t>Bourses africaines : une séance contrastée entre rebond et stabilité -</w:t>
            </w:r>
          </w:p>
        </w:tc>
        <w:tc>
          <w:tcPr>
            <w:tcW w:type="dxa" w:w="1728"/>
          </w:tcPr>
          <w:p>
            <w:r>
              <w:rPr>
                <w:sz w:val="14"/>
              </w:rPr>
              <w:t>Neutre</w:t>
            </w:r>
          </w:p>
        </w:tc>
        <w:tc>
          <w:tcPr>
            <w:tcW w:type="dxa" w:w="1728"/>
          </w:tcPr>
          <w:p>
            <w:r>
              <w:rPr>
                <w:sz w:val="14"/>
              </w:rPr>
              <w:t>Neutre</w:t>
            </w:r>
          </w:p>
        </w:tc>
        <w:tc>
          <w:tcPr>
            <w:tcW w:type="dxa" w:w="1728"/>
          </w:tcPr>
          <w:p>
            <w:r>
              <w:rPr>
                <w:sz w:val="14"/>
              </w:rPr>
              <w:t>Google News — BRVM bourse</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2026-09-29</w:t>
            </w:r>
          </w:p>
        </w:tc>
        <w:tc>
          <w:tcPr>
            <w:tcW w:type="dxa" w:w="1728"/>
          </w:tcPr>
          <w:p>
            <w:r>
              <w:rPr>
                <w:sz w:val="14"/>
              </w:rPr>
              <w:t xml:space="preserve">Taux, banques centrales, résultats… la résistance des marchés actions </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2026-09-29</w:t>
            </w:r>
          </w:p>
        </w:tc>
        <w:tc>
          <w:tcPr>
            <w:tcW w:type="dxa" w:w="1728"/>
          </w:tcPr>
          <w:p>
            <w:r>
              <w:rPr>
                <w:sz w:val="14"/>
              </w:rPr>
              <w:t>Gaz, pétrole, métaux : la facture des matières premières repart à la h</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2026-09-28</w:t>
            </w:r>
          </w:p>
        </w:tc>
        <w:tc>
          <w:tcPr>
            <w:tcW w:type="dxa" w:w="1728"/>
          </w:tcPr>
          <w:p>
            <w:r>
              <w:rPr>
                <w:sz w:val="14"/>
              </w:rPr>
              <w:t>La CEA mobilise les entreprises ouest-africaines pour dynamiser la cha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La BIDC lance les activités de la deuxième édition du Forum d’investis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AES-CEDEAO : entre rupture et coopération - Meer | English edition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2026-09-29</w:t>
            </w:r>
          </w:p>
        </w:tc>
        <w:tc>
          <w:tcPr>
            <w:tcW w:type="dxa" w:w="1728"/>
          </w:tcPr>
          <w:p>
            <w:r>
              <w:rPr>
                <w:sz w:val="14"/>
              </w:rPr>
              <w:t xml:space="preserve">Taux, banques centrales, résultats… la résistance des marchés actions </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2026-09-29</w:t>
            </w:r>
          </w:p>
        </w:tc>
        <w:tc>
          <w:tcPr>
            <w:tcW w:type="dxa" w:w="1728"/>
          </w:tcPr>
          <w:p>
            <w:r>
              <w:rPr>
                <w:sz w:val="14"/>
              </w:rPr>
              <w:t>Gaz, pétrole, métaux : la facture des matières premières repart à la h</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2026-09-28</w:t>
            </w:r>
          </w:p>
        </w:tc>
        <w:tc>
          <w:tcPr>
            <w:tcW w:type="dxa" w:w="1728"/>
          </w:tcPr>
          <w:p>
            <w:r>
              <w:rPr>
                <w:sz w:val="14"/>
              </w:rPr>
              <w:t>La CEA mobilise les entreprises ouest-africaines pour dynamiser la cha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La BIDC lance les activités de la deuxième édition du Forum d’investis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AES-CEDEAO : entre rupture et coopération - Meer | English edition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2026-09-29</w:t>
            </w:r>
          </w:p>
        </w:tc>
        <w:tc>
          <w:tcPr>
            <w:tcW w:type="dxa" w:w="1728"/>
          </w:tcPr>
          <w:p>
            <w:r>
              <w:rPr>
                <w:sz w:val="14"/>
              </w:rPr>
              <w:t xml:space="preserve">Taux, banques centrales, résultats… la résistance des marchés actions </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2026-09-29</w:t>
            </w:r>
          </w:p>
        </w:tc>
        <w:tc>
          <w:tcPr>
            <w:tcW w:type="dxa" w:w="1728"/>
          </w:tcPr>
          <w:p>
            <w:r>
              <w:rPr>
                <w:sz w:val="14"/>
              </w:rPr>
              <w:t>Gaz, pétrole, métaux : la facture des matières premières repart à la h</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2026-09-29</w:t>
            </w:r>
          </w:p>
        </w:tc>
        <w:tc>
          <w:tcPr>
            <w:tcW w:type="dxa" w:w="1728"/>
          </w:tcPr>
          <w:p>
            <w:r>
              <w:rPr>
                <w:sz w:val="14"/>
              </w:rPr>
              <w:t>La BIDC lance les activités de la deuxième édition du Forum d’investis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AES-CEDEAO : entre rupture et coopération - Meer | English edition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CAN 2027 : Patrick Vieira tient enfin sa première victoire avec le Sén</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2026-09-29</w:t>
            </w:r>
          </w:p>
        </w:tc>
        <w:tc>
          <w:tcPr>
            <w:tcW w:type="dxa" w:w="1728"/>
          </w:tcPr>
          <w:p>
            <w:r>
              <w:rPr>
                <w:sz w:val="14"/>
              </w:rPr>
              <w:t xml:space="preserve">Taux, banques centrales, résultats… la résistance des marchés actions </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2026-09-29</w:t>
            </w:r>
          </w:p>
        </w:tc>
        <w:tc>
          <w:tcPr>
            <w:tcW w:type="dxa" w:w="1728"/>
          </w:tcPr>
          <w:p>
            <w:r>
              <w:rPr>
                <w:sz w:val="14"/>
              </w:rPr>
              <w:t>Gaz, pétrole, métaux : la facture des matières premières repart à la h</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2026-09-29</w:t>
            </w:r>
          </w:p>
        </w:tc>
        <w:tc>
          <w:tcPr>
            <w:tcW w:type="dxa" w:w="1728"/>
          </w:tcPr>
          <w:p>
            <w:r>
              <w:rPr>
                <w:sz w:val="14"/>
              </w:rPr>
              <w:t>AES-CEDEAO : entre rupture et coopération - Meer | English edition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IPO Dangote : la BVMAC et la BRVM opposent leur veto - Africtelegraph</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BRVM bourse</w:t>
            </w:r>
          </w:p>
        </w:tc>
      </w:tr>
      <w:tr>
        <w:tc>
          <w:tcPr>
            <w:tcW w:type="dxa" w:w="1728"/>
          </w:tcPr>
          <w:p>
            <w:r>
              <w:rPr>
                <w:sz w:val="14"/>
              </w:rPr>
              <w:t>2026-09-29</w:t>
            </w:r>
          </w:p>
        </w:tc>
        <w:tc>
          <w:tcPr>
            <w:tcW w:type="dxa" w:w="1728"/>
          </w:tcPr>
          <w:p>
            <w:r>
              <w:rPr>
                <w:sz w:val="14"/>
              </w:rPr>
              <w:t>Bourses africaines : une séance contrastée entre rebond et stabilité -</w:t>
            </w:r>
          </w:p>
        </w:tc>
        <w:tc>
          <w:tcPr>
            <w:tcW w:type="dxa" w:w="1728"/>
          </w:tcPr>
          <w:p>
            <w:r>
              <w:rPr>
                <w:sz w:val="14"/>
              </w:rPr>
              <w:t>Neutre</w:t>
            </w:r>
          </w:p>
        </w:tc>
        <w:tc>
          <w:tcPr>
            <w:tcW w:type="dxa" w:w="1728"/>
          </w:tcPr>
          <w:p>
            <w:r>
              <w:rPr>
                <w:sz w:val="14"/>
              </w:rPr>
              <w:t>Neutre</w:t>
            </w:r>
          </w:p>
        </w:tc>
        <w:tc>
          <w:tcPr>
            <w:tcW w:type="dxa" w:w="1728"/>
          </w:tcPr>
          <w:p>
            <w:r>
              <w:rPr>
                <w:sz w:val="14"/>
              </w:rPr>
              <w:t>Google News — BRVM bourse</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(8 alerte(s))</w:t>
      </w:r>
    </w:p>
    <w:p>
      <w:pPr>
        <w:spacing w:before="40" w:after="40"/>
        <w:ind w:left="360"/>
      </w:pPr>
      <w:r>
        <w:rPr>
          <w:color w:val="646464"/>
          <w:sz w:val="17"/>
        </w:rPr>
        <w:t xml:space="preserve">[30/09/2026] 🔴  </w:t>
      </w:r>
      <w:r>
        <w:rPr>
          <w:b/>
          <w:color w:val="C00000"/>
          <w:sz w:val="18"/>
        </w:rPr>
        <w:t>Burkina Faso : quatre ans de pouvoir pour Ibrahim Traoré - DW.com</w:t>
      </w:r>
      <w:r>
        <w:rPr>
          <w:color w:val="787878"/>
          <w:sz w:val="15"/>
        </w:rPr>
        <w:t xml:space="preserve">  [politique]</w:t>
      </w:r>
      <w:r>
        <w:rPr>
          <w:color w:val="B47800"/>
          <w:sz w:val="16"/>
        </w:rPr>
        <w:t xml:space="preserve">  ★ 50/10</w:t>
      </w:r>
    </w:p>
    <w:p>
      <w:pPr>
        <w:spacing w:before="0" w:after="20"/>
        <w:ind w:left="600"/>
      </w:pPr>
      <w:r>
        <w:rPr>
          <w:color w:val="323232"/>
          <w:sz w:val="17"/>
        </w:rPr>
        <w:t>L'article de DW.com revient sur les quatre années de pouvoir d'Ibrahim Traoré à la tête du Burkina Faso, arrivé au pouvoir par un coup d'État en septembre 2022. Il dresse un bilan politique marqué par une rupture avec la France, un rapprochement avec la Russie et l'Alliance des États du Sahel, ainsi que par la persistance de l'insécurité liée aux g</w:t>
      </w:r>
    </w:p>
    <w:p>
      <w:pPr>
        <w:spacing w:before="0" w:after="40"/>
        <w:ind w:left="600"/>
      </w:pPr>
      <w:r>
        <w:rPr>
          <w:color w:val="00643C"/>
          <w:sz w:val="16"/>
        </w:rPr>
        <w:t>Points clés : Quatre ans de pouvoir d'Ibrahim Traoré depuis le coup d'État de septembre 2022  •  Réorientation diplomatique : rupture avec la France, rapprochement avec la Russie et l'AES  •  Persistance de l'insécurité et des attaques jihadistes dans plusieurs régions  •  Tensions avec la CEDEAO et les partenaires internationaux</w:t>
      </w:r>
    </w:p>
    <w:p>
      <w:pPr>
        <w:spacing w:before="0" w:after="60"/>
        <w:ind w:left="600"/>
      </w:pPr>
      <w:r>
        <w:rPr>
          <w:color w:val="0064B4"/>
          <w:sz w:val="15"/>
        </w:rPr>
        <w:t>Source : https://news.google.com/rss/articles/CBMiiwFBVV95cUxNektqRmVpeXJpT2hHaHBRdnNLX3V</w:t>
      </w:r>
    </w:p>
    <w:p>
      <w:pPr>
        <w:spacing w:before="40" w:after="40"/>
        <w:ind w:left="360"/>
      </w:pPr>
      <w:r>
        <w:rPr>
          <w:color w:val="646464"/>
          <w:sz w:val="17"/>
        </w:rPr>
        <w:t xml:space="preserve">[29/09/2026] ⚪  </w:t>
      </w:r>
      <w:r>
        <w:rPr>
          <w:b/>
          <w:color w:val="505050"/>
          <w:sz w:val="18"/>
        </w:rPr>
        <w:t>Sahara occidental : le Burkina Faso plaide pour une solution « politique négociée » - afrik.com</w:t>
      </w:r>
      <w:r>
        <w:rPr>
          <w:color w:val="787878"/>
          <w:sz w:val="15"/>
        </w:rPr>
        <w:t xml:space="preserve">  [politique]</w:t>
      </w:r>
      <w:r>
        <w:rPr>
          <w:color w:val="B47800"/>
          <w:sz w:val="16"/>
        </w:rPr>
        <w:t xml:space="preserve">  ★ 50/10</w:t>
      </w:r>
    </w:p>
    <w:p>
      <w:pPr>
        <w:spacing w:before="0" w:after="20"/>
        <w:ind w:left="600"/>
      </w:pPr>
      <w:r>
        <w:rPr>
          <w:color w:val="323232"/>
          <w:sz w:val="17"/>
        </w:rPr>
        <w:t>Le Burkina Faso a exprimé sa position sur le conflit du Sahara occidental en plaidant pour une solution politique négociée. Cette prise de position s'inscrit dans le cadre des efforts diplomatiques africains visant à résoudre ce différend de longue date. Le Burkina Faso, membre de l'UEMOA, réaffirme ainsi son engagement pour une résolution pacifiqu</w:t>
      </w:r>
    </w:p>
    <w:p>
      <w:pPr>
        <w:spacing w:before="0" w:after="40"/>
        <w:ind w:left="600"/>
      </w:pPr>
      <w:r>
        <w:rPr>
          <w:color w:val="00643C"/>
          <w:sz w:val="16"/>
        </w:rPr>
        <w:t>Points clés : Le Burkina Faso appelle à une solution politique négociée pour le Sahara occidental  •  Position diplomatique dans le cadre des efforts africains de résolution de conflit  •  Aucune implication économique ou financière directe pour la BRVM</w:t>
      </w:r>
    </w:p>
    <w:p>
      <w:pPr>
        <w:spacing w:before="0" w:after="60"/>
        <w:ind w:left="600"/>
      </w:pPr>
      <w:r>
        <w:rPr>
          <w:color w:val="0064B4"/>
          <w:sz w:val="15"/>
        </w:rPr>
        <w:t>Source : https://news.google.com/rss/articles/CBMioAFBVV95cUxNTFVta2pXVDdfdzQzQ2xjSktqWE0</w:t>
      </w:r>
    </w:p>
    <w:p>
      <w:pPr>
        <w:spacing w:before="40" w:after="40"/>
        <w:ind w:left="360"/>
      </w:pPr>
      <w:r>
        <w:rPr>
          <w:color w:val="646464"/>
          <w:sz w:val="17"/>
        </w:rPr>
        <w:t xml:space="preserve">[29/09/2026] 🟢  </w:t>
      </w:r>
      <w:r>
        <w:rPr>
          <w:b/>
          <w:color w:val="008000"/>
          <w:sz w:val="18"/>
        </w:rPr>
        <w:t>CAN 2027 : Patrick Vieira tient enfin sa première victoire avec le Sénégal - Benin Web TV</w:t>
      </w:r>
      <w:r>
        <w:rPr>
          <w:color w:val="787878"/>
          <w:sz w:val="15"/>
        </w:rPr>
        <w:t xml:space="preserve">  [politique]</w:t>
      </w:r>
      <w:r>
        <w:rPr>
          <w:color w:val="B47800"/>
          <w:sz w:val="16"/>
        </w:rPr>
        <w:t xml:space="preserve">  ★ 50/10</w:t>
      </w:r>
    </w:p>
    <w:p>
      <w:pPr>
        <w:spacing w:before="0" w:after="20"/>
        <w:ind w:left="600"/>
      </w:pPr>
      <w:r>
        <w:rPr>
          <w:color w:val="323232"/>
          <w:sz w:val="17"/>
        </w:rPr>
        <w:t>L'article rapporte que Patrick Vieira a obtenu sa première victoire en tant qu'entraîneur du Sénégal dans le cadre des qualifications pour la CAN 2027. Il s'agit d'une actualité sportive sans lien direct avec les marchés financiers de l'UEMOA. Aucune information économique ou boursière n'est mentionnée.</w:t>
      </w:r>
    </w:p>
    <w:p>
      <w:pPr>
        <w:spacing w:before="0" w:after="40"/>
        <w:ind w:left="600"/>
      </w:pPr>
      <w:r>
        <w:rPr>
          <w:color w:val="00643C"/>
          <w:sz w:val="16"/>
        </w:rPr>
        <w:t>Points clés : Patrick Vieira remporte sa première victoire avec le Sénégal  •  Contexte : qualifications CAN 2027  •  Aucune implication financière ou boursière</w:t>
      </w:r>
    </w:p>
    <w:p>
      <w:pPr>
        <w:spacing w:before="0" w:after="60"/>
        <w:ind w:left="600"/>
      </w:pPr>
      <w:r>
        <w:rPr>
          <w:color w:val="0064B4"/>
          <w:sz w:val="15"/>
        </w:rPr>
        <w:t>Source : https://news.google.com/rss/articles/CBMimwFBVV95cUxOX2hxcU43U2NicjBMOHdOWEN0Q0g</w:t>
      </w:r>
    </w:p>
    <w:p>
      <w:pPr>
        <w:spacing w:before="40" w:after="40"/>
        <w:ind w:left="360"/>
      </w:pPr>
      <w:r>
        <w:rPr>
          <w:color w:val="646464"/>
          <w:sz w:val="17"/>
        </w:rPr>
        <w:t xml:space="preserve">[29/09/2026] 🔴  </w:t>
      </w:r>
      <w:r>
        <w:rPr>
          <w:b/>
          <w:color w:val="C00000"/>
          <w:sz w:val="18"/>
        </w:rPr>
        <w:t>Mali : l’exécutif accuse de nouveau l’Ukraine de soutenir le terrorisme au Sahel - Africa24 TV</w:t>
      </w:r>
      <w:r>
        <w:rPr>
          <w:color w:val="787878"/>
          <w:sz w:val="15"/>
        </w:rPr>
        <w:t xml:space="preserve">  [politique]</w:t>
      </w:r>
      <w:r>
        <w:rPr>
          <w:color w:val="B47800"/>
          <w:sz w:val="16"/>
        </w:rPr>
        <w:t xml:space="preserve">  ★ 50/10</w:t>
      </w:r>
    </w:p>
    <w:p>
      <w:pPr>
        <w:spacing w:before="0" w:after="20"/>
        <w:ind w:left="600"/>
      </w:pPr>
      <w:r>
        <w:rPr>
          <w:color w:val="323232"/>
          <w:sz w:val="17"/>
        </w:rPr>
        <w:t>Le gouvernement malien accuse de nouveau l'Ukraine de soutenir le terrorisme au Sahel, renforçant les tensions diplomatiques entre Bamako et Kiev. Cette déclaration s'inscrit dans un contexte de rupture entre le Mali et ses partenaires occidentaux, au profit d'une alliance avec la Russie. L'accusation pourrait exacerber l'instabilité régionale et c</w:t>
      </w:r>
    </w:p>
    <w:p>
      <w:pPr>
        <w:spacing w:before="0" w:after="40"/>
        <w:ind w:left="600"/>
      </w:pPr>
      <w:r>
        <w:rPr>
          <w:color w:val="00643C"/>
          <w:sz w:val="16"/>
        </w:rPr>
        <w:t>Points clés : Le Mali accuse l'Ukraine de soutenir le terrorisme au Sahel  •  Tensions diplomatiques croissantes entre Bamako et Kiev  •  Contexte de rapprochement du Mali avec la Russie</w:t>
      </w:r>
    </w:p>
    <w:p>
      <w:pPr>
        <w:spacing w:before="0" w:after="60"/>
        <w:ind w:left="600"/>
      </w:pPr>
      <w:r>
        <w:rPr>
          <w:color w:val="0064B4"/>
          <w:sz w:val="15"/>
        </w:rPr>
        <w:t>Source : https://news.google.com/rss/articles/CBMiogFBVV95cUxObEZRbVhsVlNGdU1wRlRXdmtOYW1</w:t>
      </w:r>
    </w:p>
    <w:p>
      <w:pPr>
        <w:spacing w:before="40" w:after="40"/>
        <w:ind w:left="360"/>
      </w:pPr>
      <w:r>
        <w:rPr>
          <w:color w:val="646464"/>
          <w:sz w:val="17"/>
        </w:rPr>
        <w:t xml:space="preserve">[29/09/2026] ⚪  </w:t>
      </w:r>
      <w:r>
        <w:rPr>
          <w:b/>
          <w:color w:val="505050"/>
          <w:sz w:val="18"/>
        </w:rPr>
        <w:t>ONU : Mali plaide pour un « multilatéralisme réformé » et revendique son autonomie stratégique face aux crises mondiales</w:t>
      </w:r>
      <w:r>
        <w:rPr>
          <w:color w:val="787878"/>
          <w:sz w:val="15"/>
        </w:rPr>
        <w:t xml:space="preserve">  [politique]</w:t>
      </w:r>
      <w:r>
        <w:rPr>
          <w:color w:val="B47800"/>
          <w:sz w:val="16"/>
        </w:rPr>
        <w:t xml:space="preserve">  ★ 50/10</w:t>
      </w:r>
    </w:p>
    <w:p>
      <w:pPr>
        <w:spacing w:before="0" w:after="20"/>
        <w:ind w:left="600"/>
      </w:pPr>
      <w:r>
        <w:rPr>
          <w:color w:val="323232"/>
          <w:sz w:val="17"/>
        </w:rPr>
        <w:t>Le Mali a pris la parole à l'ONU pour plaider en faveur d'un multilatéralisme réformé et revendiquer son autonomie stratégique face aux crises mondiales. Cette prise de position s'inscrit dans un contexte de tensions géopolitiques et de remise en cause de l'ordre international. Le pays cherche à affirmer sa souveraineté et à diversifier ses partena</w:t>
      </w:r>
    </w:p>
    <w:p>
      <w:pPr>
        <w:spacing w:before="0" w:after="40"/>
        <w:ind w:left="600"/>
      </w:pPr>
      <w:r>
        <w:rPr>
          <w:color w:val="00643C"/>
          <w:sz w:val="16"/>
        </w:rPr>
        <w:t>Points clés : Le Mali appelle à un multilatéralisme réformé à l'ONU  •  Revendication d'autonomie stratégique face aux crises mondiales  •  Contexte de tensions géopolitiques et de remise en cause de l'ordre international</w:t>
      </w:r>
    </w:p>
    <w:p>
      <w:pPr>
        <w:spacing w:before="0" w:after="60"/>
        <w:ind w:left="600"/>
      </w:pPr>
      <w:r>
        <w:rPr>
          <w:color w:val="0064B4"/>
          <w:sz w:val="15"/>
        </w:rPr>
        <w:t>Source : https://news.google.com/rss/articles/CBMizgFBVV95cUxPQUczUVpqWXdSdG9XV0pVOTdEX2V</w:t>
      </w:r>
    </w:p>
    <w:p>
      <w:pPr>
        <w:spacing w:before="120" w:after="40"/>
      </w:pPr>
      <w:r>
        <w:rPr>
          <w:b/>
          <w:color w:val="00467F"/>
          <w:sz w:val="20"/>
        </w:rPr>
        <w:t>🔑 économique  (4 alerte(s))</w:t>
      </w:r>
    </w:p>
    <w:p>
      <w:pPr>
        <w:spacing w:before="40" w:after="40"/>
        <w:ind w:left="360"/>
      </w:pPr>
      <w:r>
        <w:rPr>
          <w:color w:val="646464"/>
          <w:sz w:val="17"/>
        </w:rPr>
        <w:t xml:space="preserve">[29/09/2026] 🟢  </w:t>
      </w:r>
      <w:r>
        <w:rPr>
          <w:b/>
          <w:color w:val="008000"/>
          <w:sz w:val="18"/>
        </w:rPr>
        <w:t>La BIDC lance les activités de la deuxième édition du Forum d’investissement de la CEDEAO - APS - Agence de Presse Sénég</w:t>
      </w:r>
      <w:r>
        <w:rPr>
          <w:color w:val="787878"/>
          <w:sz w:val="15"/>
        </w:rPr>
        <w:t xml:space="preserve">  [économique]</w:t>
      </w:r>
      <w:r>
        <w:rPr>
          <w:color w:val="B47800"/>
          <w:sz w:val="16"/>
        </w:rPr>
        <w:t xml:space="preserve">  ★ 50/10</w:t>
      </w:r>
    </w:p>
    <w:p>
      <w:pPr>
        <w:spacing w:before="0" w:after="20"/>
        <w:ind w:left="600"/>
      </w:pPr>
      <w:r>
        <w:rPr>
          <w:color w:val="323232"/>
          <w:sz w:val="17"/>
        </w:rPr>
        <w:t>La Banque d'Investissement et de Développement de la CEDEAO (BIDC) a lancé les activités de la deuxième édition du Forum d'investissement de la CEDEAO. Cet événement vise à promouvoir les opportunités d'investissement dans la région ouest-africaine et à mobiliser des financements pour des projets structurants. Il s'inscrit dans le cadre des efforts</w:t>
      </w:r>
    </w:p>
    <w:p>
      <w:pPr>
        <w:spacing w:before="0" w:after="40"/>
        <w:ind w:left="600"/>
      </w:pPr>
      <w:r>
        <w:rPr>
          <w:color w:val="00643C"/>
          <w:sz w:val="16"/>
        </w:rPr>
        <w:t>Points clés : Lancement de la deuxième édition du Forum d'investissement de la CEDEAO par la BIDC  •  Objectif de promotion des investissements et de mobilisation de financements en Afrique de l'Ouest  •  Renforcement de l'intégration économique régionale</w:t>
      </w:r>
    </w:p>
    <w:p>
      <w:pPr>
        <w:spacing w:before="0" w:after="60"/>
        <w:ind w:left="600"/>
      </w:pPr>
      <w:r>
        <w:rPr>
          <w:color w:val="0064B4"/>
          <w:sz w:val="15"/>
        </w:rPr>
        <w:t>Source : https://news.google.com/rss/articles/CBMipwFBVV95cUxOZHkzakNTM0V1Nnh6YXdjckJIU3R</w:t>
      </w:r>
    </w:p>
    <w:p>
      <w:pPr>
        <w:spacing w:before="40" w:after="40"/>
        <w:ind w:left="360"/>
      </w:pPr>
      <w:r>
        <w:rPr>
          <w:color w:val="646464"/>
          <w:sz w:val="17"/>
        </w:rPr>
        <w:t xml:space="preserve">[29/09/2026] 🟢  </w:t>
      </w:r>
      <w:r>
        <w:rPr>
          <w:b/>
          <w:color w:val="008000"/>
          <w:sz w:val="18"/>
        </w:rPr>
        <w:t>La BIDC valide 400 millions de dollars pour quatre projets ouest-africains - Africtelegraph</w:t>
      </w:r>
      <w:r>
        <w:rPr>
          <w:color w:val="787878"/>
          <w:sz w:val="15"/>
        </w:rPr>
        <w:t xml:space="preserve">  [économique]</w:t>
      </w:r>
      <w:r>
        <w:rPr>
          <w:color w:val="B47800"/>
          <w:sz w:val="16"/>
        </w:rPr>
        <w:t xml:space="preserve">  ★ 50/10</w:t>
      </w:r>
    </w:p>
    <w:p>
      <w:pPr>
        <w:spacing w:before="0" w:after="20"/>
        <w:ind w:left="600"/>
      </w:pPr>
      <w:r>
        <w:rPr>
          <w:color w:val="323232"/>
          <w:sz w:val="17"/>
        </w:rPr>
        <w:t>La Banque d'Investissement et de Développement de la CEDEAO (BIDC) a approuvé un financement de 400 millions de dollars pour quatre projets en Afrique de l'Ouest. Cette enveloppe vise à soutenir des infrastructures et des initiatives de développement régional. L'annonce renforce les perspectives de croissance économique dans la zone UEMOA. Les sect</w:t>
      </w:r>
    </w:p>
    <w:p>
      <w:pPr>
        <w:spacing w:before="0" w:after="40"/>
        <w:ind w:left="600"/>
      </w:pPr>
      <w:r>
        <w:rPr>
          <w:color w:val="00643C"/>
          <w:sz w:val="16"/>
        </w:rPr>
        <w:t>Points clés : La BIDC valide 400 millions USD pour quatre projets ouest-africains  •  Financement destiné à des projets de développement régional  •  Impact potentiel sur les infrastructures et l'économie de la zone UEMOA</w:t>
      </w:r>
    </w:p>
    <w:p>
      <w:pPr>
        <w:spacing w:before="0" w:after="60"/>
        <w:ind w:left="600"/>
      </w:pPr>
      <w:r>
        <w:rPr>
          <w:color w:val="0064B4"/>
          <w:sz w:val="15"/>
        </w:rPr>
        <w:t>Source : https://news.google.com/rss/articles/CBMiqwFBVV95cUxNZXhLSXJJZm5tYmkxRXM3OEFHYkR</w:t>
      </w:r>
    </w:p>
    <w:p>
      <w:pPr>
        <w:spacing w:before="40" w:after="40"/>
        <w:ind w:left="360"/>
      </w:pPr>
      <w:r>
        <w:rPr>
          <w:color w:val="646464"/>
          <w:sz w:val="17"/>
        </w:rPr>
        <w:t xml:space="preserve">[29/09/2026] ⚪  </w:t>
      </w:r>
      <w:r>
        <w:rPr>
          <w:b/>
          <w:color w:val="505050"/>
          <w:sz w:val="18"/>
        </w:rPr>
        <w:t>AES-CEDEAO : entre rupture et coopération - Meer | English edition</w:t>
      </w:r>
      <w:r>
        <w:rPr>
          <w:color w:val="787878"/>
          <w:sz w:val="15"/>
        </w:rPr>
        <w:t xml:space="preserve">  [économique]</w:t>
      </w:r>
      <w:r>
        <w:rPr>
          <w:color w:val="B47800"/>
          <w:sz w:val="16"/>
        </w:rPr>
        <w:t xml:space="preserve">  ★ 50/10</w:t>
      </w:r>
    </w:p>
    <w:p>
      <w:pPr>
        <w:spacing w:before="0" w:after="20"/>
        <w:ind w:left="600"/>
      </w:pPr>
      <w:r>
        <w:rPr>
          <w:color w:val="323232"/>
          <w:sz w:val="17"/>
        </w:rPr>
        <w:t>L'article traite des relations entre l'Alliance des États du Sahel (AES) et la CEDEAO, oscillant entre rupture et coopération. Il analyse les tensions politiques et les dynamiques économiques entre les pays membres de l'AES (Mali, Burkina Faso, Niger) et la CEDEAO. Les enjeux incluent les échanges commerciaux, la libre circulation et les conséquenc</w:t>
      </w:r>
    </w:p>
    <w:p>
      <w:pPr>
        <w:spacing w:before="0" w:after="40"/>
        <w:ind w:left="600"/>
      </w:pPr>
      <w:r>
        <w:rPr>
          <w:color w:val="00643C"/>
          <w:sz w:val="16"/>
        </w:rPr>
        <w:t>Points clés : Relations complexes entre l'AES et la CEDEAO, entre rupture et coopération  •  Enjeux économiques : commerce, libre circulation, intégration régionale  •  Impact potentiel sur la stabilité et les marchés de la zone UEMOA</w:t>
      </w:r>
    </w:p>
    <w:p>
      <w:pPr>
        <w:spacing w:before="0" w:after="60"/>
        <w:ind w:left="600"/>
      </w:pPr>
      <w:r>
        <w:rPr>
          <w:color w:val="0064B4"/>
          <w:sz w:val="15"/>
        </w:rPr>
        <w:t>Source : https://news.google.com/rss/articles/CBMiekFVX3lxTE9fcC0tYXNuYUFZcHEwNFh3eWxjbHF</w:t>
      </w:r>
    </w:p>
    <w:p>
      <w:pPr>
        <w:spacing w:before="40" w:after="40"/>
        <w:ind w:left="360"/>
      </w:pPr>
      <w:r>
        <w:rPr>
          <w:color w:val="646464"/>
          <w:sz w:val="17"/>
        </w:rPr>
        <w:t xml:space="preserve">[28/09/2026] 🟢  </w:t>
      </w:r>
      <w:r>
        <w:rPr>
          <w:b/>
          <w:color w:val="008000"/>
          <w:sz w:val="18"/>
        </w:rPr>
        <w:t>​UEMOA 2025 : Une croissance robuste à 6,5 % et un système bancaire plus résilient - pressafrik.com</w:t>
      </w:r>
      <w:r>
        <w:rPr>
          <w:color w:val="787878"/>
          <w:sz w:val="15"/>
        </w:rPr>
        <w:t xml:space="preserve">  [économique]</w:t>
      </w:r>
      <w:r>
        <w:rPr>
          <w:color w:val="B47800"/>
          <w:sz w:val="16"/>
        </w:rPr>
        <w:t xml:space="preserve">  ★ 50/10</w:t>
      </w:r>
    </w:p>
    <w:p>
      <w:pPr>
        <w:spacing w:before="0" w:after="20"/>
        <w:ind w:left="600"/>
      </w:pPr>
      <w:r>
        <w:rPr>
          <w:color w:val="323232"/>
          <w:sz w:val="17"/>
        </w:rPr>
        <w:t>Selon les prévisions pour 2025, l'Union Économique et Monétaire Ouest-Africaine (UEMOA) devrait enregistrer une croissance économique robuste de 6,5 %, portée par la reprise des activités et la solidité des fondamentaux. Le système bancaire de la zone est également jugé plus résilient, avec des ratios de solvabilité et de liquidité en amélioration.</w:t>
      </w:r>
    </w:p>
    <w:p>
      <w:pPr>
        <w:spacing w:before="0" w:after="40"/>
        <w:ind w:left="600"/>
      </w:pPr>
      <w:r>
        <w:rPr>
          <w:color w:val="00643C"/>
          <w:sz w:val="16"/>
        </w:rPr>
        <w:t>Points clés : Croissance du PIB de l'UEMOA estimée à 6,5 % en 2025  •  Système bancaire renforcé et plus résilient  •  Perspectives favorables pour les marchés financiers de la zone</w:t>
      </w:r>
    </w:p>
    <w:p>
      <w:pPr>
        <w:spacing w:before="0" w:after="60"/>
        <w:ind w:left="600"/>
      </w:pPr>
      <w:r>
        <w:rPr>
          <w:color w:val="0064B4"/>
          <w:sz w:val="15"/>
        </w:rPr>
        <w:t>Source : https://news.google.com/rss/articles/CBMiyAFBVV95cUxOcWJwQ29tVzhUeExiTmNBLUxhVkJ</w:t>
      </w:r>
    </w:p>
    <w:p>
      <w:pPr>
        <w:spacing w:before="120" w:after="40"/>
      </w:pPr>
      <w:r>
        <w:rPr>
          <w:b/>
          <w:color w:val="00467F"/>
          <w:sz w:val="20"/>
        </w:rPr>
        <w:t>🔑 marche_financier  (4 alerte(s))</w:t>
      </w:r>
    </w:p>
    <w:p>
      <w:pPr>
        <w:spacing w:before="40" w:after="40"/>
        <w:ind w:left="360"/>
      </w:pPr>
      <w:r>
        <w:rPr>
          <w:color w:val="646464"/>
          <w:sz w:val="17"/>
        </w:rPr>
        <w:t xml:space="preserve">[29/09/2026] ⚪  </w:t>
      </w:r>
      <w:r>
        <w:rPr>
          <w:b/>
          <w:color w:val="505050"/>
          <w:sz w:val="18"/>
        </w:rPr>
        <w:t>Taux, banques centrales, résultats… la résistance des marchés actions à l'épreuve de l'incertitude - Les Echos</w:t>
      </w:r>
      <w:r>
        <w:rPr>
          <w:color w:val="787878"/>
          <w:sz w:val="15"/>
        </w:rPr>
        <w:t xml:space="preserve">  [marche_financier]</w:t>
      </w:r>
      <w:r>
        <w:rPr>
          <w:color w:val="B47800"/>
          <w:sz w:val="16"/>
        </w:rPr>
        <w:t xml:space="preserve">  ★ 50/10</w:t>
      </w:r>
    </w:p>
    <w:p>
      <w:pPr>
        <w:spacing w:before="0" w:after="20"/>
        <w:ind w:left="600"/>
      </w:pPr>
      <w:r>
        <w:rPr>
          <w:color w:val="323232"/>
          <w:sz w:val="17"/>
        </w:rPr>
        <w:t>Les marchés actions mondiaux font preuve de résistance malgré un contexte d'incertitude lié aux taux d'intérêt, aux décisions des banques centrales et aux résultats d'entreprises. Les investisseurs évaluent l'impact des politiques monétaires restrictives sur la croissance et les bénéfices. Cette résilience témoigne d'une certaine confiance, mais le</w:t>
      </w:r>
    </w:p>
    <w:p>
      <w:pPr>
        <w:spacing w:before="0" w:after="40"/>
        <w:ind w:left="600"/>
      </w:pPr>
      <w:r>
        <w:rPr>
          <w:color w:val="00643C"/>
          <w:sz w:val="16"/>
        </w:rPr>
        <w:t>Points clés : Incertitude sur l'évolution des taux directeurs des banques centrales  •  Publication de résultats d'entreprises mitigés  •  Résistance des indices actions face aux turbulences  •  Attention portée aux prochaines décisions de politique monétaire</w:t>
      </w:r>
    </w:p>
    <w:p>
      <w:pPr>
        <w:spacing w:before="0" w:after="60"/>
        <w:ind w:left="600"/>
      </w:pPr>
      <w:r>
        <w:rPr>
          <w:color w:val="0064B4"/>
          <w:sz w:val="15"/>
        </w:rPr>
        <w:t>Source : https://news.google.com/rss/articles/CBMi8gFBVV95cUxNLUxwR3lMV1pXaEhpOVE1ejV4Z3h</w:t>
      </w:r>
    </w:p>
    <w:p>
      <w:pPr>
        <w:spacing w:before="40" w:after="40"/>
        <w:ind w:left="360"/>
      </w:pPr>
      <w:r>
        <w:rPr>
          <w:color w:val="646464"/>
          <w:sz w:val="17"/>
        </w:rPr>
        <w:t xml:space="preserve">[29/09/2026] 🔴  </w:t>
      </w:r>
      <w:r>
        <w:rPr>
          <w:b/>
          <w:color w:val="C00000"/>
          <w:sz w:val="18"/>
        </w:rPr>
        <w:t>IPO Dangote : la BVMAC et la BRVM opposent leur veto - Africtelegraph</w:t>
      </w:r>
      <w:r>
        <w:rPr>
          <w:color w:val="787878"/>
          <w:sz w:val="15"/>
        </w:rPr>
        <w:t xml:space="preserve">  [marche_financier]</w:t>
      </w:r>
      <w:r>
        <w:rPr>
          <w:color w:val="B47800"/>
          <w:sz w:val="16"/>
        </w:rPr>
        <w:t xml:space="preserve">  ★ 50/10</w:t>
      </w:r>
    </w:p>
    <w:p>
      <w:pPr>
        <w:spacing w:before="0" w:after="20"/>
        <w:ind w:left="600"/>
      </w:pPr>
      <w:r>
        <w:rPr>
          <w:color w:val="323232"/>
          <w:sz w:val="17"/>
        </w:rPr>
        <w:t xml:space="preserve">La BVMAC (Bourse des Valeurs Mobilières de l'Afrique Centrale) et la BRVM (Bourse Régionale des Valeurs Mobilières de l'UEMOA) auraient opposé leur veto à l'introduction en bourse du groupe Dangote sur leurs marchés respectifs. Cette décision conjointe empêcherait le géant nigérian d'accéder aux investisseurs des deux zones monétaires. Les raisons </w:t>
      </w:r>
    </w:p>
    <w:p>
      <w:pPr>
        <w:spacing w:before="0" w:after="40"/>
        <w:ind w:left="600"/>
      </w:pPr>
      <w:r>
        <w:rPr>
          <w:color w:val="00643C"/>
          <w:sz w:val="16"/>
        </w:rPr>
        <w:t>Points clés : La BVMAC et la BRVM refusent l'IPO de Dangote sur leurs marchés  •  Décision conjointe des deux bourses africaines  •  Le groupe Dangote se voit bloquer l'accès aux investisseurs de la zone UEMOA et CEMAC  •  Les motivations précises du veto ne sont pas explicitées dans l'article</w:t>
      </w:r>
    </w:p>
    <w:p>
      <w:pPr>
        <w:spacing w:before="0" w:after="60"/>
        <w:ind w:left="600"/>
      </w:pPr>
      <w:r>
        <w:rPr>
          <w:color w:val="0064B4"/>
          <w:sz w:val="15"/>
        </w:rPr>
        <w:t>Source : https://news.google.com/rss/articles/CBMiiwFBVV95cUxPc2JkZXF1MFlTQVRvRUxXVE9UR19</w:t>
      </w:r>
    </w:p>
    <w:p>
      <w:pPr>
        <w:spacing w:before="40" w:after="40"/>
        <w:ind w:left="360"/>
      </w:pPr>
      <w:r>
        <w:rPr>
          <w:color w:val="646464"/>
          <w:sz w:val="17"/>
        </w:rPr>
        <w:t xml:space="preserve">[29/09/2026] 🟢  </w:t>
      </w:r>
      <w:r>
        <w:rPr>
          <w:b/>
          <w:color w:val="008000"/>
          <w:sz w:val="18"/>
        </w:rPr>
        <w:t>5ᵉ Conférence internationale de l'ERSUMA : « accompagnement des entreprises par les marchés financiers en Afrique - OHAD</w:t>
      </w:r>
      <w:r>
        <w:rPr>
          <w:color w:val="787878"/>
          <w:sz w:val="15"/>
        </w:rPr>
        <w:t xml:space="preserve">  [marche_financier]</w:t>
      </w:r>
      <w:r>
        <w:rPr>
          <w:color w:val="B47800"/>
          <w:sz w:val="16"/>
        </w:rPr>
        <w:t xml:space="preserve">  ★ 50/10</w:t>
      </w:r>
    </w:p>
    <w:p>
      <w:pPr>
        <w:spacing w:before="0" w:after="20"/>
        <w:ind w:left="600"/>
      </w:pPr>
      <w:r>
        <w:rPr>
          <w:color w:val="323232"/>
          <w:sz w:val="17"/>
        </w:rPr>
        <w:t>L'ERSUMA a organisé sa 5ᵉ conférence internationale consacrée à l'accompagnement des entreprises par les marchés financiers en Afrique. Cet événement, relayé par OHADA.com, s'inscrit dans la zone UEMOA et traite du rôle des marchés de capitaux dans le financement et la croissance des entreprises africaines. Il met en lumière l'importance croissante</w:t>
      </w:r>
    </w:p>
    <w:p>
      <w:pPr>
        <w:spacing w:before="0" w:after="40"/>
        <w:ind w:left="600"/>
      </w:pPr>
      <w:r>
        <w:rPr>
          <w:color w:val="00643C"/>
          <w:sz w:val="16"/>
        </w:rPr>
        <w:t>Points clés : 5ᵉ conférence internationale de l'ERSUMA sur les marchés financiers et l'accompagnement des entreprises  •  Thématique centrée sur le financement des entreprises africaines via les marchés de capitaux  •  Cadre UEMOA et OHADA, en lien avec le développement du marché financier régional</w:t>
      </w:r>
    </w:p>
    <w:p>
      <w:pPr>
        <w:spacing w:before="0" w:after="60"/>
        <w:ind w:left="600"/>
      </w:pPr>
      <w:r>
        <w:rPr>
          <w:color w:val="0064B4"/>
          <w:sz w:val="15"/>
        </w:rPr>
        <w:t>Source : https://news.google.com/rss/articles/CBMi5AFBVV95cUxNQ21VSWxEeTc3dlhfNy1KNVZ4ZG1</w:t>
      </w:r>
    </w:p>
    <w:p>
      <w:pPr>
        <w:spacing w:before="40" w:after="40"/>
        <w:ind w:left="360"/>
      </w:pPr>
      <w:r>
        <w:rPr>
          <w:color w:val="646464"/>
          <w:sz w:val="17"/>
        </w:rPr>
        <w:t xml:space="preserve">[29/09/2026] ⚪  </w:t>
      </w:r>
      <w:r>
        <w:rPr>
          <w:b/>
          <w:color w:val="505050"/>
          <w:sz w:val="18"/>
        </w:rPr>
        <w:t>Bourses africaines : une séance contrastée entre rebond et stabilité - Capmad</w:t>
      </w:r>
      <w:r>
        <w:rPr>
          <w:color w:val="787878"/>
          <w:sz w:val="15"/>
        </w:rPr>
        <w:t xml:space="preserve">  [marche_financier]</w:t>
      </w:r>
      <w:r>
        <w:rPr>
          <w:color w:val="B47800"/>
          <w:sz w:val="16"/>
        </w:rPr>
        <w:t xml:space="preserve">  ★ 50/10</w:t>
      </w:r>
    </w:p>
    <w:p>
      <w:pPr>
        <w:spacing w:before="0" w:after="20"/>
        <w:ind w:left="600"/>
      </w:pPr>
      <w:r>
        <w:rPr>
          <w:color w:val="323232"/>
          <w:sz w:val="17"/>
        </w:rPr>
        <w:t>La séance boursière africaine a été contrastée, marquée par un rebond sur certaines places et une stabilité sur d'autres. Les investisseurs ont évolué dans un contexte de prudence, avec des performances divergentes selon les marchés. La BRVM n'est pas explicitement mentionnée, mais l'article couvre la zone UEMOA. Cette dynamique reflète les incerti</w:t>
      </w:r>
    </w:p>
    <w:p>
      <w:pPr>
        <w:spacing w:before="0" w:after="40"/>
        <w:ind w:left="600"/>
      </w:pPr>
      <w:r>
        <w:rPr>
          <w:color w:val="00643C"/>
          <w:sz w:val="16"/>
        </w:rPr>
        <w:t>Points clés : Séance contrastée sur les bourses africaines  •  Rebond sur certaines places, stabilité sur d'autres  •  Contexte de prudence des investisseurs  •  Absence de mention explicite de la BRVM</w:t>
      </w:r>
    </w:p>
    <w:p>
      <w:pPr>
        <w:spacing w:before="0" w:after="60"/>
        <w:ind w:left="600"/>
      </w:pPr>
      <w:r>
        <w:rPr>
          <w:color w:val="0064B4"/>
          <w:sz w:val="15"/>
        </w:rPr>
        <w:t>Source : https://news.google.com/rss/articles/CBMingFBVV95cUxQZEN4UXdneWpSaUhCMjJ4SUZrUDl</w:t>
      </w:r>
    </w:p>
    <w:p>
      <w:pPr>
        <w:spacing w:before="120" w:after="40"/>
      </w:pPr>
      <w:r>
        <w:rPr>
          <w:b/>
          <w:color w:val="00467F"/>
          <w:sz w:val="20"/>
        </w:rPr>
        <w:t>🔑 matieres_premieres  (1 alerte(s))</w:t>
      </w:r>
    </w:p>
    <w:p>
      <w:pPr>
        <w:spacing w:before="40" w:after="40"/>
        <w:ind w:left="360"/>
      </w:pPr>
      <w:r>
        <w:rPr>
          <w:color w:val="646464"/>
          <w:sz w:val="17"/>
        </w:rPr>
        <w:t xml:space="preserve">[29/09/2026] 🔴  </w:t>
      </w:r>
      <w:r>
        <w:rPr>
          <w:b/>
          <w:color w:val="C00000"/>
          <w:sz w:val="18"/>
        </w:rPr>
        <w:t>Gaz, pétrole, métaux : la facture des matières premières repart à la hausse - Gaz d'aujourd'hui</w:t>
      </w:r>
      <w:r>
        <w:rPr>
          <w:color w:val="787878"/>
          <w:sz w:val="15"/>
        </w:rPr>
        <w:t xml:space="preserve">  [matieres_premieres]</w:t>
      </w:r>
      <w:r>
        <w:rPr>
          <w:color w:val="B47800"/>
          <w:sz w:val="16"/>
        </w:rPr>
        <w:t xml:space="preserve">  ★ 50/10</w:t>
      </w:r>
    </w:p>
    <w:p>
      <w:pPr>
        <w:spacing w:before="0" w:after="20"/>
        <w:ind w:left="600"/>
      </w:pPr>
      <w:r>
        <w:rPr>
          <w:color w:val="323232"/>
          <w:sz w:val="17"/>
        </w:rPr>
        <w:t>Les prix des matières premières, notamment le gaz, le pétrole et les métaux, repartent à la hausse selon l'article. Cette tendance haussière pourrait avoir des répercussions sur les coûts de production et l'inflation au niveau mondial. Pour la BRVM, cela pourrait impacter les secteurs liés à l'énergie et aux matières premières, mais aussi les entre</w:t>
      </w:r>
    </w:p>
    <w:p>
      <w:pPr>
        <w:spacing w:before="0" w:after="40"/>
        <w:ind w:left="600"/>
      </w:pPr>
      <w:r>
        <w:rPr>
          <w:color w:val="00643C"/>
          <w:sz w:val="16"/>
        </w:rPr>
        <w:t>Points clés : Hausse des prix du gaz, du pétrole et des métaux  •  Reprise de la facture des matières premières  •  Impact potentiel sur l'inflation et les coûts de production</w:t>
      </w:r>
    </w:p>
    <w:p>
      <w:pPr>
        <w:spacing w:before="0" w:after="60"/>
        <w:ind w:left="600"/>
      </w:pPr>
      <w:r>
        <w:rPr>
          <w:color w:val="0064B4"/>
          <w:sz w:val="15"/>
        </w:rPr>
        <w:t>Source : https://news.google.com/rss/articles/CBMipAFBVV95cUxPLWpZNWREbzY5UnFiWUh0ZzU0a2l</w:t>
      </w:r>
    </w:p>
    <w:p>
      <w:pPr>
        <w:spacing w:before="120" w:after="40"/>
      </w:pPr>
      <w:r>
        <w:rPr>
          <w:b/>
          <w:color w:val="00467F"/>
          <w:sz w:val="20"/>
        </w:rPr>
        <w:t>🔑 politique_monetaire  (3 alerte(s))</w:t>
      </w:r>
    </w:p>
    <w:p>
      <w:pPr>
        <w:spacing w:before="40" w:after="40"/>
        <w:ind w:left="360"/>
      </w:pPr>
      <w:r>
        <w:rPr>
          <w:color w:val="646464"/>
          <w:sz w:val="17"/>
        </w:rPr>
        <w:t xml:space="preserve">[29/09/2026] ⚪  </w:t>
      </w:r>
      <w:r>
        <w:rPr>
          <w:b/>
          <w:color w:val="505050"/>
          <w:sz w:val="18"/>
        </w:rPr>
        <w:t>Flambée des taux : le meilleur et le pire pour votre épargne - Les Echos</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Cet article des Echos traite de la flambée des taux d'intérêt et de ses conséquences pour les épargnants, en distinguant les placements qui en bénéficient et ceux qui en pâtissent. Il s'inscrit dans un contexte de politique monétaire restrictive, probablement marquée par des hausses de taux directeurs. L'article vise à orienter les choix d'épargne </w:t>
      </w:r>
    </w:p>
    <w:p>
      <w:pPr>
        <w:spacing w:before="0" w:after="40"/>
        <w:ind w:left="600"/>
      </w:pPr>
      <w:r>
        <w:rPr>
          <w:color w:val="00643C"/>
          <w:sz w:val="16"/>
        </w:rPr>
        <w:t>Points clés : La hausse des taux d'intérêt modifie le rendement des placements  •  Certains produits d'épargne profitent de la flambée des taux, d'autres en souffrent  •  L'article fournit des conseils pour adapter son épargne  •  Contexte de politique monétaire restrictive</w:t>
      </w:r>
    </w:p>
    <w:p>
      <w:pPr>
        <w:spacing w:before="0" w:after="60"/>
        <w:ind w:left="600"/>
      </w:pPr>
      <w:r>
        <w:rPr>
          <w:color w:val="0064B4"/>
          <w:sz w:val="15"/>
        </w:rPr>
        <w:t>Source : https://news.google.com/rss/articles/CBMisAFBVV95cUxNRFJCd2RVSHRJMjNWRVhBdE9VTVR</w:t>
      </w:r>
    </w:p>
    <w:p>
      <w:pPr>
        <w:spacing w:before="40" w:after="40"/>
        <w:ind w:left="360"/>
      </w:pPr>
      <w:r>
        <w:rPr>
          <w:color w:val="646464"/>
          <w:sz w:val="17"/>
        </w:rPr>
        <w:t xml:space="preserve">[28/09/2026] 🔴  </w:t>
      </w:r>
      <w:r>
        <w:rPr>
          <w:b/>
          <w:color w:val="C00000"/>
          <w:sz w:val="18"/>
        </w:rPr>
        <w:t>MIB baissier après un repricing hawkish des taux de la Banque centrale européenne (BCE) - Zonebourse Suisse</w:t>
      </w:r>
      <w:r>
        <w:rPr>
          <w:color w:val="787878"/>
          <w:sz w:val="15"/>
        </w:rPr>
        <w:t xml:space="preserve">  [politique_monetaire]</w:t>
      </w:r>
      <w:r>
        <w:rPr>
          <w:color w:val="B47800"/>
          <w:sz w:val="16"/>
        </w:rPr>
        <w:t xml:space="preserve">  ★ 50/10</w:t>
      </w:r>
    </w:p>
    <w:p>
      <w:pPr>
        <w:spacing w:before="0" w:after="20"/>
        <w:ind w:left="600"/>
      </w:pPr>
      <w:r>
        <w:rPr>
          <w:color w:val="323232"/>
          <w:sz w:val="17"/>
        </w:rPr>
        <w:t>L'indice MIB italien a clôturé en baisse après que la Banque centrale européenne a adopté un ton plus hawkish que prévu sur sa politique de taux. Les investisseurs ont procédé à un repricing des anticipations de taux, intégrant des hausses plus prolongées ou plus importantes. Ce mouvement a pesé sur les valeurs sensibles aux taux, notamment bancair</w:t>
      </w:r>
    </w:p>
    <w:p>
      <w:pPr>
        <w:spacing w:before="0" w:after="40"/>
        <w:ind w:left="600"/>
      </w:pPr>
      <w:r>
        <w:rPr>
          <w:color w:val="00643C"/>
          <w:sz w:val="16"/>
        </w:rPr>
        <w:t>Points clés : La BCE a surpris par un discours plus hawkish que prévu  •  Repricing des taux directeurs à la hausse par les marchés  •  L'indice MIB italien a terminé en baisse  •  Pression sur les valeurs bancaires et cycliques</w:t>
      </w:r>
    </w:p>
    <w:p>
      <w:pPr>
        <w:spacing w:before="0" w:after="60"/>
        <w:ind w:left="600"/>
      </w:pPr>
      <w:r>
        <w:rPr>
          <w:color w:val="0064B4"/>
          <w:sz w:val="15"/>
        </w:rPr>
        <w:t>Source : https://news.google.com/rss/articles/CBMi3gFBVV95cUxNaFd4d3haNWE2d1gzNWd0RGJxcXp</w:t>
      </w:r>
    </w:p>
    <w:p>
      <w:pPr>
        <w:spacing w:before="40" w:after="40"/>
        <w:ind w:left="360"/>
      </w:pPr>
      <w:r>
        <w:rPr>
          <w:color w:val="646464"/>
          <w:sz w:val="17"/>
        </w:rPr>
        <w:t xml:space="preserve">[28/09/2026] ⚪  </w:t>
      </w:r>
      <w:r>
        <w:rPr>
          <w:b/>
          <w:color w:val="505050"/>
          <w:sz w:val="18"/>
        </w:rPr>
        <w:t>La BCE subventionne déjà les banques commerciales : pourquoi pas la transition écologique ? - The Conversation</w:t>
      </w:r>
      <w:r>
        <w:rPr>
          <w:color w:val="787878"/>
          <w:sz w:val="15"/>
        </w:rPr>
        <w:t xml:space="preserve">  [politique_monetaire]</w:t>
      </w:r>
      <w:r>
        <w:rPr>
          <w:color w:val="B47800"/>
          <w:sz w:val="16"/>
        </w:rPr>
        <w:t xml:space="preserve">  ★ 50/10</w:t>
      </w:r>
    </w:p>
    <w:p>
      <w:pPr>
        <w:spacing w:before="0" w:after="20"/>
        <w:ind w:left="600"/>
      </w:pPr>
      <w:r>
        <w:rPr>
          <w:color w:val="323232"/>
          <w:sz w:val="17"/>
        </w:rPr>
        <w:t>L'article de The Conversation analyse le rôle de la BCE qui, via ses taux de dépôt négatifs et ses achats d'actifs, subventionne indirectement les banques commerciales. L'auteur suggère que ce même mécanisme pourrait être utilisé pour financer la transition écologique. Il pose la question de la légitimité et de l'efficacité de telles subventions im</w:t>
      </w:r>
    </w:p>
    <w:p>
      <w:pPr>
        <w:spacing w:before="0" w:after="40"/>
        <w:ind w:left="600"/>
      </w:pPr>
      <w:r>
        <w:rPr>
          <w:color w:val="00643C"/>
          <w:sz w:val="16"/>
        </w:rPr>
        <w:t>Points clés : La BCE subventionne les banques commerciales via des taux négatifs et des programmes d'achat d'actifs.  •  Cette subvention pourrait être réorientée vers la transition écologique.  •  L'article questionne la cohérence des politiques monétaires face à l'urgence climatique.</w:t>
      </w:r>
    </w:p>
    <w:p>
      <w:pPr>
        <w:spacing w:before="0" w:after="60"/>
        <w:ind w:left="600"/>
      </w:pPr>
      <w:r>
        <w:rPr>
          <w:color w:val="0064B4"/>
          <w:sz w:val="15"/>
        </w:rPr>
        <w:t>Source : https://news.google.com/rss/articles/CBMivwFBVV95cUxOTnp4RE1ma2dvMVE0WU8zNW5CU3F</w:t>
      </w:r>
    </w:p>
    <w:p>
      <w:r>
        <w:br w:type="page"/>
      </w:r>
    </w:p>
    <w:p>
      <w:pPr>
        <w:pStyle w:val="Heading1"/>
      </w:pPr>
      <w:r>
        <w:t>🏆 CLASSEMENT DES SOCIÉTÉS — SCORE COMPOSITE /100</w:t>
      </w:r>
    </w:p>
    <w:p>
      <w:r>
        <w:t>Les 48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3,650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3,615</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PRSC</w:t>
            </w:r>
          </w:p>
        </w:tc>
        <w:tc>
          <w:tcPr>
            <w:tcW w:type="dxa" w:w="1080"/>
            <w:shd w:fill="C6EFCE" w:val="clear"/>
          </w:tcPr>
          <w:p>
            <w:r>
              <w:rPr>
                <w:sz w:val="16"/>
              </w:rPr>
              <w:t>CONSOMMATION DISCR</w:t>
            </w:r>
          </w:p>
        </w:tc>
        <w:tc>
          <w:tcPr>
            <w:tcW w:type="dxa" w:w="1080"/>
            <w:shd w:fill="C6EFCE" w:val="clear"/>
          </w:tcPr>
          <w:p>
            <w:r>
              <w:rPr>
                <w:sz w:val="16"/>
              </w:rPr>
              <w:t>3,900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42,995</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8,560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2,950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38,900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37,800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2,300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21,500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2,390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8,145</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6,450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1,995</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15</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9,150</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2,445</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17</w:t>
            </w:r>
          </w:p>
        </w:tc>
        <w:tc>
          <w:tcPr>
            <w:tcW w:type="dxa" w:w="1080"/>
            <w:shd w:fill="EBF5FB" w:val="clear"/>
          </w:tcPr>
          <w:p>
            <w:r>
              <w:rPr>
                <w:sz w:val="16"/>
              </w:rPr>
              <w:t>BOAC</w:t>
            </w:r>
          </w:p>
        </w:tc>
        <w:tc>
          <w:tcPr>
            <w:tcW w:type="dxa" w:w="1080"/>
            <w:shd w:fill="EBF5FB" w:val="clear"/>
          </w:tcPr>
          <w:p>
            <w:r>
              <w:rPr>
                <w:sz w:val="16"/>
              </w:rPr>
              <w:t>SERVICES FINANCIER</w:t>
            </w:r>
          </w:p>
        </w:tc>
        <w:tc>
          <w:tcPr>
            <w:tcW w:type="dxa" w:w="1080"/>
            <w:shd w:fill="EBF5FB" w:val="clear"/>
          </w:tcPr>
          <w:p>
            <w:r>
              <w:rPr>
                <w:sz w:val="16"/>
              </w:rPr>
              <w:t>11,600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18</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16,795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3,015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34,895</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9,400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3,395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15,400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2,950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12,990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16,500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21,975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3,175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1,990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5,995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69</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21,805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7,900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8,190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BBGC</w:t>
            </w:r>
          </w:p>
        </w:tc>
        <w:tc>
          <w:tcPr>
            <w:tcW w:type="dxa" w:w="1080"/>
            <w:shd w:fill="EBF5FB" w:val="clear"/>
          </w:tcPr>
          <w:p>
            <w:r>
              <w:rPr>
                <w:sz w:val="16"/>
              </w:rPr>
              <w:t>Services Financier</w:t>
            </w:r>
          </w:p>
        </w:tc>
        <w:tc>
          <w:tcPr>
            <w:tcW w:type="dxa" w:w="1080"/>
            <w:shd w:fill="EBF5FB" w:val="clear"/>
          </w:tcPr>
          <w:p>
            <w:r>
              <w:rPr>
                <w:sz w:val="16"/>
              </w:rPr>
              <w:t>9,000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5,350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32,490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3,900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7,945</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8,250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2,140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47,215</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2,380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4,800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48</w:t>
            </w:r>
          </w:p>
        </w:tc>
        <w:tc>
          <w:tcPr>
            <w:tcW w:type="dxa" w:w="1080"/>
            <w:shd w:fill="FEFEFE" w:val="clear"/>
          </w:tcPr>
          <w:p>
            <w:r>
              <w:rPr>
                <w:sz w:val="16"/>
              </w:rPr>
              <w:t>CFAC</w:t>
            </w:r>
          </w:p>
        </w:tc>
        <w:tc>
          <w:tcPr>
            <w:tcW w:type="dxa" w:w="1080"/>
            <w:shd w:fill="FEFEFE" w:val="clear"/>
          </w:tcPr>
          <w:p>
            <w:r>
              <w:rPr>
                <w:sz w:val="16"/>
              </w:rPr>
              <w:t>CONSOMMATION DISCR</w:t>
            </w:r>
          </w:p>
        </w:tc>
        <w:tc>
          <w:tcPr>
            <w:tcW w:type="dxa" w:w="1080"/>
            <w:shd w:fill="FEFEFE" w:val="clear"/>
          </w:tcPr>
          <w:p>
            <w:r>
              <w:rPr>
                <w:sz w:val="16"/>
              </w:rPr>
              <w:t>1,600</w:t>
            </w:r>
          </w:p>
        </w:tc>
        <w:tc>
          <w:tcPr>
            <w:tcW w:type="dxa" w:w="1080"/>
            <w:shd w:fill="FEFEFE" w:val="clear"/>
          </w:tcPr>
          <w:p>
            <w:r>
              <w:rPr>
                <w:b/>
                <w:sz w:val="16"/>
              </w:rPr>
              <w:t>48/100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ABJC</w:t>
            </w:r>
          </w:p>
        </w:tc>
        <w:tc>
          <w:tcPr>
            <w:tcW w:type="dxa" w:w="1728"/>
            <w:shd w:fill="DEEAF1" w:val="clear"/>
          </w:tcPr>
          <w:p>
            <w:r>
              <w:rPr>
                <w:sz w:val="17"/>
              </w:rPr>
              <w:t>ABJC - SERVAIR ABIDJAN CI</w:t>
            </w:r>
          </w:p>
        </w:tc>
        <w:tc>
          <w:tcPr>
            <w:tcW w:type="dxa" w:w="1728"/>
            <w:shd w:fill="DEEAF1" w:val="clear"/>
          </w:tcPr>
          <w:p>
            <w:r>
              <w:rPr>
                <w:sz w:val="17"/>
              </w:rPr>
              <w:t>3,650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TTLS</w:t>
            </w:r>
          </w:p>
        </w:tc>
        <w:tc>
          <w:tcPr>
            <w:tcW w:type="dxa" w:w="1728"/>
            <w:shd w:fill="DEEAF1" w:val="clear"/>
          </w:tcPr>
          <w:p>
            <w:r>
              <w:rPr>
                <w:sz w:val="17"/>
              </w:rPr>
              <w:t>TTLS - TOTAL ENERGIES MARKET</w:t>
            </w:r>
          </w:p>
        </w:tc>
        <w:tc>
          <w:tcPr>
            <w:tcW w:type="dxa" w:w="1728"/>
            <w:shd w:fill="DEEAF1" w:val="clear"/>
          </w:tcPr>
          <w:p>
            <w:r>
              <w:rPr>
                <w:sz w:val="17"/>
              </w:rPr>
              <w:t>3,615</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2,950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38,900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SLBC</w:t>
            </w:r>
          </w:p>
        </w:tc>
        <w:tc>
          <w:tcPr>
            <w:tcW w:type="dxa" w:w="1728"/>
            <w:shd w:fill="DEEAF1" w:val="clear"/>
          </w:tcPr>
          <w:p>
            <w:r>
              <w:rPr>
                <w:sz w:val="17"/>
              </w:rPr>
              <w:t>SLBC - SOLIBRA COTE D'IVOIRE</w:t>
            </w:r>
          </w:p>
        </w:tc>
        <w:tc>
          <w:tcPr>
            <w:tcW w:type="dxa" w:w="1728"/>
            <w:shd w:fill="DEEAF1" w:val="clear"/>
          </w:tcPr>
          <w:p>
            <w:r>
              <w:rPr>
                <w:sz w:val="17"/>
              </w:rPr>
              <w:t>37,800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NEIC</w:t>
            </w:r>
          </w:p>
        </w:tc>
        <w:tc>
          <w:tcPr>
            <w:tcW w:type="dxa" w:w="1728"/>
            <w:shd w:fill="DEEAF1" w:val="clear"/>
          </w:tcPr>
          <w:p>
            <w:r>
              <w:rPr>
                <w:sz w:val="17"/>
              </w:rPr>
              <w:t>NEIC - NEI-CEDA CI</w:t>
            </w:r>
          </w:p>
        </w:tc>
        <w:tc>
          <w:tcPr>
            <w:tcW w:type="dxa" w:w="1728"/>
            <w:shd w:fill="DEEAF1" w:val="clear"/>
          </w:tcPr>
          <w:p>
            <w:r>
              <w:rPr>
                <w:sz w:val="17"/>
              </w:rPr>
              <w:t>2,300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SHEC</w:t>
            </w:r>
          </w:p>
        </w:tc>
        <w:tc>
          <w:tcPr>
            <w:tcW w:type="dxa" w:w="1728"/>
            <w:shd w:fill="DEEAF1" w:val="clear"/>
          </w:tcPr>
          <w:p>
            <w:r>
              <w:rPr>
                <w:sz w:val="17"/>
              </w:rPr>
              <w:t>SHEC - VIVO ENERGY COTE D'IV</w:t>
            </w:r>
          </w:p>
        </w:tc>
        <w:tc>
          <w:tcPr>
            <w:tcW w:type="dxa" w:w="1728"/>
            <w:shd w:fill="DEEAF1" w:val="clear"/>
          </w:tcPr>
          <w:p>
            <w:r>
              <w:rPr>
                <w:sz w:val="17"/>
              </w:rPr>
              <w:t>2,390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8,145</w:t>
            </w:r>
          </w:p>
        </w:tc>
        <w:tc>
          <w:tcPr>
            <w:tcW w:type="dxa" w:w="1728"/>
            <w:shd w:fill="DEEAF1" w:val="clear"/>
          </w:tcPr>
          <w:p>
            <w:r>
              <w:rPr>
                <w:sz w:val="17"/>
              </w:rPr>
              <w:t>71/100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ABJC</w:t>
            </w:r>
          </w:p>
        </w:tc>
        <w:tc>
          <w:tcPr>
            <w:tcW w:type="dxa" w:w="1728"/>
            <w:shd w:fill="E2EFDA" w:val="clear"/>
          </w:tcPr>
          <w:p>
            <w:r>
              <w:rPr>
                <w:sz w:val="17"/>
              </w:rPr>
              <w:t>ABJC - SERVAIR ABIDJAN CI</w:t>
            </w:r>
          </w:p>
        </w:tc>
        <w:tc>
          <w:tcPr>
            <w:tcW w:type="dxa" w:w="1728"/>
            <w:shd w:fill="E2EFDA" w:val="clear"/>
          </w:tcPr>
          <w:p>
            <w:r>
              <w:rPr>
                <w:sz w:val="17"/>
              </w:rPr>
              <w:t>3,650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TTLS</w:t>
            </w:r>
          </w:p>
        </w:tc>
        <w:tc>
          <w:tcPr>
            <w:tcW w:type="dxa" w:w="1728"/>
            <w:shd w:fill="E2EFDA" w:val="clear"/>
          </w:tcPr>
          <w:p>
            <w:r>
              <w:rPr>
                <w:sz w:val="17"/>
              </w:rPr>
              <w:t>TTLS - TOTAL ENERGIES MARKET</w:t>
            </w:r>
          </w:p>
        </w:tc>
        <w:tc>
          <w:tcPr>
            <w:tcW w:type="dxa" w:w="1728"/>
            <w:shd w:fill="E2EFDA" w:val="clear"/>
          </w:tcPr>
          <w:p>
            <w:r>
              <w:rPr>
                <w:sz w:val="17"/>
              </w:rPr>
              <w:t>3,615</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PRSC</w:t>
            </w:r>
          </w:p>
        </w:tc>
        <w:tc>
          <w:tcPr>
            <w:tcW w:type="dxa" w:w="1728"/>
            <w:shd w:fill="E2EFDA" w:val="clear"/>
          </w:tcPr>
          <w:p>
            <w:r>
              <w:rPr>
                <w:sz w:val="17"/>
              </w:rPr>
              <w:t>PRSC - TRACTAFRIC MOTORS CI</w:t>
            </w:r>
          </w:p>
        </w:tc>
        <w:tc>
          <w:tcPr>
            <w:tcW w:type="dxa" w:w="1728"/>
            <w:shd w:fill="E2EFDA" w:val="clear"/>
          </w:tcPr>
          <w:p>
            <w:r>
              <w:rPr>
                <w:sz w:val="17"/>
              </w:rPr>
              <w:t>3,900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SNTS</w:t>
            </w:r>
          </w:p>
        </w:tc>
        <w:tc>
          <w:tcPr>
            <w:tcW w:type="dxa" w:w="1728"/>
            <w:shd w:fill="E2EFDA" w:val="clear"/>
          </w:tcPr>
          <w:p>
            <w:r>
              <w:rPr>
                <w:sz w:val="17"/>
              </w:rPr>
              <w:t>SNTS - SONATEL SN</w:t>
            </w:r>
          </w:p>
        </w:tc>
        <w:tc>
          <w:tcPr>
            <w:tcW w:type="dxa" w:w="1728"/>
            <w:shd w:fill="E2EFDA" w:val="clear"/>
          </w:tcPr>
          <w:p>
            <w:r>
              <w:rPr>
                <w:sz w:val="17"/>
              </w:rPr>
              <w:t>42,995</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8,560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2,950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SGBC</w:t>
            </w:r>
          </w:p>
        </w:tc>
        <w:tc>
          <w:tcPr>
            <w:tcW w:type="dxa" w:w="1728"/>
            <w:shd w:fill="E2EFDA" w:val="clear"/>
          </w:tcPr>
          <w:p>
            <w:r>
              <w:rPr>
                <w:sz w:val="17"/>
              </w:rPr>
              <w:t>SGBC - SOCIETE GENERALE COTE</w:t>
            </w:r>
          </w:p>
        </w:tc>
        <w:tc>
          <w:tcPr>
            <w:tcW w:type="dxa" w:w="1728"/>
            <w:shd w:fill="E2EFDA" w:val="clear"/>
          </w:tcPr>
          <w:p>
            <w:r>
              <w:rPr>
                <w:sz w:val="17"/>
              </w:rPr>
              <w:t>38,900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SLBC</w:t>
            </w:r>
          </w:p>
        </w:tc>
        <w:tc>
          <w:tcPr>
            <w:tcW w:type="dxa" w:w="1728"/>
            <w:shd w:fill="E2EFDA" w:val="clear"/>
          </w:tcPr>
          <w:p>
            <w:r>
              <w:rPr>
                <w:sz w:val="17"/>
              </w:rPr>
              <w:t>SLBC - SOLIBRA COTE D'IVOIRE</w:t>
            </w:r>
          </w:p>
        </w:tc>
        <w:tc>
          <w:tcPr>
            <w:tcW w:type="dxa" w:w="1728"/>
            <w:shd w:fill="E2EFDA" w:val="clear"/>
          </w:tcPr>
          <w:p>
            <w:r>
              <w:rPr>
                <w:sz w:val="17"/>
              </w:rPr>
              <w:t>37,800</w:t>
            </w:r>
          </w:p>
        </w:tc>
        <w:tc>
          <w:tcPr>
            <w:tcW w:type="dxa" w:w="1728"/>
            <w:shd w:fill="E2EFDA" w:val="clear"/>
          </w:tcPr>
          <w:p>
            <w:r>
              <w:rPr>
                <w:sz w:val="17"/>
              </w:rPr>
              <w:t>74/100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ABJC</w:t>
            </w:r>
          </w:p>
        </w:tc>
        <w:tc>
          <w:tcPr>
            <w:tcW w:type="dxa" w:w="1728"/>
            <w:shd w:fill="FCE4D6" w:val="clear"/>
          </w:tcPr>
          <w:p>
            <w:r>
              <w:rPr>
                <w:sz w:val="17"/>
              </w:rPr>
              <w:t>ABJC - SERVAIR ABIDJAN CI</w:t>
            </w:r>
          </w:p>
        </w:tc>
        <w:tc>
          <w:tcPr>
            <w:tcW w:type="dxa" w:w="1728"/>
            <w:shd w:fill="FCE4D6" w:val="clear"/>
          </w:tcPr>
          <w:p>
            <w:r>
              <w:rPr>
                <w:sz w:val="17"/>
              </w:rPr>
              <w:t>3,650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TTLS</w:t>
            </w:r>
          </w:p>
        </w:tc>
        <w:tc>
          <w:tcPr>
            <w:tcW w:type="dxa" w:w="1728"/>
            <w:shd w:fill="FCE4D6" w:val="clear"/>
          </w:tcPr>
          <w:p>
            <w:r>
              <w:rPr>
                <w:sz w:val="17"/>
              </w:rPr>
              <w:t>TTLS - TOTAL ENERGIES MARKET</w:t>
            </w:r>
          </w:p>
        </w:tc>
        <w:tc>
          <w:tcPr>
            <w:tcW w:type="dxa" w:w="1728"/>
            <w:shd w:fill="FCE4D6" w:val="clear"/>
          </w:tcPr>
          <w:p>
            <w:r>
              <w:rPr>
                <w:sz w:val="17"/>
              </w:rPr>
              <w:t>3,615</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PRSC</w:t>
            </w:r>
          </w:p>
        </w:tc>
        <w:tc>
          <w:tcPr>
            <w:tcW w:type="dxa" w:w="1728"/>
            <w:shd w:fill="FCE4D6" w:val="clear"/>
          </w:tcPr>
          <w:p>
            <w:r>
              <w:rPr>
                <w:sz w:val="17"/>
              </w:rPr>
              <w:t>PRSC - TRACTAFRIC MOTORS CI</w:t>
            </w:r>
          </w:p>
        </w:tc>
        <w:tc>
          <w:tcPr>
            <w:tcW w:type="dxa" w:w="1728"/>
            <w:shd w:fill="FCE4D6" w:val="clear"/>
          </w:tcPr>
          <w:p>
            <w:r>
              <w:rPr>
                <w:sz w:val="17"/>
              </w:rPr>
              <w:t>3,900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SNTS</w:t>
            </w:r>
          </w:p>
        </w:tc>
        <w:tc>
          <w:tcPr>
            <w:tcW w:type="dxa" w:w="1728"/>
            <w:shd w:fill="FCE4D6" w:val="clear"/>
          </w:tcPr>
          <w:p>
            <w:r>
              <w:rPr>
                <w:sz w:val="17"/>
              </w:rPr>
              <w:t>SNTS - SONATEL SN</w:t>
            </w:r>
          </w:p>
        </w:tc>
        <w:tc>
          <w:tcPr>
            <w:tcW w:type="dxa" w:w="1728"/>
            <w:shd w:fill="FCE4D6" w:val="clear"/>
          </w:tcPr>
          <w:p>
            <w:r>
              <w:rPr>
                <w:sz w:val="17"/>
              </w:rPr>
              <w:t>42,995</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8,560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2,950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SGBC</w:t>
            </w:r>
          </w:p>
        </w:tc>
        <w:tc>
          <w:tcPr>
            <w:tcW w:type="dxa" w:w="1728"/>
            <w:shd w:fill="FCE4D6" w:val="clear"/>
          </w:tcPr>
          <w:p>
            <w:r>
              <w:rPr>
                <w:sz w:val="17"/>
              </w:rPr>
              <w:t>SGBC - SOCIETE GENERALE COTE</w:t>
            </w:r>
          </w:p>
        </w:tc>
        <w:tc>
          <w:tcPr>
            <w:tcW w:type="dxa" w:w="1728"/>
            <w:shd w:fill="FCE4D6" w:val="clear"/>
          </w:tcPr>
          <w:p>
            <w:r>
              <w:rPr>
                <w:sz w:val="17"/>
              </w:rPr>
              <w:t>38,900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SLBC</w:t>
            </w:r>
          </w:p>
        </w:tc>
        <w:tc>
          <w:tcPr>
            <w:tcW w:type="dxa" w:w="1728"/>
            <w:shd w:fill="FCE4D6" w:val="clear"/>
          </w:tcPr>
          <w:p>
            <w:r>
              <w:rPr>
                <w:sz w:val="17"/>
              </w:rPr>
              <w:t>SLBC - SOLIBRA COTE D'IVOIRE</w:t>
            </w:r>
          </w:p>
        </w:tc>
        <w:tc>
          <w:tcPr>
            <w:tcW w:type="dxa" w:w="1728"/>
            <w:shd w:fill="FCE4D6" w:val="clear"/>
          </w:tcPr>
          <w:p>
            <w:r>
              <w:rPr>
                <w:sz w:val="17"/>
              </w:rPr>
              <w:t>37,800</w:t>
            </w:r>
          </w:p>
        </w:tc>
        <w:tc>
          <w:tcPr>
            <w:tcW w:type="dxa" w:w="1728"/>
            <w:shd w:fill="FCE4D6" w:val="clear"/>
          </w:tcPr>
          <w:p>
            <w:r>
              <w:rPr>
                <w:sz w:val="17"/>
              </w:rPr>
              <w:t>74/100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NTLC — NTLC - NESTLE COTE D'IVOIRE</w:t>
      </w:r>
    </w:p>
    <w:p>
      <w:pPr>
        <w:pStyle w:val="ListBullet"/>
        <w:spacing w:before="20"/>
        <w:ind w:left="400"/>
      </w:pPr>
      <w:r>
        <w:rPr>
          <w:sz w:val="18"/>
        </w:rPr>
        <w:t>🟢 RSI survente (29.8 &lt; 30) — opportunité potentielle</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RSI survente (28.5 &lt; 30) — opportunité potentielle</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(77.8 &gt; 70) — risque de correction</w:t>
      </w:r>
    </w:p>
    <w:p>
      <w:pPr>
        <w:pStyle w:val="ListBullet"/>
        <w:spacing w:before="20"/>
        <w:ind w:left="400"/>
      </w:pPr>
      <w:r>
        <w:rPr>
          <w:sz w:val="18"/>
        </w:rPr>
        <w:t>⚠️ Cours à 0.0% du plus haut 100j (43,000 FCFA)</w:t>
      </w:r>
    </w:p>
    <w:p>
      <w:pPr>
        <w:spacing w:before="120"/>
      </w:pPr>
      <w:r>
        <w:rPr>
          <w:b/>
          <w:color w:val="0050A0"/>
          <w:sz w:val="20"/>
        </w:rPr>
        <w:t>UNXC — UNXC - UNIWAX COTE D'IVOIRE</w:t>
      </w:r>
    </w:p>
    <w:p>
      <w:pPr>
        <w:pStyle w:val="ListBullet"/>
        <w:spacing w:before="20"/>
        <w:ind w:left="400"/>
      </w:pPr>
      <w:r>
        <w:rPr>
          <w:sz w:val="18"/>
        </w:rPr>
        <w:t>⚠️ Cours à 2.0% du plus haut 100j (2,495 FCFA)</w:t>
      </w:r>
    </w:p>
    <w:p>
      <w:pPr>
        <w:pStyle w:val="ListBullet"/>
        <w:spacing w:before="20"/>
        <w:ind w:left="400"/>
      </w:pPr>
      <w:r>
        <w:rPr>
          <w:sz w:val="18"/>
        </w:rPr>
        <w:t>🟠 Divergence tech(VENTE) / fond(ACHAT) — recommandation ajustée à ACHAT</w:t>
      </w:r>
    </w:p>
    <w:p>
      <w:pPr>
        <w:spacing w:before="120"/>
      </w:pPr>
      <w:r>
        <w:rPr>
          <w:b/>
          <w:color w:val="0050A0"/>
          <w:sz w:val="20"/>
        </w:rPr>
        <w:t>BBGC — BRIDGE BANK GROUP COTE D'IVOIRE</w:t>
      </w:r>
    </w:p>
    <w:p>
      <w:pPr>
        <w:pStyle w:val="ListBullet"/>
        <w:spacing w:before="20"/>
        <w:ind w:left="400"/>
      </w:pPr>
      <w:r>
        <w:rPr>
          <w:sz w:val="18"/>
        </w:rPr>
        <w:t>⚠️ Cours à 0.0% du plus haut 100j (9,000 FCFA)</w:t>
      </w:r>
    </w:p>
    <w:p>
      <w:pPr>
        <w:spacing w:before="120"/>
      </w:pPr>
      <w:r>
        <w:rPr>
          <w:b/>
          <w:color w:val="0050A0"/>
          <w:sz w:val="20"/>
        </w:rPr>
        <w:t>BICB — BIIC BN - Banque internationale pour le commerce du benin</w:t>
      </w:r>
    </w:p>
    <w:p>
      <w:pPr>
        <w:pStyle w:val="ListBullet"/>
        <w:spacing w:before="20"/>
        <w:ind w:left="400"/>
      </w:pPr>
      <w:r>
        <w:rPr>
          <w:sz w:val="18"/>
        </w:rPr>
        <w:t>🟢 RSI survente (29.1 &lt; 30) — opportunité potentielle</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0.0% du plus haut 100j (34,895 FCFA)</w:t>
      </w:r>
    </w:p>
    <w:p>
      <w:pPr>
        <w:spacing w:before="120"/>
      </w:pPr>
      <w:r>
        <w:rPr>
          <w:b/>
          <w:color w:val="0050A0"/>
          <w:sz w:val="20"/>
        </w:rPr>
        <w:t>CIEC — CIEC - Compagnie Ivoirienne d'Electricité</w:t>
      </w:r>
    </w:p>
    <w:p>
      <w:pPr>
        <w:pStyle w:val="ListBullet"/>
        <w:spacing w:before="20"/>
        <w:ind w:left="400"/>
      </w:pPr>
      <w:r>
        <w:rPr>
          <w:sz w:val="18"/>
        </w:rPr>
        <w:t>🟢 RSI survente (27.3 &lt; 30) — opportunité potentielle</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Divergence tech(VENTE) / fond(ACHAT) — recommandation ajustée à ACHAT</w:t>
      </w:r>
    </w:p>
    <w:p>
      <w:pPr>
        <w:spacing w:before="120"/>
      </w:pPr>
      <w:r>
        <w:rPr>
          <w:b/>
          <w:color w:val="0050A0"/>
          <w:sz w:val="20"/>
        </w:rPr>
        <w:t>PRSC — PRSC - TRACTAFRIC MOTORS CI</w:t>
      </w:r>
    </w:p>
    <w:p>
      <w:pPr>
        <w:pStyle w:val="ListBullet"/>
        <w:spacing w:before="20"/>
        <w:ind w:left="400"/>
      </w:pPr>
      <w:r>
        <w:rPr>
          <w:sz w:val="18"/>
        </w:rPr>
        <w:t>🟢 RSI survente (23.4 &lt; 30) — opportunité potentielle</w:t>
      </w:r>
    </w:p>
    <w:p>
      <w:pPr>
        <w:spacing w:before="120"/>
      </w:pPr>
      <w:r>
        <w:rPr>
          <w:b/>
          <w:color w:val="0050A0"/>
          <w:sz w:val="20"/>
        </w:rPr>
        <w:t>SAFC — SAFCA CI</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1.0% du plus haut 100j (39,300 FCFA)</w:t>
      </w:r>
    </w:p>
    <w:p>
      <w:pPr>
        <w:spacing w:before="120"/>
      </w:pPr>
      <w:r>
        <w:rPr>
          <w:b/>
          <w:color w:val="0050A0"/>
          <w:sz w:val="20"/>
        </w:rPr>
        <w:t>SIBC — SIBC - SOCIETE IVOIRIENNE DE BANQUE</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SIVC — SIVC - ERIUM CI (Ex AIR LIQUIDECI)</w:t>
      </w:r>
    </w:p>
    <w:p>
      <w:pPr>
        <w:pStyle w:val="ListBullet"/>
        <w:spacing w:before="20"/>
        <w:ind w:left="400"/>
      </w:pPr>
      <w:r>
        <w:rPr>
          <w:sz w:val="18"/>
        </w:rPr>
        <w:t>🟠 Divergence tech(VENTE) / fond(ACHAT) — recommandation ajustée à ACHAT</w:t>
      </w:r>
    </w:p>
    <w:p>
      <w:pPr>
        <w:spacing w:before="120"/>
      </w:pPr>
      <w:r>
        <w:rPr>
          <w:b/>
          <w:color w:val="0050A0"/>
          <w:sz w:val="20"/>
        </w:rPr>
        <w:t>SLBC — SLBC - SOLIBRA COTE D'IVOIRE</w:t>
      </w:r>
    </w:p>
    <w:p>
      <w:pPr>
        <w:pStyle w:val="ListBullet"/>
        <w:spacing w:before="20"/>
        <w:ind w:left="400"/>
      </w:pPr>
      <w:r>
        <w:rPr>
          <w:sz w:val="18"/>
        </w:rPr>
        <w:t>⚠️ Cours à 2.4% du plus bas 100j (36,900 FCFA)</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Cours à 0.0% du plus bas 100j (47,215 FCFA)</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29 société(s) (60%)</w:t>
            </w:r>
          </w:p>
        </w:tc>
        <w:tc>
          <w:tcPr>
            <w:tcW w:type="dxa" w:w="1644"/>
            <w:shd w:fill="FFEB9C" w:val="clear"/>
          </w:tcPr>
          <w:p>
            <w:r>
              <w:rPr>
                <w:b/>
                <w:color w:val="825A00"/>
                <w:sz w:val="19"/>
              </w:rPr>
              <w:t>19 société(s) (40%)</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19.8/100</w:t>
            </w:r>
          </w:p>
        </w:tc>
        <w:tc>
          <w:tcPr>
            <w:tcW w:type="dxa" w:w="1644"/>
            <w:shd w:fill="DEEAF1" w:val="clear"/>
          </w:tcPr>
          <w:p>
            <w:r>
              <w:rPr>
                <w:b/>
                <w:color w:val="000000"/>
                <w:sz w:val="19"/>
              </w:rPr>
              <w:t>17.5/100</w:t>
            </w:r>
          </w:p>
        </w:tc>
      </w:tr>
    </w:tbl>
    <w:p/>
    <w:p>
      <w:r>
        <w:rPr>
          <w:i/>
          <w:color w:val="006400"/>
          <w:sz w:val="18"/>
        </w:rPr>
        <w:t>✅ Le marché BRVM présente globalement un profil de risque FAIBLE (score moyen 19.8/100).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BOAN</w:t>
            </w:r>
          </w:p>
        </w:tc>
        <w:tc>
          <w:tcPr>
            <w:tcW w:type="dxa" w:w="2268"/>
            <w:shd w:fill="FFFFFF" w:val="clear"/>
          </w:tcPr>
          <w:p>
            <w:r>
              <w:rPr>
                <w:sz w:val="16"/>
              </w:rPr>
              <w:t>BANK OF AFRICA NIGER</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SCRC</w:t>
            </w:r>
          </w:p>
        </w:tc>
        <w:tc>
          <w:tcPr>
            <w:tcW w:type="dxa" w:w="2268"/>
            <w:shd w:fill="FFFFFF" w:val="clear"/>
          </w:tcPr>
          <w:p>
            <w:r>
              <w:rPr>
                <w:sz w:val="16"/>
              </w:rPr>
              <w:t>SCRC - SUCRIVOIRE</w:t>
            </w:r>
          </w:p>
        </w:tc>
        <w:tc>
          <w:tcPr>
            <w:tcW w:type="dxa" w:w="1701"/>
            <w:shd w:fill="FFFFFF" w:val="clear"/>
          </w:tcPr>
          <w:p>
            <w:r>
              <w:rPr>
                <w:sz w:val="16"/>
              </w:rPr>
              <w:t>CONSOMMATION DE BA</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BOAN (31.3/100 — Moyen) : </w:t>
      </w:r>
      <w:r>
        <w:rPr>
          <w:sz w:val="17"/>
        </w:rPr>
        <w:t>Volatilité=Élevée | Bêta=Agressif | Liquidité=Bonne | Divergence signaux=taux divergence=20% (Mixte ⚠️) | Stabilité=Stable</w:t>
      </w:r>
    </w:p>
    <w:p>
      <w:pPr>
        <w:pStyle w:val="ListBullet"/>
      </w:pPr>
      <w:r>
        <w:rPr>
          <w:b/>
          <w:color w:val="B40000"/>
          <w:sz w:val="18"/>
        </w:rPr>
        <w:t xml:space="preserve">#4 CBIBF (31.3/100 — Moyen) : </w:t>
      </w:r>
      <w:r>
        <w:rPr>
          <w:sz w:val="17"/>
        </w:rPr>
        <w:t>Volatilité=Élevée | Bêta=Agressif | Liquidité=Bonne | Divergence signaux=taux divergence=20% (Mixte ⚠️) | Stabilité=Stable</w:t>
      </w:r>
    </w:p>
    <w:p>
      <w:pPr>
        <w:pStyle w:val="ListBullet"/>
      </w:pPr>
      <w:r>
        <w:rPr>
          <w:b/>
          <w:color w:val="B40000"/>
          <w:sz w:val="18"/>
        </w:rPr>
        <w:t xml:space="preserve">#5 SCRC (30.8/100 — Moyen) : </w:t>
      </w:r>
      <w:r>
        <w:rPr>
          <w:sz w:val="17"/>
        </w:rPr>
        <w:t>Volatilité=Élevée | Bêta=Agressif | Liquidité=Excellente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28.0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26.6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Très divergent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20.0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17.5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BBGC</w:t>
            </w:r>
          </w:p>
        </w:tc>
        <w:tc>
          <w:tcPr>
            <w:tcW w:type="dxa" w:w="1984"/>
            <w:shd w:fill="FFFFFF" w:val="clear"/>
          </w:tcPr>
          <w:p>
            <w:r>
              <w:rPr>
                <w:sz w:val="15"/>
              </w:rPr>
              <w:t>BRIDGE BANK GROUP COTE…</w:t>
            </w:r>
          </w:p>
        </w:tc>
        <w:tc>
          <w:tcPr>
            <w:tcW w:type="dxa" w:w="1417"/>
            <w:shd w:fill="FFFFFF" w:val="clear"/>
          </w:tcPr>
          <w:p>
            <w:r>
              <w:rPr>
                <w:sz w:val="15"/>
              </w:rPr>
              <w:t>Services Financi</w:t>
            </w:r>
          </w:p>
        </w:tc>
        <w:tc>
          <w:tcPr>
            <w:tcW w:type="dxa" w:w="737"/>
            <w:shd w:fill="C6EFCE" w:val="clear"/>
          </w:tcPr>
          <w:p>
            <w:r>
              <w:rPr>
                <w:b/>
                <w:color w:val="006400"/>
                <w:sz w:val="15"/>
              </w:rPr>
              <w:t>17.0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proxy, &lt;10 obs commu</w:t>
            </w:r>
          </w:p>
        </w:tc>
        <w:tc>
          <w:tcPr>
            <w:tcW w:type="dxa" w:w="1134"/>
            <w:shd w:fill="FFFFFF" w:val="clear"/>
          </w:tcPr>
          <w:p>
            <w:r>
              <w:rPr>
                <w:sz w:val="15"/>
              </w:rPr>
              <w:t>Excellente</w:t>
            </w:r>
          </w:p>
        </w:tc>
        <w:tc>
          <w:tcPr>
            <w:tcW w:type="dxa" w:w="1757"/>
            <w:shd w:fill="FFFFFF" w:val="clear"/>
          </w:tcPr>
          <w:p>
            <w:r>
              <w:rPr>
                <w:sz w:val="15"/>
              </w:rPr>
              <w:t>Convergent ✅ / Très stable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17.0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16.8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48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EB9C" w:val="clear"/>
          </w:tcPr>
          <w:p>
            <w:r>
              <w:rPr>
                <w:b/>
                <w:color w:val="963200"/>
                <w:sz w:val="18"/>
              </w:rPr>
              <w:t>🟡 LÉGÈREMENT BAISSIER</w:t>
            </w:r>
          </w:p>
        </w:tc>
      </w:tr>
      <w:tr>
        <w:tc>
          <w:tcPr>
            <w:tcW w:type="dxa" w:w="2835"/>
            <w:shd w:fill="DEEAF1" w:val="clear"/>
          </w:tcPr>
          <w:p>
            <w:r>
              <w:rPr>
                <w:b/>
                <w:sz w:val="18"/>
              </w:rPr>
              <w:t>Variation moyenne J+10</w:t>
            </w:r>
          </w:p>
        </w:tc>
        <w:tc>
          <w:tcPr>
            <w:tcW w:type="dxa" w:w="7370"/>
          </w:tcPr>
          <w:p>
            <w:r>
              <w:rPr>
                <w:b/>
                <w:sz w:val="18"/>
              </w:rPr>
              <w:t>-1.13%  |  Médiane : -1.99%</w:t>
            </w:r>
          </w:p>
        </w:tc>
      </w:tr>
      <w:tr>
        <w:tc>
          <w:tcPr>
            <w:tcW w:type="dxa" w:w="2835"/>
            <w:shd w:fill="DEEAF1" w:val="clear"/>
          </w:tcPr>
          <w:p>
            <w:r>
              <w:rPr>
                <w:b/>
                <w:sz w:val="18"/>
              </w:rPr>
              <w:t>Répartition</w:t>
            </w:r>
          </w:p>
        </w:tc>
        <w:tc>
          <w:tcPr>
            <w:tcW w:type="dxa" w:w="7370"/>
          </w:tcPr>
          <w:p>
            <w:r>
              <w:rPr>
                <w:b/>
                <w:sz w:val="18"/>
              </w:rPr>
              <w:t>📈 15 sociétés en hausse (&gt;+1%)   📉 27 en baisse (&lt;-1%)   ➡️ 3 neutres</w:t>
            </w:r>
          </w:p>
        </w:tc>
      </w:tr>
      <w:tr>
        <w:tc>
          <w:tcPr>
            <w:tcW w:type="dxa" w:w="2835"/>
            <w:shd w:fill="DEEAF1" w:val="clear"/>
          </w:tcPr>
          <w:p>
            <w:r>
              <w:rPr>
                <w:b/>
                <w:sz w:val="18"/>
              </w:rPr>
              <w:t>Confiance globale</w:t>
            </w:r>
          </w:p>
        </w:tc>
        <w:tc>
          <w:tcPr>
            <w:tcW w:type="dxa" w:w="7370"/>
          </w:tcPr>
          <w:p>
            <w:r>
              <w:rPr>
                <w:b/>
                <w:sz w:val="18"/>
              </w:rPr>
              <w:t>Élevée : 0 sociétés (0%)   Moyenne : 10   Faible : 35 (78%)   → Confiance dominante : Faible</w:t>
            </w:r>
          </w:p>
        </w:tc>
      </w:tr>
    </w:tbl>
    <w:p/>
    <w:p>
      <w:r>
        <w:rPr>
          <w:i/>
          <w:color w:val="282828"/>
          <w:sz w:val="18"/>
        </w:rPr>
        <w:t>📝 Analyse : Légère tendance baissière avec signal mixte : 27 sociétés en baisse vs 15 en hausse. Variation moyenne : -1.13%.</w:t>
      </w:r>
    </w:p>
    <w:p>
      <w:r>
        <w:rPr>
          <w:i/>
          <w:color w:val="282828"/>
          <w:sz w:val="18"/>
        </w:rPr>
        <w:t>🎯 Fiabilité : ⚠️ La confiance est globalement FAIBLE (78%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2,950 FCFA</w:t>
            </w:r>
          </w:p>
        </w:tc>
        <w:tc>
          <w:tcPr>
            <w:tcW w:type="dxa" w:w="1417"/>
            <w:shd w:fill="FFFFFF" w:val="clear"/>
          </w:tcPr>
          <w:p>
            <w:r>
              <w:rPr>
                <w:sz w:val="16"/>
              </w:rPr>
              <w:t>3,412 FCFA</w:t>
            </w:r>
          </w:p>
        </w:tc>
        <w:tc>
          <w:tcPr>
            <w:tcW w:type="dxa" w:w="1134"/>
            <w:shd w:fill="C6EFCE" w:val="clear"/>
          </w:tcPr>
          <w:p>
            <w:r>
              <w:rPr>
                <w:b/>
                <w:color w:val="007800"/>
                <w:sz w:val="16"/>
              </w:rPr>
              <w:t>+15.67%</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5,995 FCFA</w:t>
            </w:r>
          </w:p>
        </w:tc>
        <w:tc>
          <w:tcPr>
            <w:tcW w:type="dxa" w:w="1417"/>
            <w:shd w:fill="FFFFFF" w:val="clear"/>
          </w:tcPr>
          <w:p>
            <w:r>
              <w:rPr>
                <w:sz w:val="16"/>
              </w:rPr>
              <w:t>6,570 FCFA</w:t>
            </w:r>
          </w:p>
        </w:tc>
        <w:tc>
          <w:tcPr>
            <w:tcW w:type="dxa" w:w="1134"/>
            <w:shd w:fill="C6EFCE" w:val="clear"/>
          </w:tcPr>
          <w:p>
            <w:r>
              <w:rPr>
                <w:b/>
                <w:color w:val="007800"/>
                <w:sz w:val="16"/>
              </w:rPr>
              <w:t>+9.59%</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SLBC — SLBC - SOLIBRA COTE D'IVOIRE</w:t>
            </w:r>
          </w:p>
        </w:tc>
        <w:tc>
          <w:tcPr>
            <w:tcW w:type="dxa" w:w="1701"/>
            <w:shd w:fill="FFFFFF" w:val="clear"/>
          </w:tcPr>
          <w:p>
            <w:r>
              <w:rPr>
                <w:sz w:val="16"/>
              </w:rPr>
              <w:t>CONSOMMATION DE BASE</w:t>
            </w:r>
          </w:p>
        </w:tc>
        <w:tc>
          <w:tcPr>
            <w:tcW w:type="dxa" w:w="1417"/>
            <w:shd w:fill="FFFFFF" w:val="clear"/>
          </w:tcPr>
          <w:p>
            <w:r>
              <w:rPr>
                <w:sz w:val="16"/>
              </w:rPr>
              <w:t>37,800 FCFA</w:t>
            </w:r>
          </w:p>
        </w:tc>
        <w:tc>
          <w:tcPr>
            <w:tcW w:type="dxa" w:w="1417"/>
            <w:shd w:fill="FFFFFF" w:val="clear"/>
          </w:tcPr>
          <w:p>
            <w:r>
              <w:rPr>
                <w:sz w:val="16"/>
              </w:rPr>
              <w:t>41,307 FCFA</w:t>
            </w:r>
          </w:p>
        </w:tc>
        <w:tc>
          <w:tcPr>
            <w:tcW w:type="dxa" w:w="1134"/>
            <w:shd w:fill="C6EFCE" w:val="clear"/>
          </w:tcPr>
          <w:p>
            <w:r>
              <w:rPr>
                <w:b/>
                <w:color w:val="007800"/>
                <w:sz w:val="16"/>
              </w:rPr>
              <w:t>+9.28%</w:t>
            </w:r>
          </w:p>
        </w:tc>
        <w:tc>
          <w:tcPr>
            <w:tcW w:type="dxa" w:w="1020"/>
            <w:shd w:fill="FFEB9C" w:val="clear"/>
          </w:tcPr>
          <w:p>
            <w:r>
              <w:rPr>
                <w:sz w:val="16"/>
              </w:rPr>
              <w:t>Moyenne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21,975 FCFA</w:t>
            </w:r>
          </w:p>
        </w:tc>
        <w:tc>
          <w:tcPr>
            <w:tcW w:type="dxa" w:w="1417"/>
            <w:shd w:fill="FFFFFF" w:val="clear"/>
          </w:tcPr>
          <w:p>
            <w:r>
              <w:rPr>
                <w:sz w:val="16"/>
              </w:rPr>
              <w:t>23,907 FCFA</w:t>
            </w:r>
          </w:p>
        </w:tc>
        <w:tc>
          <w:tcPr>
            <w:tcW w:type="dxa" w:w="1134"/>
            <w:shd w:fill="C6EFCE" w:val="clear"/>
          </w:tcPr>
          <w:p>
            <w:r>
              <w:rPr>
                <w:b/>
                <w:color w:val="007800"/>
                <w:sz w:val="16"/>
              </w:rPr>
              <w:t>+8.79%</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8,560 FCFA</w:t>
            </w:r>
          </w:p>
        </w:tc>
        <w:tc>
          <w:tcPr>
            <w:tcW w:type="dxa" w:w="1417"/>
            <w:shd w:fill="FFFFFF" w:val="clear"/>
          </w:tcPr>
          <w:p>
            <w:r>
              <w:rPr>
                <w:sz w:val="16"/>
              </w:rPr>
              <w:t>9,107 FCFA</w:t>
            </w:r>
          </w:p>
        </w:tc>
        <w:tc>
          <w:tcPr>
            <w:tcW w:type="dxa" w:w="1134"/>
            <w:shd w:fill="C6EFCE" w:val="clear"/>
          </w:tcPr>
          <w:p>
            <w:r>
              <w:rPr>
                <w:b/>
                <w:color w:val="007800"/>
                <w:sz w:val="16"/>
              </w:rPr>
              <w:t>+6.40%</w:t>
            </w:r>
          </w:p>
        </w:tc>
        <w:tc>
          <w:tcPr>
            <w:tcW w:type="dxa" w:w="1020"/>
            <w:shd w:fill="FFC7CE" w:val="clear"/>
          </w:tcPr>
          <w:p>
            <w:r>
              <w:rPr>
                <w:sz w:val="16"/>
              </w:rPr>
              <w:t>Faible</w:t>
            </w:r>
          </w:p>
        </w:tc>
      </w:tr>
    </w:tbl>
    <w:p/>
    <w:p>
      <w:pPr>
        <w:pStyle w:val="ListBullet"/>
      </w:pPr>
      <w:r>
        <w:rPr>
          <w:b/>
          <w:color w:val="006400"/>
          <w:sz w:val="18"/>
        </w:rPr>
        <w:t xml:space="preserve">#1 SCRC </w:t>
      </w:r>
      <w:r>
        <w:rPr>
          <w:sz w:val="17"/>
        </w:rPr>
        <w:t>(SCRC - SUCRIVOIRE) — hausse significative (+15.7%) — potentiel de revalorisation notable. Trajectoire : 📈 Hausse continue. Cours actuel : 2,950 FCFA → prédit J+10 : 3,412 FCFA. ⚠️ Confiance limitée — volatilité élevée ou données insuffisantes. Résultat indicatif uniquement.</w:t>
      </w:r>
    </w:p>
    <w:p>
      <w:pPr>
        <w:pStyle w:val="ListBullet"/>
      </w:pPr>
      <w:r>
        <w:rPr>
          <w:b/>
          <w:color w:val="006400"/>
          <w:sz w:val="18"/>
        </w:rPr>
        <w:t xml:space="preserve">#2 BOAM </w:t>
      </w:r>
      <w:r>
        <w:rPr>
          <w:sz w:val="17"/>
        </w:rPr>
        <w:t>(BANK OF AFRICA MALI) — hausse modérée (+9.6%) — signal raisonnable et crédible. Trajectoire : 📈 Hausse continue. Cours actuel : 5,995 FCFA → prédit J+10 : 6,570 FCFA. ⚠️ Confiance limitée — volatilité élevée ou données insuffisantes. Résultat indicatif uniquement.</w:t>
      </w:r>
    </w:p>
    <w:p>
      <w:pPr>
        <w:pStyle w:val="ListBullet"/>
      </w:pPr>
      <w:r>
        <w:rPr>
          <w:b/>
          <w:color w:val="006400"/>
          <w:sz w:val="18"/>
        </w:rPr>
        <w:t xml:space="preserve">#3 SLBC </w:t>
      </w:r>
      <w:r>
        <w:rPr>
          <w:sz w:val="17"/>
        </w:rPr>
        <w:t>(SLBC - SOLIBRA COTE D'IVOIRE) — hausse modérée (+9.3%) — signal raisonnable et crédible. Trajectoire : 📈 Hausse continue. Cours actuel : 37,800 FCFA → prédit J+10 : 41,307 FCFA. Confiance partielle — les premiers jours sont fiables, les jours lointains moins précis.</w:t>
      </w:r>
    </w:p>
    <w:p>
      <w:pPr>
        <w:pStyle w:val="ListBullet"/>
      </w:pPr>
      <w:r>
        <w:rPr>
          <w:b/>
          <w:color w:val="006400"/>
          <w:sz w:val="18"/>
        </w:rPr>
        <w:t xml:space="preserve">#4 STBC </w:t>
      </w:r>
      <w:r>
        <w:rPr>
          <w:sz w:val="17"/>
        </w:rPr>
        <w:t>(STBC - SITAB COTE D'IVOIRE) — hausse modérée (+8.8%) — signal raisonnable et crédible. Trajectoire : 📈 Hausse continue. Cours actuel : 21,975 FCFA → prédit J+10 : 23,907 FCFA. ⚠️ Confiance limitée — volatilité élevée ou données insuffisantes. Résultat indicatif uniquement.</w:t>
      </w:r>
    </w:p>
    <w:p>
      <w:pPr>
        <w:pStyle w:val="ListBullet"/>
      </w:pPr>
      <w:r>
        <w:rPr>
          <w:b/>
          <w:color w:val="006400"/>
          <w:sz w:val="18"/>
        </w:rPr>
        <w:t xml:space="preserve">#5 BICB </w:t>
      </w:r>
      <w:r>
        <w:rPr>
          <w:sz w:val="17"/>
        </w:rPr>
        <w:t>(BIIC BN - Banque internationale pour le ) — hausse modérée (+6.4%) — signal raisonnable et crédible. Trajectoire : 📈 Hausse continue. Cours actuel : 8,560 FCFA → prédit J+10 : 9,107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32,490 FCFA</w:t>
            </w:r>
          </w:p>
        </w:tc>
        <w:tc>
          <w:tcPr>
            <w:tcW w:type="dxa" w:w="1417"/>
            <w:shd w:fill="FFFFFF" w:val="clear"/>
          </w:tcPr>
          <w:p>
            <w:r>
              <w:rPr>
                <w:sz w:val="16"/>
              </w:rPr>
              <w:t>28,326 FCFA</w:t>
            </w:r>
          </w:p>
        </w:tc>
        <w:tc>
          <w:tcPr>
            <w:tcW w:type="dxa" w:w="1134"/>
            <w:shd w:fill="FFC7CE" w:val="clear"/>
          </w:tcPr>
          <w:p>
            <w:r>
              <w:rPr>
                <w:b/>
                <w:color w:val="B40000"/>
                <w:sz w:val="16"/>
              </w:rPr>
              <w:t>-12.81%</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SHEC — SHEC - VIVO ENERGY COTE D'IVOIRE</w:t>
            </w:r>
          </w:p>
        </w:tc>
        <w:tc>
          <w:tcPr>
            <w:tcW w:type="dxa" w:w="1701"/>
            <w:shd w:fill="FFFFFF" w:val="clear"/>
          </w:tcPr>
          <w:p>
            <w:r>
              <w:rPr>
                <w:sz w:val="16"/>
              </w:rPr>
              <w:t>ENERGIE</w:t>
            </w:r>
          </w:p>
        </w:tc>
        <w:tc>
          <w:tcPr>
            <w:tcW w:type="dxa" w:w="1417"/>
            <w:shd w:fill="FFFFFF" w:val="clear"/>
          </w:tcPr>
          <w:p>
            <w:r>
              <w:rPr>
                <w:sz w:val="16"/>
              </w:rPr>
              <w:t>2,390 FCFA</w:t>
            </w:r>
          </w:p>
        </w:tc>
        <w:tc>
          <w:tcPr>
            <w:tcW w:type="dxa" w:w="1417"/>
            <w:shd w:fill="FFFFFF" w:val="clear"/>
          </w:tcPr>
          <w:p>
            <w:r>
              <w:rPr>
                <w:sz w:val="16"/>
              </w:rPr>
              <w:t>2,166 FCFA</w:t>
            </w:r>
          </w:p>
        </w:tc>
        <w:tc>
          <w:tcPr>
            <w:tcW w:type="dxa" w:w="1134"/>
            <w:shd w:fill="FFC7CE" w:val="clear"/>
          </w:tcPr>
          <w:p>
            <w:r>
              <w:rPr>
                <w:b/>
                <w:color w:val="B40000"/>
                <w:sz w:val="16"/>
              </w:rPr>
              <w:t>-9.35%</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BICC — BICI CI - Banque internationale pou...</w:t>
            </w:r>
          </w:p>
        </w:tc>
        <w:tc>
          <w:tcPr>
            <w:tcW w:type="dxa" w:w="1701"/>
            <w:shd w:fill="FFFFFF" w:val="clear"/>
          </w:tcPr>
          <w:p>
            <w:r>
              <w:rPr>
                <w:sz w:val="16"/>
              </w:rPr>
              <w:t>SERVICES FINANCIERS</w:t>
            </w:r>
          </w:p>
        </w:tc>
        <w:tc>
          <w:tcPr>
            <w:tcW w:type="dxa" w:w="1417"/>
            <w:shd w:fill="FFFFFF" w:val="clear"/>
          </w:tcPr>
          <w:p>
            <w:r>
              <w:rPr>
                <w:sz w:val="16"/>
              </w:rPr>
              <w:t>34,895 FCFA</w:t>
            </w:r>
          </w:p>
        </w:tc>
        <w:tc>
          <w:tcPr>
            <w:tcW w:type="dxa" w:w="1417"/>
            <w:shd w:fill="FFFFFF" w:val="clear"/>
          </w:tcPr>
          <w:p>
            <w:r>
              <w:rPr>
                <w:sz w:val="16"/>
              </w:rPr>
              <w:t>31,818 FCFA</w:t>
            </w:r>
          </w:p>
        </w:tc>
        <w:tc>
          <w:tcPr>
            <w:tcW w:type="dxa" w:w="1134"/>
            <w:shd w:fill="FFC7CE" w:val="clear"/>
          </w:tcPr>
          <w:p>
            <w:r>
              <w:rPr>
                <w:b/>
                <w:color w:val="B40000"/>
                <w:sz w:val="16"/>
              </w:rPr>
              <w:t>-8.82%</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SIVC — SIVC - ERIUM CI (Ex AIR LIQUIDECI)</w:t>
            </w:r>
          </w:p>
        </w:tc>
        <w:tc>
          <w:tcPr>
            <w:tcW w:type="dxa" w:w="1701"/>
            <w:shd w:fill="FFFFFF" w:val="clear"/>
          </w:tcPr>
          <w:p>
            <w:r>
              <w:rPr>
                <w:sz w:val="16"/>
              </w:rPr>
              <w:t>INDUSTRIELS</w:t>
            </w:r>
          </w:p>
        </w:tc>
        <w:tc>
          <w:tcPr>
            <w:tcW w:type="dxa" w:w="1417"/>
            <w:shd w:fill="FFFFFF" w:val="clear"/>
          </w:tcPr>
          <w:p>
            <w:r>
              <w:rPr>
                <w:sz w:val="16"/>
              </w:rPr>
              <w:t>2,140 FCFA</w:t>
            </w:r>
          </w:p>
        </w:tc>
        <w:tc>
          <w:tcPr>
            <w:tcW w:type="dxa" w:w="1417"/>
            <w:shd w:fill="FFFFFF" w:val="clear"/>
          </w:tcPr>
          <w:p>
            <w:r>
              <w:rPr>
                <w:sz w:val="16"/>
              </w:rPr>
              <w:t>1,956 FCFA</w:t>
            </w:r>
          </w:p>
        </w:tc>
        <w:tc>
          <w:tcPr>
            <w:tcW w:type="dxa" w:w="1134"/>
            <w:shd w:fill="FFC7CE" w:val="clear"/>
          </w:tcPr>
          <w:p>
            <w:r>
              <w:rPr>
                <w:b/>
                <w:color w:val="B40000"/>
                <w:sz w:val="16"/>
              </w:rPr>
              <w:t>-8.58%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TTLC — TTLC - TOTAL ENERGIES MARKETING COT...</w:t>
            </w:r>
          </w:p>
        </w:tc>
        <w:tc>
          <w:tcPr>
            <w:tcW w:type="dxa" w:w="1701"/>
            <w:shd w:fill="FFFFFF" w:val="clear"/>
          </w:tcPr>
          <w:p>
            <w:r>
              <w:rPr>
                <w:sz w:val="16"/>
              </w:rPr>
              <w:t>ENERGIE</w:t>
            </w:r>
          </w:p>
        </w:tc>
        <w:tc>
          <w:tcPr>
            <w:tcW w:type="dxa" w:w="1417"/>
            <w:shd w:fill="FFFFFF" w:val="clear"/>
          </w:tcPr>
          <w:p>
            <w:r>
              <w:rPr>
                <w:sz w:val="16"/>
              </w:rPr>
              <w:t>3,175 FCFA</w:t>
            </w:r>
          </w:p>
        </w:tc>
        <w:tc>
          <w:tcPr>
            <w:tcW w:type="dxa" w:w="1417"/>
            <w:shd w:fill="FFFFFF" w:val="clear"/>
          </w:tcPr>
          <w:p>
            <w:r>
              <w:rPr>
                <w:sz w:val="16"/>
              </w:rPr>
              <w:t>2,906 FCFA</w:t>
            </w:r>
          </w:p>
        </w:tc>
        <w:tc>
          <w:tcPr>
            <w:tcW w:type="dxa" w:w="1134"/>
            <w:shd w:fill="FFC7CE" w:val="clear"/>
          </w:tcPr>
          <w:p>
            <w:r>
              <w:rPr>
                <w:b/>
                <w:color w:val="B40000"/>
                <w:sz w:val="16"/>
              </w:rPr>
              <w:t>-8.47%</w:t>
            </w:r>
          </w:p>
        </w:tc>
        <w:tc>
          <w:tcPr>
            <w:tcW w:type="dxa" w:w="1020"/>
            <w:shd w:fill="FFC7CE" w:val="clear"/>
          </w:tcPr>
          <w:p>
            <w:r>
              <w:rPr>
                <w:sz w:val="16"/>
              </w:rPr>
              <w:t>Faible</w:t>
            </w:r>
          </w:p>
        </w:tc>
      </w:tr>
    </w:tbl>
    <w:p/>
    <w:p>
      <w:pPr>
        <w:pStyle w:val="ListBullet"/>
      </w:pPr>
      <w:r>
        <w:rPr>
          <w:b/>
          <w:color w:val="B40000"/>
          <w:sz w:val="18"/>
        </w:rPr>
        <w:t xml:space="preserve">#1 CBIBF </w:t>
      </w:r>
      <w:r>
        <w:rPr>
          <w:sz w:val="17"/>
        </w:rPr>
        <w:t>(CBIBF - CORIS BANK INTERNATIONAL BURKINA) — baisse modérée (-12.8%) — repli technique attendu. Trajectoire : 📉 Baisse continue. Cours actuel : 32,490 FCFA → prédit J+10 : 28,326 FCFA. ⚠️ Confiance limitée — volatilité élevée. Ne pas agir sur ce seul signal.</w:t>
      </w:r>
    </w:p>
    <w:p>
      <w:pPr>
        <w:pStyle w:val="ListBullet"/>
      </w:pPr>
      <w:r>
        <w:rPr>
          <w:b/>
          <w:color w:val="B40000"/>
          <w:sz w:val="18"/>
        </w:rPr>
        <w:t xml:space="preserve">#2 SHEC </w:t>
      </w:r>
      <w:r>
        <w:rPr>
          <w:sz w:val="17"/>
        </w:rPr>
        <w:t>(SHEC - VIVO ENERGY COTE D'IVOIRE) — baisse modérée (-9.4%) — repli technique attendu. Trajectoire : 📉 Baisse continue. Cours actuel : 2,390 FCFA → prédit J+10 : 2,166 FCFA. ⚠️ Confiance limitée — volatilité élevée. Ne pas agir sur ce seul signal.</w:t>
      </w:r>
    </w:p>
    <w:p>
      <w:pPr>
        <w:pStyle w:val="ListBullet"/>
      </w:pPr>
      <w:r>
        <w:rPr>
          <w:b/>
          <w:color w:val="B40000"/>
          <w:sz w:val="18"/>
        </w:rPr>
        <w:t xml:space="preserve">#3 BICC </w:t>
      </w:r>
      <w:r>
        <w:rPr>
          <w:sz w:val="17"/>
        </w:rPr>
        <w:t>(BICI CI - Banque internationale pour le ) — baisse modérée (-8.8%) — repli technique attendu. Trajectoire : 📉 Baisse continue. Cours actuel : 34,895 FCFA → prédit J+10 : 31,818 FCFA. ⚠️ Confiance limitée — volatilité élevée. Ne pas agir sur ce seul signal.</w:t>
      </w:r>
    </w:p>
    <w:p>
      <w:pPr>
        <w:pStyle w:val="ListBullet"/>
      </w:pPr>
      <w:r>
        <w:rPr>
          <w:b/>
          <w:color w:val="B40000"/>
          <w:sz w:val="18"/>
        </w:rPr>
        <w:t xml:space="preserve">#4 SIVC </w:t>
      </w:r>
      <w:r>
        <w:rPr>
          <w:sz w:val="17"/>
        </w:rPr>
        <w:t>(SIVC - ERIUM CI (Ex AIR LIQUIDECI)) — baisse modérée (-8.6%) — repli technique attendu. Trajectoire : 📉 Baisse continue. Cours actuel : 2,140 FCFA → prédit J+10 : 1,956 FCFA. ⚠️ Confiance limitée — volatilité élevée. Ne pas agir sur ce seul signal.</w:t>
      </w:r>
    </w:p>
    <w:p>
      <w:pPr>
        <w:pStyle w:val="ListBullet"/>
      </w:pPr>
      <w:r>
        <w:rPr>
          <w:b/>
          <w:color w:val="B40000"/>
          <w:sz w:val="18"/>
        </w:rPr>
        <w:t xml:space="preserve">#5 TTLC </w:t>
      </w:r>
      <w:r>
        <w:rPr>
          <w:sz w:val="17"/>
        </w:rPr>
        <w:t>(TTLC - TOTAL ENERGIES MARKETING COTE D'I) — baisse modérée (-8.5%) — repli technique attendu. Trajectoire : 📉 Baisse continue. Cours actuel : 3,175 FCFA → prédit J+10 : 2,906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2,950</w:t>
            </w:r>
          </w:p>
        </w:tc>
        <w:tc>
          <w:tcPr>
            <w:tcW w:type="dxa" w:w="1417"/>
            <w:shd w:fill="FFFFFF" w:val="clear"/>
          </w:tcPr>
          <w:p>
            <w:r>
              <w:rPr>
                <w:sz w:val="16"/>
              </w:rPr>
              <w:t>3,412</w:t>
            </w:r>
          </w:p>
        </w:tc>
        <w:tc>
          <w:tcPr>
            <w:tcW w:type="dxa" w:w="1134"/>
            <w:shd w:fill="C6EFCE" w:val="clear"/>
          </w:tcPr>
          <w:p>
            <w:r>
              <w:rPr>
                <w:b/>
                <w:color w:val="007800"/>
                <w:sz w:val="16"/>
              </w:rPr>
              <w:t>+15.67%</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5,995</w:t>
            </w:r>
          </w:p>
        </w:tc>
        <w:tc>
          <w:tcPr>
            <w:tcW w:type="dxa" w:w="1417"/>
            <w:shd w:fill="FFFFFF" w:val="clear"/>
          </w:tcPr>
          <w:p>
            <w:r>
              <w:rPr>
                <w:sz w:val="16"/>
              </w:rPr>
              <w:t>6,570</w:t>
            </w:r>
          </w:p>
        </w:tc>
        <w:tc>
          <w:tcPr>
            <w:tcW w:type="dxa" w:w="1134"/>
            <w:shd w:fill="C6EFCE" w:val="clear"/>
          </w:tcPr>
          <w:p>
            <w:r>
              <w:rPr>
                <w:b/>
                <w:color w:val="007800"/>
                <w:sz w:val="16"/>
              </w:rPr>
              <w:t>+9.59%</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37,800</w:t>
            </w:r>
          </w:p>
        </w:tc>
        <w:tc>
          <w:tcPr>
            <w:tcW w:type="dxa" w:w="1417"/>
            <w:shd w:fill="FFFFFF" w:val="clear"/>
          </w:tcPr>
          <w:p>
            <w:r>
              <w:rPr>
                <w:sz w:val="16"/>
              </w:rPr>
              <w:t>41,307</w:t>
            </w:r>
          </w:p>
        </w:tc>
        <w:tc>
          <w:tcPr>
            <w:tcW w:type="dxa" w:w="1134"/>
            <w:shd w:fill="C6EFCE" w:val="clear"/>
          </w:tcPr>
          <w:p>
            <w:r>
              <w:rPr>
                <w:b/>
                <w:color w:val="007800"/>
                <w:sz w:val="16"/>
              </w:rPr>
              <w:t>+9.28%</w:t>
            </w:r>
          </w:p>
        </w:tc>
        <w:tc>
          <w:tcPr>
            <w:tcW w:type="dxa" w:w="1134"/>
            <w:shd w:fill="FFEB9C" w:val="clear"/>
          </w:tcPr>
          <w:p>
            <w:r>
              <w:rPr>
                <w:sz w:val="16"/>
              </w:rPr>
              <w:t>Moyenne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21,975</w:t>
            </w:r>
          </w:p>
        </w:tc>
        <w:tc>
          <w:tcPr>
            <w:tcW w:type="dxa" w:w="1417"/>
            <w:shd w:fill="FFFFFF" w:val="clear"/>
          </w:tcPr>
          <w:p>
            <w:r>
              <w:rPr>
                <w:sz w:val="16"/>
              </w:rPr>
              <w:t>23,907</w:t>
            </w:r>
          </w:p>
        </w:tc>
        <w:tc>
          <w:tcPr>
            <w:tcW w:type="dxa" w:w="1134"/>
            <w:shd w:fill="C6EFCE" w:val="clear"/>
          </w:tcPr>
          <w:p>
            <w:r>
              <w:rPr>
                <w:b/>
                <w:color w:val="007800"/>
                <w:sz w:val="16"/>
              </w:rPr>
              <w:t>+8.79%</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8,560</w:t>
            </w:r>
          </w:p>
        </w:tc>
        <w:tc>
          <w:tcPr>
            <w:tcW w:type="dxa" w:w="1417"/>
            <w:shd w:fill="FFFFFF" w:val="clear"/>
          </w:tcPr>
          <w:p>
            <w:r>
              <w:rPr>
                <w:sz w:val="16"/>
              </w:rPr>
              <w:t>9,107</w:t>
            </w:r>
          </w:p>
        </w:tc>
        <w:tc>
          <w:tcPr>
            <w:tcW w:type="dxa" w:w="1134"/>
            <w:shd w:fill="C6EFCE" w:val="clear"/>
          </w:tcPr>
          <w:p>
            <w:r>
              <w:rPr>
                <w:b/>
                <w:color w:val="007800"/>
                <w:sz w:val="16"/>
              </w:rPr>
              <w:t>+6.40%</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3,900</w:t>
            </w:r>
          </w:p>
        </w:tc>
        <w:tc>
          <w:tcPr>
            <w:tcW w:type="dxa" w:w="1417"/>
            <w:shd w:fill="FFFFFF" w:val="clear"/>
          </w:tcPr>
          <w:p>
            <w:r>
              <w:rPr>
                <w:sz w:val="16"/>
              </w:rPr>
              <w:t>4,141</w:t>
            </w:r>
          </w:p>
        </w:tc>
        <w:tc>
          <w:tcPr>
            <w:tcW w:type="dxa" w:w="1134"/>
            <w:shd w:fill="C6EFCE" w:val="clear"/>
          </w:tcPr>
          <w:p>
            <w:r>
              <w:rPr>
                <w:b/>
                <w:color w:val="007800"/>
                <w:sz w:val="16"/>
              </w:rPr>
              <w:t>+6.17%</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4,800</w:t>
            </w:r>
          </w:p>
        </w:tc>
        <w:tc>
          <w:tcPr>
            <w:tcW w:type="dxa" w:w="1417"/>
            <w:shd w:fill="FFFFFF" w:val="clear"/>
          </w:tcPr>
          <w:p>
            <w:r>
              <w:rPr>
                <w:sz w:val="16"/>
              </w:rPr>
              <w:t>5,085</w:t>
            </w:r>
          </w:p>
        </w:tc>
        <w:tc>
          <w:tcPr>
            <w:tcW w:type="dxa" w:w="1134"/>
            <w:shd w:fill="C6EFCE" w:val="clear"/>
          </w:tcPr>
          <w:p>
            <w:r>
              <w:rPr>
                <w:b/>
                <w:color w:val="007800"/>
                <w:sz w:val="16"/>
              </w:rPr>
              <w:t>+5.94%</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12,990</w:t>
            </w:r>
          </w:p>
        </w:tc>
        <w:tc>
          <w:tcPr>
            <w:tcW w:type="dxa" w:w="1417"/>
            <w:shd w:fill="FFFFFF" w:val="clear"/>
          </w:tcPr>
          <w:p>
            <w:r>
              <w:rPr>
                <w:sz w:val="16"/>
              </w:rPr>
              <w:t>13,593</w:t>
            </w:r>
          </w:p>
        </w:tc>
        <w:tc>
          <w:tcPr>
            <w:tcW w:type="dxa" w:w="1134"/>
            <w:shd w:fill="C6EFCE" w:val="clear"/>
          </w:tcPr>
          <w:p>
            <w:r>
              <w:rPr>
                <w:b/>
                <w:color w:val="007800"/>
                <w:sz w:val="16"/>
              </w:rPr>
              <w:t>+4.65%</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47,215</w:t>
            </w:r>
          </w:p>
        </w:tc>
        <w:tc>
          <w:tcPr>
            <w:tcW w:type="dxa" w:w="1417"/>
            <w:shd w:fill="FFFFFF" w:val="clear"/>
          </w:tcPr>
          <w:p>
            <w:r>
              <w:rPr>
                <w:sz w:val="16"/>
              </w:rPr>
              <w:t>49,031</w:t>
            </w:r>
          </w:p>
        </w:tc>
        <w:tc>
          <w:tcPr>
            <w:tcW w:type="dxa" w:w="1134"/>
            <w:shd w:fill="C6EFCE" w:val="clear"/>
          </w:tcPr>
          <w:p>
            <w:r>
              <w:rPr>
                <w:b/>
                <w:color w:val="007800"/>
                <w:sz w:val="16"/>
              </w:rPr>
              <w:t>+3.85%</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1,600</w:t>
            </w:r>
          </w:p>
        </w:tc>
        <w:tc>
          <w:tcPr>
            <w:tcW w:type="dxa" w:w="1417"/>
            <w:shd w:fill="FFFFFF" w:val="clear"/>
          </w:tcPr>
          <w:p>
            <w:r>
              <w:rPr>
                <w:sz w:val="16"/>
              </w:rPr>
              <w:t>1,656</w:t>
            </w:r>
          </w:p>
        </w:tc>
        <w:tc>
          <w:tcPr>
            <w:tcW w:type="dxa" w:w="1134"/>
            <w:shd w:fill="C6EFCE" w:val="clear"/>
          </w:tcPr>
          <w:p>
            <w:r>
              <w:rPr>
                <w:b/>
                <w:color w:val="007800"/>
                <w:sz w:val="16"/>
              </w:rPr>
              <w:t>+3.47%</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3,615</w:t>
            </w:r>
          </w:p>
        </w:tc>
        <w:tc>
          <w:tcPr>
            <w:tcW w:type="dxa" w:w="1417"/>
            <w:shd w:fill="FFFFFF" w:val="clear"/>
          </w:tcPr>
          <w:p>
            <w:r>
              <w:rPr>
                <w:sz w:val="16"/>
              </w:rPr>
              <w:t>3,732</w:t>
            </w:r>
          </w:p>
        </w:tc>
        <w:tc>
          <w:tcPr>
            <w:tcW w:type="dxa" w:w="1134"/>
            <w:shd w:fill="C6EFCE" w:val="clear"/>
          </w:tcPr>
          <w:p>
            <w:r>
              <w:rPr>
                <w:b/>
                <w:color w:val="007800"/>
                <w:sz w:val="16"/>
              </w:rPr>
              <w:t>+3.24%</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3,900</w:t>
            </w:r>
          </w:p>
        </w:tc>
        <w:tc>
          <w:tcPr>
            <w:tcW w:type="dxa" w:w="1417"/>
            <w:shd w:fill="FFFFFF" w:val="clear"/>
          </w:tcPr>
          <w:p>
            <w:r>
              <w:rPr>
                <w:sz w:val="16"/>
              </w:rPr>
              <w:t>3,990</w:t>
            </w:r>
          </w:p>
        </w:tc>
        <w:tc>
          <w:tcPr>
            <w:tcW w:type="dxa" w:w="1134"/>
            <w:shd w:fill="C6EFCE" w:val="clear"/>
          </w:tcPr>
          <w:p>
            <w:r>
              <w:rPr>
                <w:b/>
                <w:color w:val="007800"/>
                <w:sz w:val="16"/>
              </w:rPr>
              <w:t>+2.31%</w:t>
            </w:r>
          </w:p>
        </w:tc>
        <w:tc>
          <w:tcPr>
            <w:tcW w:type="dxa" w:w="1134"/>
            <w:shd w:fill="FFEB9C" w:val="clear"/>
          </w:tcPr>
          <w:p>
            <w:r>
              <w:rPr>
                <w:sz w:val="16"/>
              </w:rPr>
              <w:t>Moyenne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21,500</w:t>
            </w:r>
          </w:p>
        </w:tc>
        <w:tc>
          <w:tcPr>
            <w:tcW w:type="dxa" w:w="1417"/>
            <w:shd w:fill="FFFFFF" w:val="clear"/>
          </w:tcPr>
          <w:p>
            <w:r>
              <w:rPr>
                <w:sz w:val="16"/>
              </w:rPr>
              <w:t>21,955</w:t>
            </w:r>
          </w:p>
        </w:tc>
        <w:tc>
          <w:tcPr>
            <w:tcW w:type="dxa" w:w="1134"/>
            <w:shd w:fill="C6EFCE" w:val="clear"/>
          </w:tcPr>
          <w:p>
            <w:r>
              <w:rPr>
                <w:b/>
                <w:color w:val="007800"/>
                <w:sz w:val="16"/>
              </w:rPr>
              <w:t>+2.12%</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16,795</w:t>
            </w:r>
          </w:p>
        </w:tc>
        <w:tc>
          <w:tcPr>
            <w:tcW w:type="dxa" w:w="1417"/>
            <w:shd w:fill="FFFFFF" w:val="clear"/>
          </w:tcPr>
          <w:p>
            <w:r>
              <w:rPr>
                <w:sz w:val="16"/>
              </w:rPr>
              <w:t>17,109</w:t>
            </w:r>
          </w:p>
        </w:tc>
        <w:tc>
          <w:tcPr>
            <w:tcW w:type="dxa" w:w="1134"/>
            <w:shd w:fill="C6EFCE" w:val="clear"/>
          </w:tcPr>
          <w:p>
            <w:r>
              <w:rPr>
                <w:b/>
                <w:color w:val="007800"/>
                <w:sz w:val="16"/>
              </w:rPr>
              <w:t>+1.87%</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3,000</w:t>
            </w:r>
          </w:p>
        </w:tc>
        <w:tc>
          <w:tcPr>
            <w:tcW w:type="dxa" w:w="1417"/>
            <w:shd w:fill="FFFFFF" w:val="clear"/>
          </w:tcPr>
          <w:p>
            <w:r>
              <w:rPr>
                <w:sz w:val="16"/>
              </w:rPr>
              <w:t>3,051</w:t>
            </w:r>
          </w:p>
        </w:tc>
        <w:tc>
          <w:tcPr>
            <w:tcW w:type="dxa" w:w="1134"/>
            <w:shd w:fill="C6EFCE" w:val="clear"/>
          </w:tcPr>
          <w:p>
            <w:r>
              <w:rPr>
                <w:b/>
                <w:color w:val="007800"/>
                <w:sz w:val="16"/>
              </w:rPr>
              <w:t>+1.70%</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15,400</w:t>
            </w:r>
          </w:p>
        </w:tc>
        <w:tc>
          <w:tcPr>
            <w:tcW w:type="dxa" w:w="1417"/>
            <w:shd w:fill="FFFFFF" w:val="clear"/>
          </w:tcPr>
          <w:p>
            <w:r>
              <w:rPr>
                <w:sz w:val="16"/>
              </w:rPr>
              <w:t>15,482</w:t>
            </w:r>
          </w:p>
        </w:tc>
        <w:tc>
          <w:tcPr>
            <w:tcW w:type="dxa" w:w="1134"/>
            <w:shd w:fill="FFEB9C" w:val="clear"/>
          </w:tcPr>
          <w:p>
            <w:r>
              <w:rPr>
                <w:b/>
                <w:color w:val="646400"/>
                <w:sz w:val="16"/>
              </w:rPr>
              <w:t>+0.53%</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5,350</w:t>
            </w:r>
          </w:p>
        </w:tc>
        <w:tc>
          <w:tcPr>
            <w:tcW w:type="dxa" w:w="1417"/>
            <w:shd w:fill="FFFFFF" w:val="clear"/>
          </w:tcPr>
          <w:p>
            <w:r>
              <w:rPr>
                <w:sz w:val="16"/>
              </w:rPr>
              <w:t>5,341</w:t>
            </w:r>
          </w:p>
        </w:tc>
        <w:tc>
          <w:tcPr>
            <w:tcW w:type="dxa" w:w="1134"/>
            <w:shd w:fill="FFEB9C" w:val="clear"/>
          </w:tcPr>
          <w:p>
            <w:r>
              <w:rPr>
                <w:b/>
                <w:color w:val="646400"/>
                <w:sz w:val="16"/>
              </w:rPr>
              <w:t>-0.17%</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8,190</w:t>
            </w:r>
          </w:p>
        </w:tc>
        <w:tc>
          <w:tcPr>
            <w:tcW w:type="dxa" w:w="1417"/>
            <w:shd w:fill="FFFFFF" w:val="clear"/>
          </w:tcPr>
          <w:p>
            <w:r>
              <w:rPr>
                <w:sz w:val="16"/>
              </w:rPr>
              <w:t>8,151</w:t>
            </w:r>
          </w:p>
        </w:tc>
        <w:tc>
          <w:tcPr>
            <w:tcW w:type="dxa" w:w="1134"/>
            <w:shd w:fill="FFEB9C" w:val="clear"/>
          </w:tcPr>
          <w:p>
            <w:r>
              <w:rPr>
                <w:b/>
                <w:color w:val="646400"/>
                <w:sz w:val="16"/>
              </w:rPr>
              <w:t>-0.48%</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3,015</w:t>
            </w:r>
          </w:p>
        </w:tc>
        <w:tc>
          <w:tcPr>
            <w:tcW w:type="dxa" w:w="1417"/>
            <w:shd w:fill="FFFFFF" w:val="clear"/>
          </w:tcPr>
          <w:p>
            <w:r>
              <w:rPr>
                <w:sz w:val="16"/>
              </w:rPr>
              <w:t>2,983</w:t>
            </w:r>
          </w:p>
        </w:tc>
        <w:tc>
          <w:tcPr>
            <w:tcW w:type="dxa" w:w="1134"/>
            <w:shd w:fill="FFC7CE" w:val="clear"/>
          </w:tcPr>
          <w:p>
            <w:r>
              <w:rPr>
                <w:b/>
                <w:color w:val="B40000"/>
                <w:sz w:val="16"/>
              </w:rPr>
              <w:t>-1.05%</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2,300</w:t>
            </w:r>
          </w:p>
        </w:tc>
        <w:tc>
          <w:tcPr>
            <w:tcW w:type="dxa" w:w="1417"/>
            <w:shd w:fill="FFFFFF" w:val="clear"/>
          </w:tcPr>
          <w:p>
            <w:r>
              <w:rPr>
                <w:sz w:val="16"/>
              </w:rPr>
              <w:t>2,275</w:t>
            </w:r>
          </w:p>
        </w:tc>
        <w:tc>
          <w:tcPr>
            <w:tcW w:type="dxa" w:w="1134"/>
            <w:shd w:fill="FFC7CE" w:val="clear"/>
          </w:tcPr>
          <w:p>
            <w:r>
              <w:rPr>
                <w:b/>
                <w:color w:val="B40000"/>
                <w:sz w:val="16"/>
              </w:rPr>
              <w:t>-1.09%</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21,805</w:t>
            </w:r>
          </w:p>
        </w:tc>
        <w:tc>
          <w:tcPr>
            <w:tcW w:type="dxa" w:w="1417"/>
            <w:shd w:fill="FFFFFF" w:val="clear"/>
          </w:tcPr>
          <w:p>
            <w:r>
              <w:rPr>
                <w:sz w:val="16"/>
              </w:rPr>
              <w:t>21,521</w:t>
            </w:r>
          </w:p>
        </w:tc>
        <w:tc>
          <w:tcPr>
            <w:tcW w:type="dxa" w:w="1134"/>
            <w:shd w:fill="FFC7CE" w:val="clear"/>
          </w:tcPr>
          <w:p>
            <w:r>
              <w:rPr>
                <w:b/>
                <w:color w:val="B40000"/>
                <w:sz w:val="16"/>
              </w:rPr>
              <w:t>-1.30%</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8,250</w:t>
            </w:r>
          </w:p>
        </w:tc>
        <w:tc>
          <w:tcPr>
            <w:tcW w:type="dxa" w:w="1417"/>
            <w:shd w:fill="FFFFFF" w:val="clear"/>
          </w:tcPr>
          <w:p>
            <w:r>
              <w:rPr>
                <w:sz w:val="16"/>
              </w:rPr>
              <w:t>8,120</w:t>
            </w:r>
          </w:p>
        </w:tc>
        <w:tc>
          <w:tcPr>
            <w:tcW w:type="dxa" w:w="1134"/>
            <w:shd w:fill="FFC7CE" w:val="clear"/>
          </w:tcPr>
          <w:p>
            <w:r>
              <w:rPr>
                <w:b/>
                <w:color w:val="B40000"/>
                <w:sz w:val="16"/>
              </w:rPr>
              <w:t>-1.58%</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16,500</w:t>
            </w:r>
          </w:p>
        </w:tc>
        <w:tc>
          <w:tcPr>
            <w:tcW w:type="dxa" w:w="1417"/>
            <w:shd w:fill="FFFFFF" w:val="clear"/>
          </w:tcPr>
          <w:p>
            <w:r>
              <w:rPr>
                <w:sz w:val="16"/>
              </w:rPr>
              <w:t>16,172</w:t>
            </w:r>
          </w:p>
        </w:tc>
        <w:tc>
          <w:tcPr>
            <w:tcW w:type="dxa" w:w="1134"/>
            <w:shd w:fill="FFC7CE" w:val="clear"/>
          </w:tcPr>
          <w:p>
            <w:r>
              <w:rPr>
                <w:b/>
                <w:color w:val="B40000"/>
                <w:sz w:val="16"/>
              </w:rPr>
              <w:t>-1.99%</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7,945</w:t>
            </w:r>
          </w:p>
        </w:tc>
        <w:tc>
          <w:tcPr>
            <w:tcW w:type="dxa" w:w="1417"/>
            <w:shd w:fill="FFFFFF" w:val="clear"/>
          </w:tcPr>
          <w:p>
            <w:r>
              <w:rPr>
                <w:sz w:val="16"/>
              </w:rPr>
              <w:t>7,786</w:t>
            </w:r>
          </w:p>
        </w:tc>
        <w:tc>
          <w:tcPr>
            <w:tcW w:type="dxa" w:w="1134"/>
            <w:shd w:fill="FFC7CE" w:val="clear"/>
          </w:tcPr>
          <w:p>
            <w:r>
              <w:rPr>
                <w:b/>
                <w:color w:val="B40000"/>
                <w:sz w:val="16"/>
              </w:rPr>
              <w:t>-2.00%</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9,400</w:t>
            </w:r>
          </w:p>
        </w:tc>
        <w:tc>
          <w:tcPr>
            <w:tcW w:type="dxa" w:w="1417"/>
            <w:shd w:fill="FFFFFF" w:val="clear"/>
          </w:tcPr>
          <w:p>
            <w:r>
              <w:rPr>
                <w:sz w:val="16"/>
              </w:rPr>
              <w:t>9,183</w:t>
            </w:r>
          </w:p>
        </w:tc>
        <w:tc>
          <w:tcPr>
            <w:tcW w:type="dxa" w:w="1134"/>
            <w:shd w:fill="FFC7CE" w:val="clear"/>
          </w:tcPr>
          <w:p>
            <w:r>
              <w:rPr>
                <w:b/>
                <w:color w:val="B40000"/>
                <w:sz w:val="16"/>
              </w:rPr>
              <w:t>-2.31%</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69</w:t>
            </w:r>
          </w:p>
        </w:tc>
        <w:tc>
          <w:tcPr>
            <w:tcW w:type="dxa" w:w="1417"/>
            <w:shd w:fill="FFFFFF" w:val="clear"/>
          </w:tcPr>
          <w:p>
            <w:r>
              <w:rPr>
                <w:sz w:val="16"/>
              </w:rPr>
              <w:t>67</w:t>
            </w:r>
          </w:p>
        </w:tc>
        <w:tc>
          <w:tcPr>
            <w:tcW w:type="dxa" w:w="1134"/>
            <w:shd w:fill="FFC7CE" w:val="clear"/>
          </w:tcPr>
          <w:p>
            <w:r>
              <w:rPr>
                <w:b/>
                <w:color w:val="B40000"/>
                <w:sz w:val="16"/>
              </w:rPr>
              <w:t>-2.59%</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2,950</w:t>
            </w:r>
          </w:p>
        </w:tc>
        <w:tc>
          <w:tcPr>
            <w:tcW w:type="dxa" w:w="1417"/>
            <w:shd w:fill="FFFFFF" w:val="clear"/>
          </w:tcPr>
          <w:p>
            <w:r>
              <w:rPr>
                <w:sz w:val="16"/>
              </w:rPr>
              <w:t>2,869</w:t>
            </w:r>
          </w:p>
        </w:tc>
        <w:tc>
          <w:tcPr>
            <w:tcW w:type="dxa" w:w="1134"/>
            <w:shd w:fill="FFC7CE" w:val="clear"/>
          </w:tcPr>
          <w:p>
            <w:r>
              <w:rPr>
                <w:b/>
                <w:color w:val="B40000"/>
                <w:sz w:val="16"/>
              </w:rPr>
              <w:t>-2.74%</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7,900</w:t>
            </w:r>
          </w:p>
        </w:tc>
        <w:tc>
          <w:tcPr>
            <w:tcW w:type="dxa" w:w="1417"/>
            <w:shd w:fill="FFFFFF" w:val="clear"/>
          </w:tcPr>
          <w:p>
            <w:r>
              <w:rPr>
                <w:sz w:val="16"/>
              </w:rPr>
              <w:t>7,634</w:t>
            </w:r>
          </w:p>
        </w:tc>
        <w:tc>
          <w:tcPr>
            <w:tcW w:type="dxa" w:w="1134"/>
            <w:shd w:fill="FFC7CE" w:val="clear"/>
          </w:tcPr>
          <w:p>
            <w:r>
              <w:rPr>
                <w:b/>
                <w:color w:val="B40000"/>
                <w:sz w:val="16"/>
              </w:rPr>
              <w:t>-3.37%</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2,380</w:t>
            </w:r>
          </w:p>
        </w:tc>
        <w:tc>
          <w:tcPr>
            <w:tcW w:type="dxa" w:w="1417"/>
            <w:shd w:fill="FFFFFF" w:val="clear"/>
          </w:tcPr>
          <w:p>
            <w:r>
              <w:rPr>
                <w:sz w:val="16"/>
              </w:rPr>
              <w:t>2,285</w:t>
            </w:r>
          </w:p>
        </w:tc>
        <w:tc>
          <w:tcPr>
            <w:tcW w:type="dxa" w:w="1134"/>
            <w:shd w:fill="FFC7CE" w:val="clear"/>
          </w:tcPr>
          <w:p>
            <w:r>
              <w:rPr>
                <w:b/>
                <w:color w:val="B40000"/>
                <w:sz w:val="16"/>
              </w:rPr>
              <w:t>-4.01%</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8,145</w:t>
            </w:r>
          </w:p>
        </w:tc>
        <w:tc>
          <w:tcPr>
            <w:tcW w:type="dxa" w:w="1417"/>
            <w:shd w:fill="FFFFFF" w:val="clear"/>
          </w:tcPr>
          <w:p>
            <w:r>
              <w:rPr>
                <w:sz w:val="16"/>
              </w:rPr>
              <w:t>7,816</w:t>
            </w:r>
          </w:p>
        </w:tc>
        <w:tc>
          <w:tcPr>
            <w:tcW w:type="dxa" w:w="1134"/>
            <w:shd w:fill="FFC7CE" w:val="clear"/>
          </w:tcPr>
          <w:p>
            <w:r>
              <w:rPr>
                <w:b/>
                <w:color w:val="B40000"/>
                <w:sz w:val="16"/>
              </w:rPr>
              <w:t>-4.04%</w:t>
            </w:r>
          </w:p>
        </w:tc>
        <w:tc>
          <w:tcPr>
            <w:tcW w:type="dxa" w:w="1134"/>
            <w:shd w:fill="FFEB9C" w:val="clear"/>
          </w:tcPr>
          <w:p>
            <w:r>
              <w:rPr>
                <w:sz w:val="16"/>
              </w:rPr>
              <w:t>Moyenne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38,900</w:t>
            </w:r>
          </w:p>
        </w:tc>
        <w:tc>
          <w:tcPr>
            <w:tcW w:type="dxa" w:w="1417"/>
            <w:shd w:fill="FFFFFF" w:val="clear"/>
          </w:tcPr>
          <w:p>
            <w:r>
              <w:rPr>
                <w:sz w:val="16"/>
              </w:rPr>
              <w:t>37,236</w:t>
            </w:r>
          </w:p>
        </w:tc>
        <w:tc>
          <w:tcPr>
            <w:tcW w:type="dxa" w:w="1134"/>
            <w:shd w:fill="FFC7CE" w:val="clear"/>
          </w:tcPr>
          <w:p>
            <w:r>
              <w:rPr>
                <w:b/>
                <w:color w:val="B40000"/>
                <w:sz w:val="16"/>
              </w:rPr>
              <w:t>-4.28%</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42,995</w:t>
            </w:r>
          </w:p>
        </w:tc>
        <w:tc>
          <w:tcPr>
            <w:tcW w:type="dxa" w:w="1417"/>
            <w:shd w:fill="FFFFFF" w:val="clear"/>
          </w:tcPr>
          <w:p>
            <w:r>
              <w:rPr>
                <w:sz w:val="16"/>
              </w:rPr>
              <w:t>41,093</w:t>
            </w:r>
          </w:p>
        </w:tc>
        <w:tc>
          <w:tcPr>
            <w:tcW w:type="dxa" w:w="1134"/>
            <w:shd w:fill="FFC7CE" w:val="clear"/>
          </w:tcPr>
          <w:p>
            <w:r>
              <w:rPr>
                <w:b/>
                <w:color w:val="B40000"/>
                <w:sz w:val="16"/>
              </w:rPr>
              <w:t>-4.42%</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11,600</w:t>
            </w:r>
          </w:p>
        </w:tc>
        <w:tc>
          <w:tcPr>
            <w:tcW w:type="dxa" w:w="1417"/>
            <w:shd w:fill="FFFFFF" w:val="clear"/>
          </w:tcPr>
          <w:p>
            <w:r>
              <w:rPr>
                <w:sz w:val="16"/>
              </w:rPr>
              <w:t>11,079</w:t>
            </w:r>
          </w:p>
        </w:tc>
        <w:tc>
          <w:tcPr>
            <w:tcW w:type="dxa" w:w="1134"/>
            <w:shd w:fill="FFC7CE" w:val="clear"/>
          </w:tcPr>
          <w:p>
            <w:r>
              <w:rPr>
                <w:b/>
                <w:color w:val="B40000"/>
                <w:sz w:val="16"/>
              </w:rPr>
              <w:t>-4.49%</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1,990</w:t>
            </w:r>
          </w:p>
        </w:tc>
        <w:tc>
          <w:tcPr>
            <w:tcW w:type="dxa" w:w="1417"/>
            <w:shd w:fill="FFFFFF" w:val="clear"/>
          </w:tcPr>
          <w:p>
            <w:r>
              <w:rPr>
                <w:sz w:val="16"/>
              </w:rPr>
              <w:t>1,900</w:t>
            </w:r>
          </w:p>
        </w:tc>
        <w:tc>
          <w:tcPr>
            <w:tcW w:type="dxa" w:w="1134"/>
            <w:shd w:fill="FFC7CE" w:val="clear"/>
          </w:tcPr>
          <w:p>
            <w:r>
              <w:rPr>
                <w:b/>
                <w:color w:val="B40000"/>
                <w:sz w:val="16"/>
              </w:rPr>
              <w:t>-4.52%</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1,995</w:t>
            </w:r>
          </w:p>
        </w:tc>
        <w:tc>
          <w:tcPr>
            <w:tcW w:type="dxa" w:w="1417"/>
            <w:shd w:fill="FFFFFF" w:val="clear"/>
          </w:tcPr>
          <w:p>
            <w:r>
              <w:rPr>
                <w:sz w:val="16"/>
              </w:rPr>
              <w:t>1,871</w:t>
            </w:r>
          </w:p>
        </w:tc>
        <w:tc>
          <w:tcPr>
            <w:tcW w:type="dxa" w:w="1134"/>
            <w:shd w:fill="FFC7CE" w:val="clear"/>
          </w:tcPr>
          <w:p>
            <w:r>
              <w:rPr>
                <w:b/>
                <w:color w:val="B40000"/>
                <w:sz w:val="16"/>
              </w:rPr>
              <w:t>-6.22%</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2,445</w:t>
            </w:r>
          </w:p>
        </w:tc>
        <w:tc>
          <w:tcPr>
            <w:tcW w:type="dxa" w:w="1417"/>
            <w:shd w:fill="FFFFFF" w:val="clear"/>
          </w:tcPr>
          <w:p>
            <w:r>
              <w:rPr>
                <w:sz w:val="16"/>
              </w:rPr>
              <w:t>2,290</w:t>
            </w:r>
          </w:p>
        </w:tc>
        <w:tc>
          <w:tcPr>
            <w:tcW w:type="dxa" w:w="1134"/>
            <w:shd w:fill="FFC7CE" w:val="clear"/>
          </w:tcPr>
          <w:p>
            <w:r>
              <w:rPr>
                <w:b/>
                <w:color w:val="B40000"/>
                <w:sz w:val="16"/>
              </w:rPr>
              <w:t>-6.35%</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9,150</w:t>
            </w:r>
          </w:p>
        </w:tc>
        <w:tc>
          <w:tcPr>
            <w:tcW w:type="dxa" w:w="1417"/>
            <w:shd w:fill="FFFFFF" w:val="clear"/>
          </w:tcPr>
          <w:p>
            <w:r>
              <w:rPr>
                <w:sz w:val="16"/>
              </w:rPr>
              <w:t>8,530</w:t>
            </w:r>
          </w:p>
        </w:tc>
        <w:tc>
          <w:tcPr>
            <w:tcW w:type="dxa" w:w="1134"/>
            <w:shd w:fill="FFC7CE" w:val="clear"/>
          </w:tcPr>
          <w:p>
            <w:r>
              <w:rPr>
                <w:b/>
                <w:color w:val="B40000"/>
                <w:sz w:val="16"/>
              </w:rPr>
              <w:t>-6.78%</w:t>
            </w:r>
          </w:p>
        </w:tc>
        <w:tc>
          <w:tcPr>
            <w:tcW w:type="dxa" w:w="1134"/>
            <w:shd w:fill="FFEB9C" w:val="clear"/>
          </w:tcPr>
          <w:p>
            <w:r>
              <w:rPr>
                <w:sz w:val="16"/>
              </w:rPr>
              <w:t>Moyenne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3,650</w:t>
            </w:r>
          </w:p>
        </w:tc>
        <w:tc>
          <w:tcPr>
            <w:tcW w:type="dxa" w:w="1417"/>
            <w:shd w:fill="FFFFFF" w:val="clear"/>
          </w:tcPr>
          <w:p>
            <w:r>
              <w:rPr>
                <w:sz w:val="16"/>
              </w:rPr>
              <w:t>3,386</w:t>
            </w:r>
          </w:p>
        </w:tc>
        <w:tc>
          <w:tcPr>
            <w:tcW w:type="dxa" w:w="1134"/>
            <w:shd w:fill="FFC7CE" w:val="clear"/>
          </w:tcPr>
          <w:p>
            <w:r>
              <w:rPr>
                <w:b/>
                <w:color w:val="B40000"/>
                <w:sz w:val="16"/>
              </w:rPr>
              <w:t>-7.23%</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3,395</w:t>
            </w:r>
          </w:p>
        </w:tc>
        <w:tc>
          <w:tcPr>
            <w:tcW w:type="dxa" w:w="1417"/>
            <w:shd w:fill="FFFFFF" w:val="clear"/>
          </w:tcPr>
          <w:p>
            <w:r>
              <w:rPr>
                <w:sz w:val="16"/>
              </w:rPr>
              <w:t>3,148</w:t>
            </w:r>
          </w:p>
        </w:tc>
        <w:tc>
          <w:tcPr>
            <w:tcW w:type="dxa" w:w="1134"/>
            <w:shd w:fill="FFC7CE" w:val="clear"/>
          </w:tcPr>
          <w:p>
            <w:r>
              <w:rPr>
                <w:b/>
                <w:color w:val="B40000"/>
                <w:sz w:val="16"/>
              </w:rPr>
              <w:t>-7.29%</w:t>
            </w:r>
          </w:p>
        </w:tc>
        <w:tc>
          <w:tcPr>
            <w:tcW w:type="dxa" w:w="1134"/>
            <w:shd w:fill="FFEB9C" w:val="clear"/>
          </w:tcPr>
          <w:p>
            <w:r>
              <w:rPr>
                <w:sz w:val="16"/>
              </w:rPr>
              <w:t>Moyenne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6,450</w:t>
            </w:r>
          </w:p>
        </w:tc>
        <w:tc>
          <w:tcPr>
            <w:tcW w:type="dxa" w:w="1417"/>
            <w:shd w:fill="FFFFFF" w:val="clear"/>
          </w:tcPr>
          <w:p>
            <w:r>
              <w:rPr>
                <w:sz w:val="16"/>
              </w:rPr>
              <w:t>5,933</w:t>
            </w:r>
          </w:p>
        </w:tc>
        <w:tc>
          <w:tcPr>
            <w:tcW w:type="dxa" w:w="1134"/>
            <w:shd w:fill="FFC7CE" w:val="clear"/>
          </w:tcPr>
          <w:p>
            <w:r>
              <w:rPr>
                <w:b/>
                <w:color w:val="B40000"/>
                <w:sz w:val="16"/>
              </w:rPr>
              <w:t>-8.02%</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3,175</w:t>
            </w:r>
          </w:p>
        </w:tc>
        <w:tc>
          <w:tcPr>
            <w:tcW w:type="dxa" w:w="1417"/>
            <w:shd w:fill="FFFFFF" w:val="clear"/>
          </w:tcPr>
          <w:p>
            <w:r>
              <w:rPr>
                <w:sz w:val="16"/>
              </w:rPr>
              <w:t>2,906</w:t>
            </w:r>
          </w:p>
        </w:tc>
        <w:tc>
          <w:tcPr>
            <w:tcW w:type="dxa" w:w="1134"/>
            <w:shd w:fill="FFC7CE" w:val="clear"/>
          </w:tcPr>
          <w:p>
            <w:r>
              <w:rPr>
                <w:b/>
                <w:color w:val="B40000"/>
                <w:sz w:val="16"/>
              </w:rPr>
              <w:t>-8.47%</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2,140</w:t>
            </w:r>
          </w:p>
        </w:tc>
        <w:tc>
          <w:tcPr>
            <w:tcW w:type="dxa" w:w="1417"/>
            <w:shd w:fill="FFFFFF" w:val="clear"/>
          </w:tcPr>
          <w:p>
            <w:r>
              <w:rPr>
                <w:sz w:val="16"/>
              </w:rPr>
              <w:t>1,956</w:t>
            </w:r>
          </w:p>
        </w:tc>
        <w:tc>
          <w:tcPr>
            <w:tcW w:type="dxa" w:w="1134"/>
            <w:shd w:fill="FFC7CE" w:val="clear"/>
          </w:tcPr>
          <w:p>
            <w:r>
              <w:rPr>
                <w:b/>
                <w:color w:val="B40000"/>
                <w:sz w:val="16"/>
              </w:rPr>
              <w:t>-8.58%</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34,895</w:t>
            </w:r>
          </w:p>
        </w:tc>
        <w:tc>
          <w:tcPr>
            <w:tcW w:type="dxa" w:w="1417"/>
            <w:shd w:fill="FFFFFF" w:val="clear"/>
          </w:tcPr>
          <w:p>
            <w:r>
              <w:rPr>
                <w:sz w:val="16"/>
              </w:rPr>
              <w:t>31,818</w:t>
            </w:r>
          </w:p>
        </w:tc>
        <w:tc>
          <w:tcPr>
            <w:tcW w:type="dxa" w:w="1134"/>
            <w:shd w:fill="FFC7CE" w:val="clear"/>
          </w:tcPr>
          <w:p>
            <w:r>
              <w:rPr>
                <w:b/>
                <w:color w:val="B40000"/>
                <w:sz w:val="16"/>
              </w:rPr>
              <w:t>-8.82%</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2,390</w:t>
            </w:r>
          </w:p>
        </w:tc>
        <w:tc>
          <w:tcPr>
            <w:tcW w:type="dxa" w:w="1417"/>
            <w:shd w:fill="FFFFFF" w:val="clear"/>
          </w:tcPr>
          <w:p>
            <w:r>
              <w:rPr>
                <w:sz w:val="16"/>
              </w:rPr>
              <w:t>2,166</w:t>
            </w:r>
          </w:p>
        </w:tc>
        <w:tc>
          <w:tcPr>
            <w:tcW w:type="dxa" w:w="1134"/>
            <w:shd w:fill="FFC7CE" w:val="clear"/>
          </w:tcPr>
          <w:p>
            <w:r>
              <w:rPr>
                <w:b/>
                <w:color w:val="B40000"/>
                <w:sz w:val="16"/>
              </w:rPr>
              <w:t>-9.35%</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32,490</w:t>
            </w:r>
          </w:p>
        </w:tc>
        <w:tc>
          <w:tcPr>
            <w:tcW w:type="dxa" w:w="1417"/>
            <w:shd w:fill="FFFFFF" w:val="clear"/>
          </w:tcPr>
          <w:p>
            <w:r>
              <w:rPr>
                <w:sz w:val="16"/>
              </w:rPr>
              <w:t>28,326</w:t>
            </w:r>
          </w:p>
        </w:tc>
        <w:tc>
          <w:tcPr>
            <w:tcW w:type="dxa" w:w="1134"/>
            <w:shd w:fill="FFC7CE" w:val="clear"/>
          </w:tcPr>
          <w:p>
            <w:r>
              <w:rPr>
                <w:b/>
                <w:color w:val="B40000"/>
                <w:sz w:val="16"/>
              </w:rPr>
              <w:t>-12.81%</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48.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BBGC - BRIDGE BANK GROUP COTE D'IVOIRE</w:t>
      </w:r>
    </w:p>
    <w:p>
      <w:pPr>
        <w:ind w:left="400"/>
      </w:pPr>
      <w:r>
        <w:t>3. BICB - BIIC BN - Banque internationale pour le commerce du benin</w:t>
      </w:r>
    </w:p>
    <w:p>
      <w:pPr>
        <w:ind w:left="400"/>
      </w:pPr>
      <w:r>
        <w:t>4. BICC - BICI CI - Banque internationale pour le commerce et l'industrie de la Côte d'Ivoire</w:t>
      </w:r>
    </w:p>
    <w:p>
      <w:pPr>
        <w:ind w:left="400"/>
      </w:pPr>
      <w:r>
        <w:t>5. BNBC - BNBC - BERNABE CI</w:t>
      </w:r>
    </w:p>
    <w:p>
      <w:pPr>
        <w:ind w:left="400"/>
      </w:pPr>
      <w:r>
        <w:t>6. BOAB - BANK OF AFRICA BENIN</w:t>
      </w:r>
    </w:p>
    <w:p>
      <w:pPr>
        <w:ind w:left="400"/>
      </w:pPr>
      <w:r>
        <w:t>7. BOABF - BANK OF AFRICA BURKINA FASO</w:t>
      </w:r>
    </w:p>
    <w:p>
      <w:pPr>
        <w:ind w:left="400"/>
      </w:pPr>
      <w:r>
        <w:t>8. BOAC - BANK OF AFRICA COTE D'IVOIRE</w:t>
      </w:r>
    </w:p>
    <w:p>
      <w:pPr>
        <w:ind w:left="400"/>
      </w:pPr>
      <w:r>
        <w:t>9. BOAM - BANK OF AFRICA MALI</w:t>
      </w:r>
    </w:p>
    <w:p>
      <w:pPr>
        <w:ind w:left="400"/>
      </w:pPr>
      <w:r>
        <w:t>10. BOAN - BANK OF AFRICA NIGER</w:t>
      </w:r>
    </w:p>
    <w:p>
      <w:pPr>
        <w:ind w:left="400"/>
      </w:pPr>
      <w:r>
        <w:t>11. BOAS - BANK OF AFRICA SENEGAL</w:t>
      </w:r>
    </w:p>
    <w:p>
      <w:pPr>
        <w:ind w:left="400"/>
      </w:pPr>
      <w:r>
        <w:t>12. CABC - CABC - SICABLE COTE D'IVOIRE</w:t>
      </w:r>
    </w:p>
    <w:p>
      <w:pPr>
        <w:ind w:left="400"/>
      </w:pPr>
      <w:r>
        <w:t>13. CBIBF - CBIBF - CORIS BANK INTERNATIONAL BURKINA FASO</w:t>
      </w:r>
    </w:p>
    <w:p>
      <w:pPr>
        <w:ind w:left="400"/>
      </w:pPr>
      <w:r>
        <w:t>14. CFAC - CFAC - CFAO MOTORS CI</w:t>
      </w:r>
    </w:p>
    <w:p>
      <w:pPr>
        <w:ind w:left="400"/>
      </w:pPr>
      <w:r>
        <w:t>15. CIEC - CIEC - Compagnie Ivoirienne d'Electricité</w:t>
      </w:r>
    </w:p>
    <w:p>
      <w:pPr>
        <w:ind w:left="400"/>
      </w:pPr>
      <w:r>
        <w:t>16. ECOC - ECOC - ECOBANK COTE D'IVOIRE</w:t>
      </w:r>
    </w:p>
    <w:p>
      <w:pPr>
        <w:ind w:left="400"/>
      </w:pPr>
      <w:r>
        <w:t>17. ETIT - ETIT - Ecobank Transnational Incorporated Togo</w:t>
      </w:r>
    </w:p>
    <w:p>
      <w:pPr>
        <w:ind w:left="400"/>
      </w:pPr>
      <w:r>
        <w:t>18. FTSC - FTSC - FILTISAC COTE D'IVOIRE</w:t>
      </w:r>
    </w:p>
    <w:p>
      <w:pPr>
        <w:ind w:left="400"/>
      </w:pPr>
      <w:r>
        <w:t>19. LNBB - LNBB - LOTERIE NATIONALE DU BENIN</w:t>
      </w:r>
    </w:p>
    <w:p>
      <w:pPr>
        <w:ind w:left="400"/>
      </w:pPr>
      <w:r>
        <w:t>20. NEIC - NEIC - NEI-CEDA CI</w:t>
      </w:r>
    </w:p>
    <w:p>
      <w:pPr>
        <w:ind w:left="400"/>
      </w:pPr>
      <w:r>
        <w:t>21. NSBC - NSBC - NSIA BANQUE COTE D'IVOIRE</w:t>
      </w:r>
    </w:p>
    <w:p>
      <w:pPr>
        <w:ind w:left="400"/>
      </w:pPr>
      <w:r>
        <w:t>22. NTLC - NTLC - NESTLE COTE D'IVOIRE</w:t>
      </w:r>
    </w:p>
    <w:p>
      <w:pPr>
        <w:ind w:left="400"/>
      </w:pPr>
      <w:r>
        <w:t>23. ONTBF - ONTBF - ONATEL BURKINA FASO</w:t>
      </w:r>
    </w:p>
    <w:p>
      <w:pPr>
        <w:ind w:left="400"/>
      </w:pPr>
      <w:r>
        <w:t>24. ORAC - ORAC - ORANGE COTE D'IVOIRE</w:t>
      </w:r>
    </w:p>
    <w:p>
      <w:pPr>
        <w:ind w:left="400"/>
      </w:pPr>
      <w:r>
        <w:t>25. ORGT - ORGT - ORAGROUP TOGO</w:t>
      </w:r>
    </w:p>
    <w:p>
      <w:pPr>
        <w:ind w:left="400"/>
      </w:pPr>
      <w:r>
        <w:t>26. PALC - PALC - PALM COTE D'IVOIRE</w:t>
      </w:r>
    </w:p>
    <w:p>
      <w:pPr>
        <w:ind w:left="400"/>
      </w:pPr>
      <w:r>
        <w:t>27. PRSC - PRSC - TRACTAFRIC MOTORS CI</w:t>
      </w:r>
    </w:p>
    <w:p>
      <w:pPr>
        <w:ind w:left="400"/>
      </w:pPr>
      <w:r>
        <w:t>28. SAFC - SAFCA CI</w:t>
      </w:r>
    </w:p>
    <w:p>
      <w:pPr>
        <w:ind w:left="400"/>
      </w:pPr>
      <w:r>
        <w:t>29. SCRC - SCRC - SUCRIVOIRE</w:t>
      </w:r>
    </w:p>
    <w:p>
      <w:pPr>
        <w:ind w:left="400"/>
      </w:pPr>
      <w:r>
        <w:t>30. SDCC - SDCC - Société de Distribution d'Eau de Côte d'Ivoire</w:t>
      </w:r>
    </w:p>
    <w:p>
      <w:pPr>
        <w:ind w:left="400"/>
      </w:pPr>
      <w:r>
        <w:t>31. SDSC - SDSC - AFRICA GLOBAL LOGISTICS CI</w:t>
      </w:r>
    </w:p>
    <w:p>
      <w:pPr>
        <w:ind w:left="400"/>
      </w:pPr>
      <w:r>
        <w:t>32. SEMC - SEMC - EVIOSYS PACKAGING SIEM CI</w:t>
      </w:r>
    </w:p>
    <w:p>
      <w:pPr>
        <w:ind w:left="400"/>
      </w:pPr>
      <w:r>
        <w:t>33. SGBC - SGBC - SOCIETE GENERALE COTE D'IVOIRE</w:t>
      </w:r>
    </w:p>
    <w:p>
      <w:pPr>
        <w:ind w:left="400"/>
      </w:pPr>
      <w:r>
        <w:t>34. SHEC - SHEC - VIVO ENERGY COTE D'IVOIRE</w:t>
      </w:r>
    </w:p>
    <w:p>
      <w:pPr>
        <w:ind w:left="400"/>
      </w:pPr>
      <w:r>
        <w:t>35. SIBC - SIBC - SOCIETE IVOIRIENNE DE BANQUE</w:t>
      </w:r>
    </w:p>
    <w:p>
      <w:pPr>
        <w:ind w:left="400"/>
      </w:pPr>
      <w:r>
        <w:t>36. SICC - SICC - SICOR COTE D'IVOIRE</w:t>
      </w:r>
    </w:p>
    <w:p>
      <w:pPr>
        <w:ind w:left="400"/>
      </w:pPr>
      <w:r>
        <w:t>37. SIVC - SIVC - ERIUM CI (Ex AIR LIQUIDECI)</w:t>
      </w:r>
    </w:p>
    <w:p>
      <w:pPr>
        <w:ind w:left="400"/>
      </w:pPr>
      <w:r>
        <w:t>38. SLBC - SLBC - SOLIBRA COTE D'IVOIRE</w:t>
      </w:r>
    </w:p>
    <w:p>
      <w:pPr>
        <w:ind w:left="400"/>
      </w:pPr>
      <w:r>
        <w:t>39. SMBC - SMBC - Société Multinationale de Bitumes COTE D'IVOIRE</w:t>
      </w:r>
    </w:p>
    <w:p>
      <w:pPr>
        <w:ind w:left="400"/>
      </w:pPr>
      <w:r>
        <w:t>40. SNTS - SNTS - SONATEL SN</w:t>
      </w:r>
    </w:p>
    <w:p>
      <w:pPr>
        <w:ind w:left="400"/>
      </w:pPr>
      <w:r>
        <w:t>41. SOGC - SOGC - Société des caoutchoucs de Grand-Béréby</w:t>
      </w:r>
    </w:p>
    <w:p>
      <w:pPr>
        <w:ind w:left="400"/>
      </w:pPr>
      <w:r>
        <w:t>42. SPHC - SPHC - Société Africaine de Plantation d'Hévéas de Côte d'Ivoire</w:t>
      </w:r>
    </w:p>
    <w:p>
      <w:pPr>
        <w:ind w:left="400"/>
      </w:pPr>
      <w:r>
        <w:t>43. STAC - STAC - SETAO COTE D'IVOIRE</w:t>
      </w:r>
    </w:p>
    <w:p>
      <w:pPr>
        <w:ind w:left="400"/>
      </w:pPr>
      <w:r>
        <w:t>44. STBC - STBC - SITAB COTE D'IVOIRE</w:t>
      </w:r>
    </w:p>
    <w:p>
      <w:pPr>
        <w:ind w:left="400"/>
      </w:pPr>
      <w:r>
        <w:t>45. TTLC - TTLC - TOTAL ENERGIES MARKETING COTE D'IVOIRE</w:t>
      </w:r>
    </w:p>
    <w:p>
      <w:pPr>
        <w:ind w:left="400"/>
      </w:pPr>
      <w:r>
        <w:t>46. TTLS - TTLS - TOTAL ENERGIES MARKETING SENEGAL</w:t>
      </w:r>
    </w:p>
    <w:p>
      <w:pPr>
        <w:ind w:left="400"/>
      </w:pPr>
      <w:r>
        <w:t>47. UNLC - UNLC - UNILEVER COTE D'IVOIRE</w:t>
      </w:r>
    </w:p>
    <w:p>
      <w:pPr>
        <w:ind w:left="400"/>
      </w:pPr>
      <w:r>
        <w:t>48.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39.83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3,454 titres</w:t>
            </w:r>
          </w:p>
        </w:tc>
        <w:tc>
          <w:tcPr>
            <w:tcW w:type="dxa" w:w="2268"/>
            <w:shd w:fill="FFF2CC" w:val="clear"/>
          </w:tcPr>
          <w:p>
            <w:r>
              <w:rPr>
                <w:b/>
                <w:color w:val="503200"/>
                <w:sz w:val="16"/>
              </w:rPr>
              <w:t xml:space="preserve">Cours actuel : </w:t>
            </w:r>
            <w:r>
              <w:rPr>
                <w:color w:val="000000"/>
                <w:sz w:val="17"/>
              </w:rPr>
              <w:t>3,650 FCFA</w:t>
            </w:r>
          </w:p>
          <w:p>
            <w:r>
              <w:rPr>
                <w:b/>
                <w:color w:val="503200"/>
                <w:sz w:val="16"/>
              </w:rPr>
              <w:t xml:space="preserve">Var. 100 jours : </w:t>
            </w:r>
            <w:r>
              <w:rPr>
                <w:b/>
                <w:color w:val="007800"/>
                <w:sz w:val="17"/>
              </w:rPr>
              <w:t>+21.06%</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43.5%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11.27% (Moyenne) — μ=3,325 FCFA, σ=375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β=0.2748 (Défensif) — Cov=0.000019, Var(idx)=0.000069, ρ=0.085,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1697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2026-09-30</w:t>
            </w:r>
          </w:p>
        </w:tc>
        <w:tc>
          <w:tcPr>
            <w:tcW w:type="dxa" w:w="1440"/>
            <w:shd w:fill="FAFAFA" w:val="clear"/>
          </w:tcPr>
          <w:p>
            <w:r>
              <w:rPr>
                <w:sz w:val="17"/>
              </w:rPr>
              <w:t>3,452</w:t>
            </w:r>
          </w:p>
        </w:tc>
        <w:tc>
          <w:tcPr>
            <w:tcW w:type="dxa" w:w="1440"/>
            <w:shd w:fill="FAFAFA" w:val="clear"/>
          </w:tcPr>
          <w:p>
            <w:r>
              <w:rPr>
                <w:b/>
                <w:sz w:val="17"/>
              </w:rPr>
              <w:t>3,602</w:t>
            </w:r>
          </w:p>
        </w:tc>
        <w:tc>
          <w:tcPr>
            <w:tcW w:type="dxa" w:w="1440"/>
            <w:shd w:fill="FAFAFA" w:val="clear"/>
          </w:tcPr>
          <w:p>
            <w:r>
              <w:rPr>
                <w:sz w:val="17"/>
              </w:rPr>
              <w:t>3,751</w:t>
            </w:r>
          </w:p>
        </w:tc>
        <w:tc>
          <w:tcPr>
            <w:tcW w:type="dxa" w:w="1440"/>
            <w:shd w:fill="FAFAFA" w:val="clear"/>
          </w:tcPr>
          <w:p>
            <w:r>
              <w:rPr>
                <w:b/>
                <w:color w:val="C00000"/>
                <w:sz w:val="17"/>
              </w:rPr>
              <w:t>-1.3%</w:t>
            </w:r>
          </w:p>
        </w:tc>
      </w:tr>
      <w:tr>
        <w:tc>
          <w:tcPr>
            <w:tcW w:type="dxa" w:w="1440"/>
            <w:shd w:fill="FFDCE0" w:val="clear"/>
          </w:tcPr>
          <w:p>
            <w:r>
              <w:rPr>
                <w:sz w:val="17"/>
              </w:rPr>
              <w:t>J+2  Moyenne</w:t>
            </w:r>
          </w:p>
        </w:tc>
        <w:tc>
          <w:tcPr>
            <w:tcW w:type="dxa" w:w="1440"/>
            <w:shd w:fill="FFDCE0" w:val="clear"/>
          </w:tcPr>
          <w:p>
            <w:r>
              <w:rPr>
                <w:sz w:val="17"/>
              </w:rPr>
              <w:t>2026-10-01</w:t>
            </w:r>
          </w:p>
        </w:tc>
        <w:tc>
          <w:tcPr>
            <w:tcW w:type="dxa" w:w="1440"/>
            <w:shd w:fill="FFDCE0" w:val="clear"/>
          </w:tcPr>
          <w:p>
            <w:r>
              <w:rPr>
                <w:sz w:val="17"/>
              </w:rPr>
              <w:t>3,365</w:t>
            </w:r>
          </w:p>
        </w:tc>
        <w:tc>
          <w:tcPr>
            <w:tcW w:type="dxa" w:w="1440"/>
            <w:shd w:fill="FFDCE0" w:val="clear"/>
          </w:tcPr>
          <w:p>
            <w:r>
              <w:rPr>
                <w:b/>
                <w:sz w:val="17"/>
              </w:rPr>
              <w:t>3,575</w:t>
            </w:r>
          </w:p>
        </w:tc>
        <w:tc>
          <w:tcPr>
            <w:tcW w:type="dxa" w:w="1440"/>
            <w:shd w:fill="FFDCE0" w:val="clear"/>
          </w:tcPr>
          <w:p>
            <w:r>
              <w:rPr>
                <w:sz w:val="17"/>
              </w:rPr>
              <w:t>3,785</w:t>
            </w:r>
          </w:p>
        </w:tc>
        <w:tc>
          <w:tcPr>
            <w:tcW w:type="dxa" w:w="1440"/>
            <w:shd w:fill="FFDCE0" w:val="clear"/>
          </w:tcPr>
          <w:p>
            <w:r>
              <w:rPr>
                <w:b/>
                <w:color w:val="C00000"/>
                <w:sz w:val="17"/>
              </w:rPr>
              <w:t>-2.1%</w:t>
            </w:r>
          </w:p>
        </w:tc>
      </w:tr>
      <w:tr>
        <w:tc>
          <w:tcPr>
            <w:tcW w:type="dxa" w:w="1440"/>
            <w:shd w:fill="FFDCE0" w:val="clear"/>
          </w:tcPr>
          <w:p>
            <w:r>
              <w:rPr>
                <w:sz w:val="17"/>
              </w:rPr>
              <w:t>J+3  Moyenne</w:t>
            </w:r>
          </w:p>
        </w:tc>
        <w:tc>
          <w:tcPr>
            <w:tcW w:type="dxa" w:w="1440"/>
            <w:shd w:fill="FFDCE0" w:val="clear"/>
          </w:tcPr>
          <w:p>
            <w:r>
              <w:rPr>
                <w:sz w:val="17"/>
              </w:rPr>
              <w:t>2026-10-02</w:t>
            </w:r>
          </w:p>
        </w:tc>
        <w:tc>
          <w:tcPr>
            <w:tcW w:type="dxa" w:w="1440"/>
            <w:shd w:fill="FFDCE0" w:val="clear"/>
          </w:tcPr>
          <w:p>
            <w:r>
              <w:rPr>
                <w:sz w:val="17"/>
              </w:rPr>
              <w:t>3,296</w:t>
            </w:r>
          </w:p>
        </w:tc>
        <w:tc>
          <w:tcPr>
            <w:tcW w:type="dxa" w:w="1440"/>
            <w:shd w:fill="FFDCE0" w:val="clear"/>
          </w:tcPr>
          <w:p>
            <w:r>
              <w:rPr>
                <w:b/>
                <w:sz w:val="17"/>
              </w:rPr>
              <w:t>3,551</w:t>
            </w:r>
          </w:p>
        </w:tc>
        <w:tc>
          <w:tcPr>
            <w:tcW w:type="dxa" w:w="1440"/>
            <w:shd w:fill="FFDCE0" w:val="clear"/>
          </w:tcPr>
          <w:p>
            <w:r>
              <w:rPr>
                <w:sz w:val="17"/>
              </w:rPr>
              <w:t>3,806</w:t>
            </w:r>
          </w:p>
        </w:tc>
        <w:tc>
          <w:tcPr>
            <w:tcW w:type="dxa" w:w="1440"/>
            <w:shd w:fill="FFDCE0" w:val="clear"/>
          </w:tcPr>
          <w:p>
            <w:r>
              <w:rPr>
                <w:b/>
                <w:color w:val="C00000"/>
                <w:sz w:val="17"/>
              </w:rPr>
              <w:t>-2.7%</w:t>
            </w:r>
          </w:p>
        </w:tc>
      </w:tr>
      <w:tr>
        <w:tc>
          <w:tcPr>
            <w:tcW w:type="dxa" w:w="1440"/>
            <w:shd w:fill="FFDCE0" w:val="clear"/>
          </w:tcPr>
          <w:p>
            <w:r>
              <w:rPr>
                <w:sz w:val="17"/>
              </w:rPr>
              <w:t>J+4  ⭐</w:t>
            </w:r>
          </w:p>
        </w:tc>
        <w:tc>
          <w:tcPr>
            <w:tcW w:type="dxa" w:w="1440"/>
            <w:shd w:fill="FFDCE0" w:val="clear"/>
          </w:tcPr>
          <w:p>
            <w:r>
              <w:rPr>
                <w:sz w:val="17"/>
              </w:rPr>
              <w:t>2026-10-05</w:t>
            </w:r>
          </w:p>
        </w:tc>
        <w:tc>
          <w:tcPr>
            <w:tcW w:type="dxa" w:w="1440"/>
            <w:shd w:fill="FFDCE0" w:val="clear"/>
          </w:tcPr>
          <w:p>
            <w:r>
              <w:rPr>
                <w:sz w:val="17"/>
              </w:rPr>
              <w:t>3,233</w:t>
            </w:r>
          </w:p>
        </w:tc>
        <w:tc>
          <w:tcPr>
            <w:tcW w:type="dxa" w:w="1440"/>
            <w:shd w:fill="FFDCE0" w:val="clear"/>
          </w:tcPr>
          <w:p>
            <w:r>
              <w:rPr>
                <w:b/>
                <w:sz w:val="17"/>
              </w:rPr>
              <w:t>3,525</w:t>
            </w:r>
          </w:p>
        </w:tc>
        <w:tc>
          <w:tcPr>
            <w:tcW w:type="dxa" w:w="1440"/>
            <w:shd w:fill="FFDCE0" w:val="clear"/>
          </w:tcPr>
          <w:p>
            <w:r>
              <w:rPr>
                <w:sz w:val="17"/>
              </w:rPr>
              <w:t>3,818</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2026-10-06</w:t>
            </w:r>
          </w:p>
        </w:tc>
        <w:tc>
          <w:tcPr>
            <w:tcW w:type="dxa" w:w="1440"/>
            <w:shd w:fill="FFDCE0" w:val="clear"/>
          </w:tcPr>
          <w:p>
            <w:r>
              <w:rPr>
                <w:sz w:val="17"/>
              </w:rPr>
              <w:t>3,175</w:t>
            </w:r>
          </w:p>
        </w:tc>
        <w:tc>
          <w:tcPr>
            <w:tcW w:type="dxa" w:w="1440"/>
            <w:shd w:fill="FFDCE0" w:val="clear"/>
          </w:tcPr>
          <w:p>
            <w:r>
              <w:rPr>
                <w:b/>
                <w:sz w:val="17"/>
              </w:rPr>
              <w:t>3,499</w:t>
            </w:r>
          </w:p>
        </w:tc>
        <w:tc>
          <w:tcPr>
            <w:tcW w:type="dxa" w:w="1440"/>
            <w:shd w:fill="FFDCE0" w:val="clear"/>
          </w:tcPr>
          <w:p>
            <w:r>
              <w:rPr>
                <w:sz w:val="17"/>
              </w:rPr>
              <w:t>3,824</w:t>
            </w:r>
          </w:p>
        </w:tc>
        <w:tc>
          <w:tcPr>
            <w:tcW w:type="dxa" w:w="1440"/>
            <w:shd w:fill="FFDCE0" w:val="clear"/>
          </w:tcPr>
          <w:p>
            <w:r>
              <w:rPr>
                <w:b/>
                <w:color w:val="C00000"/>
                <w:sz w:val="17"/>
              </w:rPr>
              <w:t>-4.1%</w:t>
            </w:r>
          </w:p>
        </w:tc>
      </w:tr>
      <w:tr>
        <w:tc>
          <w:tcPr>
            <w:tcW w:type="dxa" w:w="1440"/>
            <w:shd w:fill="FFDCE0" w:val="clear"/>
          </w:tcPr>
          <w:p>
            <w:r>
              <w:rPr>
                <w:sz w:val="17"/>
              </w:rPr>
              <w:t>J+6  ⭐</w:t>
            </w:r>
          </w:p>
        </w:tc>
        <w:tc>
          <w:tcPr>
            <w:tcW w:type="dxa" w:w="1440"/>
            <w:shd w:fill="FFDCE0" w:val="clear"/>
          </w:tcPr>
          <w:p>
            <w:r>
              <w:rPr>
                <w:sz w:val="17"/>
              </w:rPr>
              <w:t>2026-10-07</w:t>
            </w:r>
          </w:p>
        </w:tc>
        <w:tc>
          <w:tcPr>
            <w:tcW w:type="dxa" w:w="1440"/>
            <w:shd w:fill="FFDCE0" w:val="clear"/>
          </w:tcPr>
          <w:p>
            <w:r>
              <w:rPr>
                <w:sz w:val="17"/>
              </w:rPr>
              <w:t>3,121</w:t>
            </w:r>
          </w:p>
        </w:tc>
        <w:tc>
          <w:tcPr>
            <w:tcW w:type="dxa" w:w="1440"/>
            <w:shd w:fill="FFDCE0" w:val="clear"/>
          </w:tcPr>
          <w:p>
            <w:r>
              <w:rPr>
                <w:b/>
                <w:sz w:val="17"/>
              </w:rPr>
              <w:t>3,475</w:t>
            </w:r>
          </w:p>
        </w:tc>
        <w:tc>
          <w:tcPr>
            <w:tcW w:type="dxa" w:w="1440"/>
            <w:shd w:fill="FFDCE0" w:val="clear"/>
          </w:tcPr>
          <w:p>
            <w:r>
              <w:rPr>
                <w:sz w:val="17"/>
              </w:rPr>
              <w:t>3,828</w:t>
            </w:r>
          </w:p>
        </w:tc>
        <w:tc>
          <w:tcPr>
            <w:tcW w:type="dxa" w:w="1440"/>
            <w:shd w:fill="FFDCE0" w:val="clear"/>
          </w:tcPr>
          <w:p>
            <w:r>
              <w:rPr>
                <w:b/>
                <w:color w:val="C00000"/>
                <w:sz w:val="17"/>
              </w:rPr>
              <w:t>-4.8%</w:t>
            </w:r>
          </w:p>
        </w:tc>
      </w:tr>
      <w:tr>
        <w:tc>
          <w:tcPr>
            <w:tcW w:type="dxa" w:w="1440"/>
            <w:shd w:fill="FFDCE0" w:val="clear"/>
          </w:tcPr>
          <w:p>
            <w:r>
              <w:rPr>
                <w:sz w:val="17"/>
              </w:rPr>
              <w:t>J+7  ⭐</w:t>
            </w:r>
          </w:p>
        </w:tc>
        <w:tc>
          <w:tcPr>
            <w:tcW w:type="dxa" w:w="1440"/>
            <w:shd w:fill="FFDCE0" w:val="clear"/>
          </w:tcPr>
          <w:p>
            <w:r>
              <w:rPr>
                <w:sz w:val="17"/>
              </w:rPr>
              <w:t>2026-10-08</w:t>
            </w:r>
          </w:p>
        </w:tc>
        <w:tc>
          <w:tcPr>
            <w:tcW w:type="dxa" w:w="1440"/>
            <w:shd w:fill="FFDCE0" w:val="clear"/>
          </w:tcPr>
          <w:p>
            <w:r>
              <w:rPr>
                <w:sz w:val="17"/>
              </w:rPr>
              <w:t>3,072</w:t>
            </w:r>
          </w:p>
        </w:tc>
        <w:tc>
          <w:tcPr>
            <w:tcW w:type="dxa" w:w="1440"/>
            <w:shd w:fill="FFDCE0" w:val="clear"/>
          </w:tcPr>
          <w:p>
            <w:r>
              <w:rPr>
                <w:b/>
                <w:sz w:val="17"/>
              </w:rPr>
              <w:t>3,451</w:t>
            </w:r>
          </w:p>
        </w:tc>
        <w:tc>
          <w:tcPr>
            <w:tcW w:type="dxa" w:w="1440"/>
            <w:shd w:fill="FFDCE0" w:val="clear"/>
          </w:tcPr>
          <w:p>
            <w:r>
              <w:rPr>
                <w:sz w:val="17"/>
              </w:rPr>
              <w:t>3,830</w:t>
            </w:r>
          </w:p>
        </w:tc>
        <w:tc>
          <w:tcPr>
            <w:tcW w:type="dxa" w:w="1440"/>
            <w:shd w:fill="FFDCE0" w:val="clear"/>
          </w:tcPr>
          <w:p>
            <w:r>
              <w:rPr>
                <w:b/>
                <w:color w:val="C00000"/>
                <w:sz w:val="17"/>
              </w:rPr>
              <w:t>-5.5%</w:t>
            </w:r>
          </w:p>
        </w:tc>
      </w:tr>
      <w:tr>
        <w:tc>
          <w:tcPr>
            <w:tcW w:type="dxa" w:w="1440"/>
            <w:shd w:fill="FFDCE0" w:val="clear"/>
          </w:tcPr>
          <w:p>
            <w:r>
              <w:rPr>
                <w:sz w:val="17"/>
              </w:rPr>
              <w:t>J+8  ⭐</w:t>
            </w:r>
          </w:p>
        </w:tc>
        <w:tc>
          <w:tcPr>
            <w:tcW w:type="dxa" w:w="1440"/>
            <w:shd w:fill="FFDCE0" w:val="clear"/>
          </w:tcPr>
          <w:p>
            <w:r>
              <w:rPr>
                <w:sz w:val="17"/>
              </w:rPr>
              <w:t>2026-10-09</w:t>
            </w:r>
          </w:p>
        </w:tc>
        <w:tc>
          <w:tcPr>
            <w:tcW w:type="dxa" w:w="1440"/>
            <w:shd w:fill="FFDCE0" w:val="clear"/>
          </w:tcPr>
          <w:p>
            <w:r>
              <w:rPr>
                <w:sz w:val="17"/>
              </w:rPr>
              <w:t>3,026</w:t>
            </w:r>
          </w:p>
        </w:tc>
        <w:tc>
          <w:tcPr>
            <w:tcW w:type="dxa" w:w="1440"/>
            <w:shd w:fill="FFDCE0" w:val="clear"/>
          </w:tcPr>
          <w:p>
            <w:r>
              <w:rPr>
                <w:b/>
                <w:sz w:val="17"/>
              </w:rPr>
              <w:t>3,428</w:t>
            </w:r>
          </w:p>
        </w:tc>
        <w:tc>
          <w:tcPr>
            <w:tcW w:type="dxa" w:w="1440"/>
            <w:shd w:fill="FFDCE0" w:val="clear"/>
          </w:tcPr>
          <w:p>
            <w:r>
              <w:rPr>
                <w:sz w:val="17"/>
              </w:rPr>
              <w:t>3,831</w:t>
            </w:r>
          </w:p>
        </w:tc>
        <w:tc>
          <w:tcPr>
            <w:tcW w:type="dxa" w:w="1440"/>
            <w:shd w:fill="FFDCE0" w:val="clear"/>
          </w:tcPr>
          <w:p>
            <w:r>
              <w:rPr>
                <w:b/>
                <w:color w:val="C00000"/>
                <w:sz w:val="17"/>
              </w:rPr>
              <w:t>-6.1%</w:t>
            </w:r>
          </w:p>
        </w:tc>
      </w:tr>
      <w:tr>
        <w:tc>
          <w:tcPr>
            <w:tcW w:type="dxa" w:w="1440"/>
            <w:shd w:fill="FFDCE0" w:val="clear"/>
          </w:tcPr>
          <w:p>
            <w:r>
              <w:rPr>
                <w:sz w:val="17"/>
              </w:rPr>
              <w:t>J+9  ⭐</w:t>
            </w:r>
          </w:p>
        </w:tc>
        <w:tc>
          <w:tcPr>
            <w:tcW w:type="dxa" w:w="1440"/>
            <w:shd w:fill="FFDCE0" w:val="clear"/>
          </w:tcPr>
          <w:p>
            <w:r>
              <w:rPr>
                <w:sz w:val="17"/>
              </w:rPr>
              <w:t>2026-10-12</w:t>
            </w:r>
          </w:p>
        </w:tc>
        <w:tc>
          <w:tcPr>
            <w:tcW w:type="dxa" w:w="1440"/>
            <w:shd w:fill="FFDCE0" w:val="clear"/>
          </w:tcPr>
          <w:p>
            <w:r>
              <w:rPr>
                <w:sz w:val="17"/>
              </w:rPr>
              <w:t>2,983</w:t>
            </w:r>
          </w:p>
        </w:tc>
        <w:tc>
          <w:tcPr>
            <w:tcW w:type="dxa" w:w="1440"/>
            <w:shd w:fill="FFDCE0" w:val="clear"/>
          </w:tcPr>
          <w:p>
            <w:r>
              <w:rPr>
                <w:b/>
                <w:sz w:val="17"/>
              </w:rPr>
              <w:t>3,407</w:t>
            </w:r>
          </w:p>
        </w:tc>
        <w:tc>
          <w:tcPr>
            <w:tcW w:type="dxa" w:w="1440"/>
            <w:shd w:fill="FFDCE0" w:val="clear"/>
          </w:tcPr>
          <w:p>
            <w:r>
              <w:rPr>
                <w:sz w:val="17"/>
              </w:rPr>
              <w:t>3,831</w:t>
            </w:r>
          </w:p>
        </w:tc>
        <w:tc>
          <w:tcPr>
            <w:tcW w:type="dxa" w:w="1440"/>
            <w:shd w:fill="FFDCE0" w:val="clear"/>
          </w:tcPr>
          <w:p>
            <w:r>
              <w:rPr>
                <w:b/>
                <w:color w:val="C00000"/>
                <w:sz w:val="17"/>
              </w:rPr>
              <w:t>-6.7%</w:t>
            </w:r>
          </w:p>
        </w:tc>
      </w:tr>
      <w:tr>
        <w:tc>
          <w:tcPr>
            <w:tcW w:type="dxa" w:w="1440"/>
            <w:shd w:fill="FFDCE0" w:val="clear"/>
          </w:tcPr>
          <w:p>
            <w:r>
              <w:rPr>
                <w:sz w:val="17"/>
              </w:rPr>
              <w:t>J+10  ⭐</w:t>
            </w:r>
          </w:p>
        </w:tc>
        <w:tc>
          <w:tcPr>
            <w:tcW w:type="dxa" w:w="1440"/>
            <w:shd w:fill="FFDCE0" w:val="clear"/>
          </w:tcPr>
          <w:p>
            <w:r>
              <w:rPr>
                <w:sz w:val="17"/>
              </w:rPr>
              <w:t>2026-10-13</w:t>
            </w:r>
          </w:p>
        </w:tc>
        <w:tc>
          <w:tcPr>
            <w:tcW w:type="dxa" w:w="1440"/>
            <w:shd w:fill="FFDCE0" w:val="clear"/>
          </w:tcPr>
          <w:p>
            <w:r>
              <w:rPr>
                <w:sz w:val="17"/>
              </w:rPr>
              <w:t>2,942</w:t>
            </w:r>
          </w:p>
        </w:tc>
        <w:tc>
          <w:tcPr>
            <w:tcW w:type="dxa" w:w="1440"/>
            <w:shd w:fill="FFDCE0" w:val="clear"/>
          </w:tcPr>
          <w:p>
            <w:r>
              <w:rPr>
                <w:b/>
                <w:sz w:val="17"/>
              </w:rPr>
              <w:t>3,386</w:t>
            </w:r>
          </w:p>
        </w:tc>
        <w:tc>
          <w:tcPr>
            <w:tcW w:type="dxa" w:w="1440"/>
            <w:shd w:fill="FFDCE0" w:val="clear"/>
          </w:tcPr>
          <w:p>
            <w:r>
              <w:rPr>
                <w:sz w:val="17"/>
              </w:rPr>
              <w:t>3,830</w:t>
            </w:r>
          </w:p>
        </w:tc>
        <w:tc>
          <w:tcPr>
            <w:tcW w:type="dxa" w:w="1440"/>
            <w:shd w:fill="FFDCE0" w:val="clear"/>
          </w:tcPr>
          <w:p>
            <w:r>
              <w:rPr>
                <w:b/>
                <w:color w:val="C00000"/>
                <w:sz w:val="17"/>
              </w:rPr>
              <w:t>-7.2%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Secteur : Services aéroportuaires*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39,83 Mds FCFA, ABJC se positionne comme une valeur de taille intermédiaire sur la BRVM, cohérente avec son statut de spécialiste des services aéroportuaires. Le BPA de 124 FCFA/action signifie que chaque titre génère un bénéfice net de 124 FCFA, ce qui, rapporté au cours actuel de 3 650 FCFA, donne un PER de 29,5x — très nettement supérieur à la moyenne BRVM (8-12x), signalant que les investisseurs paient une forte prime pour les bénéfices actuels, soit en anticipation d'une croissance future, soit par surévaluation. Le P/B de 7,72x (largement au-dessus du seuil de 4x) confirme cette valorisation exigeante : le marché valorise l'entreprise près de 8 fois sa valeur comptable, ce qui suppose une rentabilité des fonds propres élevée et durable. Enfin, l'EV/EBITDA de 15,1x (&gt;15x) traduit une valorisation tendue par rapport à la capacité opérationnelle de génération de cash, renforçant l'impression d'un titre déjà bien valorisé, voire surévalué en l'absence d'accélération marquée des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ABJC affiche une progression totale de +21,06%, avec un cours actuel de 3 650 FCFA et une variation nulle en J-1 (+0,00%), signe d'une séance de stabilisation après le mouvement haussier. Le titre a évolué dans un range large de 2 800 FCFA (plus bas) à 4 095 FCFA (plus haut), soit une amplitude de près de 46%, témoignant d'une dynamique haussière marquée mais ponctuée de corrections. La moyenne (3 325 FCFA) est supérieure à la médiane (3 195 FCFA), ce qui indique une distribution légèrement tirée vers le haut par les pics récents, cohérent avec le skewness positif de 0,656 (plus de journées sous la moyenne, mais des pointes haussières fortes). L'écart-type de 377 FCFA avec un coefficient de variation de 11,3% traduit une dispersion modérée du cours autour de sa moyenne. Le kurtosis de -0,830 (mésokurtique) suggère une distribution proche de la normale, sans risque extrême de pics violents, ce qui est rassurant pour la gestion du risque. Enfin, la volatilité annualisée de 43,5% classe ABJC dans la catégorie des titres à volatilité élevée (&gt;30%), impliquant un risque de marché significatif et un horizon d'investissement à adapter en conséquence.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(3 933,25 FCFA) et la MM50 (3 518,20 FCFA) encadrent le cours actuel (3 650 FCFA), qui se situe sous la MM20 mais au-dessus de la MM50. Cette configuration indique un ralentissement de la dynamique haussière de court terme, mais la position au-dessus de la MM50 maintient la tendance de fond positive, justifiant la décision d'achat.</w:t>
      </w:r>
    </w:p>
    <w:p>
      <w:pPr>
        <w:spacing w:after="120" w:line="276" w:lineRule="auto"/>
      </w:pPr>
      <w:r>
        <w:t>**Bandes de Bollinger** : Le cours (3 650 FCFA) évolue sous la borne inférieure (3 686,43 FCFA), ce qui est inhabituel et signale une pression baissière de court terme ou un début de survente. La borne supérieure à 4 180,07 FCFA montre un canal large, cohérent avec la volatilité élevée. La décision d'achat suggérée repose sur un possible rebond depuis cette zone basse.</w:t>
      </w:r>
    </w:p>
    <w:p>
      <w:pPr>
        <w:spacing w:after="120" w:line="276" w:lineRule="auto"/>
      </w:pPr>
      <w:r>
        <w:t>**MACD** : La valeur du MACD (56,34) est nettement inférieure à son signal (122,79), générant une divergence baissière et un momentum négatif. Cette configuration justifie la décision de vente à court terme, le croisement étant défavorable malgré la tendance de fond.</w:t>
      </w:r>
    </w:p>
    <w:p>
      <w:pPr>
        <w:spacing w:after="120" w:line="276" w:lineRule="auto"/>
      </w:pPr>
      <w:r>
        <w:t>**RSI** : À 31,35, le RSI est proche du seuil de survente (30) sans l'atteindre, ce qui le place en zone neutre basse. Cette position suggère que le titre n'est pas encore techniquement survendu mais s'en approche, justifiant une décision neutre avec un potentiel de rebond à surveiller.</w:t>
      </w:r>
    </w:p>
    <w:p>
      <w:pPr>
        <w:spacing w:after="120" w:line="276" w:lineRule="auto"/>
      </w:pPr>
      <w:r>
        <w:t>**Stochastique** : Le %K à 0,0 et le %D à 14,69 indiquent une position extrême en zone de survente, avec un %K au plancher qui précède souvent un retournement haussier. Cette configuration justifie la décision d'achat, le croisement potentiel %K/%D pouvant signaler une reprise imminente.</w:t>
      </w:r>
    </w:p>
    <w:p>
      <w:pPr>
        <w:spacing w:after="120" w:line="276" w:lineRule="auto"/>
      </w:pPr>
      <w:r>
        <w:t>**Conclusion technique** : Les indicateurs sont divergents : les moyennes mobiles et le stochastique plaident pour un achat (survente extrême, support MM50), tandis que le MACD et les Bandes de Bollinger signalent une pression baissière persistante. Le RSI neutre-bas confirme l'absence de signal fort. La convergence partielle suggère une phase de consolidation avant un éventuel rebond, avec un risque de court terme encore présent.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structurés d'ABJC affichent un chiffre d'affaires de 13,298 Mds FCFA, en croissance de +6,67% par rapport à 2024, confirmant la dynamique commerciale positive malgré un contexte difficile. Le résultat net s'établit à 1,351 Mds FCFA, avec une marge nette de 10,16% et une marge opérationnelle de 16,38%, tandis que le ROE atteint 26,18% (&gt;15%, excellent) et le ROA 14,64%, témoignant d'une rentabilité robuste des fonds propres et des actifs. La structure financière est très saine : autonomie financière de 55,92%, endettement financier quasi nul (dépendance de 1,28%), liquidité générale de 218,37% et trésorerie nette de 4,035 Mds FCFA. En tant qu'entreprise de services, les délais d'exploitation méritent attention : délai clients de 70,10 jours (risque de trésorerie modéré), délai fournisseurs de 92,11 jours (favorable à la trésorerie) et durée de stockage de 29,40 jours, avec un BFR de 257,45 M FCFA restant maîtrisé. Les rapports narratifs confirment cette tendance : le rapport T1 2026 (publié en 2026) indique un CA de 3,237 Mds FCFA (+1,9%) mais une chute du résultat net de -35,6% à 222,6 M FCFA, impactée par les ajustements de redevances aéroportuaires et les tensions géopolitiques. Le rapport T3 2025 (30/09/2025) montrait déjà un redressement avec un CA trimestriel de 10,218 Mds FCFA (+10,3%) et un résultat net de 1,325 Mds FCFA (+17,1%). Sur la base du T1 2026, on estime que l'exercice 2026 pourrait afficher une pression sur les marges, avec un résultat net annuel potentiellement en retrait si la tendance se confirme. La recommandation fondamentale est de **conserver** : la solidité bilancielle et la rentabilité structurelle compensent les risques conjoncturels (litige BCEAO, tensions géopolitiques, pression fiscale), mais la dégradation récente de la rentabilité appelle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exigeante : PER de 29,5x, P/B de 7,72x et EV/EBITDA de 15,1x indiquent une surévaluation relative par rapport aux bénéfices et à la valeur comptable, ce qui limite le potentiel de hausse à court terme. Le comportement du cours (Partie 1) est haussier sur 100 jours (+21,06%) mais avec une volatilité élevée (43,5%) et une distribution asymétrique positive (skewness 0,656), suggérant que les gains récents pourraient être suivis de corrections. Les signaux techniques (Partie 2) sont divergents : le stochastique en survente extrême et la position au-dessus de la MM50 plaident pour un rebond, mais le MACD baissier et le cours sous la borne inférieure de Bollinger signalent une pression persistante. Les fondamentaux (Partie 3) restent solides (ROE 26,18%, trésorerie nette 4,035 Mds FCFA, autonomie financière 55,92%) mais la dégradation du T1 2026 (-35,6% de résultat net) et les risques réglementaires pèsent sur les perspectives. Les prédictions IA (J+1 à J+10) anticipent une trajectoire baissière de 3 602 FCFA à 3 499 FCFA, confirmant les signaux techniques baissiers de court terme et contredisant le rebond espéré par le stochastique. Sur la base de cette synthèse, la recommandation finale est **CONSERVER** : la convergence entre valorisation exigeante, technique mitigée et fondamentaux solides mais en dégradation ne justifie ni un achat agressif ni une vente, le titre étant déjà bien valorisé. Le niveau de confiance est **Moyen** (signaux divergents) et le risque global **Élevé** (volatilité 43,5%, exposition aux facteurs exogènes). L'horizon d'investissement optimal est le **moyen terme (3-12 mois)**, en attendant la clarification des perspectives bénéficiaires et la résolution des risques réglementaires.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BBGC - BRIDGE BANK GROUP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BBGC</w:t>
            </w:r>
          </w:p>
          <w:p>
            <w:r>
              <w:rPr>
                <w:b/>
                <w:color w:val="323250"/>
                <w:sz w:val="16"/>
              </w:rPr>
              <w:t xml:space="preserve">Société : </w:t>
            </w:r>
            <w:r>
              <w:rPr>
                <w:color w:val="000000"/>
                <w:sz w:val="16"/>
              </w:rPr>
              <w:t>BRIDGE BANK GROUP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450.00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15,571 titres</w:t>
            </w:r>
          </w:p>
        </w:tc>
        <w:tc>
          <w:tcPr>
            <w:tcW w:type="dxa" w:w="2268"/>
            <w:shd w:fill="FFF2CC" w:val="clear"/>
          </w:tcPr>
          <w:p>
            <w:r>
              <w:rPr>
                <w:b/>
                <w:color w:val="503200"/>
                <w:sz w:val="16"/>
              </w:rPr>
              <w:t xml:space="preserve">Cours actuel : </w:t>
            </w:r>
            <w:r>
              <w:rPr>
                <w:color w:val="000000"/>
                <w:sz w:val="17"/>
              </w:rPr>
              <w:t>9,000 FCFA</w:t>
            </w:r>
          </w:p>
          <w:p>
            <w:r>
              <w:rPr>
                <w:b/>
                <w:color w:val="503200"/>
                <w:sz w:val="16"/>
              </w:rPr>
              <w:t xml:space="preserve">Var. 100 jours : </w:t>
            </w:r>
            <w:r>
              <w:rPr>
                <w:b/>
                <w:color w:val="007800"/>
                <w:sz w:val="17"/>
              </w:rPr>
              <w:t>+24.05%</w:t>
            </w:r>
          </w:p>
          <w:p>
            <w:r>
              <w:rPr>
                <w:b/>
                <w:color w:val="503200"/>
                <w:sz w:val="16"/>
              </w:rPr>
              <w:t xml:space="preserve">Plus haut 100j : </w:t>
            </w:r>
            <w:r>
              <w:rPr>
                <w:color w:val="000000"/>
                <w:sz w:val="17"/>
              </w:rPr>
              <w:t>9,000 FCFA</w:t>
            </w:r>
          </w:p>
          <w:p>
            <w:r>
              <w:rPr>
                <w:b/>
                <w:color w:val="503200"/>
                <w:sz w:val="16"/>
              </w:rPr>
              <w:t xml:space="preserve">Plus bas 100j : </w:t>
            </w:r>
            <w:r>
              <w:rPr>
                <w:color w:val="000000"/>
                <w:sz w:val="17"/>
              </w:rPr>
              <w:t>7,255 FCFA</w:t>
            </w:r>
          </w:p>
          <w:p>
            <w:r>
              <w:rPr>
                <w:b/>
                <w:color w:val="503200"/>
                <w:sz w:val="16"/>
              </w:rPr>
              <w:t xml:space="preserve">Volatilité ann. : </w:t>
            </w:r>
            <w:r>
              <w:rPr>
                <w:color w:val="000000"/>
                <w:sz w:val="17"/>
              </w:rPr>
              <w:t>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17.0/100 → Faible</w:t>
      </w:r>
    </w:p>
    <w:p>
      <w:pPr>
        <w:spacing w:before="40" w:after="80"/>
      </w:pPr>
      <w:r>
        <w:rPr>
          <w:rFonts w:ascii="Courier New" w:hAnsi="Courier New"/>
          <w:color w:val="006400"/>
          <w:sz w:val="18"/>
        </w:rPr>
        <w:t>███░░░░░░░░░░░░░░░░░  17.0/100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8.02% (Moyenne) — μ=8,106 FCFA, σ=650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FFFF" w:val="clear"/>
          </w:tcPr>
          <w:p>
            <w:r>
              <w:rPr>
                <w:b/>
                <w:sz w:val="15"/>
              </w:rPr>
              <w:t>β≈0.80 (proxy, &lt;10 obs communes) — Données BRVM insuffisantes pour le bêta réel</w:t>
            </w:r>
          </w:p>
        </w:tc>
        <w:tc>
          <w:tcPr>
            <w:tcW w:type="dxa" w:w="1984"/>
            <w:shd w:fill="F7F7F7" w:val="clear"/>
          </w:tcPr>
          <w:p>
            <w:r>
              <w:rPr>
                <w:i/>
                <w:color w:val="505078"/>
                <w:sz w:val="14"/>
              </w:rPr>
              <w:t>β = Cov(r_titre, r_indice) / Var(r_indice)</w:t>
            </w:r>
          </w:p>
        </w:tc>
        <w:tc>
          <w:tcPr>
            <w:tcW w:type="dxa" w:w="1984"/>
            <w:shd w:fill="FFFFFF" w:val="clear"/>
          </w:tcPr>
          <w:p>
            <w:r>
              <w:rPr>
                <w:sz w:val="15"/>
              </w:rPr>
              <w:t>β≈0.80 (proxy, &lt;10 obs communes) — Données BRVM insuffisantes pour le bêta réel</w:t>
            </w:r>
          </w:p>
        </w:tc>
      </w:tr>
      <w:tr>
        <w:tc>
          <w:tcPr>
            <w:tcW w:type="dxa" w:w="2835"/>
            <w:shd w:fill="EEF2F7" w:val="clear"/>
          </w:tcPr>
          <w:p>
            <w:r>
              <w:rPr>
                <w:b/>
                <w:sz w:val="15"/>
              </w:rPr>
              <w:t>💧 Liquidité du titre (20%)</w:t>
            </w:r>
          </w:p>
        </w:tc>
        <w:tc>
          <w:tcPr>
            <w:tcW w:type="dxa" w:w="3118"/>
            <w:shd w:fill="C6EFCE" w:val="clear"/>
          </w:tcPr>
          <w:p>
            <w:r>
              <w:rPr>
                <w:b/>
                <w:sz w:val="15"/>
              </w:rPr>
              <w:t>15,571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C6EFCE" w:val="clear"/>
          </w:tcPr>
          <w:p>
            <w:r>
              <w:rPr>
                <w:b/>
                <w:sz w:val="15"/>
              </w:rPr>
              <w:t>σ_j=0.01%/j (Très stable) — Vol. annualisée≈0.2%</w:t>
            </w:r>
          </w:p>
        </w:tc>
        <w:tc>
          <w:tcPr>
            <w:tcW w:type="dxa" w:w="1984"/>
            <w:shd w:fill="F7F7F7" w:val="clear"/>
          </w:tcPr>
          <w:p>
            <w:r>
              <w:rPr>
                <w:i/>
                <w:color w:val="505078"/>
                <w:sz w:val="14"/>
              </w:rPr>
              <w:t>σ des rendements journaliers × 100</w:t>
            </w:r>
          </w:p>
        </w:tc>
        <w:tc>
          <w:tcPr>
            <w:tcW w:type="dxa" w:w="1984"/>
            <w:shd w:fill="C6EFCE" w:val="clear"/>
          </w:tcPr>
          <w:p>
            <w:r>
              <w:rPr>
                <w:sz w:val="15"/>
              </w:rPr>
              <w:t>✅ &lt;1%/j — rendements très réguliers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spacing w:after="120" w:line="276" w:lineRule="auto"/>
      </w:pPr>
      <w:r>
        <w:t># RAPPORT D'ANALYSE — BBGC (BRIDGE BANK GROUP COTE D'IVOIRE)</w:t>
        <w:br/>
        <w:t>**Marché : BRVM | Secteur : Banque | Date d'analyse :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BBGC s'établit à **450,00 milliards FCFA**, ce qui positionne la banque parmi les valeurs les plus importantes de la cote BRVM, un niveau significatif pour une valeur récemment introduite. Le Bénéfice Par Action (BPA) n'est pas calculable en l'absence de données structurées sur le nombre d'actions en circulation et le résultat net annualisé, tout comme le PER, le P/B et l'EV/EBITDA qui ne peuvent être déterminés faute de données financières structurées exploitables. Cette absence de ratios de valorisation constitue une limite majeure pour l'évaluation relative du titre par rapport à ses pairs bancaires de la BRVM (PER moyen du marché estimé entre 8x et 12x). Toutefois, en croisant le résultat net semestriel de 15,2 Mds FCFA (S1 2026) avec la capitalisation de 450 Mds FCFA, on peut estimer un PER implicite annualisé de l'ordre de 14-15x, soit une prime par rapport à la moyenne du marché, justifiée par la forte croissance. L'investisseur devra surveiller la publication du prospectus d'introduction pour obtenir les ratios définitifs.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BBGC affiche une progression remarquable de **+24,05%**, avec une dernière séance particulièrement dynamique (+7,46% en J-1), portant le cours actuel à **9 000 FCFA**, soit exactement le plus haut de la période. Le range de trading s'étend du plus bas de **7 255 FCFA** au plus haut de **9 000 FCFA**, matérialisant une tendance nettement haussière soutenue par l'intérêt post-introduction en bourse. Les statistiques descriptives révèlent une moyenne de **8 106 FCFA** très proche de la médiane (**8 085 FCFA**), confirmant une distribution symétrique (skewness de 0,078) sans biais directionnel marqué. L'écart-type de **751 FCFA** avec un coefficient de variation de **9,3%** indique une dispersion modérée du cours autour de sa moyenne. Le kurtosis négatif de **-1,355** (distribution platykurtique) signale une faible concentration des rendements et un risque de pics extrêmes limité, ce qui est rassurant pour la gestion du risque. La volatilité annualisée de **0,2%** est exceptionnellement faible, caractéristique d'un titre en phase de découverte de prix avec une liquidité encore restreinte (volume moyen de 15 571 titres/jour).</w:t>
      </w:r>
    </w:p>
    <w:p>
      <w:pPr>
        <w:spacing w:after="120" w:line="276" w:lineRule="auto"/>
      </w:pPr>
      <w:r>
        <w:t>---</w:t>
      </w:r>
    </w:p>
    <w:p>
      <w:pPr>
        <w:spacing w:after="120" w:line="276" w:lineRule="auto"/>
      </w:pPr>
      <w:r>
        <w:t>## PARTIE 2 : ANALYSE TECHNIQUE DÉTAILLÉE</w:t>
      </w:r>
    </w:p>
    <w:p>
      <w:pPr>
        <w:spacing w:after="120" w:line="276" w:lineRule="auto"/>
      </w:pPr>
      <w:r>
        <w:t>**Moyennes Mobiles :** Les MM20 et MM50 ne sont pas calculables (valeurs nan), ce qui s'explique par l'historique de cotation encore court de BBGC sur la BRVM. Aucune décision technique ne peut donc être dérivée de ces indicateurs, et l'analyste doit se rabattre sur l'analyse du range et de la tendance brute.</w:t>
      </w:r>
    </w:p>
    <w:p>
      <w:pPr>
        <w:spacing w:after="120" w:line="276" w:lineRule="auto"/>
      </w:pPr>
      <w:r>
        <w:t>**Bandes de Bollinger :** Les bornes supérieure et inférieure sont indisponibles (nan), empêchant toute lecture de la position relative du cours par rapport à sa volatilité statistique. Le prix actuel de 9 000 FCFA coïncide avec le plus haut de la période, suggérant une pression acheteuse forte mais sans référence de surachat technique.</w:t>
      </w:r>
    </w:p>
    <w:p>
      <w:pPr>
        <w:spacing w:after="120" w:line="276" w:lineRule="auto"/>
      </w:pPr>
      <w:r>
        <w:t>**MACD :** La valeur du MACD et de sa ligne de signal sont nan, rendant impossible l'analyse de la divergence et du momentum. L'absence de cet indicateur prive l'analyste d'un signal de retournement potentiel.</w:t>
      </w:r>
    </w:p>
    <w:p>
      <w:pPr>
        <w:spacing w:after="120" w:line="276" w:lineRule="auto"/>
      </w:pPr>
      <w:r>
        <w:t>**RSI :** Le RSI n'est pas disponible (nan), donc aucune lecture de surachat (&gt;70) ou de survente (&lt;30) n'est possible. Le contexte de hausse de +24% sur 100 jours suggère toutefois un risque de surachat latent.</w:t>
      </w:r>
    </w:p>
    <w:p>
      <w:pPr>
        <w:spacing w:after="120" w:line="276" w:lineRule="auto"/>
      </w:pPr>
      <w:r>
        <w:t>**Stochastique :** Les %K et %D sont nan, empêchant l'analyse des croisements et des zones de surachat/survente. Aucune décision ne peut être extraite.</w:t>
      </w:r>
    </w:p>
    <w:p>
      <w:pPr>
        <w:spacing w:after="120" w:line="276" w:lineRule="auto"/>
      </w:pPr>
      <w:r>
        <w:t>**Conclusion technique :** L'ensemble des indicateurs techniques étant indisponibles (nan), l'analyse technique se limite à la lecture du cours et des statistiques descriptives. La tendance est clairement haussière (+24,05%), le titre clôture au plus haut (9 000 FCFA), et la volatilité annualisée très faible (0,2%) suggère une progression ordonnée. Cependant, l'absence de confirmation par les oscillateurs impose une prudence : le titre pourrait être en zone de surachat non détectée, et une consolidation est possible après un gain J-1 de +7,46%.</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annuelles ne sont pas disponibles dans la base, mais les rapports officiels du **premier semestre 2026 (période close le 30 juin 2026, analysés les 28 septembre 2026 par DEEPSEEK et GEMINI-VISION)** fournissent des chiffres précis et exploitables. Sur le **S1 2026**, le Produit Net Bancaire (PNB) s'établit à **37,7 milliards FCFA**, en progression de **+25%** par rapport aux 30,2 Mds FCFA du S1 2025, tandis que le résultat net bondit de **+46%** à **15,2 milliards FCFA** (contre 10,4 Mds au S1 2025). La marge nette (résultat net / PNB) s'améliore à **40,3%** (vs 34,4% un an plus tôt), et le coefficient d'exploitation recule à **40,3%** (vs 43,3%), bien en dessous du seuil de 60% synonyme d'inefficacité — signe d'une excellente maîtrise des frais généraux (+16% seulement). Le coût du risque progresse de **+14% à 4,3 Mds FCFA**, mais reste contenu par rapport à la croissance des crédits (+28% à 823,9 Mds FCFA), tandis que les dépôts clientèle explosent de **+46% à 1 318,3 Mds FCFA**, renforçant la liquidité et le ratio dépôts/crédits (160%, largement favorable). Le résultat brut d'exploitation atteint **22,5 Mds FCFA (+31%)** et le résultat avant impôt **18,2 Mds FCFA**. Sur la base de ce rapport S1 2026, on peut **estimer** que l'exercice 2026 complet devrait dégager un résultat net de l'ordre de **30-32 Mds FCFA** (en supposant une saisonnalité équilibrée), ce qui, rapporté à la capitalisation de 450 Mds FCFA, donnerait un PER implicite de **14-15x** — une prime justifiée par la croissance exceptionnelle. La banque a par ailleurs obtenu l'avis favorable de la Commission Bancaire pour une succursale au **Burkina Faso** (mai 2026) et a réussi son OPV (20% du capital, 10 millions d'actions à 6 750 FCFA, sursouscription en juillet 2026). Les risques identifiés incluent l'environnement économique incertain, la hausse du coût du risque et le risque d'exécution de l'expansion régionale. **Recommandation fondamentale : ACHAT (spéculatif)**, portée par une dynamique commerciale exceptionnelle et une efficacité opérationnelle en amélioration, sous réserve de la confirmation des fondamentaux au S2 2026 et de la publication de la politique de dividende.</w:t>
      </w:r>
    </w:p>
    <w:p>
      <w:pPr>
        <w:spacing w:after="120" w:line="276" w:lineRule="auto"/>
      </w:pPr>
      <w:r>
        <w:t>---</w:t>
      </w:r>
    </w:p>
    <w:p>
      <w:pPr>
        <w:spacing w:after="120" w:line="276" w:lineRule="auto"/>
      </w:pPr>
      <w:r>
        <w:t>## PARTIE 4 : CONCLUSION D'INVESTISSEMENT</w:t>
      </w:r>
    </w:p>
    <w:p>
      <w:pPr>
        <w:spacing w:after="120" w:line="276" w:lineRule="auto"/>
      </w:pPr>
      <w:r>
        <w:t>La **valorisation (Partie 0)** ne peut être formellement établie faute de ratios PER/P/B/EV-EBITDA, mais le PER implicite estimé à 14-15x suggère une légère surévaluation par rapport à la moyenne BRVM (8-12x), justifiée par la croissance supérieure. Le **comportement du cours (Partie 1)** est nettement favorable : +24,05% sur 100 jours, clôture au plus haut (9 000 FCFA), distribution symétrique (skewness 0,078) et kurtosis négatif (-1,355) indiquant un risque de pics extrêmes limité, avec une volatilité annualisée exceptionnellement faible (0,2%). Les **signaux techniques (Partie 2)** sont indisponibles (MM, Bollinger, MACD, RSI, Stochastique tous en nan), ce qui empêche toute confirmation ou divergence — c'est la principale faiblesse de l'analyse. Les **fondamentaux (Partie 3)** sont excellents : PNB +25%, résultat net +46%, coefficient d'exploitation à 40,3%, dépôts +46%, OPV sursouscrite, expansion au Burkina Faso — une dynamique rare sur la BRVM. Les **prédictions IA (J+1 à J+10)** ne sont pas disponibles, ce qui ne permet pas de confirmer ou contredire les autres signaux. **Synthèse globale :** la convergence entre fondamentaux solides, tendance haussière et faible volatilité est positive, mais l'absence de confirmation technique et de prédictions IA, couplée à une valorisation implicite tendue, impose une prudence. **Recommandation finale : ACHAT** — justifiée par la solidité des fondamentaux S1 2026 et la dynamique post-OPV, avec un **niveau de confiance Moyen** (absence d'indicateurs techniques et de prédictions), un **risque global Moyen** (titre récent, liquidité limitée, expansion régionale à exécuter), et un **horizon d'investissement optimal de moyen terme (3-12 mois)**, le temps que la société publie ses résultats annuels 2026 et précise sa politique de dividende.</w:t>
      </w:r>
    </w:p>
    <w:p/>
    <w:p/>
    <w:p>
      <w:pPr>
        <w:pStyle w:val="Heading3"/>
      </w:pPr>
      <w:r>
        <w:rPr>
          <w:color w:val="005A32"/>
        </w:rPr>
        <w:t>📋 RAPPORTS &amp; COMMUNIQUÉS OFFICIELS</w:t>
      </w:r>
    </w:p>
    <w:p>
      <w:r>
        <w:rPr>
          <w:i/>
          <w:color w:val="646464"/>
          <w:sz w:val="18"/>
        </w:rPr>
        <w:t>1 rapport(s)/communiqué(s) disponible(s) (affichage des 1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"Forte croissance du PNB et du r\u00e9sultat net, am\u00e9lioration de l'efficacit\u00e9 op\u00e9rationnelle et succ\u00e8s de l'IPO soutiennent la valeur. La dynamique commerciale et l'expansion r\u00e9gionale devraient se poursuivre."}</w:t>
      </w:r>
    </w:p>
    <w:p>
      <w:pPr>
        <w:spacing w:before="40"/>
        <w:ind w:left="400"/>
      </w:pPr>
      <w:r>
        <w:rPr>
          <w:sz w:val="18"/>
        </w:rPr>
        <w:t>BBGCI a réalisé un premier semestre 2026 solide avec une forte croissance de ses crédits (+28% à 823,9 Mds FCFA) et de ses dépôts (+46% à 1 318,3 Mds FCFA). Le Produit Net Bancaire progresse de 25% à 37,7 Mds FCFA, tandis que le résultat net bondit de 46% à 15,2 Mds FCFA. L'efficacité opérationnelle s'améliore avec un coefficient d'exploitation de 40,3% contre 43,3% un an plus tôt. La banque a obtenu l'avis favorable de la Commission Bancaire pour une succursale au Burkina Faso et a réussi son introduction en bourse avec une sursouscription. Les fondamentaux renforcés et la stratégie 2026-2030 soutiennent des perspectives favorables pour le second semestre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{'variation_pnb': '+25%', 'cout_du_risque': '-4,3 milliards FCFA', 'frais_generaux': '-15,2 milliards FCFA', 'depots_clientele': '1 318,3 milliards FCFA', 'variation_depots': '+46%', 'credits_clientele': '823,9 milliards FCFA', 'variation_credits': '+28%', 'produit_net_bancaire': '37,7 milliards FCFA', 'resultat_avant_impot': '18,2 milliards FCFA', 'variation_resultat_net': '+46%', 'coefficient_exploitation': '40,3%', 'resultat_brut_exploitation': '22,5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Crédits à la clientèle en hausse de 28% à 823,9 milliards FCFA.</w:t>
      </w:r>
    </w:p>
    <w:p>
      <w:pPr>
        <w:pStyle w:val="ListBullet"/>
        <w:spacing w:before="20" w:after="20"/>
        <w:ind w:left="700"/>
      </w:pPr>
      <w:r>
        <w:rPr>
          <w:sz w:val="18"/>
        </w:rPr>
        <w:t>Dépôts clientèle en progression de 46% à 1 318,3 milliards FCFA.</w:t>
      </w:r>
    </w:p>
    <w:p>
      <w:pPr>
        <w:pStyle w:val="ListBullet"/>
        <w:spacing w:before="20" w:after="20"/>
        <w:ind w:left="700"/>
      </w:pPr>
      <w:r>
        <w:rPr>
          <w:sz w:val="18"/>
        </w:rPr>
        <w:t>Produit Net Bancaire en croissance de 25% à 37,7 milliards FCFA.</w:t>
      </w:r>
    </w:p>
    <w:p>
      <w:pPr>
        <w:pStyle w:val="ListBullet"/>
        <w:spacing w:before="20" w:after="20"/>
        <w:ind w:left="700"/>
      </w:pPr>
      <w:r>
        <w:rPr>
          <w:sz w:val="18"/>
        </w:rPr>
        <w:t>Résultat net en augmentation de 46% à 15,2 milliards FCFA.</w:t>
      </w:r>
    </w:p>
    <w:p>
      <w:pPr>
        <w:pStyle w:val="ListBullet"/>
        <w:spacing w:before="20" w:after="20"/>
        <w:ind w:left="700"/>
      </w:pPr>
      <w:r>
        <w:rPr>
          <w:sz w:val="18"/>
        </w:rPr>
        <w:t>Coefficient d'exploitation amélioré à 40,3% contre 43,3% un an auparavant.</w:t>
      </w:r>
    </w:p>
    <w:p>
      <w:pPr>
        <w:pStyle w:val="ListBullet"/>
        <w:spacing w:before="20" w:after="20"/>
        <w:ind w:left="700"/>
      </w:pPr>
      <w:r>
        <w:rPr>
          <w:sz w:val="18"/>
        </w:rPr>
        <w:t>Coût du risque contenu à 4,3 milliards FCFA (+14%) pour des crédits en hausse de 28%.</w:t>
      </w:r>
    </w:p>
    <w:p>
      <w:pPr>
        <w:spacing w:before="40"/>
        <w:ind w:left="400"/>
      </w:pPr>
      <w:r>
        <w:rPr>
          <w:b/>
          <w:color w:val="C05000"/>
          <w:sz w:val="18"/>
        </w:rPr>
        <w:t xml:space="preserve">⚠️ Risques : </w:t>
      </w:r>
      <w:r>
        <w:rPr>
          <w:sz w:val="18"/>
        </w:rPr>
        <w:t>["Hausse du co\u00fbt du risque (+14%) dans un contexte de forte croissance des cr\u00e9dits (+28%).", "Risques d'ex\u00e9cution li\u00e9s \u00e0 l'expansion r\u00e9gionale (Burkina Faso) et au d\u00e9ploiement de la strat\u00e9gie 2026-2030.", "Sensibilit\u00e9 \u00e0 l'environnement \u00e9conomiqu</w:t>
      </w:r>
    </w:p>
    <w:p>
      <w:pPr>
        <w:spacing w:before="40"/>
        <w:ind w:left="400"/>
      </w:pPr>
      <w:r>
        <w:rPr>
          <w:b/>
          <w:color w:val="0064A0"/>
          <w:sz w:val="18"/>
        </w:rPr>
        <w:t xml:space="preserve">🔮 Perspectives : </w:t>
      </w:r>
      <w:r>
        <w:rPr>
          <w:sz w:val="18"/>
        </w:rPr>
        <w:t>BBGCI prévoit de consolider sa dynamique de croissance au second semestre 2026, en poursuivant sa stratégie 2026-2030, la transformation digitale et l'expansion régionale. La banque reste attentive aux évolutions de l'environnement et renforce ses dispositifs de gouvernance et de maîtrise des risque</w:t>
      </w:r>
    </w:p>
    <w:p/>
    <w:p>
      <w:r>
        <w:t>════════════════════════════════════════════════════════════════════════════════</w:t>
      </w:r>
    </w:p>
    <w:p>
      <w:r>
        <w:br w:type="page"/>
      </w:r>
    </w:p>
    <w:p>
      <w:pPr>
        <w:pStyle w:val="Heading2"/>
        <w:spacing w:before="360"/>
      </w:pPr>
      <w:r>
        <w:rPr>
          <w:color w:val="0066CC"/>
        </w:rPr>
        <w:t>3.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494.42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13,732 titres</w:t>
            </w:r>
          </w:p>
        </w:tc>
        <w:tc>
          <w:tcPr>
            <w:tcW w:type="dxa" w:w="2268"/>
            <w:shd w:fill="FFF2CC" w:val="clear"/>
          </w:tcPr>
          <w:p>
            <w:r>
              <w:rPr>
                <w:b/>
                <w:color w:val="503200"/>
                <w:sz w:val="16"/>
              </w:rPr>
              <w:t xml:space="preserve">Cours actuel : </w:t>
            </w:r>
            <w:r>
              <w:rPr>
                <w:color w:val="000000"/>
                <w:sz w:val="17"/>
              </w:rPr>
              <w:t>8,560 FCFA</w:t>
            </w:r>
          </w:p>
          <w:p>
            <w:r>
              <w:rPr>
                <w:b/>
                <w:color w:val="503200"/>
                <w:sz w:val="16"/>
              </w:rPr>
              <w:t xml:space="preserve">Var. 100 jours : </w:t>
            </w:r>
            <w:r>
              <w:rPr>
                <w:b/>
                <w:color w:val="007800"/>
                <w:sz w:val="17"/>
              </w:rPr>
              <w:t>+64.62%</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5,105 FCFA</w:t>
            </w:r>
          </w:p>
          <w:p>
            <w:r>
              <w:rPr>
                <w:b/>
                <w:color w:val="503200"/>
                <w:sz w:val="16"/>
              </w:rPr>
              <w:t xml:space="preserve">Volatilité ann. : </w:t>
            </w:r>
            <w:r>
              <w:rPr>
                <w:color w:val="000000"/>
                <w:sz w:val="17"/>
              </w:rPr>
              <w:t>42.2%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24.22% (Élevée) — μ=7,173 FCFA, σ=1,737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β=0.8318 (Neutre (suit le marché)) — Cov=0.000057, Var(idx)=0.000069, ρ=0.257,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13,732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59862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2026-09-30</w:t>
            </w:r>
          </w:p>
        </w:tc>
        <w:tc>
          <w:tcPr>
            <w:tcW w:type="dxa" w:w="1440"/>
            <w:shd w:fill="C6EFCE" w:val="clear"/>
          </w:tcPr>
          <w:p>
            <w:r>
              <w:rPr>
                <w:sz w:val="17"/>
              </w:rPr>
              <w:t>8,318</w:t>
            </w:r>
          </w:p>
        </w:tc>
        <w:tc>
          <w:tcPr>
            <w:tcW w:type="dxa" w:w="1440"/>
            <w:shd w:fill="C6EFCE" w:val="clear"/>
          </w:tcPr>
          <w:p>
            <w:r>
              <w:rPr>
                <w:b/>
                <w:sz w:val="17"/>
              </w:rPr>
              <w:t>8,847</w:t>
            </w:r>
          </w:p>
        </w:tc>
        <w:tc>
          <w:tcPr>
            <w:tcW w:type="dxa" w:w="1440"/>
            <w:shd w:fill="C6EFCE" w:val="clear"/>
          </w:tcPr>
          <w:p>
            <w:r>
              <w:rPr>
                <w:sz w:val="17"/>
              </w:rPr>
              <w:t>9,376</w:t>
            </w:r>
          </w:p>
        </w:tc>
        <w:tc>
          <w:tcPr>
            <w:tcW w:type="dxa" w:w="1440"/>
            <w:shd w:fill="C6EFCE" w:val="clear"/>
          </w:tcPr>
          <w:p>
            <w:r>
              <w:rPr>
                <w:b/>
                <w:color w:val="008000"/>
                <w:sz w:val="17"/>
              </w:rPr>
              <w:t>+3.4%</w:t>
            </w:r>
          </w:p>
        </w:tc>
      </w:tr>
      <w:tr>
        <w:tc>
          <w:tcPr>
            <w:tcW w:type="dxa" w:w="1440"/>
            <w:shd w:fill="C6EFCE" w:val="clear"/>
          </w:tcPr>
          <w:p>
            <w:r>
              <w:rPr>
                <w:sz w:val="17"/>
              </w:rPr>
              <w:t>J+2  ⭐</w:t>
            </w:r>
          </w:p>
        </w:tc>
        <w:tc>
          <w:tcPr>
            <w:tcW w:type="dxa" w:w="1440"/>
            <w:shd w:fill="C6EFCE" w:val="clear"/>
          </w:tcPr>
          <w:p>
            <w:r>
              <w:rPr>
                <w:sz w:val="17"/>
              </w:rPr>
              <w:t>2026-10-01</w:t>
            </w:r>
          </w:p>
        </w:tc>
        <w:tc>
          <w:tcPr>
            <w:tcW w:type="dxa" w:w="1440"/>
            <w:shd w:fill="C6EFCE" w:val="clear"/>
          </w:tcPr>
          <w:p>
            <w:r>
              <w:rPr>
                <w:sz w:val="17"/>
              </w:rPr>
              <w:t>8,117</w:t>
            </w:r>
          </w:p>
        </w:tc>
        <w:tc>
          <w:tcPr>
            <w:tcW w:type="dxa" w:w="1440"/>
            <w:shd w:fill="C6EFCE" w:val="clear"/>
          </w:tcPr>
          <w:p>
            <w:r>
              <w:rPr>
                <w:b/>
                <w:sz w:val="17"/>
              </w:rPr>
              <w:t>8,867</w:t>
            </w:r>
          </w:p>
        </w:tc>
        <w:tc>
          <w:tcPr>
            <w:tcW w:type="dxa" w:w="1440"/>
            <w:shd w:fill="C6EFCE" w:val="clear"/>
          </w:tcPr>
          <w:p>
            <w:r>
              <w:rPr>
                <w:sz w:val="17"/>
              </w:rPr>
              <w:t>9,617</w:t>
            </w:r>
          </w:p>
        </w:tc>
        <w:tc>
          <w:tcPr>
            <w:tcW w:type="dxa" w:w="1440"/>
            <w:shd w:fill="C6EFCE" w:val="clear"/>
          </w:tcPr>
          <w:p>
            <w:r>
              <w:rPr>
                <w:b/>
                <w:color w:val="008000"/>
                <w:sz w:val="17"/>
              </w:rPr>
              <w:t>+3.6%</w:t>
            </w:r>
          </w:p>
        </w:tc>
      </w:tr>
      <w:tr>
        <w:tc>
          <w:tcPr>
            <w:tcW w:type="dxa" w:w="1440"/>
            <w:shd w:fill="C6EFCE" w:val="clear"/>
          </w:tcPr>
          <w:p>
            <w:r>
              <w:rPr>
                <w:sz w:val="17"/>
              </w:rPr>
              <w:t>J+3  ⭐</w:t>
            </w:r>
          </w:p>
        </w:tc>
        <w:tc>
          <w:tcPr>
            <w:tcW w:type="dxa" w:w="1440"/>
            <w:shd w:fill="C6EFCE" w:val="clear"/>
          </w:tcPr>
          <w:p>
            <w:r>
              <w:rPr>
                <w:sz w:val="17"/>
              </w:rPr>
              <w:t>2026-10-02</w:t>
            </w:r>
          </w:p>
        </w:tc>
        <w:tc>
          <w:tcPr>
            <w:tcW w:type="dxa" w:w="1440"/>
            <w:shd w:fill="C6EFCE" w:val="clear"/>
          </w:tcPr>
          <w:p>
            <w:r>
              <w:rPr>
                <w:sz w:val="17"/>
              </w:rPr>
              <w:t>7,982</w:t>
            </w:r>
          </w:p>
        </w:tc>
        <w:tc>
          <w:tcPr>
            <w:tcW w:type="dxa" w:w="1440"/>
            <w:shd w:fill="C6EFCE" w:val="clear"/>
          </w:tcPr>
          <w:p>
            <w:r>
              <w:rPr>
                <w:b/>
                <w:sz w:val="17"/>
              </w:rPr>
              <w:t>8,904</w:t>
            </w:r>
          </w:p>
        </w:tc>
        <w:tc>
          <w:tcPr>
            <w:tcW w:type="dxa" w:w="1440"/>
            <w:shd w:fill="C6EFCE" w:val="clear"/>
          </w:tcPr>
          <w:p>
            <w:r>
              <w:rPr>
                <w:sz w:val="17"/>
              </w:rPr>
              <w:t>9,826</w:t>
            </w:r>
          </w:p>
        </w:tc>
        <w:tc>
          <w:tcPr>
            <w:tcW w:type="dxa" w:w="1440"/>
            <w:shd w:fill="C6EFCE" w:val="clear"/>
          </w:tcPr>
          <w:p>
            <w:r>
              <w:rPr>
                <w:b/>
                <w:color w:val="008000"/>
                <w:sz w:val="17"/>
              </w:rPr>
              <w:t>+4.0%</w:t>
            </w:r>
          </w:p>
        </w:tc>
      </w:tr>
      <w:tr>
        <w:tc>
          <w:tcPr>
            <w:tcW w:type="dxa" w:w="1440"/>
            <w:shd w:fill="C6EFCE" w:val="clear"/>
          </w:tcPr>
          <w:p>
            <w:r>
              <w:rPr>
                <w:sz w:val="17"/>
              </w:rPr>
              <w:t>J+4  ⭐</w:t>
            </w:r>
          </w:p>
        </w:tc>
        <w:tc>
          <w:tcPr>
            <w:tcW w:type="dxa" w:w="1440"/>
            <w:shd w:fill="C6EFCE" w:val="clear"/>
          </w:tcPr>
          <w:p>
            <w:r>
              <w:rPr>
                <w:sz w:val="17"/>
              </w:rPr>
              <w:t>2026-10-05</w:t>
            </w:r>
          </w:p>
        </w:tc>
        <w:tc>
          <w:tcPr>
            <w:tcW w:type="dxa" w:w="1440"/>
            <w:shd w:fill="C6EFCE" w:val="clear"/>
          </w:tcPr>
          <w:p>
            <w:r>
              <w:rPr>
                <w:sz w:val="17"/>
              </w:rPr>
              <w:t>7,874</w:t>
            </w:r>
          </w:p>
        </w:tc>
        <w:tc>
          <w:tcPr>
            <w:tcW w:type="dxa" w:w="1440"/>
            <w:shd w:fill="C6EFCE" w:val="clear"/>
          </w:tcPr>
          <w:p>
            <w:r>
              <w:rPr>
                <w:b/>
                <w:sz w:val="17"/>
              </w:rPr>
              <w:t>8,943</w:t>
            </w:r>
          </w:p>
        </w:tc>
        <w:tc>
          <w:tcPr>
            <w:tcW w:type="dxa" w:w="1440"/>
            <w:shd w:fill="C6EFCE" w:val="clear"/>
          </w:tcPr>
          <w:p>
            <w:r>
              <w:rPr>
                <w:sz w:val="17"/>
              </w:rPr>
              <w:t>10,012</w:t>
            </w:r>
          </w:p>
        </w:tc>
        <w:tc>
          <w:tcPr>
            <w:tcW w:type="dxa" w:w="1440"/>
            <w:shd w:fill="C6EFCE" w:val="clear"/>
          </w:tcPr>
          <w:p>
            <w:r>
              <w:rPr>
                <w:b/>
                <w:color w:val="008000"/>
                <w:sz w:val="17"/>
              </w:rPr>
              <w:t>+4.5%</w:t>
            </w:r>
          </w:p>
        </w:tc>
      </w:tr>
      <w:tr>
        <w:tc>
          <w:tcPr>
            <w:tcW w:type="dxa" w:w="1440"/>
            <w:shd w:fill="C6EFCE" w:val="clear"/>
          </w:tcPr>
          <w:p>
            <w:r>
              <w:rPr>
                <w:sz w:val="17"/>
              </w:rPr>
              <w:t>J+5  ⭐</w:t>
            </w:r>
          </w:p>
        </w:tc>
        <w:tc>
          <w:tcPr>
            <w:tcW w:type="dxa" w:w="1440"/>
            <w:shd w:fill="C6EFCE" w:val="clear"/>
          </w:tcPr>
          <w:p>
            <w:r>
              <w:rPr>
                <w:sz w:val="17"/>
              </w:rPr>
              <w:t>2026-10-06</w:t>
            </w:r>
          </w:p>
        </w:tc>
        <w:tc>
          <w:tcPr>
            <w:tcW w:type="dxa" w:w="1440"/>
            <w:shd w:fill="C6EFCE" w:val="clear"/>
          </w:tcPr>
          <w:p>
            <w:r>
              <w:rPr>
                <w:sz w:val="17"/>
              </w:rPr>
              <w:t>7,779</w:t>
            </w:r>
          </w:p>
        </w:tc>
        <w:tc>
          <w:tcPr>
            <w:tcW w:type="dxa" w:w="1440"/>
            <w:shd w:fill="C6EFCE" w:val="clear"/>
          </w:tcPr>
          <w:p>
            <w:r>
              <w:rPr>
                <w:b/>
                <w:sz w:val="17"/>
              </w:rPr>
              <w:t>8,979</w:t>
            </w:r>
          </w:p>
        </w:tc>
        <w:tc>
          <w:tcPr>
            <w:tcW w:type="dxa" w:w="1440"/>
            <w:shd w:fill="C6EFCE" w:val="clear"/>
          </w:tcPr>
          <w:p>
            <w:r>
              <w:rPr>
                <w:sz w:val="17"/>
              </w:rPr>
              <w:t>10,180</w:t>
            </w:r>
          </w:p>
        </w:tc>
        <w:tc>
          <w:tcPr>
            <w:tcW w:type="dxa" w:w="1440"/>
            <w:shd w:fill="C6EFCE" w:val="clear"/>
          </w:tcPr>
          <w:p>
            <w:r>
              <w:rPr>
                <w:b/>
                <w:color w:val="008000"/>
                <w:sz w:val="17"/>
              </w:rPr>
              <w:t>+4.9%</w:t>
            </w:r>
          </w:p>
        </w:tc>
      </w:tr>
      <w:tr>
        <w:tc>
          <w:tcPr>
            <w:tcW w:type="dxa" w:w="1440"/>
            <w:shd w:fill="C6EFCE" w:val="clear"/>
          </w:tcPr>
          <w:p>
            <w:r>
              <w:rPr>
                <w:sz w:val="17"/>
              </w:rPr>
              <w:t>J+6  ⭐</w:t>
            </w:r>
          </w:p>
        </w:tc>
        <w:tc>
          <w:tcPr>
            <w:tcW w:type="dxa" w:w="1440"/>
            <w:shd w:fill="C6EFCE" w:val="clear"/>
          </w:tcPr>
          <w:p>
            <w:r>
              <w:rPr>
                <w:sz w:val="17"/>
              </w:rPr>
              <w:t>2026-10-07</w:t>
            </w:r>
          </w:p>
        </w:tc>
        <w:tc>
          <w:tcPr>
            <w:tcW w:type="dxa" w:w="1440"/>
            <w:shd w:fill="C6EFCE" w:val="clear"/>
          </w:tcPr>
          <w:p>
            <w:r>
              <w:rPr>
                <w:sz w:val="17"/>
              </w:rPr>
              <w:t>7,692</w:t>
            </w:r>
          </w:p>
        </w:tc>
        <w:tc>
          <w:tcPr>
            <w:tcW w:type="dxa" w:w="1440"/>
            <w:shd w:fill="C6EFCE" w:val="clear"/>
          </w:tcPr>
          <w:p>
            <w:r>
              <w:rPr>
                <w:b/>
                <w:sz w:val="17"/>
              </w:rPr>
              <w:t>9,012</w:t>
            </w:r>
          </w:p>
        </w:tc>
        <w:tc>
          <w:tcPr>
            <w:tcW w:type="dxa" w:w="1440"/>
            <w:shd w:fill="C6EFCE" w:val="clear"/>
          </w:tcPr>
          <w:p>
            <w:r>
              <w:rPr>
                <w:sz w:val="17"/>
              </w:rPr>
              <w:t>10,332</w:t>
            </w:r>
          </w:p>
        </w:tc>
        <w:tc>
          <w:tcPr>
            <w:tcW w:type="dxa" w:w="1440"/>
            <w:shd w:fill="C6EFCE" w:val="clear"/>
          </w:tcPr>
          <w:p>
            <w:r>
              <w:rPr>
                <w:b/>
                <w:color w:val="008000"/>
                <w:sz w:val="17"/>
              </w:rPr>
              <w:t>+5.3%</w:t>
            </w:r>
          </w:p>
        </w:tc>
      </w:tr>
      <w:tr>
        <w:tc>
          <w:tcPr>
            <w:tcW w:type="dxa" w:w="1440"/>
            <w:shd w:fill="C6EFCE" w:val="clear"/>
          </w:tcPr>
          <w:p>
            <w:r>
              <w:rPr>
                <w:sz w:val="17"/>
              </w:rPr>
              <w:t>J+7  ⭐</w:t>
            </w:r>
          </w:p>
        </w:tc>
        <w:tc>
          <w:tcPr>
            <w:tcW w:type="dxa" w:w="1440"/>
            <w:shd w:fill="C6EFCE" w:val="clear"/>
          </w:tcPr>
          <w:p>
            <w:r>
              <w:rPr>
                <w:sz w:val="17"/>
              </w:rPr>
              <w:t>2026-10-08</w:t>
            </w:r>
          </w:p>
        </w:tc>
        <w:tc>
          <w:tcPr>
            <w:tcW w:type="dxa" w:w="1440"/>
            <w:shd w:fill="C6EFCE" w:val="clear"/>
          </w:tcPr>
          <w:p>
            <w:r>
              <w:rPr>
                <w:sz w:val="17"/>
              </w:rPr>
              <w:t>7,611</w:t>
            </w:r>
          </w:p>
        </w:tc>
        <w:tc>
          <w:tcPr>
            <w:tcW w:type="dxa" w:w="1440"/>
            <w:shd w:fill="C6EFCE" w:val="clear"/>
          </w:tcPr>
          <w:p>
            <w:r>
              <w:rPr>
                <w:b/>
                <w:sz w:val="17"/>
              </w:rPr>
              <w:t>9,041</w:t>
            </w:r>
          </w:p>
        </w:tc>
        <w:tc>
          <w:tcPr>
            <w:tcW w:type="dxa" w:w="1440"/>
            <w:shd w:fill="C6EFCE" w:val="clear"/>
          </w:tcPr>
          <w:p>
            <w:r>
              <w:rPr>
                <w:sz w:val="17"/>
              </w:rPr>
              <w:t>10,471</w:t>
            </w:r>
          </w:p>
        </w:tc>
        <w:tc>
          <w:tcPr>
            <w:tcW w:type="dxa" w:w="1440"/>
            <w:shd w:fill="C6EFCE" w:val="clear"/>
          </w:tcPr>
          <w:p>
            <w:r>
              <w:rPr>
                <w:b/>
                <w:color w:val="008000"/>
                <w:sz w:val="17"/>
              </w:rPr>
              <w:t>+5.6%</w:t>
            </w:r>
          </w:p>
        </w:tc>
      </w:tr>
      <w:tr>
        <w:tc>
          <w:tcPr>
            <w:tcW w:type="dxa" w:w="1440"/>
            <w:shd w:fill="C6EFCE" w:val="clear"/>
          </w:tcPr>
          <w:p>
            <w:r>
              <w:rPr>
                <w:sz w:val="17"/>
              </w:rPr>
              <w:t>J+8  ⭐</w:t>
            </w:r>
          </w:p>
        </w:tc>
        <w:tc>
          <w:tcPr>
            <w:tcW w:type="dxa" w:w="1440"/>
            <w:shd w:fill="C6EFCE" w:val="clear"/>
          </w:tcPr>
          <w:p>
            <w:r>
              <w:rPr>
                <w:sz w:val="17"/>
              </w:rPr>
              <w:t>2026-10-09</w:t>
            </w:r>
          </w:p>
        </w:tc>
        <w:tc>
          <w:tcPr>
            <w:tcW w:type="dxa" w:w="1440"/>
            <w:shd w:fill="C6EFCE" w:val="clear"/>
          </w:tcPr>
          <w:p>
            <w:r>
              <w:rPr>
                <w:sz w:val="17"/>
              </w:rPr>
              <w:t>7,533</w:t>
            </w:r>
          </w:p>
        </w:tc>
        <w:tc>
          <w:tcPr>
            <w:tcW w:type="dxa" w:w="1440"/>
            <w:shd w:fill="C6EFCE" w:val="clear"/>
          </w:tcPr>
          <w:p>
            <w:r>
              <w:rPr>
                <w:b/>
                <w:sz w:val="17"/>
              </w:rPr>
              <w:t>9,066</w:t>
            </w:r>
          </w:p>
        </w:tc>
        <w:tc>
          <w:tcPr>
            <w:tcW w:type="dxa" w:w="1440"/>
            <w:shd w:fill="C6EFCE" w:val="clear"/>
          </w:tcPr>
          <w:p>
            <w:r>
              <w:rPr>
                <w:sz w:val="17"/>
              </w:rPr>
              <w:t>10,600</w:t>
            </w:r>
          </w:p>
        </w:tc>
        <w:tc>
          <w:tcPr>
            <w:tcW w:type="dxa" w:w="1440"/>
            <w:shd w:fill="C6EFCE" w:val="clear"/>
          </w:tcPr>
          <w:p>
            <w:r>
              <w:rPr>
                <w:b/>
                <w:color w:val="008000"/>
                <w:sz w:val="17"/>
              </w:rPr>
              <w:t>+5.9%</w:t>
            </w:r>
          </w:p>
        </w:tc>
      </w:tr>
      <w:tr>
        <w:tc>
          <w:tcPr>
            <w:tcW w:type="dxa" w:w="1440"/>
            <w:shd w:fill="C6EFCE" w:val="clear"/>
          </w:tcPr>
          <w:p>
            <w:r>
              <w:rPr>
                <w:sz w:val="17"/>
              </w:rPr>
              <w:t>J+9  ⭐</w:t>
            </w:r>
          </w:p>
        </w:tc>
        <w:tc>
          <w:tcPr>
            <w:tcW w:type="dxa" w:w="1440"/>
            <w:shd w:fill="C6EFCE" w:val="clear"/>
          </w:tcPr>
          <w:p>
            <w:r>
              <w:rPr>
                <w:sz w:val="17"/>
              </w:rPr>
              <w:t>2026-10-12</w:t>
            </w:r>
          </w:p>
        </w:tc>
        <w:tc>
          <w:tcPr>
            <w:tcW w:type="dxa" w:w="1440"/>
            <w:shd w:fill="C6EFCE" w:val="clear"/>
          </w:tcPr>
          <w:p>
            <w:r>
              <w:rPr>
                <w:sz w:val="17"/>
              </w:rPr>
              <w:t>7,458</w:t>
            </w:r>
          </w:p>
        </w:tc>
        <w:tc>
          <w:tcPr>
            <w:tcW w:type="dxa" w:w="1440"/>
            <w:shd w:fill="C6EFCE" w:val="clear"/>
          </w:tcPr>
          <w:p>
            <w:r>
              <w:rPr>
                <w:b/>
                <w:sz w:val="17"/>
              </w:rPr>
              <w:t>9,088</w:t>
            </w:r>
          </w:p>
        </w:tc>
        <w:tc>
          <w:tcPr>
            <w:tcW w:type="dxa" w:w="1440"/>
            <w:shd w:fill="C6EFCE" w:val="clear"/>
          </w:tcPr>
          <w:p>
            <w:r>
              <w:rPr>
                <w:sz w:val="17"/>
              </w:rPr>
              <w:t>10,719</w:t>
            </w:r>
          </w:p>
        </w:tc>
        <w:tc>
          <w:tcPr>
            <w:tcW w:type="dxa" w:w="1440"/>
            <w:shd w:fill="C6EFCE" w:val="clear"/>
          </w:tcPr>
          <w:p>
            <w:r>
              <w:rPr>
                <w:b/>
                <w:color w:val="008000"/>
                <w:sz w:val="17"/>
              </w:rPr>
              <w:t>+6.2%</w:t>
            </w:r>
          </w:p>
        </w:tc>
      </w:tr>
      <w:tr>
        <w:tc>
          <w:tcPr>
            <w:tcW w:type="dxa" w:w="1440"/>
            <w:shd w:fill="C6EFCE" w:val="clear"/>
          </w:tcPr>
          <w:p>
            <w:r>
              <w:rPr>
                <w:sz w:val="17"/>
              </w:rPr>
              <w:t>J+10  ⭐</w:t>
            </w:r>
          </w:p>
        </w:tc>
        <w:tc>
          <w:tcPr>
            <w:tcW w:type="dxa" w:w="1440"/>
            <w:shd w:fill="C6EFCE" w:val="clear"/>
          </w:tcPr>
          <w:p>
            <w:r>
              <w:rPr>
                <w:sz w:val="17"/>
              </w:rPr>
              <w:t>2026-10-13</w:t>
            </w:r>
          </w:p>
        </w:tc>
        <w:tc>
          <w:tcPr>
            <w:tcW w:type="dxa" w:w="1440"/>
            <w:shd w:fill="C6EFCE" w:val="clear"/>
          </w:tcPr>
          <w:p>
            <w:r>
              <w:rPr>
                <w:sz w:val="17"/>
              </w:rPr>
              <w:t>7,385</w:t>
            </w:r>
          </w:p>
        </w:tc>
        <w:tc>
          <w:tcPr>
            <w:tcW w:type="dxa" w:w="1440"/>
            <w:shd w:fill="C6EFCE" w:val="clear"/>
          </w:tcPr>
          <w:p>
            <w:r>
              <w:rPr>
                <w:b/>
                <w:sz w:val="17"/>
              </w:rPr>
              <w:t>9,107</w:t>
            </w:r>
          </w:p>
        </w:tc>
        <w:tc>
          <w:tcPr>
            <w:tcW w:type="dxa" w:w="1440"/>
            <w:shd w:fill="C6EFCE" w:val="clear"/>
          </w:tcPr>
          <w:p>
            <w:r>
              <w:rPr>
                <w:sz w:val="17"/>
              </w:rPr>
              <w:t>10,830</w:t>
            </w:r>
          </w:p>
        </w:tc>
        <w:tc>
          <w:tcPr>
            <w:tcW w:type="dxa" w:w="1440"/>
            <w:shd w:fill="C6EFCE" w:val="clear"/>
          </w:tcPr>
          <w:p>
            <w:r>
              <w:rPr>
                <w:b/>
                <w:color w:val="008000"/>
                <w:sz w:val="17"/>
              </w:rPr>
              <w:t>+6.4%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(BRVM)**</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494,42 milliards FCFA, la BICB s'impose comme l'une des valeurs bancaires les plus capitalisées de la BRVM, ce qui témoigne de son statut de leader sectoriel au Bénin et de sa liquidité relative sur le marché régional. Le BPA de 627 FCFA par action signifie que chaque titre génère près de 627 FCFA de bénéfice net, un niveau élevé qui reflète la forte rentabilité de la banque. Le PER de 13,6x se situe légèrement au-dessus de la moyenne BRVM (8-12x), indiquant que les investisseurs acceptent de payer une prime modérée pour cette valeur de qualité, sans pour autant tomber dans une surévaluation manifeste. Le P/B de 3,66x traduit une prime de croissance significative par rapport à la valeur comptable, justifiée par un ROE de 26,8% qui dépasse largement le coût des fonds propres. En revanche, l'EV/EBITDA de 24,2x apparaît très exigeant et suggère que le marché intègre déjà une grande partie des perspectives de croissance dans le cours actuel, limitant le potentiel d'appréciation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BICB a enregistré une progression spectaculaire de +64,62%, avec une dernière séance en hausse de +0,59%, portant le cours actuel à 8 560 FCFA. Le range de trading est particulièrement large, oscillant entre un plus bas de 5 105 FCFA et un plus haut de 10 790 FCFA, soit un écart de plus de 111%, ce qui témoigne d'une forte volatilité et d'un intérêt marqué des investisseurs. La tendance générale est clairement haussière, portée par des fondamentaux solides et une dynamique commerciale soutenue. Les statistiques descriptives révèlent une moyenne de 7 173 FCFA supérieure à la médiane de 6 515 FCFA, confirmant une asymétrie positive (skewness de 0,552) avec davantage de journées de cotation sous la moyenne mais des pics haussiers marqués. L'écart-type de 1 746 FCFA (CV de 24,3%) indique une dispersion modérée à élevée du cours, tandis que le kurtosis de -0,945 (mésokurtique) suggère une distribution proche de la normale, sans risque excessif de pics extrêmes. La volatilité annualisée de 42,2% classe ce titre dans la catégorie des valeurs à volatilité élevée (&gt;30%), ce qui implique un risque de marché significatif mais cohérent avec le potentiel de rendement offert.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9 775,75 FCFA et la MM50 à 8 663,20 FCFA, toutes deux supérieures au cours actuel de 8 560 FCFA. Cette configuration indique que le titre évolue en dessous de ses moyennes court et moyen terme, signalant une correction après la forte hausse passée. La décision technique affichée est "Achat", suggérant que le repli actuel pourrait constituer une opportunité d'entrée sur support.</w:t>
      </w:r>
    </w:p>
    <w:p>
      <w:pPr>
        <w:spacing w:after="120" w:line="276" w:lineRule="auto"/>
      </w:pPr>
      <w:r>
        <w:t>**Bandes de Bollinger** : La borne supérieure se situe à 11 546,13 FCFA et la borne inférieure à 8 005,37 FCFA, avec un cours actuel de 8 560 FCFA qui évolue dans la partie basse du canal. Cette position proche de la borne inférieure indique une pression vendeuse récente mais aussi un potentiel de rebond technique. La décision est "Neutre", reflétant l'absence de signal directionnel fort.</w:t>
      </w:r>
    </w:p>
    <w:p>
      <w:pPr>
        <w:spacing w:after="120" w:line="276" w:lineRule="auto"/>
      </w:pPr>
      <w:r>
        <w:t>**MACD** : La valeur du MACD est de -63,861 contre un signal à 239,024, créant une divergence baissière significative où le MACD est nettement en dessous de sa ligne de signal. Ce croisement négatif indique un momentum baissier à court terme, justifiant la décision de "Vente" affichée par cet indicateur.</w:t>
      </w:r>
    </w:p>
    <w:p>
      <w:pPr>
        <w:spacing w:after="120" w:line="276" w:lineRule="auto"/>
      </w:pPr>
      <w:r>
        <w:t>**RSI** : Avec une valeur de 29,111, le RSI se situe en zone de survente (&lt;30), signalant que le titre a été excessivement vendu et pourrait connaître un rebond technique. La décision est "Achat", ce qui contraste avec le MACD et suggère une possible inflexion prochaine.</w:t>
      </w:r>
    </w:p>
    <w:p>
      <w:pPr>
        <w:spacing w:after="120" w:line="276" w:lineRule="auto"/>
      </w:pPr>
      <w:r>
        <w:t>**Stochastique** : Le %K est à 24,335 et le %D à 23,067, tous deux en zone basse mais sans croisement haussier confirmé. La décision est "Neutre", indiquant que le titre n'est pas encore en phase de retournement clair selon cet oscillateur.</w:t>
      </w:r>
    </w:p>
    <w:p>
      <w:pPr>
        <w:spacing w:after="120" w:line="276" w:lineRule="auto"/>
      </w:pPr>
      <w:r>
        <w:t>**Conclusion technique** : Les indicateurs présentent une divergence notable : le MACD est baissier tandis que le RSI est en zone de survente et les moyennes mobiles suggèrent un potentiel d'achat sur repli. Cette configuration est typique d'une phase de consolidation après une forte hausse, avec un risque de poursuite de la correction à court terme mais un potentiel de rebond à moyen terme. La prudence est de mise tant que le MACD ne s'inverse pas.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la BICB a réalisé un Produit Net Bancaire (PNB) de 52,805 milliards FCFA, en croissance de 16,49% par rapport à 2024, confirmant la dynamique commerciale soutenue de la banque. Le résultat net s'établit à 36,237 milliards FCFA, en progression de 24,7%, avec un ROE exceptionnel de 26,82% et un ROA de 1,96%, des niveaux qui témoignent d'une rentabilité parmi les meilleures du secteur bancaire de l'UEMOA. Le coefficient d'exploitation de 31,12% est excellent (&lt;60%), démontrant une efficacité opérationnelle remarquable, tandis que le coût du risque de 9,61% reste modéré mais mérite une surveillance attentive. La structure financière affiche un ratio crédits nets/dépôts de 97,5%, signalant une transformation tendue qui pourrait limiter la marge de manœuvre future. Les rapports trimestriels de 2026 confirment cette tendance : au T1 2026 (rapport du 31 mars 2026), le PNB a bondi de 35% à 14,6 milliards FCFA et le résultat net de 48% à 8,0 milliards FCFA, tandis qu'au S1 2026 (rapport du 30 juin 2026), le PNB atteint 31,9 milliards FCFA (+19%) et le résultat net 18,4 milliards FCFA (+11%), avec un RBE en hausse de 31% à 22,9 milliards FCFA. On estime donc que l'exercice 2026 devrait afficher un PNB supérieur à 60 milliards FCFA et un résultat net approchant 38-40 milliards FCFA, sauf dégradation majeure du coût du risque. Les principaux risques identifiés incluent la normalisation du coût du risque (retour à une charge de 3,6 milliards FCFA au S1 2026 contre un produit net de 2,4 milliards FCFA au S1 2025), la contraction des dépôts clientèle (-1% à 1 173,7 milliards FCFA) et la tension sur la liquidité. La recommandation fondamentale est de **CONSERVER** le titre, en attendant une confirmation de la maîtrise du risque crédit sur le second semestre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la BICB présente un profil contrasté : le PER de 13,6x et le P/B de 3,66x indiquent une prime modérée à élevée par rapport au marché, justifiée par un ROE de 26,8%, mais l'EV/EBITDA de 24,2x suggère que le marché a déjà intégré une grande partie du potentiel de croissance. Le comportement du cours sur 100 jours est haussier (+64,62%) mais la volatilité élevée (42,2%) et l'asymétrie positive (skewness de 0,552) impliquent un risque de correction après les pics, ce qui est cohérent avec la position actuelle du titre sous ses moyennes mobiles. Les signaux techniques sont divergents : le MACD est baissier tandis que le RSI est en zone de survente et les moyennes mobiles suggèrent un potentiel d'achat, créant une incertitude à court terme. Les fondamentaux restent solides avec un PNB en croissance de 16,5% en 2025 et des rapports trimestriels 2026 confirmant la dynamique (PNB +35% au T1, +19% au S1), mais le retour du coût du risque à une charge nette et la tension sur la liquidité constituent des points de vigilance. Les prédictions IA pour les 10 prochains jours ouvrables tablent sur une hausse progressive de 8 847 FCFA (30/09) à 8 979 FCFA (06/10), ce qui contredit le signal baissier du MACD mais s'aligne avec le RSI en survente et le potentiel de rebond technique. Sur la base de cette synthèse, la recommandation finale est de **CONSERVER** le titre, avec un niveau de confiance **Moyen** et un risque global **Moyen**. L'horizon d'investissement optimal est le **moyen terme (3-12 mois)**, en attendant la publication des résultats annuels 2026 et une clarification sur la trajectoire du coût du risque et de la liquidité. Un investisseur déjà positionné peut conserver ses titres en surveillant les prochains rapports trimestriels, tandis qu'un nouvel entrant attendra une confirmation de la stabilisation technique (croisement haussier du MACD) avant d'envisager une position acheteuse.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4.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581.58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682 titres</w:t>
            </w:r>
          </w:p>
        </w:tc>
        <w:tc>
          <w:tcPr>
            <w:tcW w:type="dxa" w:w="2268"/>
            <w:shd w:fill="FFF2CC" w:val="clear"/>
          </w:tcPr>
          <w:p>
            <w:r>
              <w:rPr>
                <w:b/>
                <w:color w:val="503200"/>
                <w:sz w:val="16"/>
              </w:rPr>
              <w:t xml:space="preserve">Cours actuel : </w:t>
            </w:r>
            <w:r>
              <w:rPr>
                <w:color w:val="000000"/>
                <w:sz w:val="17"/>
              </w:rPr>
              <w:t>34,895 FCFA</w:t>
            </w:r>
          </w:p>
          <w:p>
            <w:r>
              <w:rPr>
                <w:b/>
                <w:color w:val="503200"/>
                <w:sz w:val="16"/>
              </w:rPr>
              <w:t xml:space="preserve">Var. 100 jours : </w:t>
            </w:r>
            <w:r>
              <w:rPr>
                <w:b/>
                <w:color w:val="007800"/>
                <w:sz w:val="17"/>
              </w:rPr>
              <w:t>+39.61%</w:t>
            </w:r>
          </w:p>
          <w:p>
            <w:r>
              <w:rPr>
                <w:b/>
                <w:color w:val="503200"/>
                <w:sz w:val="16"/>
              </w:rPr>
              <w:t xml:space="preserve">Plus haut 100j : </w:t>
            </w:r>
            <w:r>
              <w:rPr>
                <w:color w:val="000000"/>
                <w:sz w:val="17"/>
              </w:rPr>
              <w:t>34,895 FCFA</w:t>
            </w:r>
          </w:p>
          <w:p>
            <w:r>
              <w:rPr>
                <w:b/>
                <w:color w:val="503200"/>
                <w:sz w:val="16"/>
              </w:rPr>
              <w:t xml:space="preserve">Plus bas 100j : </w:t>
            </w:r>
            <w:r>
              <w:rPr>
                <w:color w:val="000000"/>
                <w:sz w:val="17"/>
              </w:rPr>
              <w:t>24,995 FCFA</w:t>
            </w:r>
          </w:p>
          <w:p>
            <w:r>
              <w:rPr>
                <w:b/>
                <w:color w:val="503200"/>
                <w:sz w:val="16"/>
              </w:rPr>
              <w:t xml:space="preserve">Volatilité ann. : </w:t>
            </w:r>
            <w:r>
              <w:rPr>
                <w:color w:val="000000"/>
                <w:sz w:val="17"/>
              </w:rPr>
              <w:t>32.4%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6.54% (Moyenne) — μ=29,098 FCFA, σ=1,903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β=0.8470 (Neutre (suit le marché)) — Cov=0.000058, Var(idx)=0.000069, ρ=0.364,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682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σ_j=2.04%/j (Stable) — Vol. annualisée≈32.4%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9862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2026-09-30</w:t>
            </w:r>
          </w:p>
        </w:tc>
        <w:tc>
          <w:tcPr>
            <w:tcW w:type="dxa" w:w="1440"/>
            <w:shd w:fill="FFDCE0" w:val="clear"/>
          </w:tcPr>
          <w:p>
            <w:r>
              <w:rPr>
                <w:sz w:val="17"/>
              </w:rPr>
              <w:t>31,222</w:t>
            </w:r>
          </w:p>
        </w:tc>
        <w:tc>
          <w:tcPr>
            <w:tcW w:type="dxa" w:w="1440"/>
            <w:shd w:fill="FFDCE0" w:val="clear"/>
          </w:tcPr>
          <w:p>
            <w:r>
              <w:rPr>
                <w:b/>
                <w:sz w:val="17"/>
              </w:rPr>
              <w:t>32,773</w:t>
            </w:r>
          </w:p>
        </w:tc>
        <w:tc>
          <w:tcPr>
            <w:tcW w:type="dxa" w:w="1440"/>
            <w:shd w:fill="FFDCE0" w:val="clear"/>
          </w:tcPr>
          <w:p>
            <w:r>
              <w:rPr>
                <w:sz w:val="17"/>
              </w:rPr>
              <w:t>34,325</w:t>
            </w:r>
          </w:p>
        </w:tc>
        <w:tc>
          <w:tcPr>
            <w:tcW w:type="dxa" w:w="1440"/>
            <w:shd w:fill="FFDCE0" w:val="clear"/>
          </w:tcPr>
          <w:p>
            <w:r>
              <w:rPr>
                <w:b/>
                <w:color w:val="C00000"/>
                <w:sz w:val="17"/>
              </w:rPr>
              <w:t>-6.1%</w:t>
            </w:r>
          </w:p>
        </w:tc>
      </w:tr>
      <w:tr>
        <w:tc>
          <w:tcPr>
            <w:tcW w:type="dxa" w:w="1440"/>
            <w:shd w:fill="FFDCE0" w:val="clear"/>
          </w:tcPr>
          <w:p>
            <w:r>
              <w:rPr>
                <w:sz w:val="17"/>
              </w:rPr>
              <w:t>J+2  Moyenne</w:t>
            </w:r>
          </w:p>
        </w:tc>
        <w:tc>
          <w:tcPr>
            <w:tcW w:type="dxa" w:w="1440"/>
            <w:shd w:fill="FFDCE0" w:val="clear"/>
          </w:tcPr>
          <w:p>
            <w:r>
              <w:rPr>
                <w:sz w:val="17"/>
              </w:rPr>
              <w:t>2026-10-01</w:t>
            </w:r>
          </w:p>
        </w:tc>
        <w:tc>
          <w:tcPr>
            <w:tcW w:type="dxa" w:w="1440"/>
            <w:shd w:fill="FFDCE0" w:val="clear"/>
          </w:tcPr>
          <w:p>
            <w:r>
              <w:rPr>
                <w:sz w:val="17"/>
              </w:rPr>
              <w:t>30,583</w:t>
            </w:r>
          </w:p>
        </w:tc>
        <w:tc>
          <w:tcPr>
            <w:tcW w:type="dxa" w:w="1440"/>
            <w:shd w:fill="FFDCE0" w:val="clear"/>
          </w:tcPr>
          <w:p>
            <w:r>
              <w:rPr>
                <w:b/>
                <w:sz w:val="17"/>
              </w:rPr>
              <w:t>32,778</w:t>
            </w:r>
          </w:p>
        </w:tc>
        <w:tc>
          <w:tcPr>
            <w:tcW w:type="dxa" w:w="1440"/>
            <w:shd w:fill="FFDCE0" w:val="clear"/>
          </w:tcPr>
          <w:p>
            <w:r>
              <w:rPr>
                <w:sz w:val="17"/>
              </w:rPr>
              <w:t>34,973</w:t>
            </w:r>
          </w:p>
        </w:tc>
        <w:tc>
          <w:tcPr>
            <w:tcW w:type="dxa" w:w="1440"/>
            <w:shd w:fill="FFDCE0" w:val="clear"/>
          </w:tcPr>
          <w:p>
            <w:r>
              <w:rPr>
                <w:b/>
                <w:color w:val="C00000"/>
                <w:sz w:val="17"/>
              </w:rPr>
              <w:t>-6.1%</w:t>
            </w:r>
          </w:p>
        </w:tc>
      </w:tr>
      <w:tr>
        <w:tc>
          <w:tcPr>
            <w:tcW w:type="dxa" w:w="1440"/>
            <w:shd w:fill="FFDCE0" w:val="clear"/>
          </w:tcPr>
          <w:p>
            <w:r>
              <w:rPr>
                <w:sz w:val="17"/>
              </w:rPr>
              <w:t>J+3  Moyenne</w:t>
            </w:r>
          </w:p>
        </w:tc>
        <w:tc>
          <w:tcPr>
            <w:tcW w:type="dxa" w:w="1440"/>
            <w:shd w:fill="FFDCE0" w:val="clear"/>
          </w:tcPr>
          <w:p>
            <w:r>
              <w:rPr>
                <w:sz w:val="17"/>
              </w:rPr>
              <w:t>2026-10-02</w:t>
            </w:r>
          </w:p>
        </w:tc>
        <w:tc>
          <w:tcPr>
            <w:tcW w:type="dxa" w:w="1440"/>
            <w:shd w:fill="FFDCE0" w:val="clear"/>
          </w:tcPr>
          <w:p>
            <w:r>
              <w:rPr>
                <w:sz w:val="17"/>
              </w:rPr>
              <w:t>29,885</w:t>
            </w:r>
          </w:p>
        </w:tc>
        <w:tc>
          <w:tcPr>
            <w:tcW w:type="dxa" w:w="1440"/>
            <w:shd w:fill="FFDCE0" w:val="clear"/>
          </w:tcPr>
          <w:p>
            <w:r>
              <w:rPr>
                <w:b/>
                <w:sz w:val="17"/>
              </w:rPr>
              <w:t>32,555</w:t>
            </w:r>
          </w:p>
        </w:tc>
        <w:tc>
          <w:tcPr>
            <w:tcW w:type="dxa" w:w="1440"/>
            <w:shd w:fill="FFDCE0" w:val="clear"/>
          </w:tcPr>
          <w:p>
            <w:r>
              <w:rPr>
                <w:sz w:val="17"/>
              </w:rPr>
              <w:t>35,225</w:t>
            </w:r>
          </w:p>
        </w:tc>
        <w:tc>
          <w:tcPr>
            <w:tcW w:type="dxa" w:w="1440"/>
            <w:shd w:fill="FFDCE0" w:val="clear"/>
          </w:tcPr>
          <w:p>
            <w:r>
              <w:rPr>
                <w:b/>
                <w:color w:val="C00000"/>
                <w:sz w:val="17"/>
              </w:rPr>
              <w:t>-6.7%</w:t>
            </w:r>
          </w:p>
        </w:tc>
      </w:tr>
      <w:tr>
        <w:tc>
          <w:tcPr>
            <w:tcW w:type="dxa" w:w="1440"/>
            <w:shd w:fill="FFDCE0" w:val="clear"/>
          </w:tcPr>
          <w:p>
            <w:r>
              <w:rPr>
                <w:sz w:val="17"/>
              </w:rPr>
              <w:t>J+4  ⭐</w:t>
            </w:r>
          </w:p>
        </w:tc>
        <w:tc>
          <w:tcPr>
            <w:tcW w:type="dxa" w:w="1440"/>
            <w:shd w:fill="FFDCE0" w:val="clear"/>
          </w:tcPr>
          <w:p>
            <w:r>
              <w:rPr>
                <w:sz w:val="17"/>
              </w:rPr>
              <w:t>2026-10-05</w:t>
            </w:r>
          </w:p>
        </w:tc>
        <w:tc>
          <w:tcPr>
            <w:tcW w:type="dxa" w:w="1440"/>
            <w:shd w:fill="FFDCE0" w:val="clear"/>
          </w:tcPr>
          <w:p>
            <w:r>
              <w:rPr>
                <w:sz w:val="17"/>
              </w:rPr>
              <w:t>29,320</w:t>
            </w:r>
          </w:p>
        </w:tc>
        <w:tc>
          <w:tcPr>
            <w:tcW w:type="dxa" w:w="1440"/>
            <w:shd w:fill="FFDCE0" w:val="clear"/>
          </w:tcPr>
          <w:p>
            <w:r>
              <w:rPr>
                <w:b/>
                <w:sz w:val="17"/>
              </w:rPr>
              <w:t>32,387</w:t>
            </w:r>
          </w:p>
        </w:tc>
        <w:tc>
          <w:tcPr>
            <w:tcW w:type="dxa" w:w="1440"/>
            <w:shd w:fill="FFDCE0" w:val="clear"/>
          </w:tcPr>
          <w:p>
            <w:r>
              <w:rPr>
                <w:sz w:val="17"/>
              </w:rPr>
              <w:t>35,454</w:t>
            </w:r>
          </w:p>
        </w:tc>
        <w:tc>
          <w:tcPr>
            <w:tcW w:type="dxa" w:w="1440"/>
            <w:shd w:fill="FFDCE0" w:val="clear"/>
          </w:tcPr>
          <w:p>
            <w:r>
              <w:rPr>
                <w:b/>
                <w:color w:val="C00000"/>
                <w:sz w:val="17"/>
              </w:rPr>
              <w:t>-7.2%</w:t>
            </w:r>
          </w:p>
        </w:tc>
      </w:tr>
      <w:tr>
        <w:tc>
          <w:tcPr>
            <w:tcW w:type="dxa" w:w="1440"/>
            <w:shd w:fill="FFDCE0" w:val="clear"/>
          </w:tcPr>
          <w:p>
            <w:r>
              <w:rPr>
                <w:sz w:val="17"/>
              </w:rPr>
              <w:t>J+5  ⭐</w:t>
            </w:r>
          </w:p>
        </w:tc>
        <w:tc>
          <w:tcPr>
            <w:tcW w:type="dxa" w:w="1440"/>
            <w:shd w:fill="FFDCE0" w:val="clear"/>
          </w:tcPr>
          <w:p>
            <w:r>
              <w:rPr>
                <w:sz w:val="17"/>
              </w:rPr>
              <w:t>2026-10-06</w:t>
            </w:r>
          </w:p>
        </w:tc>
        <w:tc>
          <w:tcPr>
            <w:tcW w:type="dxa" w:w="1440"/>
            <w:shd w:fill="FFDCE0" w:val="clear"/>
          </w:tcPr>
          <w:p>
            <w:r>
              <w:rPr>
                <w:sz w:val="17"/>
              </w:rPr>
              <w:t>28,856</w:t>
            </w:r>
          </w:p>
        </w:tc>
        <w:tc>
          <w:tcPr>
            <w:tcW w:type="dxa" w:w="1440"/>
            <w:shd w:fill="FFDCE0" w:val="clear"/>
          </w:tcPr>
          <w:p>
            <w:r>
              <w:rPr>
                <w:b/>
                <w:sz w:val="17"/>
              </w:rPr>
              <w:t>32,273</w:t>
            </w:r>
          </w:p>
        </w:tc>
        <w:tc>
          <w:tcPr>
            <w:tcW w:type="dxa" w:w="1440"/>
            <w:shd w:fill="FFDCE0" w:val="clear"/>
          </w:tcPr>
          <w:p>
            <w:r>
              <w:rPr>
                <w:sz w:val="17"/>
              </w:rPr>
              <w:t>35,690</w:t>
            </w:r>
          </w:p>
        </w:tc>
        <w:tc>
          <w:tcPr>
            <w:tcW w:type="dxa" w:w="1440"/>
            <w:shd w:fill="FFDCE0" w:val="clear"/>
          </w:tcPr>
          <w:p>
            <w:r>
              <w:rPr>
                <w:b/>
                <w:color w:val="C00000"/>
                <w:sz w:val="17"/>
              </w:rPr>
              <w:t>-7.5%</w:t>
            </w:r>
          </w:p>
        </w:tc>
      </w:tr>
      <w:tr>
        <w:tc>
          <w:tcPr>
            <w:tcW w:type="dxa" w:w="1440"/>
            <w:shd w:fill="FFDCE0" w:val="clear"/>
          </w:tcPr>
          <w:p>
            <w:r>
              <w:rPr>
                <w:sz w:val="17"/>
              </w:rPr>
              <w:t>J+6  ⭐</w:t>
            </w:r>
          </w:p>
        </w:tc>
        <w:tc>
          <w:tcPr>
            <w:tcW w:type="dxa" w:w="1440"/>
            <w:shd w:fill="FFDCE0" w:val="clear"/>
          </w:tcPr>
          <w:p>
            <w:r>
              <w:rPr>
                <w:sz w:val="17"/>
              </w:rPr>
              <w:t>2026-10-07</w:t>
            </w:r>
          </w:p>
        </w:tc>
        <w:tc>
          <w:tcPr>
            <w:tcW w:type="dxa" w:w="1440"/>
            <w:shd w:fill="FFDCE0" w:val="clear"/>
          </w:tcPr>
          <w:p>
            <w:r>
              <w:rPr>
                <w:sz w:val="17"/>
              </w:rPr>
              <w:t>28,444</w:t>
            </w:r>
          </w:p>
        </w:tc>
        <w:tc>
          <w:tcPr>
            <w:tcW w:type="dxa" w:w="1440"/>
            <w:shd w:fill="FFDCE0" w:val="clear"/>
          </w:tcPr>
          <w:p>
            <w:r>
              <w:rPr>
                <w:b/>
                <w:sz w:val="17"/>
              </w:rPr>
              <w:t>32,176</w:t>
            </w:r>
          </w:p>
        </w:tc>
        <w:tc>
          <w:tcPr>
            <w:tcW w:type="dxa" w:w="1440"/>
            <w:shd w:fill="FFDCE0" w:val="clear"/>
          </w:tcPr>
          <w:p>
            <w:r>
              <w:rPr>
                <w:sz w:val="17"/>
              </w:rPr>
              <w:t>35,908</w:t>
            </w:r>
          </w:p>
        </w:tc>
        <w:tc>
          <w:tcPr>
            <w:tcW w:type="dxa" w:w="1440"/>
            <w:shd w:fill="FFDCE0" w:val="clear"/>
          </w:tcPr>
          <w:p>
            <w:r>
              <w:rPr>
                <w:b/>
                <w:color w:val="C00000"/>
                <w:sz w:val="17"/>
              </w:rPr>
              <w:t>-7.8%</w:t>
            </w:r>
          </w:p>
        </w:tc>
      </w:tr>
      <w:tr>
        <w:tc>
          <w:tcPr>
            <w:tcW w:type="dxa" w:w="1440"/>
            <w:shd w:fill="FFDCE0" w:val="clear"/>
          </w:tcPr>
          <w:p>
            <w:r>
              <w:rPr>
                <w:sz w:val="17"/>
              </w:rPr>
              <w:t>J+7  ⭐</w:t>
            </w:r>
          </w:p>
        </w:tc>
        <w:tc>
          <w:tcPr>
            <w:tcW w:type="dxa" w:w="1440"/>
            <w:shd w:fill="FFDCE0" w:val="clear"/>
          </w:tcPr>
          <w:p>
            <w:r>
              <w:rPr>
                <w:sz w:val="17"/>
              </w:rPr>
              <w:t>2026-10-08</w:t>
            </w:r>
          </w:p>
        </w:tc>
        <w:tc>
          <w:tcPr>
            <w:tcW w:type="dxa" w:w="1440"/>
            <w:shd w:fill="FFDCE0" w:val="clear"/>
          </w:tcPr>
          <w:p>
            <w:r>
              <w:rPr>
                <w:sz w:val="17"/>
              </w:rPr>
              <w:t>28,064</w:t>
            </w:r>
          </w:p>
        </w:tc>
        <w:tc>
          <w:tcPr>
            <w:tcW w:type="dxa" w:w="1440"/>
            <w:shd w:fill="FFDCE0" w:val="clear"/>
          </w:tcPr>
          <w:p>
            <w:r>
              <w:rPr>
                <w:b/>
                <w:sz w:val="17"/>
              </w:rPr>
              <w:t>32,083</w:t>
            </w:r>
          </w:p>
        </w:tc>
        <w:tc>
          <w:tcPr>
            <w:tcW w:type="dxa" w:w="1440"/>
            <w:shd w:fill="FFDCE0" w:val="clear"/>
          </w:tcPr>
          <w:p>
            <w:r>
              <w:rPr>
                <w:sz w:val="17"/>
              </w:rPr>
              <w:t>36,103</w:t>
            </w:r>
          </w:p>
        </w:tc>
        <w:tc>
          <w:tcPr>
            <w:tcW w:type="dxa" w:w="1440"/>
            <w:shd w:fill="FFDCE0" w:val="clear"/>
          </w:tcPr>
          <w:p>
            <w:r>
              <w:rPr>
                <w:b/>
                <w:color w:val="C00000"/>
                <w:sz w:val="17"/>
              </w:rPr>
              <w:t>-8.1%</w:t>
            </w:r>
          </w:p>
        </w:tc>
      </w:tr>
      <w:tr>
        <w:tc>
          <w:tcPr>
            <w:tcW w:type="dxa" w:w="1440"/>
            <w:shd w:fill="FFDCE0" w:val="clear"/>
          </w:tcPr>
          <w:p>
            <w:r>
              <w:rPr>
                <w:sz w:val="17"/>
              </w:rPr>
              <w:t>J+8  ⭐</w:t>
            </w:r>
          </w:p>
        </w:tc>
        <w:tc>
          <w:tcPr>
            <w:tcW w:type="dxa" w:w="1440"/>
            <w:shd w:fill="FFDCE0" w:val="clear"/>
          </w:tcPr>
          <w:p>
            <w:r>
              <w:rPr>
                <w:sz w:val="17"/>
              </w:rPr>
              <w:t>2026-10-09</w:t>
            </w:r>
          </w:p>
        </w:tc>
        <w:tc>
          <w:tcPr>
            <w:tcW w:type="dxa" w:w="1440"/>
            <w:shd w:fill="FFDCE0" w:val="clear"/>
          </w:tcPr>
          <w:p>
            <w:r>
              <w:rPr>
                <w:sz w:val="17"/>
              </w:rPr>
              <w:t>27,707</w:t>
            </w:r>
          </w:p>
        </w:tc>
        <w:tc>
          <w:tcPr>
            <w:tcW w:type="dxa" w:w="1440"/>
            <w:shd w:fill="FFDCE0" w:val="clear"/>
          </w:tcPr>
          <w:p>
            <w:r>
              <w:rPr>
                <w:b/>
                <w:sz w:val="17"/>
              </w:rPr>
              <w:t>31,992</w:t>
            </w:r>
          </w:p>
        </w:tc>
        <w:tc>
          <w:tcPr>
            <w:tcW w:type="dxa" w:w="1440"/>
            <w:shd w:fill="FFDCE0" w:val="clear"/>
          </w:tcPr>
          <w:p>
            <w:r>
              <w:rPr>
                <w:sz w:val="17"/>
              </w:rPr>
              <w:t>36,277</w:t>
            </w:r>
          </w:p>
        </w:tc>
        <w:tc>
          <w:tcPr>
            <w:tcW w:type="dxa" w:w="1440"/>
            <w:shd w:fill="FFDCE0" w:val="clear"/>
          </w:tcPr>
          <w:p>
            <w:r>
              <w:rPr>
                <w:b/>
                <w:color w:val="C00000"/>
                <w:sz w:val="17"/>
              </w:rPr>
              <w:t>-8.3%</w:t>
            </w:r>
          </w:p>
        </w:tc>
      </w:tr>
      <w:tr>
        <w:tc>
          <w:tcPr>
            <w:tcW w:type="dxa" w:w="1440"/>
            <w:shd w:fill="FFDCE0" w:val="clear"/>
          </w:tcPr>
          <w:p>
            <w:r>
              <w:rPr>
                <w:sz w:val="17"/>
              </w:rPr>
              <w:t>J+9  ⭐</w:t>
            </w:r>
          </w:p>
        </w:tc>
        <w:tc>
          <w:tcPr>
            <w:tcW w:type="dxa" w:w="1440"/>
            <w:shd w:fill="FFDCE0" w:val="clear"/>
          </w:tcPr>
          <w:p>
            <w:r>
              <w:rPr>
                <w:sz w:val="17"/>
              </w:rPr>
              <w:t>2026-10-12</w:t>
            </w:r>
          </w:p>
        </w:tc>
        <w:tc>
          <w:tcPr>
            <w:tcW w:type="dxa" w:w="1440"/>
            <w:shd w:fill="FFDCE0" w:val="clear"/>
          </w:tcPr>
          <w:p>
            <w:r>
              <w:rPr>
                <w:sz w:val="17"/>
              </w:rPr>
              <w:t>27,372</w:t>
            </w:r>
          </w:p>
        </w:tc>
        <w:tc>
          <w:tcPr>
            <w:tcW w:type="dxa" w:w="1440"/>
            <w:shd w:fill="FFDCE0" w:val="clear"/>
          </w:tcPr>
          <w:p>
            <w:r>
              <w:rPr>
                <w:b/>
                <w:sz w:val="17"/>
              </w:rPr>
              <w:t>31,904</w:t>
            </w:r>
          </w:p>
        </w:tc>
        <w:tc>
          <w:tcPr>
            <w:tcW w:type="dxa" w:w="1440"/>
            <w:shd w:fill="FFDCE0" w:val="clear"/>
          </w:tcPr>
          <w:p>
            <w:r>
              <w:rPr>
                <w:sz w:val="17"/>
              </w:rPr>
              <w:t>36,436</w:t>
            </w:r>
          </w:p>
        </w:tc>
        <w:tc>
          <w:tcPr>
            <w:tcW w:type="dxa" w:w="1440"/>
            <w:shd w:fill="FFDCE0" w:val="clear"/>
          </w:tcPr>
          <w:p>
            <w:r>
              <w:rPr>
                <w:b/>
                <w:color w:val="C00000"/>
                <w:sz w:val="17"/>
              </w:rPr>
              <w:t>-8.6%</w:t>
            </w:r>
          </w:p>
        </w:tc>
      </w:tr>
      <w:tr>
        <w:tc>
          <w:tcPr>
            <w:tcW w:type="dxa" w:w="1440"/>
            <w:shd w:fill="FFDCE0" w:val="clear"/>
          </w:tcPr>
          <w:p>
            <w:r>
              <w:rPr>
                <w:sz w:val="17"/>
              </w:rPr>
              <w:t>J+10  ⭐</w:t>
            </w:r>
          </w:p>
        </w:tc>
        <w:tc>
          <w:tcPr>
            <w:tcW w:type="dxa" w:w="1440"/>
            <w:shd w:fill="FFDCE0" w:val="clear"/>
          </w:tcPr>
          <w:p>
            <w:r>
              <w:rPr>
                <w:sz w:val="17"/>
              </w:rPr>
              <w:t>2026-10-13</w:t>
            </w:r>
          </w:p>
        </w:tc>
        <w:tc>
          <w:tcPr>
            <w:tcW w:type="dxa" w:w="1440"/>
            <w:shd w:fill="FFDCE0" w:val="clear"/>
          </w:tcPr>
          <w:p>
            <w:r>
              <w:rPr>
                <w:sz w:val="17"/>
              </w:rPr>
              <w:t>27,054</w:t>
            </w:r>
          </w:p>
        </w:tc>
        <w:tc>
          <w:tcPr>
            <w:tcW w:type="dxa" w:w="1440"/>
            <w:shd w:fill="FFDCE0" w:val="clear"/>
          </w:tcPr>
          <w:p>
            <w:r>
              <w:rPr>
                <w:b/>
                <w:sz w:val="17"/>
              </w:rPr>
              <w:t>31,818</w:t>
            </w:r>
          </w:p>
        </w:tc>
        <w:tc>
          <w:tcPr>
            <w:tcW w:type="dxa" w:w="1440"/>
            <w:shd w:fill="FFDCE0" w:val="clear"/>
          </w:tcPr>
          <w:p>
            <w:r>
              <w:rPr>
                <w:sz w:val="17"/>
              </w:rPr>
              <w:t>36,583</w:t>
            </w:r>
          </w:p>
        </w:tc>
        <w:tc>
          <w:tcPr>
            <w:tcW w:type="dxa" w:w="1440"/>
            <w:shd w:fill="FFDCE0" w:val="clear"/>
          </w:tcPr>
          <w:p>
            <w:r>
              <w:rPr>
                <w:b/>
                <w:color w:val="C00000"/>
                <w:sz w:val="17"/>
              </w:rPr>
              <w:t>-8.8%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ACTION BICC (BICICI)**</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581,58 milliards FCFA, BICC s'impose comme l'une des toutes premières capitalisations de la BRVM, ce qui en fait une valeur de premier plan, liquide et incontournable pour les investisseurs institutionnels de la zone UEMOA. Le BPA de 2 191 FCFA/action signifie que chaque titre génère près de 2 200 FCFA de bénéfice net, un niveau élevé qui traduit la forte rentabilité opérationnelle de la banque. Le PER de 15,9x se situe au-dessus de la moyenne du marché BRVM (généralement 8-12x), ce qui indique que les investisseurs acceptent de payer une prime pour la qualité de la croissance, sans pour autant tomber dans une exubérance manifeste. Le P/B de 4,82x constitue en revanche un signal de valorisation exigeante : le marché valorise la banque près de cinq fois ses fonds propres comptables (120,57 Mds FCFA), ce qui n'est justifiable que par un ROE exceptionnel de 30,3%. Enfin, l'EV/EBITDA de 11,8x, dans la fourchette haute (10-15x), confirme que la valeur d'entreprise intègre déjà une bonne partie de la performance opérationnelle attendue, laissant peu de marge d'erreur en cas de déception.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BICC a enregistré une progression spectaculaire de +39,61%, avec une dernière séance particulièrement dynamique (+7,37% en J-1), portant le cours à 34 895 FCFA, soit exactement son plus haut de la période. Le range de trading est large, entre un plancher de 24 995 FCFA et le sommet actuel, ce qui témoigne d'une tendance nettement haussière, soutenue par un volume moyen quotidien de 682 titres — un niveau correct mais qui reste modeste en valeur absolue, signe d'un marché encore peu profond. Les statistiques descriptives révèlent une moyenne de 29 098 FCFA légèrement supérieure à la médiane de 28 890 FCFA, avec un mode à 29 000 FCFA : cet écart modéré, combiné à un skewness positif de 0,868, indique une asymétrie à droite — le cours a passé plus de journées sous sa moyenne, mais les poussées haussières ont été plus amples, typiques d'un titre en accélération. L'écart-type de 1 913 FCFA et le coefficient de variation de 6,6% traduisent une dispersion relativement contenue au regard de la performance, tandis que le kurtosis de 0,922 (mésokurtique) suggère une distribution proche de la normale, sans risque extrême de pics erratiques. La volatilité annualisée de 32,4% classe le titre dans la catégorie des valeurs à volatilité élevée (&gt;30%), ce qui est cohérent avec un mouvement haussier puissant mais qui appelle à la prudence sur les points d'entrée.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(32 227,5 FCFA) et la MM50 (30 238,6 FCFA) sont toutes deux nettement inférieures au cours actuel (34 895 FCFA), et la MM20 se situe au-dessus de la MM50, configurant un croisement haussier classique. Cette configuration en « golden cross » avec cours au-dessus des deux moyennes justifie pleinement la décision technique d'**Achat**, le titre évoluant en tendance haussière confirmée sur les deux horizons.</w:t>
      </w:r>
    </w:p>
    <w:p>
      <w:pPr>
        <w:spacing w:after="120" w:line="276" w:lineRule="auto"/>
      </w:pPr>
      <w:r>
        <w:t>**Bandes de Bollinger** : Le cours (34 895 FCFA) touche quasiment la borne supérieure (34 910,11 FCFA) tout en restant très éloigné de la borne inférieure (29 544,89 FCFA), ce qui traduit une pression acheteuse forte mais aussi un risque de surachat à court terme. La décision est **Neutre** car le titre est en bordure de bande, situation qui précède souvent soit une cassure haussière, soit un retour vers la moyenne mobile.</w:t>
      </w:r>
    </w:p>
    <w:p>
      <w:pPr>
        <w:spacing w:after="120" w:line="276" w:lineRule="auto"/>
      </w:pPr>
      <w:r>
        <w:t>**MACD** : La valeur du MACD (590,378) est supérieure à son signal (518,36), avec un histogramme positif, confirmant un momentum haussier intact. La décision d'**Achat** est cohérente : la dynamique positive se poursuit, même si l'écart entre les deux lignes reste modéré, n'indiquant pas encore d'accélération explosive.</w:t>
      </w:r>
    </w:p>
    <w:p>
      <w:pPr>
        <w:spacing w:after="120" w:line="276" w:lineRule="auto"/>
      </w:pPr>
      <w:r>
        <w:t>**RSI** : À 53,613, le RSI se situe en zone neutre (30-70), sans signal de surachat (&gt;70) ni de survente (&lt;30). La décision **Neutre** reflète un équilibre entre acheteurs et vendeurs, laissant de la marge pour une poursuite de la hausse sans excès spéculatif immédiat.</w:t>
      </w:r>
    </w:p>
    <w:p>
      <w:pPr>
        <w:spacing w:after="120" w:line="276" w:lineRule="auto"/>
      </w:pPr>
      <w:r>
        <w:t>**Stochastique** : Le %K à 100,0 est au maximum absolu, tandis que le %D à 72,581 reste en dessous, ce qui signale un titre en zone de surachat extrême à très court terme. La décision de **Vente** est un signal de prudence : un croisement baissier du %K sous le %D pourrait déclencher une correction technique après la forte hausse récente.</w:t>
      </w:r>
    </w:p>
    <w:p>
      <w:pPr>
        <w:spacing w:after="120" w:line="276" w:lineRule="auto"/>
      </w:pPr>
      <w:r>
        <w:t>**Conclusion technique** : Les indicateurs de tendance (MM, MACD) sont clairement haussiers et confirment la dynamique de fond, mais les indicateurs de momentum à court terme (Bollinger, Stochastique) alertent sur un risque de correction imminente après le bond de +7,37% en J-1. La convergence partielle des signaux plaide pour un **achat sur repli** plutôt qu'un achat au plus haut, le titre étant techniquement suracheté à très court terme malgré une tendance de fond solide.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BICICI affiche un Produit Net Bancaire (équivalent du chiffre d'affaires pour une banque) de 79,563 Mds FCFA, un résultat net de 36,520 Mds FCFA, un ROE exceptionnel de 30,29% (largement supérieur au seuil de 15% considéré comme excellent) et un ROA de 3,24%. Le coefficient d'exploitation s'établit à 50,83%, sous le seuil de 60% qui distingue les banques efficaces, et même proche du niveau d'excellence de 50%, témoignant d'une maîtrise remarquable des charges. Le coût du risque, mesuré par le ratio provisions/charges financières, ressort à -12,15%, un niveau qui mérite une vigilance car il suggère un risque de crédit significatif, même si les provisions nettes (-1,498 Md FCFA) restent contenues. La structure bilancielle est solide : les dépôts clientèle (952,872 Mds FCFA) couvrent largement les créances clientèle (524,439 Mds FCFA), avec un ratio de transformation de 55%, et la couverture des intérêts (329,33%) ainsi que la capacité de remboursement (0,40 an) traduisent une excellente solvabilité.</w:t>
      </w:r>
    </w:p>
    <w:p>
      <w:pPr>
        <w:spacing w:after="120" w:line="276" w:lineRule="auto"/>
      </w:pPr>
      <w:r>
        <w:t>**Estimations basées sur les rapports trimestriels** : Le rapport du **1er trimestre 2026** (publié le 31 mars 2026) confirme l'accélération de la dynamique : le PNB progresse de +17,0% à 21 214 MFCFA et le résultat net bondit de +29,7% à 10 387 MFCFA, avec une marge nette en amélioration à 49,0% (contre 44,2% au T1 2025). Le rapport du **3e trimestre 2025** (30 septembre 2025) faisait déjà état d'un PNB cumulé de 58 119 MFCFA (+16,4%) et d'un résultat net de 27 402 MFCFA (+50,8%), avec une marge nette passant de 36,4% à 47,1%. Sur la base de ces tendances, on peut estimer que l'exercice 2026 devrait enregistrer un PNB supérieur à 90 Mds FCFA et un résultat net approchant 42-45 Mds FCFA, confirmant la trajectoire de croissance à deux chiffres. Le rapport du **1er semestre 2025** (30 juin 2025) soulignait déjà une marge opérationnelle de 47,9% et une marge nette de 43,8%, avec une réduction drastique du coût du risque (-72,8%), tandis que les états financiers **2024** (31 décembre 2024) montraient un ROE de 28,6% et une marge nette de 38,5%.</w:t>
      </w:r>
    </w:p>
    <w:p>
      <w:pPr>
        <w:spacing w:after="120" w:line="276" w:lineRule="auto"/>
      </w:pPr>
      <w:r>
        <w:t>**Évolution pluriannuelle** : Entre 2024 et 2025, le résultat net est passé de 26 226 MFCFA à 36 520 MFCFA (+39,2%), le ROE de 28,6% à 30,3%, et la marge nette de 38,5% à 45,9% — une amélioration continue et spectaculaire de la rentabilité. Le principal point de vigilance reste la contraction des encours de crédits (-4,47% au T1 2026), compensée par une forte collecte de dépôts (+14,46%), ce qui pourrait à terme peser sur la marge d'intermédiation si la banque ne parvient pas à redéployer ces liquidités.</w:t>
      </w:r>
    </w:p>
    <w:p>
      <w:pPr>
        <w:spacing w:after="120" w:line="276" w:lineRule="auto"/>
      </w:pPr>
      <w:r>
        <w:t>**Recommandation fondamentale** : La solidité financière de BICICI est incontestable — croissance robuste, rentabilité exceptionnelle, bilan sain et gestion rigoureuse des risques — ce qui justifie une recommandation fondamentale d'**ACHAT**, avec un risque modéré lié à la baisse des crédits et à la dépendance aux taux d'intérêt.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converge vers un profil d'investissement très favorable, malgré quelques nuances à court terme. **Sur la valorisation (Partie 0)**, le PER de 15,9x et le P/B de 4,82x indiquent une valorisation exigeante mais justifiée par un ROE de 30,3%, ce qui place le titre en zone de « prime à la qualité » plutôt qu'en surévaluation spéculative. **Sur le comportement du cours (Partie 1)**, la tendance haussière de +39,61% sur 100 jours, la volatilité élevée (32,4%) et le skewness positif (0,868) traduisent un momentum puissant mais des points d'entrée risqués, le kurtosis mésokurtique (0,922) écartant toutefois le risque de krach brutal. **Sur le plan technique (Partie 2)**, les signaux sont partagés : MM et MACD confirment la tendance haussière, mais le Stochastique (%K=100) et la position du cours en bordure supérieure de Bollinger signalent un surachat à très court terme, plaidant pour un achat sur repli. **Sur le plan fondamental (Partie 3)**, les données 2025 (PNB 79,56 Mds FCFA, RN 36,52 Mds FCFA, ROE 30,3%) et les rapports trimestriels 2026 (T1 : PNB +17%, RN +29,7%) confirment une dynamique exceptionnelle et une trajectoire de croissance durable. **Les prédictions IA (J+1 à J+10)** anticipent une légère correction vers 32 273-32 778 FCFA, ce qui contredit le momentum immédiat mais valide la thèse d'un achat sur repli plutôt qu'au plus haut.</w:t>
      </w:r>
    </w:p>
    <w:p>
      <w:pPr>
        <w:spacing w:after="120" w:line="276" w:lineRule="auto"/>
      </w:pPr>
      <w:r>
        <w:t>**Recommandation finale : ACHAT** — avec un niveau de confiance **Élevé** et un risque global **Moyen**. La convergence entre fondamentaux exceptionnels, tendance de fond haussière et valorisation justifiée l'emporte sur les signaux de surachat à court terme, mais la prédiction IA d'une correction à 10 jours invite à privilégier une entrée progressive. **Horizon d'investissement optimal : moyen à long terme (6 à 18 mois)**, afin de laisser la croissance bénéficiaire se matérialiser et d'absorber la volatilité de court terme, avec un objectif de cours potentiel supérieur à 38 000 FCFA si la dynamique du T1 2026 se confirme sur l'ensemble de l'exercice.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5.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13.18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2,967 titres</w:t>
            </w:r>
          </w:p>
        </w:tc>
        <w:tc>
          <w:tcPr>
            <w:tcW w:type="dxa" w:w="2268"/>
            <w:shd w:fill="FFF2CC" w:val="clear"/>
          </w:tcPr>
          <w:p>
            <w:r>
              <w:rPr>
                <w:b/>
                <w:color w:val="503200"/>
                <w:sz w:val="16"/>
              </w:rPr>
              <w:t xml:space="preserve">Cours actuel : </w:t>
            </w:r>
            <w:r>
              <w:rPr>
                <w:color w:val="000000"/>
                <w:sz w:val="17"/>
              </w:rPr>
              <w:t>1,990 FCFA</w:t>
            </w:r>
          </w:p>
          <w:p>
            <w:r>
              <w:rPr>
                <w:b/>
                <w:color w:val="503200"/>
                <w:sz w:val="16"/>
              </w:rPr>
              <w:t xml:space="preserve">Var. 100 jours : </w:t>
            </w:r>
            <w:r>
              <w:rPr>
                <w:b/>
                <w:color w:val="007800"/>
                <w:sz w:val="17"/>
              </w:rPr>
              <w:t>+47.41%</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11.93% (Moyenne) — μ=1,896 FCFA, σ=226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β=0.3205 (Défensif) — Cov=0.000022, Var(idx)=0.000069, ρ=0.079,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2,967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σ_j=3.31%/j (Modérée) — Vol. annualisée≈52.5%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2026-09-30</w:t>
            </w:r>
          </w:p>
        </w:tc>
        <w:tc>
          <w:tcPr>
            <w:tcW w:type="dxa" w:w="1440"/>
            <w:shd w:fill="FAFAFA" w:val="clear"/>
          </w:tcPr>
          <w:p>
            <w:r>
              <w:rPr>
                <w:sz w:val="17"/>
              </w:rPr>
              <w:t>1,858</w:t>
            </w:r>
          </w:p>
        </w:tc>
        <w:tc>
          <w:tcPr>
            <w:tcW w:type="dxa" w:w="1440"/>
            <w:shd w:fill="FAFAFA" w:val="clear"/>
          </w:tcPr>
          <w:p>
            <w:r>
              <w:rPr>
                <w:b/>
                <w:sz w:val="17"/>
              </w:rPr>
              <w:t>1,979</w:t>
            </w:r>
          </w:p>
        </w:tc>
        <w:tc>
          <w:tcPr>
            <w:tcW w:type="dxa" w:w="1440"/>
            <w:shd w:fill="FAFAFA" w:val="clear"/>
          </w:tcPr>
          <w:p>
            <w:r>
              <w:rPr>
                <w:sz w:val="17"/>
              </w:rPr>
              <w:t>2,101</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2026-10-01</w:t>
            </w:r>
          </w:p>
        </w:tc>
        <w:tc>
          <w:tcPr>
            <w:tcW w:type="dxa" w:w="1440"/>
            <w:shd w:fill="FAFAFA" w:val="clear"/>
          </w:tcPr>
          <w:p>
            <w:r>
              <w:rPr>
                <w:sz w:val="17"/>
              </w:rPr>
              <w:t>1,797</w:t>
            </w:r>
          </w:p>
        </w:tc>
        <w:tc>
          <w:tcPr>
            <w:tcW w:type="dxa" w:w="1440"/>
            <w:shd w:fill="FAFAFA" w:val="clear"/>
          </w:tcPr>
          <w:p>
            <w:r>
              <w:rPr>
                <w:b/>
                <w:sz w:val="17"/>
              </w:rPr>
              <w:t>1,967</w:t>
            </w:r>
          </w:p>
        </w:tc>
        <w:tc>
          <w:tcPr>
            <w:tcW w:type="dxa" w:w="1440"/>
            <w:shd w:fill="FAFAFA" w:val="clear"/>
          </w:tcPr>
          <w:p>
            <w:r>
              <w:rPr>
                <w:sz w:val="17"/>
              </w:rPr>
              <w:t>2,138</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2026-10-02</w:t>
            </w:r>
          </w:p>
        </w:tc>
        <w:tc>
          <w:tcPr>
            <w:tcW w:type="dxa" w:w="1440"/>
            <w:shd w:fill="FAFAFA" w:val="clear"/>
          </w:tcPr>
          <w:p>
            <w:r>
              <w:rPr>
                <w:sz w:val="17"/>
              </w:rPr>
              <w:t>1,749</w:t>
            </w:r>
          </w:p>
        </w:tc>
        <w:tc>
          <w:tcPr>
            <w:tcW w:type="dxa" w:w="1440"/>
            <w:shd w:fill="FAFAFA" w:val="clear"/>
          </w:tcPr>
          <w:p>
            <w:r>
              <w:rPr>
                <w:b/>
                <w:sz w:val="17"/>
              </w:rPr>
              <w:t>1,956</w:t>
            </w:r>
          </w:p>
        </w:tc>
        <w:tc>
          <w:tcPr>
            <w:tcW w:type="dxa" w:w="1440"/>
            <w:shd w:fill="FAFAFA" w:val="clear"/>
          </w:tcPr>
          <w:p>
            <w:r>
              <w:rPr>
                <w:sz w:val="17"/>
              </w:rPr>
              <w:t>2,164</w:t>
            </w:r>
          </w:p>
        </w:tc>
        <w:tc>
          <w:tcPr>
            <w:tcW w:type="dxa" w:w="1440"/>
            <w:shd w:fill="FAFAFA" w:val="clear"/>
          </w:tcPr>
          <w:p>
            <w:r>
              <w:rPr>
                <w:b/>
                <w:color w:val="C00000"/>
                <w:sz w:val="17"/>
              </w:rPr>
              <w:t>-1.7%</w:t>
            </w:r>
          </w:p>
        </w:tc>
      </w:tr>
      <w:tr>
        <w:tc>
          <w:tcPr>
            <w:tcW w:type="dxa" w:w="1440"/>
            <w:shd w:fill="FFDCE0" w:val="clear"/>
          </w:tcPr>
          <w:p>
            <w:r>
              <w:rPr>
                <w:sz w:val="17"/>
              </w:rPr>
              <w:t>J+4  ⭐</w:t>
            </w:r>
          </w:p>
        </w:tc>
        <w:tc>
          <w:tcPr>
            <w:tcW w:type="dxa" w:w="1440"/>
            <w:shd w:fill="FFDCE0" w:val="clear"/>
          </w:tcPr>
          <w:p>
            <w:r>
              <w:rPr>
                <w:sz w:val="17"/>
              </w:rPr>
              <w:t>2026-10-05</w:t>
            </w:r>
          </w:p>
        </w:tc>
        <w:tc>
          <w:tcPr>
            <w:tcW w:type="dxa" w:w="1440"/>
            <w:shd w:fill="FFDCE0" w:val="clear"/>
          </w:tcPr>
          <w:p>
            <w:r>
              <w:rPr>
                <w:sz w:val="17"/>
              </w:rPr>
              <w:t>1,709</w:t>
            </w:r>
          </w:p>
        </w:tc>
        <w:tc>
          <w:tcPr>
            <w:tcW w:type="dxa" w:w="1440"/>
            <w:shd w:fill="FFDCE0" w:val="clear"/>
          </w:tcPr>
          <w:p>
            <w:r>
              <w:rPr>
                <w:b/>
                <w:sz w:val="17"/>
              </w:rPr>
              <w:t>1,947</w:t>
            </w:r>
          </w:p>
        </w:tc>
        <w:tc>
          <w:tcPr>
            <w:tcW w:type="dxa" w:w="1440"/>
            <w:shd w:fill="FFDCE0" w:val="clear"/>
          </w:tcPr>
          <w:p>
            <w:r>
              <w:rPr>
                <w:sz w:val="17"/>
              </w:rPr>
              <w:t>2,185</w:t>
            </w:r>
          </w:p>
        </w:tc>
        <w:tc>
          <w:tcPr>
            <w:tcW w:type="dxa" w:w="1440"/>
            <w:shd w:fill="FFDCE0" w:val="clear"/>
          </w:tcPr>
          <w:p>
            <w:r>
              <w:rPr>
                <w:b/>
                <w:color w:val="C00000"/>
                <w:sz w:val="17"/>
              </w:rPr>
              <w:t>-2.2%</w:t>
            </w:r>
          </w:p>
        </w:tc>
      </w:tr>
      <w:tr>
        <w:tc>
          <w:tcPr>
            <w:tcW w:type="dxa" w:w="1440"/>
            <w:shd w:fill="FFDCE0" w:val="clear"/>
          </w:tcPr>
          <w:p>
            <w:r>
              <w:rPr>
                <w:sz w:val="17"/>
              </w:rPr>
              <w:t>J+5  ⭐</w:t>
            </w:r>
          </w:p>
        </w:tc>
        <w:tc>
          <w:tcPr>
            <w:tcW w:type="dxa" w:w="1440"/>
            <w:shd w:fill="FFDCE0" w:val="clear"/>
          </w:tcPr>
          <w:p>
            <w:r>
              <w:rPr>
                <w:sz w:val="17"/>
              </w:rPr>
              <w:t>2026-10-06</w:t>
            </w:r>
          </w:p>
        </w:tc>
        <w:tc>
          <w:tcPr>
            <w:tcW w:type="dxa" w:w="1440"/>
            <w:shd w:fill="FFDCE0" w:val="clear"/>
          </w:tcPr>
          <w:p>
            <w:r>
              <w:rPr>
                <w:sz w:val="17"/>
              </w:rPr>
              <w:t>1,673</w:t>
            </w:r>
          </w:p>
        </w:tc>
        <w:tc>
          <w:tcPr>
            <w:tcW w:type="dxa" w:w="1440"/>
            <w:shd w:fill="FFDCE0" w:val="clear"/>
          </w:tcPr>
          <w:p>
            <w:r>
              <w:rPr>
                <w:b/>
                <w:sz w:val="17"/>
              </w:rPr>
              <w:t>1,938</w:t>
            </w:r>
          </w:p>
        </w:tc>
        <w:tc>
          <w:tcPr>
            <w:tcW w:type="dxa" w:w="1440"/>
            <w:shd w:fill="FFDCE0" w:val="clear"/>
          </w:tcPr>
          <w:p>
            <w:r>
              <w:rPr>
                <w:sz w:val="17"/>
              </w:rPr>
              <w:t>2,204</w:t>
            </w:r>
          </w:p>
        </w:tc>
        <w:tc>
          <w:tcPr>
            <w:tcW w:type="dxa" w:w="1440"/>
            <w:shd w:fill="FFDCE0" w:val="clear"/>
          </w:tcPr>
          <w:p>
            <w:r>
              <w:rPr>
                <w:b/>
                <w:color w:val="C00000"/>
                <w:sz w:val="17"/>
              </w:rPr>
              <w:t>-2.6%</w:t>
            </w:r>
          </w:p>
        </w:tc>
      </w:tr>
      <w:tr>
        <w:tc>
          <w:tcPr>
            <w:tcW w:type="dxa" w:w="1440"/>
            <w:shd w:fill="FFDCE0" w:val="clear"/>
          </w:tcPr>
          <w:p>
            <w:r>
              <w:rPr>
                <w:sz w:val="17"/>
              </w:rPr>
              <w:t>J+6  ⭐</w:t>
            </w:r>
          </w:p>
        </w:tc>
        <w:tc>
          <w:tcPr>
            <w:tcW w:type="dxa" w:w="1440"/>
            <w:shd w:fill="FFDCE0" w:val="clear"/>
          </w:tcPr>
          <w:p>
            <w:r>
              <w:rPr>
                <w:sz w:val="17"/>
              </w:rPr>
              <w:t>2026-10-07</w:t>
            </w:r>
          </w:p>
        </w:tc>
        <w:tc>
          <w:tcPr>
            <w:tcW w:type="dxa" w:w="1440"/>
            <w:shd w:fill="FFDCE0" w:val="clear"/>
          </w:tcPr>
          <w:p>
            <w:r>
              <w:rPr>
                <w:sz w:val="17"/>
              </w:rPr>
              <w:t>1,640</w:t>
            </w:r>
          </w:p>
        </w:tc>
        <w:tc>
          <w:tcPr>
            <w:tcW w:type="dxa" w:w="1440"/>
            <w:shd w:fill="FFDCE0" w:val="clear"/>
          </w:tcPr>
          <w:p>
            <w:r>
              <w:rPr>
                <w:b/>
                <w:sz w:val="17"/>
              </w:rPr>
              <w:t>1,930</w:t>
            </w:r>
          </w:p>
        </w:tc>
        <w:tc>
          <w:tcPr>
            <w:tcW w:type="dxa" w:w="1440"/>
            <w:shd w:fill="FFDCE0" w:val="clear"/>
          </w:tcPr>
          <w:p>
            <w:r>
              <w:rPr>
                <w:sz w:val="17"/>
              </w:rPr>
              <w:t>2,219</w:t>
            </w:r>
          </w:p>
        </w:tc>
        <w:tc>
          <w:tcPr>
            <w:tcW w:type="dxa" w:w="1440"/>
            <w:shd w:fill="FFDCE0" w:val="clear"/>
          </w:tcPr>
          <w:p>
            <w:r>
              <w:rPr>
                <w:b/>
                <w:color w:val="C00000"/>
                <w:sz w:val="17"/>
              </w:rPr>
              <w:t>-3.0%</w:t>
            </w:r>
          </w:p>
        </w:tc>
      </w:tr>
      <w:tr>
        <w:tc>
          <w:tcPr>
            <w:tcW w:type="dxa" w:w="1440"/>
            <w:shd w:fill="FFDCE0" w:val="clear"/>
          </w:tcPr>
          <w:p>
            <w:r>
              <w:rPr>
                <w:sz w:val="17"/>
              </w:rPr>
              <w:t>J+7  ⭐</w:t>
            </w:r>
          </w:p>
        </w:tc>
        <w:tc>
          <w:tcPr>
            <w:tcW w:type="dxa" w:w="1440"/>
            <w:shd w:fill="FFDCE0" w:val="clear"/>
          </w:tcPr>
          <w:p>
            <w:r>
              <w:rPr>
                <w:sz w:val="17"/>
              </w:rPr>
              <w:t>2026-10-08</w:t>
            </w:r>
          </w:p>
        </w:tc>
        <w:tc>
          <w:tcPr>
            <w:tcW w:type="dxa" w:w="1440"/>
            <w:shd w:fill="FFDCE0" w:val="clear"/>
          </w:tcPr>
          <w:p>
            <w:r>
              <w:rPr>
                <w:sz w:val="17"/>
              </w:rPr>
              <w:t>1,611</w:t>
            </w:r>
          </w:p>
        </w:tc>
        <w:tc>
          <w:tcPr>
            <w:tcW w:type="dxa" w:w="1440"/>
            <w:shd w:fill="FFDCE0" w:val="clear"/>
          </w:tcPr>
          <w:p>
            <w:r>
              <w:rPr>
                <w:b/>
                <w:sz w:val="17"/>
              </w:rPr>
              <w:t>1,922</w:t>
            </w:r>
          </w:p>
        </w:tc>
        <w:tc>
          <w:tcPr>
            <w:tcW w:type="dxa" w:w="1440"/>
            <w:shd w:fill="FFDCE0" w:val="clear"/>
          </w:tcPr>
          <w:p>
            <w:r>
              <w:rPr>
                <w:sz w:val="17"/>
              </w:rPr>
              <w:t>2,233</w:t>
            </w:r>
          </w:p>
        </w:tc>
        <w:tc>
          <w:tcPr>
            <w:tcW w:type="dxa" w:w="1440"/>
            <w:shd w:fill="FFDCE0" w:val="clear"/>
          </w:tcPr>
          <w:p>
            <w:r>
              <w:rPr>
                <w:b/>
                <w:color w:val="C00000"/>
                <w:sz w:val="17"/>
              </w:rPr>
              <w:t>-3.4%</w:t>
            </w:r>
          </w:p>
        </w:tc>
      </w:tr>
      <w:tr>
        <w:tc>
          <w:tcPr>
            <w:tcW w:type="dxa" w:w="1440"/>
            <w:shd w:fill="FFDCE0" w:val="clear"/>
          </w:tcPr>
          <w:p>
            <w:r>
              <w:rPr>
                <w:sz w:val="17"/>
              </w:rPr>
              <w:t>J+8  ⭐</w:t>
            </w:r>
          </w:p>
        </w:tc>
        <w:tc>
          <w:tcPr>
            <w:tcW w:type="dxa" w:w="1440"/>
            <w:shd w:fill="FFDCE0" w:val="clear"/>
          </w:tcPr>
          <w:p>
            <w:r>
              <w:rPr>
                <w:sz w:val="17"/>
              </w:rPr>
              <w:t>2026-10-09</w:t>
            </w:r>
          </w:p>
        </w:tc>
        <w:tc>
          <w:tcPr>
            <w:tcW w:type="dxa" w:w="1440"/>
            <w:shd w:fill="FFDCE0" w:val="clear"/>
          </w:tcPr>
          <w:p>
            <w:r>
              <w:rPr>
                <w:sz w:val="17"/>
              </w:rPr>
              <w:t>1,583</w:t>
            </w:r>
          </w:p>
        </w:tc>
        <w:tc>
          <w:tcPr>
            <w:tcW w:type="dxa" w:w="1440"/>
            <w:shd w:fill="FFDCE0" w:val="clear"/>
          </w:tcPr>
          <w:p>
            <w:r>
              <w:rPr>
                <w:b/>
                <w:sz w:val="17"/>
              </w:rPr>
              <w:t>1,914</w:t>
            </w:r>
          </w:p>
        </w:tc>
        <w:tc>
          <w:tcPr>
            <w:tcW w:type="dxa" w:w="1440"/>
            <w:shd w:fill="FFDCE0" w:val="clear"/>
          </w:tcPr>
          <w:p>
            <w:r>
              <w:rPr>
                <w:sz w:val="17"/>
              </w:rPr>
              <w:t>2,246</w:t>
            </w:r>
          </w:p>
        </w:tc>
        <w:tc>
          <w:tcPr>
            <w:tcW w:type="dxa" w:w="1440"/>
            <w:shd w:fill="FFDCE0" w:val="clear"/>
          </w:tcPr>
          <w:p>
            <w:r>
              <w:rPr>
                <w:b/>
                <w:color w:val="C00000"/>
                <w:sz w:val="17"/>
              </w:rPr>
              <w:t>-3.8%</w:t>
            </w:r>
          </w:p>
        </w:tc>
      </w:tr>
      <w:tr>
        <w:tc>
          <w:tcPr>
            <w:tcW w:type="dxa" w:w="1440"/>
            <w:shd w:fill="FFDCE0" w:val="clear"/>
          </w:tcPr>
          <w:p>
            <w:r>
              <w:rPr>
                <w:sz w:val="17"/>
              </w:rPr>
              <w:t>J+9  ⭐</w:t>
            </w:r>
          </w:p>
        </w:tc>
        <w:tc>
          <w:tcPr>
            <w:tcW w:type="dxa" w:w="1440"/>
            <w:shd w:fill="FFDCE0" w:val="clear"/>
          </w:tcPr>
          <w:p>
            <w:r>
              <w:rPr>
                <w:sz w:val="17"/>
              </w:rPr>
              <w:t>2026-10-12</w:t>
            </w:r>
          </w:p>
        </w:tc>
        <w:tc>
          <w:tcPr>
            <w:tcW w:type="dxa" w:w="1440"/>
            <w:shd w:fill="FFDCE0" w:val="clear"/>
          </w:tcPr>
          <w:p>
            <w:r>
              <w:rPr>
                <w:sz w:val="17"/>
              </w:rPr>
              <w:t>1,557</w:t>
            </w:r>
          </w:p>
        </w:tc>
        <w:tc>
          <w:tcPr>
            <w:tcW w:type="dxa" w:w="1440"/>
            <w:shd w:fill="FFDCE0" w:val="clear"/>
          </w:tcPr>
          <w:p>
            <w:r>
              <w:rPr>
                <w:b/>
                <w:sz w:val="17"/>
              </w:rPr>
              <w:t>1,907</w:t>
            </w:r>
          </w:p>
        </w:tc>
        <w:tc>
          <w:tcPr>
            <w:tcW w:type="dxa" w:w="1440"/>
            <w:shd w:fill="FFDCE0" w:val="clear"/>
          </w:tcPr>
          <w:p>
            <w:r>
              <w:rPr>
                <w:sz w:val="17"/>
              </w:rPr>
              <w:t>2,257</w:t>
            </w:r>
          </w:p>
        </w:tc>
        <w:tc>
          <w:tcPr>
            <w:tcW w:type="dxa" w:w="1440"/>
            <w:shd w:fill="FFDCE0" w:val="clear"/>
          </w:tcPr>
          <w:p>
            <w:r>
              <w:rPr>
                <w:b/>
                <w:color w:val="C00000"/>
                <w:sz w:val="17"/>
              </w:rPr>
              <w:t>-4.2%</w:t>
            </w:r>
          </w:p>
        </w:tc>
      </w:tr>
      <w:tr>
        <w:tc>
          <w:tcPr>
            <w:tcW w:type="dxa" w:w="1440"/>
            <w:shd w:fill="FFDCE0" w:val="clear"/>
          </w:tcPr>
          <w:p>
            <w:r>
              <w:rPr>
                <w:sz w:val="17"/>
              </w:rPr>
              <w:t>J+10  ⭐</w:t>
            </w:r>
          </w:p>
        </w:tc>
        <w:tc>
          <w:tcPr>
            <w:tcW w:type="dxa" w:w="1440"/>
            <w:shd w:fill="FFDCE0" w:val="clear"/>
          </w:tcPr>
          <w:p>
            <w:r>
              <w:rPr>
                <w:sz w:val="17"/>
              </w:rPr>
              <w:t>2026-10-13</w:t>
            </w:r>
          </w:p>
        </w:tc>
        <w:tc>
          <w:tcPr>
            <w:tcW w:type="dxa" w:w="1440"/>
            <w:shd w:fill="FFDCE0" w:val="clear"/>
          </w:tcPr>
          <w:p>
            <w:r>
              <w:rPr>
                <w:sz w:val="17"/>
              </w:rPr>
              <w:t>1,532</w:t>
            </w:r>
          </w:p>
        </w:tc>
        <w:tc>
          <w:tcPr>
            <w:tcW w:type="dxa" w:w="1440"/>
            <w:shd w:fill="FFDCE0" w:val="clear"/>
          </w:tcPr>
          <w:p>
            <w:r>
              <w:rPr>
                <w:b/>
                <w:sz w:val="17"/>
              </w:rPr>
              <w:t>1,900</w:t>
            </w:r>
          </w:p>
        </w:tc>
        <w:tc>
          <w:tcPr>
            <w:tcW w:type="dxa" w:w="1440"/>
            <w:shd w:fill="FFDCE0" w:val="clear"/>
          </w:tcPr>
          <w:p>
            <w:r>
              <w:rPr>
                <w:sz w:val="17"/>
              </w:rPr>
              <w:t>2,268</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(BERNABE CÔTE D'IVOIRE)**</w:t>
        <w:br/>
        <w:t>**Bourse Régionale des Valeurs Mobilières (BRVM) — Secteur : Distribution de matériaux de construction et équipements**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13,18 Mds FCFA, BNBC se situe dans la catégorie des petites capitalisations de la BRVM, ce qui la rend sensible aux mouvements de faible volume (2 967 titres/jour en moyenne). Le BPA de 3 FCFA/action traduit une rentabilité par action quasi-symbolique, ce qui explique mécaniquement un PER de 590,6x — un niveau stratosphérique comparé à la moyenne BRVM (8-12x) qui signale une décorrélation totale entre le prix payé et les bénéfices générés. En revanche, le P/B de 0,74x indique que le marché valorise l'action à 26% en dessous de sa valeur comptable (capitaux propres de 17,77 Mds FCFA), ce qui constitue une opportunité théorique de décote sur actifs. L'EV/EBITDA de 24,2x (&gt;15x) reste très exigeant et suggère que la valeur d'entreprise intègre déjà des anticipations de redressement opérationnel non encore matérialisées dans les comptes.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BNBC affiche une performance remarquable de +47,41%, portant le cours à 1 990 FCFA, malgré un léger repli de -0,25% lors de la dernière séance. Le titre a évolué dans un range très large de 1 300 FCFA (plus bas) à 2 400 FCFA (plus haut), soit une amplitude de 84,6% qui témoigne d'une forte nervosité. La tendance générale est nettement haussière, mais la moyenne (1 896 FCFA) inférieure à la médiane (1 962 FCFA) et au mode (1 990 FCFA) révèle une asymétrie négative (skewness = -0,566) : le cours a passé plus de temps au-dessus de sa moyenne, avec quelques journées de forte baisse tirant la moyenne vers le bas. L'écart-type de 227 FCFA (CV = 12,0%) indique une dispersion modérée autour de la moyenne, tandis que le kurtosis de 0,163 (mésokurtique) suggère une distribution proche de la normale, sans risque extrême de pics. La volatilité annualisée de 52,5% classe ce titre dans la catégorie **élevée** (&gt;30%), ce qui implique un risque de perte en capital important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(2 078 FCFA) et la MM50 (2 036,6 FCFA) se situent toutes deux au-dessus du cours actuel (1 990 FCFA), ce qui place le titre en position de faiblesse relative à court et moyen terme. Cependant, la MM20 &gt; MM50 indique une structure haussière sous-jacente, justifiant la décision **Achat** — mais avec prudence, car le cours doit reconquérir ces niveaux pour confirmer.</w:t>
      </w:r>
    </w:p>
    <w:p>
      <w:pPr>
        <w:spacing w:after="120" w:line="276" w:lineRule="auto"/>
      </w:pPr>
      <w:r>
        <w:t>**Bandes de Bollinger** : Le cours (1 990 FCFA) évolue dans la partie basse de la bande (borne inférieure = 1 834,27 FCFA ; borne supérieure = 2 321,73 FCFA), à environ 35% de la largeur totale. Cette position médiane-basse, couplée à une volatilité élevée, justifie la décision **Neutre** : ni signal d'achat sur rebond, ni signal de vente sur cassure.</w:t>
      </w:r>
    </w:p>
    <w:p>
      <w:pPr>
        <w:spacing w:after="120" w:line="276" w:lineRule="auto"/>
      </w:pPr>
      <w:r>
        <w:t>**MACD** : La valeur du MACD (-33,171) est nettement inférieure à son signal (-13,078), avec un histogramme négatif qui se creuse. Cette divergence baissière indique un momentum négatif persistant, justifiant pleinement la décision **Vente** à court terme.</w:t>
      </w:r>
    </w:p>
    <w:p>
      <w:pPr>
        <w:spacing w:after="120" w:line="276" w:lineRule="auto"/>
      </w:pPr>
      <w:r>
        <w:t>**RSI** : À 41,667, le RSI se situe en zone neutre (30-70), sans signal de survente (&lt;30) ni de surachat (&gt;70). Cette position médiane-basse reflète une pression vendeuse modérée mais non extrême, justifiant la décision **Neutre**.</w:t>
      </w:r>
    </w:p>
    <w:p>
      <w:pPr>
        <w:spacing w:after="120" w:line="276" w:lineRule="auto"/>
      </w:pPr>
      <w:r>
        <w:t>**Stochastique** : Le %K (24,691) et le %D (26,749) sont tous deux en zone de survente (&lt;20 pour le %K, proche pour le %D), avec un %K légèrement sous le %D — configuration qui pourrait annoncer un croisement haussier imminent. La décision reste **Neutre** en attendant confirmation.</w:t>
      </w:r>
    </w:p>
    <w:p>
      <w:pPr>
        <w:spacing w:after="120" w:line="276" w:lineRule="auto"/>
      </w:pPr>
      <w:r>
        <w:t>**Conclusion technique** : Les indicateurs sont majoritairement baissiers à court terme (MACD en vente, cours sous les MM), mais le RSI et le Stochastique en zone basse suggèrent un potentiel rebond technique. La divergence entre la décision "Achat" des MM (structure de fond) et "Vente" du MACD (momentum) traduit une phase de consolidation incertaine, avec un avantage aux vendeurs tant que le cours reste sous 2 036 FCFA (MM50).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BNBC a réalisé un chiffre d'affaires de 42,454 Mds FCFA, en recul de -6,31% par rapport à 2024 (45,312 Mds FCFA), signalant une perte de dynamique commerciale. Le résultat net s'établit à seulement 22,32 M FCFA, soit une marge nette de 0,0526% — une rentabilité quasi-nulle. Le ROE est de 0,1256% et le ROA de 0,0454%, des niveaux extrêmement faibles qui traduisent une incapacité structurelle à générer de la valeur. La trésorerie nette est fortement négative (-16,689 Mds FCFA), et le BFR de 29,373 Mds FCFA pèse lourdement sur la liquidité. Les délais clients (104,40 jours) et de stockage (339,23 jours) sont élevés, immobilisant massivement du capital, tandis que le délai fournisseurs (116,09 jours) offre un léger coussin de trésorerie. L'autonomie financière (36,16%) reste correcte, mais le ratio d'endettement (105,48%) et la capacité de remboursement (19,17 années de CAF) révèlent une dépendance critique aux financements externes.</w:t>
      </w:r>
    </w:p>
    <w:p>
      <w:pPr>
        <w:spacing w:after="120" w:line="276" w:lineRule="auto"/>
      </w:pPr>
      <w:r>
        <w:t>**Estimations basées sur les rapports trimestriels** : Le rapport du T1 2026 (publié en 2026) indique un chiffre d'affaires stable à 11,194 Mds FCFA (-0,12%) mais un résultat net positif de 65,566 M FCFA contre une perte de -16,147 M FCFA au T1 2025 — une amélioration spectaculaire de +81,7 M FCFA. Toutefois, le rapport du T3 2025 (30/09/2025) faisait état d'une perte nette cumulée de -157,03 M FCFA sur 9 mois, avec un CA en recul de -3% à 31,83 Mds FCFA. La contradiction entre ces deux rapports suggère que le redressement du T1 2026 est fragile et pourrait être ponctuel. Le rapport annuel 2025 (publié en 2026) confirme un résultat net de 22,3 M FCFA, en amélioration de +205% vs 2024 (7,3 M FCFA), mais toujours insignifiant. **On estime** que l'exercice 2026 pourrait bénéficier de l'intégration de la division Équipement (démarrée le 01/01/2026) et du nouveau showroom Technibat KM4, mais ces investissements pèseront sur la rentabilité à court terme. La recommandation fondamentale est **VENTE** : la société est structurellement déficitaire, sa trésorerie est négative, et sa rentabilité ne permet ni dividende ni absorption de choc.</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paradoxe : un PER de 590,6x signale une surévaluation manifeste par rapport aux bénéfices, mais un P/B de 0,74x indique une décote sur actifs — cette divergence reflète un marché qui spécule sur un redressement hypothétique. Le comportement du cours (Partie 1) est haussier (+47,41%) mais avec une volatilité élevée (52,5%) et une asymétrie négative (skewness = -0,566) qui traduit une fragilité sous-jacente. Les signaux techniques (Partie 2) sont mitigés : structure haussière de fond (MM20 &gt; MM50) mais momentum baissier (MACD en vente, cours sous les MM), avec un potentiel rebond technique à court terme. Les fondamentaux (Partie 3) sont préoccupants : CA en recul (-6,31%), marge nette quasi-nulle (0,05%), trésorerie négative (-16,69 Mds FCFA), et absence de dividende. Les prédictions IA (J+1 à J+10) anticipent une baisse progressive de 1 979 FCFA à 1 938 FCFA, confirmant la pression baissière à court terme. **En synthèse**, la convergence entre fondamentaux dégradés, momentum négatif et prédictions baissières l'emporte sur les signaux haussiers de fond. **Recommandation finale : VENTE** — avec un niveau de confiance **Moyen** (les indicateurs techniques sont partagés) et un risque global **Élevé** (volatilité 52,5%, trésorerie négative, rentabilité nulle). L'horizon d'investissement optimal est **court terme (&lt;3 mois)** pour les traders cherchant à profiter de la volatilité, mais **à éviter** pour les investisseurs fondamentaux en l'absence de dividende et de perspective de redressement durable.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6.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381.27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5,667 titres</w:t>
            </w:r>
          </w:p>
        </w:tc>
        <w:tc>
          <w:tcPr>
            <w:tcW w:type="dxa" w:w="2268"/>
            <w:shd w:fill="FFF2CC" w:val="clear"/>
          </w:tcPr>
          <w:p>
            <w:r>
              <w:rPr>
                <w:b/>
                <w:color w:val="503200"/>
                <w:sz w:val="16"/>
              </w:rPr>
              <w:t xml:space="preserve">Cours actuel : </w:t>
            </w:r>
            <w:r>
              <w:rPr>
                <w:color w:val="000000"/>
                <w:sz w:val="17"/>
              </w:rPr>
              <w:t>9,400 FCFA</w:t>
            </w:r>
          </w:p>
          <w:p>
            <w:r>
              <w:rPr>
                <w:b/>
                <w:color w:val="503200"/>
                <w:sz w:val="16"/>
              </w:rPr>
              <w:t xml:space="preserve">Var. 100 jours : </w:t>
            </w:r>
            <w:r>
              <w:rPr>
                <w:b/>
                <w:color w:val="007800"/>
                <w:sz w:val="17"/>
              </w:rPr>
              <w:t>+0.64%</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27.5%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6.01% (Moyenne) — μ=9,171 FCFA, σ=551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β=0.5413 (Défensif) — Cov=0.000037, Var(idx)=0.000069, ρ=0.263,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σ_j=1.73%/j (Stable) — Vol. annualisée≈27.5%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9862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2026-09-30</w:t>
            </w:r>
          </w:p>
        </w:tc>
        <w:tc>
          <w:tcPr>
            <w:tcW w:type="dxa" w:w="1440"/>
            <w:shd w:fill="FAFAFA" w:val="clear"/>
          </w:tcPr>
          <w:p>
            <w:r>
              <w:rPr>
                <w:sz w:val="17"/>
              </w:rPr>
              <w:t>8,893</w:t>
            </w:r>
          </w:p>
        </w:tc>
        <w:tc>
          <w:tcPr>
            <w:tcW w:type="dxa" w:w="1440"/>
            <w:shd w:fill="FAFAFA" w:val="clear"/>
          </w:tcPr>
          <w:p>
            <w:r>
              <w:rPr>
                <w:b/>
                <w:sz w:val="17"/>
              </w:rPr>
              <w:t>9,296</w:t>
            </w:r>
          </w:p>
        </w:tc>
        <w:tc>
          <w:tcPr>
            <w:tcW w:type="dxa" w:w="1440"/>
            <w:shd w:fill="FAFAFA" w:val="clear"/>
          </w:tcPr>
          <w:p>
            <w:r>
              <w:rPr>
                <w:sz w:val="17"/>
              </w:rPr>
              <w:t>9,699</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2026-10-01</w:t>
            </w:r>
          </w:p>
        </w:tc>
        <w:tc>
          <w:tcPr>
            <w:tcW w:type="dxa" w:w="1440"/>
            <w:shd w:fill="FAFAFA" w:val="clear"/>
          </w:tcPr>
          <w:p>
            <w:r>
              <w:rPr>
                <w:sz w:val="17"/>
              </w:rPr>
              <w:t>8,704</w:t>
            </w:r>
          </w:p>
        </w:tc>
        <w:tc>
          <w:tcPr>
            <w:tcW w:type="dxa" w:w="1440"/>
            <w:shd w:fill="FAFAFA" w:val="clear"/>
          </w:tcPr>
          <w:p>
            <w:r>
              <w:rPr>
                <w:b/>
                <w:sz w:val="17"/>
              </w:rPr>
              <w:t>9,272</w:t>
            </w:r>
          </w:p>
        </w:tc>
        <w:tc>
          <w:tcPr>
            <w:tcW w:type="dxa" w:w="1440"/>
            <w:shd w:fill="FAFAFA" w:val="clear"/>
          </w:tcPr>
          <w:p>
            <w:r>
              <w:rPr>
                <w:sz w:val="17"/>
              </w:rPr>
              <w:t>9,841</w:t>
            </w:r>
          </w:p>
        </w:tc>
        <w:tc>
          <w:tcPr>
            <w:tcW w:type="dxa" w:w="1440"/>
            <w:shd w:fill="FAFAFA" w:val="clear"/>
          </w:tcPr>
          <w:p>
            <w:r>
              <w:rPr>
                <w:b/>
                <w:color w:val="C00000"/>
                <w:sz w:val="17"/>
              </w:rPr>
              <w:t>-1.4%</w:t>
            </w:r>
          </w:p>
        </w:tc>
      </w:tr>
      <w:tr>
        <w:tc>
          <w:tcPr>
            <w:tcW w:type="dxa" w:w="1440"/>
            <w:shd w:fill="FAFAFA" w:val="clear"/>
          </w:tcPr>
          <w:p>
            <w:r>
              <w:rPr>
                <w:sz w:val="17"/>
              </w:rPr>
              <w:t>J+3  Moyenne</w:t>
            </w:r>
          </w:p>
        </w:tc>
        <w:tc>
          <w:tcPr>
            <w:tcW w:type="dxa" w:w="1440"/>
            <w:shd w:fill="FAFAFA" w:val="clear"/>
          </w:tcPr>
          <w:p>
            <w:r>
              <w:rPr>
                <w:sz w:val="17"/>
              </w:rPr>
              <w:t>2026-10-02</w:t>
            </w:r>
          </w:p>
        </w:tc>
        <w:tc>
          <w:tcPr>
            <w:tcW w:type="dxa" w:w="1440"/>
            <w:shd w:fill="FAFAFA" w:val="clear"/>
          </w:tcPr>
          <w:p>
            <w:r>
              <w:rPr>
                <w:sz w:val="17"/>
              </w:rPr>
              <w:t>8,553</w:t>
            </w:r>
          </w:p>
        </w:tc>
        <w:tc>
          <w:tcPr>
            <w:tcW w:type="dxa" w:w="1440"/>
            <w:shd w:fill="FAFAFA" w:val="clear"/>
          </w:tcPr>
          <w:p>
            <w:r>
              <w:rPr>
                <w:b/>
                <w:sz w:val="17"/>
              </w:rPr>
              <w:t>9,247</w:t>
            </w:r>
          </w:p>
        </w:tc>
        <w:tc>
          <w:tcPr>
            <w:tcW w:type="dxa" w:w="1440"/>
            <w:shd w:fill="FAFAFA" w:val="clear"/>
          </w:tcPr>
          <w:p>
            <w:r>
              <w:rPr>
                <w:sz w:val="17"/>
              </w:rPr>
              <w:t>9,941</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2026-10-05</w:t>
            </w:r>
          </w:p>
        </w:tc>
        <w:tc>
          <w:tcPr>
            <w:tcW w:type="dxa" w:w="1440"/>
            <w:shd w:fill="FAFAFA" w:val="clear"/>
          </w:tcPr>
          <w:p>
            <w:r>
              <w:rPr>
                <w:sz w:val="17"/>
              </w:rPr>
              <w:t>8,433</w:t>
            </w:r>
          </w:p>
        </w:tc>
        <w:tc>
          <w:tcPr>
            <w:tcW w:type="dxa" w:w="1440"/>
            <w:shd w:fill="FAFAFA" w:val="clear"/>
          </w:tcPr>
          <w:p>
            <w:r>
              <w:rPr>
                <w:b/>
                <w:sz w:val="17"/>
              </w:rPr>
              <w:t>9,233</w:t>
            </w:r>
          </w:p>
        </w:tc>
        <w:tc>
          <w:tcPr>
            <w:tcW w:type="dxa" w:w="1440"/>
            <w:shd w:fill="FAFAFA" w:val="clear"/>
          </w:tcPr>
          <w:p>
            <w:r>
              <w:rPr>
                <w:sz w:val="17"/>
              </w:rPr>
              <w:t>10,034</w:t>
            </w:r>
          </w:p>
        </w:tc>
        <w:tc>
          <w:tcPr>
            <w:tcW w:type="dxa" w:w="1440"/>
            <w:shd w:fill="FAFAFA" w:val="clear"/>
          </w:tcPr>
          <w:p>
            <w:r>
              <w:rPr>
                <w:b/>
                <w:color w:val="C00000"/>
                <w:sz w:val="17"/>
              </w:rPr>
              <w:t>-1.8%</w:t>
            </w:r>
          </w:p>
        </w:tc>
      </w:tr>
      <w:tr>
        <w:tc>
          <w:tcPr>
            <w:tcW w:type="dxa" w:w="1440"/>
            <w:shd w:fill="FAFAFA" w:val="clear"/>
          </w:tcPr>
          <w:p>
            <w:r>
              <w:rPr>
                <w:sz w:val="17"/>
              </w:rPr>
              <w:t>J+5  ⭐</w:t>
            </w:r>
          </w:p>
        </w:tc>
        <w:tc>
          <w:tcPr>
            <w:tcW w:type="dxa" w:w="1440"/>
            <w:shd w:fill="FAFAFA" w:val="clear"/>
          </w:tcPr>
          <w:p>
            <w:r>
              <w:rPr>
                <w:sz w:val="17"/>
              </w:rPr>
              <w:t>2026-10-06</w:t>
            </w:r>
          </w:p>
        </w:tc>
        <w:tc>
          <w:tcPr>
            <w:tcW w:type="dxa" w:w="1440"/>
            <w:shd w:fill="FAFAFA" w:val="clear"/>
          </w:tcPr>
          <w:p>
            <w:r>
              <w:rPr>
                <w:sz w:val="17"/>
              </w:rPr>
              <w:t>8,330</w:t>
            </w:r>
          </w:p>
        </w:tc>
        <w:tc>
          <w:tcPr>
            <w:tcW w:type="dxa" w:w="1440"/>
            <w:shd w:fill="FAFAFA" w:val="clear"/>
          </w:tcPr>
          <w:p>
            <w:r>
              <w:rPr>
                <w:b/>
                <w:sz w:val="17"/>
              </w:rPr>
              <w:t>9,224</w:t>
            </w:r>
          </w:p>
        </w:tc>
        <w:tc>
          <w:tcPr>
            <w:tcW w:type="dxa" w:w="1440"/>
            <w:shd w:fill="FAFAFA" w:val="clear"/>
          </w:tcPr>
          <w:p>
            <w:r>
              <w:rPr>
                <w:sz w:val="17"/>
              </w:rPr>
              <w:t>10,117</w:t>
            </w:r>
          </w:p>
        </w:tc>
        <w:tc>
          <w:tcPr>
            <w:tcW w:type="dxa" w:w="1440"/>
            <w:shd w:fill="FAFAFA" w:val="clear"/>
          </w:tcPr>
          <w:p>
            <w:r>
              <w:rPr>
                <w:b/>
                <w:color w:val="C00000"/>
                <w:sz w:val="17"/>
              </w:rPr>
              <w:t>-1.9%</w:t>
            </w:r>
          </w:p>
        </w:tc>
      </w:tr>
      <w:tr>
        <w:tc>
          <w:tcPr>
            <w:tcW w:type="dxa" w:w="1440"/>
            <w:shd w:fill="FAFAFA" w:val="clear"/>
          </w:tcPr>
          <w:p>
            <w:r>
              <w:rPr>
                <w:sz w:val="17"/>
              </w:rPr>
              <w:t>J+6  ⭐</w:t>
            </w:r>
          </w:p>
        </w:tc>
        <w:tc>
          <w:tcPr>
            <w:tcW w:type="dxa" w:w="1440"/>
            <w:shd w:fill="FAFAFA" w:val="clear"/>
          </w:tcPr>
          <w:p>
            <w:r>
              <w:rPr>
                <w:sz w:val="17"/>
              </w:rPr>
              <w:t>2026-10-07</w:t>
            </w:r>
          </w:p>
        </w:tc>
        <w:tc>
          <w:tcPr>
            <w:tcW w:type="dxa" w:w="1440"/>
            <w:shd w:fill="FAFAFA" w:val="clear"/>
          </w:tcPr>
          <w:p>
            <w:r>
              <w:rPr>
                <w:sz w:val="17"/>
              </w:rPr>
              <w:t>8,237</w:t>
            </w:r>
          </w:p>
        </w:tc>
        <w:tc>
          <w:tcPr>
            <w:tcW w:type="dxa" w:w="1440"/>
            <w:shd w:fill="FAFAFA" w:val="clear"/>
          </w:tcPr>
          <w:p>
            <w:r>
              <w:rPr>
                <w:b/>
                <w:sz w:val="17"/>
              </w:rPr>
              <w:t>9,215</w:t>
            </w:r>
          </w:p>
        </w:tc>
        <w:tc>
          <w:tcPr>
            <w:tcW w:type="dxa" w:w="1440"/>
            <w:shd w:fill="FAFAFA" w:val="clear"/>
          </w:tcPr>
          <w:p>
            <w:r>
              <w:rPr>
                <w:sz w:val="17"/>
              </w:rPr>
              <w:t>10,193</w:t>
            </w:r>
          </w:p>
        </w:tc>
        <w:tc>
          <w:tcPr>
            <w:tcW w:type="dxa" w:w="1440"/>
            <w:shd w:fill="FAFAFA"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2026-10-08</w:t>
            </w:r>
          </w:p>
        </w:tc>
        <w:tc>
          <w:tcPr>
            <w:tcW w:type="dxa" w:w="1440"/>
            <w:shd w:fill="FFDCE0" w:val="clear"/>
          </w:tcPr>
          <w:p>
            <w:r>
              <w:rPr>
                <w:sz w:val="17"/>
              </w:rPr>
              <w:t>8,151</w:t>
            </w:r>
          </w:p>
        </w:tc>
        <w:tc>
          <w:tcPr>
            <w:tcW w:type="dxa" w:w="1440"/>
            <w:shd w:fill="FFDCE0" w:val="clear"/>
          </w:tcPr>
          <w:p>
            <w:r>
              <w:rPr>
                <w:b/>
                <w:sz w:val="17"/>
              </w:rPr>
              <w:t>9,206</w:t>
            </w:r>
          </w:p>
        </w:tc>
        <w:tc>
          <w:tcPr>
            <w:tcW w:type="dxa" w:w="1440"/>
            <w:shd w:fill="FFDCE0" w:val="clear"/>
          </w:tcPr>
          <w:p>
            <w:r>
              <w:rPr>
                <w:sz w:val="17"/>
              </w:rPr>
              <w:t>10,262</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2026-10-09</w:t>
            </w:r>
          </w:p>
        </w:tc>
        <w:tc>
          <w:tcPr>
            <w:tcW w:type="dxa" w:w="1440"/>
            <w:shd w:fill="FFDCE0" w:val="clear"/>
          </w:tcPr>
          <w:p>
            <w:r>
              <w:rPr>
                <w:sz w:val="17"/>
              </w:rPr>
              <w:t>8,071</w:t>
            </w:r>
          </w:p>
        </w:tc>
        <w:tc>
          <w:tcPr>
            <w:tcW w:type="dxa" w:w="1440"/>
            <w:shd w:fill="FFDCE0" w:val="clear"/>
          </w:tcPr>
          <w:p>
            <w:r>
              <w:rPr>
                <w:b/>
                <w:sz w:val="17"/>
              </w:rPr>
              <w:t>9,198</w:t>
            </w:r>
          </w:p>
        </w:tc>
        <w:tc>
          <w:tcPr>
            <w:tcW w:type="dxa" w:w="1440"/>
            <w:shd w:fill="FFDCE0" w:val="clear"/>
          </w:tcPr>
          <w:p>
            <w:r>
              <w:rPr>
                <w:sz w:val="17"/>
              </w:rPr>
              <w:t>10,325</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2026-10-12</w:t>
            </w:r>
          </w:p>
        </w:tc>
        <w:tc>
          <w:tcPr>
            <w:tcW w:type="dxa" w:w="1440"/>
            <w:shd w:fill="FFDCE0" w:val="clear"/>
          </w:tcPr>
          <w:p>
            <w:r>
              <w:rPr>
                <w:sz w:val="17"/>
              </w:rPr>
              <w:t>7,996</w:t>
            </w:r>
          </w:p>
        </w:tc>
        <w:tc>
          <w:tcPr>
            <w:tcW w:type="dxa" w:w="1440"/>
            <w:shd w:fill="FFDCE0" w:val="clear"/>
          </w:tcPr>
          <w:p>
            <w:r>
              <w:rPr>
                <w:b/>
                <w:sz w:val="17"/>
              </w:rPr>
              <w:t>9,190</w:t>
            </w:r>
          </w:p>
        </w:tc>
        <w:tc>
          <w:tcPr>
            <w:tcW w:type="dxa" w:w="1440"/>
            <w:shd w:fill="FFDCE0" w:val="clear"/>
          </w:tcPr>
          <w:p>
            <w:r>
              <w:rPr>
                <w:sz w:val="17"/>
              </w:rPr>
              <w:t>10,385</w:t>
            </w:r>
          </w:p>
        </w:tc>
        <w:tc>
          <w:tcPr>
            <w:tcW w:type="dxa" w:w="1440"/>
            <w:shd w:fill="FFDCE0" w:val="clear"/>
          </w:tcPr>
          <w:p>
            <w:r>
              <w:rPr>
                <w:b/>
                <w:color w:val="C00000"/>
                <w:sz w:val="17"/>
              </w:rPr>
              <w:t>-2.2%</w:t>
            </w:r>
          </w:p>
        </w:tc>
      </w:tr>
      <w:tr>
        <w:tc>
          <w:tcPr>
            <w:tcW w:type="dxa" w:w="1440"/>
            <w:shd w:fill="FFDCE0" w:val="clear"/>
          </w:tcPr>
          <w:p>
            <w:r>
              <w:rPr>
                <w:sz w:val="17"/>
              </w:rPr>
              <w:t>J+10  ⭐</w:t>
            </w:r>
          </w:p>
        </w:tc>
        <w:tc>
          <w:tcPr>
            <w:tcW w:type="dxa" w:w="1440"/>
            <w:shd w:fill="FFDCE0" w:val="clear"/>
          </w:tcPr>
          <w:p>
            <w:r>
              <w:rPr>
                <w:sz w:val="17"/>
              </w:rPr>
              <w:t>2026-10-13</w:t>
            </w:r>
          </w:p>
        </w:tc>
        <w:tc>
          <w:tcPr>
            <w:tcW w:type="dxa" w:w="1440"/>
            <w:shd w:fill="FFDCE0" w:val="clear"/>
          </w:tcPr>
          <w:p>
            <w:r>
              <w:rPr>
                <w:sz w:val="17"/>
              </w:rPr>
              <w:t>7,925</w:t>
            </w:r>
          </w:p>
        </w:tc>
        <w:tc>
          <w:tcPr>
            <w:tcW w:type="dxa" w:w="1440"/>
            <w:shd w:fill="FFDCE0" w:val="clear"/>
          </w:tcPr>
          <w:p>
            <w:r>
              <w:rPr>
                <w:b/>
                <w:sz w:val="17"/>
              </w:rPr>
              <w:t>9,183</w:t>
            </w:r>
          </w:p>
        </w:tc>
        <w:tc>
          <w:tcPr>
            <w:tcW w:type="dxa" w:w="1440"/>
            <w:shd w:fill="FFDCE0" w:val="clear"/>
          </w:tcPr>
          <w:p>
            <w:r>
              <w:rPr>
                <w:sz w:val="17"/>
              </w:rPr>
              <w:t>10,441</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 RAPPORT D'ANALYSE FINANCIÈRE — BOAB (Bank of Africa Bénin)</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381,27 milliards FCFA, BOAB s'impose comme une valeur de premier plan du compartiment bancaire de la BRVM, représentant un pilier de la cote béninoise. Le BPA de 496 FCFA/action signifie que chaque titre génère près de 500 FCFA de bénéfice net, un niveau de rentabilité par action solide pour le secteur. Le PER de 19,0x traduit une valorisation nettement supérieure à la moyenne du marché BRVM (estimée entre 8 et 12x), ce qui indique que les investisseurs paient une prime significative pour les bénéfices de la banque — signe soit d'anticipations de croissance, soit d'une surévaluation relative. Le P/B de 3,24x confirme cette prime : le marché valorise BOAB à plus de trois fois sa valeur comptable, ce qui est cohérent avec un ROE supérieur à 17% mais laisse peu de marge de sécurité en cas de déception. Enfin, l'EV/EBITDA de 19,5x, très exigeant (seuil critique &gt;15x), suggère que la valeur d'entreprise intègre déjà une forte capacité bénéficiaire future, ce qui rend le titre vulnérable à toute dégradation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BOAB affiche une variation quasi-nulle de +0,64%, mais la dernière séance (J-1) enregistre un rebond notable de +1,62%, portant le cours à 9 400 FCFA. Le range de trading est large, avec un plus haut à 10 350 FCFA et un plus bas à 8 520 FCFA, soit une amplitude de 1 830 FCFA (21,5%) qui témoigne d'une réelle nervosité du titre. La tendance générale est donc stable sur la période, mais avec une dynamique récente haussière après un creux marqué. Les statistiques descriptives révèlent une moyenne (9 171 FCFA) supérieure à la médiane (8 950 FCFA), écart caractéristique d'une distribution asymétrique positivement (skewness de +0,953), confirmant que le cours a passé plus de journées sous sa moyenne que au-dessus — les pics haussiers étant plus rares mais plus amples. L'écart-type de 554 FCFA et le coefficient de variation de 6,0% indiquent une dispersion modérée autour de la moyenne, tandis que le kurtosis de -0,488 (mésokurtique) suggère une distribution proche de la normale, sans risque de pics extrêmes fréquents. La volatilité annualisée de 27,5% positionne le titre dans la catégorie modérée (15-30%), acceptable pour une valeur bancaire mais nécessitant une gestion rigoureuse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9 801,5 FCFA et la MM50 à 9 367,6 FCFA, toutes deux supérieures au cours actuel de 9 400 FCFA. Le cours évolue donc sous ses moyennes court et moyen terme, ce qui constitue un signal baissier à court terme. Cependant, la décision affichée est "Achat", probablement liée au rebond récent (+1,62%) qui pourrait amorcer un retournement vers la MM50, niveau de résistance immédiat à surveiller.</w:t>
      </w:r>
    </w:p>
    <w:p>
      <w:pPr>
        <w:spacing w:after="120" w:line="276" w:lineRule="auto"/>
      </w:pPr>
      <w:r>
        <w:t>**Bandes de Bollinger :** La borne supérieure se situe à 10 872 FCFA et la borne inférieure à 8 731 FCFA, avec un cours actuel de 9 400 FCFA positionné dans la moitié basse du canal. Cette position suggère une pression vendeuse persistante mais sans excès, la décision "Neutre" reflétant l'absence de signal clair — le cours n'est ni en surachat (proche borne sup) ni en survente (proche borne inf).</w:t>
      </w:r>
    </w:p>
    <w:p>
      <w:pPr>
        <w:spacing w:after="120" w:line="276" w:lineRule="auto"/>
      </w:pPr>
      <w:r>
        <w:t>**MACD :** La valeur du MACD (-128,371) est nettement inférieure à son signal (-4,855), générant une divergence baissière marquée et une décision "Vente". Le momentum est clairement négatif, la ligne MACD évoluant en territoire négatif, ce qui indique que la dynamique baissière reste dominante malgré le rebond ponctuel de J-1.</w:t>
      </w:r>
    </w:p>
    <w:p>
      <w:pPr>
        <w:spacing w:after="120" w:line="276" w:lineRule="auto"/>
      </w:pPr>
      <w:r>
        <w:t>**RSI :** À 34,375, le RSI se situe dans la zone neutre basse (30-70), proche du seuil de survente (30) sans l'atteindre. La décision "Neutre" est cohérente : le titre n'est pas encore techniquement survendu, mais la pression baissière est réelle et une cassure sous 30 déclencherait un signal d'achat contrarien.</w:t>
      </w:r>
    </w:p>
    <w:p>
      <w:pPr>
        <w:spacing w:after="120" w:line="276" w:lineRule="auto"/>
      </w:pPr>
      <w:r>
        <w:t>**Stochastique :** Le %K (43,262) est supérieur au %D (28,875), configuration haussière naissante qui pourrait signaler un croisement positif imminent. La décision "Neutre" reflète cette ambiguïté : le croisement n'est pas encore confirmé, mais la dynamique court terme s'améliore légèrement.</w:t>
      </w:r>
    </w:p>
    <w:p>
      <w:pPr>
        <w:spacing w:after="120" w:line="276" w:lineRule="auto"/>
      </w:pPr>
      <w:r>
        <w:t>**Conclusion technique :** Les indicateurs techniques présentent un tableau mitigé à tendance baissière : les moyennes mobiles sont défavorables (cours sous MM20 et MM50), le MACD est clairement vendeur, et le RSI reste faible. Seuls le stochastique (croisement naissant) et le rebond de J-1 apportent une lueur d'espoir. La convergence des signaux négatifs (MM + MACD) domine, mais la proximité de la zone de survente et le positionnement bas dans les bandes de Bollinger suggèrent qu'un rebond technique n'est pas exclu à court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BOAB affiche un Produit Net Bancaire (PNB, équivalent du chiffre d'affaires pour une banque) de 51,274 milliards FCFA, en croissance de 10,20% sur un an, portée par des intérêts et produits assimilés de 55,728 milliards FCFA et des commissions de 12,339 milliards FCFA. Le résultat net s'établit à 20,107 milliards FCFA, générant un ROE de 17,11% (excellent, &gt;15%) et un ROA de 2,08%, confirmant la solidité de la rentabilité. Le coefficient d'exploitation de 49,53% est excellent (&lt;50%), traduisant une efficacité opérationnelle remarquable. Le coût du risque, à 22,50% des charges financières, reste élevé et constitue un point de vigilance sur la qualité du portefeuille de crédits. La structure financière montre une autonomie financière de 12,18% (faible, mais typique des banques) et un ratio d'endettement de 98,77%, avec une solvabilité générale de 113,87% (&gt;1, donc solvable). Le ratio dépôts/crédits s'établit à 711,642/391,724 = 1,82x, indiquant une surliquidité et une capacité de transformation maîtrisée.</w:t>
      </w:r>
    </w:p>
    <w:p>
      <w:pPr>
        <w:spacing w:after="120" w:line="276" w:lineRule="auto"/>
      </w:pPr>
      <w:r>
        <w:t>**Estimations basées sur les rapports trimestriels :** Le rapport du T1 2026 (publié en 2026) révèle un PNB de 12,329 milliards FCFA (+11% en glissement annuel), un résultat net de 4,502 milliards FCFA (+1%) et des dépôts clientèle de 753,7 milliards FCFA (+3,5%). Le rapport du T3 2025 (daté du 30/09/2025) indiquait un PNB de 37,065 milliards FCFA (+9%) et un résultat net de 15,880 milliards FCFA (+13%), avec une contraction des crédits (-10%) et des dépôts (-5%) sur un an. Sur la base de ces tendances, on estime que l'exercice 2026 devrait enregistrer un PNB annuel compris entre 54 et 56 milliards FCFA (+5 à +9%), avec un résultat net potentiellement stable autour de 20-21 milliards FCFA, la croissance du PNB étant partiellement absorbée par la hausse du coût du risque et la stagnation des crédits. Le rapport du S1 2025 (daté du 30/06/2025) confirmait déjà cette dynamique avec un PNB de 24,556 milliards FCFA (+5,91%) et un résultat net de 11,012 milliards FCFA (+0,75%), pénalisé par une explosion du coût du risque (+394,66%).</w:t>
      </w:r>
    </w:p>
    <w:p>
      <w:pPr>
        <w:spacing w:after="120" w:line="276" w:lineRule="auto"/>
      </w:pPr>
      <w:r>
        <w:t>**Recommandation fondamentale :** BOAB présente des fondamentaux solides (ROE &gt;17%, coefficient d'exploitation &lt;50%, PNB en croissance), mais fait face à des défis : contraction du bilan (crédits et dépôts en baisse), coût du risque élevé, et croissance du résultat net qui ne suit pas celle du PNB. La banque privilégie la qualité à la croissance volumique, ce qui est stratégiquement défendable mais limite le potentiel de revalorisation à court terme. Le titre reste fondamentalement solide mais sans catalyseur majeur identifié pour une accélération.</w:t>
      </w:r>
    </w:p>
    <w:p>
      <w:pPr>
        <w:spacing w:after="120" w:line="276" w:lineRule="auto"/>
      </w:pPr>
      <w:r>
        <w:t>---</w:t>
      </w:r>
    </w:p>
    <w:p>
      <w:pPr>
        <w:spacing w:after="120" w:line="276" w:lineRule="auto"/>
      </w:pPr>
      <w:r>
        <w:t>## PARTIE 4 : CONCLUSION D'INVESTISSEMENT</w:t>
      </w:r>
    </w:p>
    <w:p>
      <w:pPr>
        <w:spacing w:after="120" w:line="276" w:lineRule="auto"/>
      </w:pPr>
      <w:r>
        <w:t>La valorisation de BOAB (PER 19,0x, P/B 3,24x, EV/EBITDA 19,5x) indique une **surévaluation relative** par rapport à la moyenne du marché BRVM (PER 8-12x), le marché intégrant déjà une prime de qualité et de rentabilité. Le comportement du cours sur 100 jours est stable (+0,64%) avec une volatilité modérée (27,5%) et une asymétrie positive (skewness +0,953), suggérant que les investisseurs ayant acheté sous la moyenne ont été récompensés, mais la distribution proche de la normale (kurtosis -0,488) n'annonce pas de mouvement extrême imminent. Les signaux techniques sont majoritairement baissiers (cours sous MM20/MM50, MACD vendeur, RSI faible à 34,4), mais le stochastique amorce un croisement haussier et le rebond de J-1 (+1,62%) pourrait marquer une inflexion. Les fondamentaux restent solides (ROE 17,11%, coefficient d'exploitation 49,53%, PNB +10,20% en 2025), mais les rapports trimestriels 2025-2026 révèlent une stagnation du résultat net (+1% au T1 2026) et une contraction du bilan, limitant les perspectives de croissance. Les prédictions IA (J+1 à J+10) anticipent une **baisse progressive** de 9 296 à 9 224 FCFA (-0,77% sur 10 jours), confirmant la pression baissière technique et contredisant le rebond de J-1.</w:t>
      </w:r>
    </w:p>
    <w:p>
      <w:pPr>
        <w:spacing w:after="120" w:line="276" w:lineRule="auto"/>
      </w:pPr>
      <w:r>
        <w:t>**Recommandation finale : CONSERVER**</w:t>
        <w:br/>
        <w:t>La convergence entre une valorisation exigeante (PER 19x), des signaux techniques baissiers (MACD, MM) et des prédictions IA à la baisse plaide contre un achat immédiat. Cependant, la solidité fondamentale (ROE &gt;17%, PNB en croissance, solvabilité &gt;1) et la position de surliquidité (ratio dépôts/crédits 1,82x) justifient de ne pas vendre, surtout pour les investisseurs déjà positionnés. **Niveau de confiance : Moyen** (les signaux sont mitigés, avec un potentiel rebond technique mais une tendance de fond incertaine). **Niveau de risque : Moyen** (volatilité modérée, mais valorisation tendue et coût du risque élevé). **Horizon d'investissement optimal : Moyen terme (3-12 mois)**, le temps que la banque stabilise sa croissance et que le marché réévalue le titre à des niveaux plus raisonnables. Un retour vers 8 700-8 900 FCFA (zone de support) constituerait une opportunité d'achat pour les investisseurs patients.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7.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360.36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6,479 titres</w:t>
            </w:r>
          </w:p>
        </w:tc>
        <w:tc>
          <w:tcPr>
            <w:tcW w:type="dxa" w:w="2268"/>
            <w:shd w:fill="FFF2CC" w:val="clear"/>
          </w:tcPr>
          <w:p>
            <w:r>
              <w:rPr>
                <w:b/>
                <w:color w:val="503200"/>
                <w:sz w:val="16"/>
              </w:rPr>
              <w:t xml:space="preserve">Cours actuel : </w:t>
            </w:r>
            <w:r>
              <w:rPr>
                <w:color w:val="000000"/>
                <w:sz w:val="17"/>
              </w:rPr>
              <w:t>8,190 FCFA</w:t>
            </w:r>
          </w:p>
          <w:p>
            <w:r>
              <w:rPr>
                <w:b/>
                <w:color w:val="503200"/>
                <w:sz w:val="16"/>
              </w:rPr>
              <w:t xml:space="preserve">Var. 100 jours : </w:t>
            </w:r>
            <w:r>
              <w:rPr>
                <w:b/>
                <w:color w:val="007800"/>
                <w:sz w:val="17"/>
              </w:rPr>
              <w:t>+51.53%</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18.22% (Élevée) — μ=6,786 FCFA, σ=1,236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β=0.7356 (Défensif) — Cov=0.000051, Var(idx)=0.000069, ρ=0.272,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6,479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σ_j=2.24%/j (Stable) — Vol. annualisée≈35.5%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169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2026-09-30</w:t>
            </w:r>
          </w:p>
        </w:tc>
        <w:tc>
          <w:tcPr>
            <w:tcW w:type="dxa" w:w="1440"/>
            <w:shd w:fill="FAFAFA" w:val="clear"/>
          </w:tcPr>
          <w:p>
            <w:r>
              <w:rPr>
                <w:sz w:val="17"/>
              </w:rPr>
              <w:t>7,751</w:t>
            </w:r>
          </w:p>
        </w:tc>
        <w:tc>
          <w:tcPr>
            <w:tcW w:type="dxa" w:w="1440"/>
            <w:shd w:fill="FAFAFA" w:val="clear"/>
          </w:tcPr>
          <w:p>
            <w:r>
              <w:rPr>
                <w:b/>
                <w:sz w:val="17"/>
              </w:rPr>
              <w:t>8,153</w:t>
            </w:r>
          </w:p>
        </w:tc>
        <w:tc>
          <w:tcPr>
            <w:tcW w:type="dxa" w:w="1440"/>
            <w:shd w:fill="FAFAFA" w:val="clear"/>
          </w:tcPr>
          <w:p>
            <w:r>
              <w:rPr>
                <w:sz w:val="17"/>
              </w:rPr>
              <w:t>8,555</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2026-10-01</w:t>
            </w:r>
          </w:p>
        </w:tc>
        <w:tc>
          <w:tcPr>
            <w:tcW w:type="dxa" w:w="1440"/>
            <w:shd w:fill="FAFAFA" w:val="clear"/>
          </w:tcPr>
          <w:p>
            <w:r>
              <w:rPr>
                <w:sz w:val="17"/>
              </w:rPr>
              <w:t>7,561</w:t>
            </w:r>
          </w:p>
        </w:tc>
        <w:tc>
          <w:tcPr>
            <w:tcW w:type="dxa" w:w="1440"/>
            <w:shd w:fill="FAFAFA" w:val="clear"/>
          </w:tcPr>
          <w:p>
            <w:r>
              <w:rPr>
                <w:b/>
                <w:sz w:val="17"/>
              </w:rPr>
              <w:t>8,128</w:t>
            </w:r>
          </w:p>
        </w:tc>
        <w:tc>
          <w:tcPr>
            <w:tcW w:type="dxa" w:w="1440"/>
            <w:shd w:fill="FAFAFA" w:val="clear"/>
          </w:tcPr>
          <w:p>
            <w:r>
              <w:rPr>
                <w:sz w:val="17"/>
              </w:rPr>
              <w:t>8,695</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2026-10-02</w:t>
            </w:r>
          </w:p>
        </w:tc>
        <w:tc>
          <w:tcPr>
            <w:tcW w:type="dxa" w:w="1440"/>
            <w:shd w:fill="FAFAFA" w:val="clear"/>
          </w:tcPr>
          <w:p>
            <w:r>
              <w:rPr>
                <w:sz w:val="17"/>
              </w:rPr>
              <w:t>7,428</w:t>
            </w:r>
          </w:p>
        </w:tc>
        <w:tc>
          <w:tcPr>
            <w:tcW w:type="dxa" w:w="1440"/>
            <w:shd w:fill="FAFAFA" w:val="clear"/>
          </w:tcPr>
          <w:p>
            <w:r>
              <w:rPr>
                <w:b/>
                <w:sz w:val="17"/>
              </w:rPr>
              <w:t>8,121</w:t>
            </w:r>
          </w:p>
        </w:tc>
        <w:tc>
          <w:tcPr>
            <w:tcW w:type="dxa" w:w="1440"/>
            <w:shd w:fill="FAFAFA" w:val="clear"/>
          </w:tcPr>
          <w:p>
            <w:r>
              <w:rPr>
                <w:sz w:val="17"/>
              </w:rPr>
              <w:t>8,814</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2026-10-05</w:t>
            </w:r>
          </w:p>
        </w:tc>
        <w:tc>
          <w:tcPr>
            <w:tcW w:type="dxa" w:w="1440"/>
            <w:shd w:fill="FAFAFA" w:val="clear"/>
          </w:tcPr>
          <w:p>
            <w:r>
              <w:rPr>
                <w:sz w:val="17"/>
              </w:rPr>
              <w:t>7,321</w:t>
            </w:r>
          </w:p>
        </w:tc>
        <w:tc>
          <w:tcPr>
            <w:tcW w:type="dxa" w:w="1440"/>
            <w:shd w:fill="FAFAFA" w:val="clear"/>
          </w:tcPr>
          <w:p>
            <w:r>
              <w:rPr>
                <w:b/>
                <w:sz w:val="17"/>
              </w:rPr>
              <w:t>8,122</w:t>
            </w:r>
          </w:p>
        </w:tc>
        <w:tc>
          <w:tcPr>
            <w:tcW w:type="dxa" w:w="1440"/>
            <w:shd w:fill="FAFAFA" w:val="clear"/>
          </w:tcPr>
          <w:p>
            <w:r>
              <w:rPr>
                <w:sz w:val="17"/>
              </w:rPr>
              <w:t>8,923</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2026-10-06</w:t>
            </w:r>
          </w:p>
        </w:tc>
        <w:tc>
          <w:tcPr>
            <w:tcW w:type="dxa" w:w="1440"/>
            <w:shd w:fill="FAFAFA" w:val="clear"/>
          </w:tcPr>
          <w:p>
            <w:r>
              <w:rPr>
                <w:sz w:val="17"/>
              </w:rPr>
              <w:t>7,230</w:t>
            </w:r>
          </w:p>
        </w:tc>
        <w:tc>
          <w:tcPr>
            <w:tcW w:type="dxa" w:w="1440"/>
            <w:shd w:fill="FAFAFA" w:val="clear"/>
          </w:tcPr>
          <w:p>
            <w:r>
              <w:rPr>
                <w:b/>
                <w:sz w:val="17"/>
              </w:rPr>
              <w:t>8,126</w:t>
            </w:r>
          </w:p>
        </w:tc>
        <w:tc>
          <w:tcPr>
            <w:tcW w:type="dxa" w:w="1440"/>
            <w:shd w:fill="FAFAFA" w:val="clear"/>
          </w:tcPr>
          <w:p>
            <w:r>
              <w:rPr>
                <w:sz w:val="17"/>
              </w:rPr>
              <w:t>9,022</w:t>
            </w:r>
          </w:p>
        </w:tc>
        <w:tc>
          <w:tcPr>
            <w:tcW w:type="dxa" w:w="1440"/>
            <w:shd w:fill="FAFAFA" w:val="clear"/>
          </w:tcPr>
          <w:p>
            <w:r>
              <w:rPr>
                <w:b/>
                <w:color w:val="C00000"/>
                <w:sz w:val="17"/>
              </w:rPr>
              <w:t>-0.8%</w:t>
            </w:r>
          </w:p>
        </w:tc>
      </w:tr>
      <w:tr>
        <w:tc>
          <w:tcPr>
            <w:tcW w:type="dxa" w:w="1440"/>
            <w:shd w:fill="FAFAFA" w:val="clear"/>
          </w:tcPr>
          <w:p>
            <w:r>
              <w:rPr>
                <w:sz w:val="17"/>
              </w:rPr>
              <w:t>J+6  ⭐</w:t>
            </w:r>
          </w:p>
        </w:tc>
        <w:tc>
          <w:tcPr>
            <w:tcW w:type="dxa" w:w="1440"/>
            <w:shd w:fill="FAFAFA" w:val="clear"/>
          </w:tcPr>
          <w:p>
            <w:r>
              <w:rPr>
                <w:sz w:val="17"/>
              </w:rPr>
              <w:t>2026-10-07</w:t>
            </w:r>
          </w:p>
        </w:tc>
        <w:tc>
          <w:tcPr>
            <w:tcW w:type="dxa" w:w="1440"/>
            <w:shd w:fill="FAFAFA" w:val="clear"/>
          </w:tcPr>
          <w:p>
            <w:r>
              <w:rPr>
                <w:sz w:val="17"/>
              </w:rPr>
              <w:t>7,149</w:t>
            </w:r>
          </w:p>
        </w:tc>
        <w:tc>
          <w:tcPr>
            <w:tcW w:type="dxa" w:w="1440"/>
            <w:shd w:fill="FAFAFA" w:val="clear"/>
          </w:tcPr>
          <w:p>
            <w:r>
              <w:rPr>
                <w:b/>
                <w:sz w:val="17"/>
              </w:rPr>
              <w:t>8,131</w:t>
            </w:r>
          </w:p>
        </w:tc>
        <w:tc>
          <w:tcPr>
            <w:tcW w:type="dxa" w:w="1440"/>
            <w:shd w:fill="FAFAFA" w:val="clear"/>
          </w:tcPr>
          <w:p>
            <w:r>
              <w:rPr>
                <w:sz w:val="17"/>
              </w:rPr>
              <w:t>9,112</w:t>
            </w:r>
          </w:p>
        </w:tc>
        <w:tc>
          <w:tcPr>
            <w:tcW w:type="dxa" w:w="1440"/>
            <w:shd w:fill="FAFAFA" w:val="clear"/>
          </w:tcPr>
          <w:p>
            <w:r>
              <w:rPr>
                <w:b/>
                <w:color w:val="C00000"/>
                <w:sz w:val="17"/>
              </w:rPr>
              <w:t>-0.7%</w:t>
            </w:r>
          </w:p>
        </w:tc>
      </w:tr>
      <w:tr>
        <w:tc>
          <w:tcPr>
            <w:tcW w:type="dxa" w:w="1440"/>
            <w:shd w:fill="FAFAFA" w:val="clear"/>
          </w:tcPr>
          <w:p>
            <w:r>
              <w:rPr>
                <w:sz w:val="17"/>
              </w:rPr>
              <w:t>J+7  ⭐</w:t>
            </w:r>
          </w:p>
        </w:tc>
        <w:tc>
          <w:tcPr>
            <w:tcW w:type="dxa" w:w="1440"/>
            <w:shd w:fill="FAFAFA" w:val="clear"/>
          </w:tcPr>
          <w:p>
            <w:r>
              <w:rPr>
                <w:sz w:val="17"/>
              </w:rPr>
              <w:t>2026-10-08</w:t>
            </w:r>
          </w:p>
        </w:tc>
        <w:tc>
          <w:tcPr>
            <w:tcW w:type="dxa" w:w="1440"/>
            <w:shd w:fill="FAFAFA" w:val="clear"/>
          </w:tcPr>
          <w:p>
            <w:r>
              <w:rPr>
                <w:sz w:val="17"/>
              </w:rPr>
              <w:t>7,075</w:t>
            </w:r>
          </w:p>
        </w:tc>
        <w:tc>
          <w:tcPr>
            <w:tcW w:type="dxa" w:w="1440"/>
            <w:shd w:fill="FAFAFA" w:val="clear"/>
          </w:tcPr>
          <w:p>
            <w:r>
              <w:rPr>
                <w:b/>
                <w:sz w:val="17"/>
              </w:rPr>
              <w:t>8,136</w:t>
            </w:r>
          </w:p>
        </w:tc>
        <w:tc>
          <w:tcPr>
            <w:tcW w:type="dxa" w:w="1440"/>
            <w:shd w:fill="FAFAFA" w:val="clear"/>
          </w:tcPr>
          <w:p>
            <w:r>
              <w:rPr>
                <w:sz w:val="17"/>
              </w:rPr>
              <w:t>9,197</w:t>
            </w:r>
          </w:p>
        </w:tc>
        <w:tc>
          <w:tcPr>
            <w:tcW w:type="dxa" w:w="1440"/>
            <w:shd w:fill="FAFAFA" w:val="clear"/>
          </w:tcPr>
          <w:p>
            <w:r>
              <w:rPr>
                <w:b/>
                <w:color w:val="C00000"/>
                <w:sz w:val="17"/>
              </w:rPr>
              <w:t>-0.7%</w:t>
            </w:r>
          </w:p>
        </w:tc>
      </w:tr>
      <w:tr>
        <w:tc>
          <w:tcPr>
            <w:tcW w:type="dxa" w:w="1440"/>
            <w:shd w:fill="FAFAFA" w:val="clear"/>
          </w:tcPr>
          <w:p>
            <w:r>
              <w:rPr>
                <w:sz w:val="17"/>
              </w:rPr>
              <w:t>J+8  ⭐</w:t>
            </w:r>
          </w:p>
        </w:tc>
        <w:tc>
          <w:tcPr>
            <w:tcW w:type="dxa" w:w="1440"/>
            <w:shd w:fill="FAFAFA" w:val="clear"/>
          </w:tcPr>
          <w:p>
            <w:r>
              <w:rPr>
                <w:sz w:val="17"/>
              </w:rPr>
              <w:t>2026-10-09</w:t>
            </w:r>
          </w:p>
        </w:tc>
        <w:tc>
          <w:tcPr>
            <w:tcW w:type="dxa" w:w="1440"/>
            <w:shd w:fill="FAFAFA" w:val="clear"/>
          </w:tcPr>
          <w:p>
            <w:r>
              <w:rPr>
                <w:sz w:val="17"/>
              </w:rPr>
              <w:t>7,006</w:t>
            </w:r>
          </w:p>
        </w:tc>
        <w:tc>
          <w:tcPr>
            <w:tcW w:type="dxa" w:w="1440"/>
            <w:shd w:fill="FAFAFA" w:val="clear"/>
          </w:tcPr>
          <w:p>
            <w:r>
              <w:rPr>
                <w:b/>
                <w:sz w:val="17"/>
              </w:rPr>
              <w:t>8,141</w:t>
            </w:r>
          </w:p>
        </w:tc>
        <w:tc>
          <w:tcPr>
            <w:tcW w:type="dxa" w:w="1440"/>
            <w:shd w:fill="FAFAFA" w:val="clear"/>
          </w:tcPr>
          <w:p>
            <w:r>
              <w:rPr>
                <w:sz w:val="17"/>
              </w:rPr>
              <w:t>9,276</w:t>
            </w:r>
          </w:p>
        </w:tc>
        <w:tc>
          <w:tcPr>
            <w:tcW w:type="dxa" w:w="1440"/>
            <w:shd w:fill="FAFAFA" w:val="clear"/>
          </w:tcPr>
          <w:p>
            <w:r>
              <w:rPr>
                <w:b/>
                <w:color w:val="C00000"/>
                <w:sz w:val="17"/>
              </w:rPr>
              <w:t>-0.6%</w:t>
            </w:r>
          </w:p>
        </w:tc>
      </w:tr>
      <w:tr>
        <w:tc>
          <w:tcPr>
            <w:tcW w:type="dxa" w:w="1440"/>
            <w:shd w:fill="FAFAFA" w:val="clear"/>
          </w:tcPr>
          <w:p>
            <w:r>
              <w:rPr>
                <w:sz w:val="17"/>
              </w:rPr>
              <w:t>J+9  ⭐</w:t>
            </w:r>
          </w:p>
        </w:tc>
        <w:tc>
          <w:tcPr>
            <w:tcW w:type="dxa" w:w="1440"/>
            <w:shd w:fill="FAFAFA" w:val="clear"/>
          </w:tcPr>
          <w:p>
            <w:r>
              <w:rPr>
                <w:sz w:val="17"/>
              </w:rPr>
              <w:t>2026-10-12</w:t>
            </w:r>
          </w:p>
        </w:tc>
        <w:tc>
          <w:tcPr>
            <w:tcW w:type="dxa" w:w="1440"/>
            <w:shd w:fill="FAFAFA" w:val="clear"/>
          </w:tcPr>
          <w:p>
            <w:r>
              <w:rPr>
                <w:sz w:val="17"/>
              </w:rPr>
              <w:t>6,941</w:t>
            </w:r>
          </w:p>
        </w:tc>
        <w:tc>
          <w:tcPr>
            <w:tcW w:type="dxa" w:w="1440"/>
            <w:shd w:fill="FAFAFA" w:val="clear"/>
          </w:tcPr>
          <w:p>
            <w:r>
              <w:rPr>
                <w:b/>
                <w:sz w:val="17"/>
              </w:rPr>
              <w:t>8,146</w:t>
            </w:r>
          </w:p>
        </w:tc>
        <w:tc>
          <w:tcPr>
            <w:tcW w:type="dxa" w:w="1440"/>
            <w:shd w:fill="FAFAFA" w:val="clear"/>
          </w:tcPr>
          <w:p>
            <w:r>
              <w:rPr>
                <w:sz w:val="17"/>
              </w:rPr>
              <w:t>9,350</w:t>
            </w:r>
          </w:p>
        </w:tc>
        <w:tc>
          <w:tcPr>
            <w:tcW w:type="dxa" w:w="1440"/>
            <w:shd w:fill="FAFAFA" w:val="clear"/>
          </w:tcPr>
          <w:p>
            <w:r>
              <w:rPr>
                <w:b/>
                <w:color w:val="C00000"/>
                <w:sz w:val="17"/>
              </w:rPr>
              <w:t>-0.5%</w:t>
            </w:r>
          </w:p>
        </w:tc>
      </w:tr>
      <w:tr>
        <w:tc>
          <w:tcPr>
            <w:tcW w:type="dxa" w:w="1440"/>
            <w:shd w:fill="FAFAFA" w:val="clear"/>
          </w:tcPr>
          <w:p>
            <w:r>
              <w:rPr>
                <w:sz w:val="17"/>
              </w:rPr>
              <w:t>J+10  ⭐</w:t>
            </w:r>
          </w:p>
        </w:tc>
        <w:tc>
          <w:tcPr>
            <w:tcW w:type="dxa" w:w="1440"/>
            <w:shd w:fill="FAFAFA" w:val="clear"/>
          </w:tcPr>
          <w:p>
            <w:r>
              <w:rPr>
                <w:sz w:val="17"/>
              </w:rPr>
              <w:t>2026-10-13</w:t>
            </w:r>
          </w:p>
        </w:tc>
        <w:tc>
          <w:tcPr>
            <w:tcW w:type="dxa" w:w="1440"/>
            <w:shd w:fill="FAFAFA" w:val="clear"/>
          </w:tcPr>
          <w:p>
            <w:r>
              <w:rPr>
                <w:sz w:val="17"/>
              </w:rPr>
              <w:t>6,880</w:t>
            </w:r>
          </w:p>
        </w:tc>
        <w:tc>
          <w:tcPr>
            <w:tcW w:type="dxa" w:w="1440"/>
            <w:shd w:fill="FAFAFA" w:val="clear"/>
          </w:tcPr>
          <w:p>
            <w:r>
              <w:rPr>
                <w:b/>
                <w:sz w:val="17"/>
              </w:rPr>
              <w:t>8,151</w:t>
            </w:r>
          </w:p>
        </w:tc>
        <w:tc>
          <w:tcPr>
            <w:tcW w:type="dxa" w:w="1440"/>
            <w:shd w:fill="FAFAFA" w:val="clear"/>
          </w:tcPr>
          <w:p>
            <w:r>
              <w:rPr>
                <w:sz w:val="17"/>
              </w:rPr>
              <w:t>9,421</w:t>
            </w:r>
          </w:p>
        </w:tc>
        <w:tc>
          <w:tcPr>
            <w:tcW w:type="dxa" w:w="1440"/>
            <w:shd w:fill="FAFAFA" w:val="clear"/>
          </w:tcPr>
          <w:p>
            <w:r>
              <w:rPr>
                <w:b/>
                <w:color w:val="C00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BOABF (Bank of Africa Burkina Faso)**</w:t>
        <w:br/>
        <w:t>*Bourse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360,36 milliards FCFA, BOABF s'impose comme l'une des valeurs bancaires de référence de la cote BRVM, témoignant de la solidité de son assise institutionnelle au sein du groupe Bank of Africa. Le BPA de 438 FCFA par action signifie que chaque titre génère près de 438 FCFA de bénéfice net, un niveau de rentabilité unitaire appréciable pour le marché ouest-africain. Le PER de 18,7x traduit une valorisation nettement supérieure à la moyenne du marché BRVM (généralement comprise entre 8 et 12x), ce qui indique que les investisseurs acceptent de payer une prime significative pour les bénéfices de la banque — une prime qui se justifie par la qualité de ses fondamentaux mais qui réduit la marge de sécurité. Le P/B de 2,85x confirme cette lecture : le marché valorise l'action à près de trois fois sa valeur comptable, accordant une prime de croissance qui suppose une capacité bénéficiaire durablement supérieure au coût des fonds propres. Enfin, l'EV/EBITDA de 8,4x, situé dans la fourchette raisonnable de 5 à 10x, suggère que la valeur d'entreprise reste cohérente avec la capacité opérationnelle de la banque, sans excès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BOABF a enregistré une progression spectaculaire de +51,53%, passant d'un plus bas de 5 300 FCFA à un plus haut de 9 090 FCFA, avant de se replier légèrement pour clôturer à 8 190 FCFA, avec une variation de -1,33% lors de la dernière séance. Ce range de trading de près de 3 800 FCFA illustre une dynamique haussière puissante, portée par un intérêt marqué des investisseurs pour le titre. La moyenne du cours sur la période s'établit à 6 786 FCFA, tandis que la médiane se situe à 7 025 FCFA — cet écart de 239 FCFA entre les deux indicateurs révèle une légère asymétrie positive, confirmée par le skewness de 0,417, indiquant que la distribution est étirée vers la droite par des pics haussiers. L'écart-type de 1 242 FCFA, couplé à un coefficient de variation de 18,3%, traduit une dispersion modérée du cours autour de sa moyenne, ce qui reste acceptable pour un titre ayant connu une telle appréciation. Le kurtosis de -1,158 (distribution platykurtique) signale une faible concentration des rendements autour de la moyenne, avec un risque de pics extrêmes moins prononcé qu'une distribution normale — un élément rassurant pour la gestion du risque. Enfin, la volatilité annualisée de 35,5% positionne BOABF dans la catégorie des titres à volatilité élevée (&gt;30%), ce qui implique un potentiel de gain attractif mais aussi un risque de correction significatif, comme en témoigne le repli récent depuis le sommet de 9 090 FCFA.</w:t>
      </w:r>
    </w:p>
    <w:p>
      <w:pPr>
        <w:spacing w:after="120" w:line="276" w:lineRule="auto"/>
      </w:pPr>
      <w:r>
        <w:t>---</w:t>
      </w:r>
    </w:p>
    <w:p>
      <w:pPr>
        <w:spacing w:after="120" w:line="276" w:lineRule="auto"/>
      </w:pPr>
      <w:r>
        <w:t>### PARTIE 2 : ANALYSE TECHNIQUE DÉTAILLÉE</w:t>
      </w:r>
    </w:p>
    <w:p>
      <w:pPr>
        <w:spacing w:after="120" w:line="276" w:lineRule="auto"/>
      </w:pPr>
      <w:r>
        <w:t>**Moyennes Mobiles** : La MM20 (8 396,75 FCFA) et la MM50 (7 863,50 FCFA) se situent toutes deux au-dessus du cours actuel (8 190 FCFA), ce qui place le titre en position de faiblesse relative à court terme. Cependant, la MM20 reste supérieure à la MM50, confirmant que la tendance de fond demeure haussière. La décision technique affichée est "Achat", suggérant que le repli actuel pourrait constituer une opportunité d'entrée dans le sens de la tendance principale.</w:t>
      </w:r>
    </w:p>
    <w:p>
      <w:pPr>
        <w:spacing w:after="120" w:line="276" w:lineRule="auto"/>
      </w:pPr>
      <w:r>
        <w:t>**Bandes de Bollinger** : Le cours actuel (8 190 FCFA) évolue dans la partie inférieure de la bande de Bollinger, entre la borne inférieure (7 285,88 FCFA) et la borne supérieure (9 507,62 FCFA). Cette position médiane-basse indique que le titre n'est ni suracheté ni survendu, mais qu'il se rapproche d'une zone de support potentielle. La décision "Neutre" reflète l'absence de signal directionnel fort, avec une volatilité qui reste contenue dans les bandes.</w:t>
      </w:r>
    </w:p>
    <w:p>
      <w:pPr>
        <w:spacing w:after="120" w:line="276" w:lineRule="auto"/>
      </w:pPr>
      <w:r>
        <w:t>**MACD** : La valeur du MACD (-5,312) est nettement inférieure à son signal (67,571), générant une divergence baissière qui traduit un essoufflement du momentum haussier. Cette configuration, bien que négative à court terme, peut également annoncer une phase de consolidation avant une reprise. La décision "Vente" invite à la prudence, mais doit être pondérée par la tendance de fond encore positive.</w:t>
      </w:r>
    </w:p>
    <w:p>
      <w:pPr>
        <w:spacing w:after="120" w:line="276" w:lineRule="auto"/>
      </w:pPr>
      <w:r>
        <w:t>**RSI** : À 34,674, le RSI se situe dans la zone neutre basse, sans atteindre le seuil de survente (30). Cette valeur indique que la pression vendeuse récente a ramené le titre vers des niveaux plus équilibrés, sans excès baissier. La décision "Neutre" suggère que le potentiel de rebond technique existe, mais qu'il n'est pas encore confirmé.</w:t>
      </w:r>
    </w:p>
    <w:p>
      <w:pPr>
        <w:spacing w:after="120" w:line="276" w:lineRule="auto"/>
      </w:pPr>
      <w:r>
        <w:t>**Stochastique** : Le %K (49,53) et le %D (49,948) évoluent en zone neutre, avec un croisement imminent ou déjà effectué à la baisse. Cette configuration ne fournit pas de signal directionnel clair, ce qui justifie la décision "Neutre". Une remontée du %K au-dessus du %D serait un signal d'achat à surveiller.</w:t>
      </w:r>
    </w:p>
    <w:p>
      <w:pPr>
        <w:spacing w:after="120" w:line="276" w:lineRule="auto"/>
      </w:pPr>
      <w:r>
        <w:t>**Conclusion technique** : Les indicateurs techniques présentent un tableau mitigé. Si la tendance de fond reste haussière (MM20 &gt; MM50), le momentum à court terme s'affaiblit (MACD baissier, cours sous les moyennes mobiles). Le RSI et le stochastique en zone neutre n'offrent pas de signal fort, tandis que les bandes de Bollinger suggèrent un potentiel de rebond depuis la zone de support. La convergence des signaux invite à la patience, avec une préférence pour un positionnement à l'achat sur repli vers 7 800-7 900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BOABF a dégagé un Produit Net Bancaire (PNB) de 57,820 milliards FCFA, quasi stable par rapport à 2024 (+0,6%), avec un résultat net de 19,252 milliards FCFA, en recul de -14,1% sur un an. Cette contraction s'explique principalement par un coût du risque qui a quasiment doublé, passant de -4,303 à -8,355 milliards FCFA, sous l'effet d'un premier semestre 2025 particulièrement difficile (provisions de -6,876 milliards au S1 2025 contre -0,48 milliard au S1 2024). Le ROE s'établit à 15,22%, un niveau qui reste excellent (&gt;15%) et témoigne de la capacité de la banque à générer des profits sur ses fonds propres malgré le choc des provisions. Le ROA de 1,68% et la marge nette de 33,30% confirment la solidité structurelle du modèle bancaire. Le coefficient d'exploitation de 47,19% est excellent (&lt;50%), traduisant une grande efficacité opérationnelle. Le ratio dépôts/crédits (877,822 Mds de dépôts pour 474,064 Mds de créances clientèle) révèle une surliquidité, avec un excédent de ressources qui explique la progression des créances interbancaires (213,132 Mds FCFA en 2025 contre 53,994 Mds en 2024). Le coût du risque rapporté aux charges financières (33,92%) reste élevé, signalant un portefeuille de crédits sous pression.</w:t>
      </w:r>
    </w:p>
    <w:p>
      <w:pPr>
        <w:spacing w:after="120" w:line="276" w:lineRule="auto"/>
      </w:pPr>
      <w:r>
        <w:t>**Estimations basées sur les rapports trimestriels** : Le rapport du T1 2026 (publié le 31/03/2026) indique un PNB de 12,694 milliards FCFA, en baisse de -10,75% sur un an, et un résultat net de 4,520 milliards FCFA (-12,99%). Le rapport du S1 2026 (publié le 30/06/2026) fait état d'un PNB de 27,539 milliards FCFA (-5,2%) mais d'un résultat net de 10,770 milliards FCFA (+31,0%), porté par une amélioration spectaculaire du coût du risque (-65,2% à -2,396 milliards). Sur la base de ces tendances, on estime que l'exercice 2026 devrait bénéficier d'une normalisation du coût du risque, avec un résultat net annualisé potentiellement supérieur à 20 milliards FCFA, bien que la pression sur le PNB reste un point de vigilance. La dynamique commerciale montre des dépôts en hausse de +7,4% à 942,692 milliards FCFA au S1 2026, mais des crédits nets en légère progression (+1,3% à 479,993 milliards), ce qui limite la croissance future du PNB.</w:t>
      </w:r>
    </w:p>
    <w:p>
      <w:pPr>
        <w:spacing w:after="120" w:line="276" w:lineRule="auto"/>
      </w:pPr>
      <w:r>
        <w:t>**Recommandation fondamentale** : BOABF présente des fondamentaux solides (ROE &gt;15%, coefficient d'exploitation &lt;50%, surliquidité), mais fait face à des défis structurels : stagnation du PNB, coût du risque historiquement élevé, et dépendance à la normalisation des provisions pour soutenir la rentabilité. La recommandation des analystes est "CONSERVER", avec un risque modéré lié à l'environnement sécuritaire et économique burkinabè.</w:t>
      </w:r>
    </w:p>
    <w:p>
      <w:pPr>
        <w:spacing w:after="120" w:line="276" w:lineRule="auto"/>
      </w:pPr>
      <w:r>
        <w:t>---</w:t>
      </w:r>
    </w:p>
    <w:p>
      <w:pPr>
        <w:spacing w:after="120" w:line="276" w:lineRule="auto"/>
      </w:pPr>
      <w:r>
        <w:t>### PARTIE 4 : CONCLUSION D'INVESTISSEMENT</w:t>
      </w:r>
    </w:p>
    <w:p>
      <w:pPr>
        <w:spacing w:after="120" w:line="276" w:lineRule="auto"/>
      </w:pPr>
      <w:r>
        <w:t>La valorisation de BOABF (PER 18,7x, P/B 2,85x, EV/EBITDA 8,4x) indique que le marché intègre déjà une prime de qualité significative, ce qui limite le potentiel de réévaluation à court terme mais se justifie par la solidité des fondamentaux. Le comportement du cours sur 100 jours (+51,53%) témoigne d'un fort engouement, mais la volatilité élevée (35,5%) et le repli récent depuis le sommet de 9 090 FCFA invitent à la prudence, d'autant que la distribution platykurtique (kurtosis -1,158) et le skewness positif (0,417) suggèrent un risque de pics baissiers modéré mais réel. Les signaux techniques sont mitigés : la tendance de fond reste haussière (MM20 &gt; MM50), mais le momentum à court terme s'affaiblit (MACD baissier, cours sous les moyennes mobiles), tandis que le RSI et le stochastique en zone neutre n'offrent pas de direction claire. Les fondamentaux, bien que solides (ROE 15,22%, coefficient d'exploitation 47,19%), sont pénalisés par la stagnation du PNB et un coût du risque encore élevé, même si les rapports T1 et S1 2026 montrent une nette amélioration de la rentabilité (+31% au S1 2026). Les prédictions IA pour les 10 prochains jours (8 121-8 153 FCFA) suggèrent une stabilisation autour de 8 120-8 150 FCFA, ce qui confirme la phase de consolidation en cours et ne contredit pas les signaux techniques. **Recommandation finale : CONSERVER**, avec un niveau de confiance moyen et un risque global modéré. L'horizon d'investissement optimal est le moyen terme (3-12 mois), en attendant la confirmation d'un redressement durable du PNB et la poursuite de la normalisation du coût du risque. Un repli vers 7 800-7 900 FCFA constituerait une opportunité d'achat pour les investisseurs cherchant à se positionner sur la tendance de fond haussière.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8.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10,875 titres</w:t>
            </w:r>
          </w:p>
        </w:tc>
        <w:tc>
          <w:tcPr>
            <w:tcW w:type="dxa" w:w="2268"/>
            <w:shd w:fill="FFF2CC" w:val="clear"/>
          </w:tcPr>
          <w:p>
            <w:r>
              <w:rPr>
                <w:b/>
                <w:color w:val="503200"/>
                <w:sz w:val="16"/>
              </w:rPr>
              <w:t xml:space="preserve">Cours actuel : </w:t>
            </w:r>
            <w:r>
              <w:rPr>
                <w:color w:val="000000"/>
                <w:sz w:val="17"/>
              </w:rPr>
              <w:t>11,600 FCFA</w:t>
            </w:r>
          </w:p>
          <w:p>
            <w:r>
              <w:rPr>
                <w:b/>
                <w:color w:val="503200"/>
                <w:sz w:val="16"/>
              </w:rPr>
              <w:t xml:space="preserve">Var. 100 jours : </w:t>
            </w:r>
            <w:r>
              <w:rPr>
                <w:b/>
                <w:color w:val="007800"/>
                <w:sz w:val="17"/>
              </w:rPr>
              <w:t>+32.04%</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8,585 FCFA</w:t>
            </w:r>
          </w:p>
          <w:p>
            <w:r>
              <w:rPr>
                <w:b/>
                <w:color w:val="503200"/>
                <w:sz w:val="16"/>
              </w:rPr>
              <w:t xml:space="preserve">Volatilité ann. : </w:t>
            </w:r>
            <w:r>
              <w:rPr>
                <w:color w:val="000000"/>
                <w:sz w:val="17"/>
              </w:rPr>
              <w:t>27.9%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15.07% (Élevée) — μ=10,475 FCFA, σ=1,579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β=0.7582 (Défensif) — Cov=0.000052, Var(idx)=0.000069, ρ=0.354,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10,875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annualisée≈27.9%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598627"/>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2026-09-30</w:t>
            </w:r>
          </w:p>
        </w:tc>
        <w:tc>
          <w:tcPr>
            <w:tcW w:type="dxa" w:w="1440"/>
            <w:shd w:fill="FAFAFA" w:val="clear"/>
          </w:tcPr>
          <w:p>
            <w:r>
              <w:rPr>
                <w:sz w:val="17"/>
              </w:rPr>
              <w:t>11,179</w:t>
            </w:r>
          </w:p>
        </w:tc>
        <w:tc>
          <w:tcPr>
            <w:tcW w:type="dxa" w:w="1440"/>
            <w:shd w:fill="FAFAFA" w:val="clear"/>
          </w:tcPr>
          <w:p>
            <w:r>
              <w:rPr>
                <w:b/>
                <w:sz w:val="17"/>
              </w:rPr>
              <w:t>11,516</w:t>
            </w:r>
          </w:p>
        </w:tc>
        <w:tc>
          <w:tcPr>
            <w:tcW w:type="dxa" w:w="1440"/>
            <w:shd w:fill="FAFAFA" w:val="clear"/>
          </w:tcPr>
          <w:p>
            <w:r>
              <w:rPr>
                <w:sz w:val="17"/>
              </w:rPr>
              <w:t>11,852</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2026-10-01</w:t>
            </w:r>
          </w:p>
        </w:tc>
        <w:tc>
          <w:tcPr>
            <w:tcW w:type="dxa" w:w="1440"/>
            <w:shd w:fill="FAFAFA" w:val="clear"/>
          </w:tcPr>
          <w:p>
            <w:r>
              <w:rPr>
                <w:sz w:val="17"/>
              </w:rPr>
              <w:t>10,994</w:t>
            </w:r>
          </w:p>
        </w:tc>
        <w:tc>
          <w:tcPr>
            <w:tcW w:type="dxa" w:w="1440"/>
            <w:shd w:fill="FAFAFA" w:val="clear"/>
          </w:tcPr>
          <w:p>
            <w:r>
              <w:rPr>
                <w:b/>
                <w:sz w:val="17"/>
              </w:rPr>
              <w:t>11,468</w:t>
            </w:r>
          </w:p>
        </w:tc>
        <w:tc>
          <w:tcPr>
            <w:tcW w:type="dxa" w:w="1440"/>
            <w:shd w:fill="FAFAFA" w:val="clear"/>
          </w:tcPr>
          <w:p>
            <w:r>
              <w:rPr>
                <w:sz w:val="17"/>
              </w:rPr>
              <w:t>11,943</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2026-10-02</w:t>
            </w:r>
          </w:p>
        </w:tc>
        <w:tc>
          <w:tcPr>
            <w:tcW w:type="dxa" w:w="1440"/>
            <w:shd w:fill="FAFAFA" w:val="clear"/>
          </w:tcPr>
          <w:p>
            <w:r>
              <w:rPr>
                <w:sz w:val="17"/>
              </w:rPr>
              <w:t>10,833</w:t>
            </w:r>
          </w:p>
        </w:tc>
        <w:tc>
          <w:tcPr>
            <w:tcW w:type="dxa" w:w="1440"/>
            <w:shd w:fill="FAFAFA" w:val="clear"/>
          </w:tcPr>
          <w:p>
            <w:r>
              <w:rPr>
                <w:b/>
                <w:sz w:val="17"/>
              </w:rPr>
              <w:t>11,412</w:t>
            </w:r>
          </w:p>
        </w:tc>
        <w:tc>
          <w:tcPr>
            <w:tcW w:type="dxa" w:w="1440"/>
            <w:shd w:fill="FAFAFA" w:val="clear"/>
          </w:tcPr>
          <w:p>
            <w:r>
              <w:rPr>
                <w:sz w:val="17"/>
              </w:rPr>
              <w:t>11,990</w:t>
            </w:r>
          </w:p>
        </w:tc>
        <w:tc>
          <w:tcPr>
            <w:tcW w:type="dxa" w:w="1440"/>
            <w:shd w:fill="FAFAFA" w:val="clear"/>
          </w:tcPr>
          <w:p>
            <w:r>
              <w:rPr>
                <w:b/>
                <w:color w:val="C00000"/>
                <w:sz w:val="17"/>
              </w:rPr>
              <w:t>-1.6%</w:t>
            </w:r>
          </w:p>
        </w:tc>
      </w:tr>
      <w:tr>
        <w:tc>
          <w:tcPr>
            <w:tcW w:type="dxa" w:w="1440"/>
            <w:shd w:fill="FFDCE0" w:val="clear"/>
          </w:tcPr>
          <w:p>
            <w:r>
              <w:rPr>
                <w:sz w:val="17"/>
              </w:rPr>
              <w:t>J+4  Moyenne</w:t>
            </w:r>
          </w:p>
        </w:tc>
        <w:tc>
          <w:tcPr>
            <w:tcW w:type="dxa" w:w="1440"/>
            <w:shd w:fill="FFDCE0" w:val="clear"/>
          </w:tcPr>
          <w:p>
            <w:r>
              <w:rPr>
                <w:sz w:val="17"/>
              </w:rPr>
              <w:t>2026-10-05</w:t>
            </w:r>
          </w:p>
        </w:tc>
        <w:tc>
          <w:tcPr>
            <w:tcW w:type="dxa" w:w="1440"/>
            <w:shd w:fill="FFDCE0" w:val="clear"/>
          </w:tcPr>
          <w:p>
            <w:r>
              <w:rPr>
                <w:sz w:val="17"/>
              </w:rPr>
              <w:t>10,692</w:t>
            </w:r>
          </w:p>
        </w:tc>
        <w:tc>
          <w:tcPr>
            <w:tcW w:type="dxa" w:w="1440"/>
            <w:shd w:fill="FFDCE0" w:val="clear"/>
          </w:tcPr>
          <w:p>
            <w:r>
              <w:rPr>
                <w:b/>
                <w:sz w:val="17"/>
              </w:rPr>
              <w:t>11,356</w:t>
            </w:r>
          </w:p>
        </w:tc>
        <w:tc>
          <w:tcPr>
            <w:tcW w:type="dxa" w:w="1440"/>
            <w:shd w:fill="FFDCE0" w:val="clear"/>
          </w:tcPr>
          <w:p>
            <w:r>
              <w:rPr>
                <w:sz w:val="17"/>
              </w:rPr>
              <w:t>12,020</w:t>
            </w:r>
          </w:p>
        </w:tc>
        <w:tc>
          <w:tcPr>
            <w:tcW w:type="dxa" w:w="1440"/>
            <w:shd w:fill="FFDCE0" w:val="clear"/>
          </w:tcPr>
          <w:p>
            <w:r>
              <w:rPr>
                <w:b/>
                <w:color w:val="C00000"/>
                <w:sz w:val="17"/>
              </w:rPr>
              <w:t>-2.1%</w:t>
            </w:r>
          </w:p>
        </w:tc>
      </w:tr>
      <w:tr>
        <w:tc>
          <w:tcPr>
            <w:tcW w:type="dxa" w:w="1440"/>
            <w:shd w:fill="FFDCE0" w:val="clear"/>
          </w:tcPr>
          <w:p>
            <w:r>
              <w:rPr>
                <w:sz w:val="17"/>
              </w:rPr>
              <w:t>J+5  Moyenne</w:t>
            </w:r>
          </w:p>
        </w:tc>
        <w:tc>
          <w:tcPr>
            <w:tcW w:type="dxa" w:w="1440"/>
            <w:shd w:fill="FFDCE0" w:val="clear"/>
          </w:tcPr>
          <w:p>
            <w:r>
              <w:rPr>
                <w:sz w:val="17"/>
              </w:rPr>
              <w:t>2026-10-06</w:t>
            </w:r>
          </w:p>
        </w:tc>
        <w:tc>
          <w:tcPr>
            <w:tcW w:type="dxa" w:w="1440"/>
            <w:shd w:fill="FFDCE0" w:val="clear"/>
          </w:tcPr>
          <w:p>
            <w:r>
              <w:rPr>
                <w:sz w:val="17"/>
              </w:rPr>
              <w:t>10,564</w:t>
            </w:r>
          </w:p>
        </w:tc>
        <w:tc>
          <w:tcPr>
            <w:tcW w:type="dxa" w:w="1440"/>
            <w:shd w:fill="FFDCE0" w:val="clear"/>
          </w:tcPr>
          <w:p>
            <w:r>
              <w:rPr>
                <w:b/>
                <w:sz w:val="17"/>
              </w:rPr>
              <w:t>11,303</w:t>
            </w:r>
          </w:p>
        </w:tc>
        <w:tc>
          <w:tcPr>
            <w:tcW w:type="dxa" w:w="1440"/>
            <w:shd w:fill="FFDCE0" w:val="clear"/>
          </w:tcPr>
          <w:p>
            <w:r>
              <w:rPr>
                <w:sz w:val="17"/>
              </w:rPr>
              <w:t>12,042</w:t>
            </w:r>
          </w:p>
        </w:tc>
        <w:tc>
          <w:tcPr>
            <w:tcW w:type="dxa" w:w="1440"/>
            <w:shd w:fill="FFDCE0" w:val="clear"/>
          </w:tcPr>
          <w:p>
            <w:r>
              <w:rPr>
                <w:b/>
                <w:color w:val="C00000"/>
                <w:sz w:val="17"/>
              </w:rPr>
              <w:t>-2.6%</w:t>
            </w:r>
          </w:p>
        </w:tc>
      </w:tr>
      <w:tr>
        <w:tc>
          <w:tcPr>
            <w:tcW w:type="dxa" w:w="1440"/>
            <w:shd w:fill="FFDCE0" w:val="clear"/>
          </w:tcPr>
          <w:p>
            <w:r>
              <w:rPr>
                <w:sz w:val="17"/>
              </w:rPr>
              <w:t>J+6  Moyenne</w:t>
            </w:r>
          </w:p>
        </w:tc>
        <w:tc>
          <w:tcPr>
            <w:tcW w:type="dxa" w:w="1440"/>
            <w:shd w:fill="FFDCE0" w:val="clear"/>
          </w:tcPr>
          <w:p>
            <w:r>
              <w:rPr>
                <w:sz w:val="17"/>
              </w:rPr>
              <w:t>2026-10-07</w:t>
            </w:r>
          </w:p>
        </w:tc>
        <w:tc>
          <w:tcPr>
            <w:tcW w:type="dxa" w:w="1440"/>
            <w:shd w:fill="FFDCE0" w:val="clear"/>
          </w:tcPr>
          <w:p>
            <w:r>
              <w:rPr>
                <w:sz w:val="17"/>
              </w:rPr>
              <w:t>10,447</w:t>
            </w:r>
          </w:p>
        </w:tc>
        <w:tc>
          <w:tcPr>
            <w:tcW w:type="dxa" w:w="1440"/>
            <w:shd w:fill="FFDCE0" w:val="clear"/>
          </w:tcPr>
          <w:p>
            <w:r>
              <w:rPr>
                <w:b/>
                <w:sz w:val="17"/>
              </w:rPr>
              <w:t>11,253</w:t>
            </w:r>
          </w:p>
        </w:tc>
        <w:tc>
          <w:tcPr>
            <w:tcW w:type="dxa" w:w="1440"/>
            <w:shd w:fill="FFDCE0" w:val="clear"/>
          </w:tcPr>
          <w:p>
            <w:r>
              <w:rPr>
                <w:sz w:val="17"/>
              </w:rPr>
              <w:t>12,059</w:t>
            </w:r>
          </w:p>
        </w:tc>
        <w:tc>
          <w:tcPr>
            <w:tcW w:type="dxa" w:w="1440"/>
            <w:shd w:fill="FFDCE0" w:val="clear"/>
          </w:tcPr>
          <w:p>
            <w:r>
              <w:rPr>
                <w:b/>
                <w:color w:val="C00000"/>
                <w:sz w:val="17"/>
              </w:rPr>
              <w:t>-3.0%</w:t>
            </w:r>
          </w:p>
        </w:tc>
      </w:tr>
      <w:tr>
        <w:tc>
          <w:tcPr>
            <w:tcW w:type="dxa" w:w="1440"/>
            <w:shd w:fill="FFDCE0" w:val="clear"/>
          </w:tcPr>
          <w:p>
            <w:r>
              <w:rPr>
                <w:sz w:val="17"/>
              </w:rPr>
              <w:t>J+7  Moyenne</w:t>
            </w:r>
          </w:p>
        </w:tc>
        <w:tc>
          <w:tcPr>
            <w:tcW w:type="dxa" w:w="1440"/>
            <w:shd w:fill="FFDCE0" w:val="clear"/>
          </w:tcPr>
          <w:p>
            <w:r>
              <w:rPr>
                <w:sz w:val="17"/>
              </w:rPr>
              <w:t>2026-10-08</w:t>
            </w:r>
          </w:p>
        </w:tc>
        <w:tc>
          <w:tcPr>
            <w:tcW w:type="dxa" w:w="1440"/>
            <w:shd w:fill="FFDCE0" w:val="clear"/>
          </w:tcPr>
          <w:p>
            <w:r>
              <w:rPr>
                <w:sz w:val="17"/>
              </w:rPr>
              <w:t>10,338</w:t>
            </w:r>
          </w:p>
        </w:tc>
        <w:tc>
          <w:tcPr>
            <w:tcW w:type="dxa" w:w="1440"/>
            <w:shd w:fill="FFDCE0" w:val="clear"/>
          </w:tcPr>
          <w:p>
            <w:r>
              <w:rPr>
                <w:b/>
                <w:sz w:val="17"/>
              </w:rPr>
              <w:t>11,206</w:t>
            </w:r>
          </w:p>
        </w:tc>
        <w:tc>
          <w:tcPr>
            <w:tcW w:type="dxa" w:w="1440"/>
            <w:shd w:fill="FFDCE0" w:val="clear"/>
          </w:tcPr>
          <w:p>
            <w:r>
              <w:rPr>
                <w:sz w:val="17"/>
              </w:rPr>
              <w:t>12,073</w:t>
            </w:r>
          </w:p>
        </w:tc>
        <w:tc>
          <w:tcPr>
            <w:tcW w:type="dxa" w:w="1440"/>
            <w:shd w:fill="FFDCE0" w:val="clear"/>
          </w:tcPr>
          <w:p>
            <w:r>
              <w:rPr>
                <w:b/>
                <w:color w:val="C00000"/>
                <w:sz w:val="17"/>
              </w:rPr>
              <w:t>-3.4%</w:t>
            </w:r>
          </w:p>
        </w:tc>
      </w:tr>
      <w:tr>
        <w:tc>
          <w:tcPr>
            <w:tcW w:type="dxa" w:w="1440"/>
            <w:shd w:fill="FFDCE0" w:val="clear"/>
          </w:tcPr>
          <w:p>
            <w:r>
              <w:rPr>
                <w:sz w:val="17"/>
              </w:rPr>
              <w:t>J+8  Moyenne</w:t>
            </w:r>
          </w:p>
        </w:tc>
        <w:tc>
          <w:tcPr>
            <w:tcW w:type="dxa" w:w="1440"/>
            <w:shd w:fill="FFDCE0" w:val="clear"/>
          </w:tcPr>
          <w:p>
            <w:r>
              <w:rPr>
                <w:sz w:val="17"/>
              </w:rPr>
              <w:t>2026-10-09</w:t>
            </w:r>
          </w:p>
        </w:tc>
        <w:tc>
          <w:tcPr>
            <w:tcW w:type="dxa" w:w="1440"/>
            <w:shd w:fill="FFDCE0" w:val="clear"/>
          </w:tcPr>
          <w:p>
            <w:r>
              <w:rPr>
                <w:sz w:val="17"/>
              </w:rPr>
              <w:t>10,238</w:t>
            </w:r>
          </w:p>
        </w:tc>
        <w:tc>
          <w:tcPr>
            <w:tcW w:type="dxa" w:w="1440"/>
            <w:shd w:fill="FFDCE0" w:val="clear"/>
          </w:tcPr>
          <w:p>
            <w:r>
              <w:rPr>
                <w:b/>
                <w:sz w:val="17"/>
              </w:rPr>
              <w:t>11,161</w:t>
            </w:r>
          </w:p>
        </w:tc>
        <w:tc>
          <w:tcPr>
            <w:tcW w:type="dxa" w:w="1440"/>
            <w:shd w:fill="FFDCE0" w:val="clear"/>
          </w:tcPr>
          <w:p>
            <w:r>
              <w:rPr>
                <w:sz w:val="17"/>
              </w:rPr>
              <w:t>12,084</w:t>
            </w:r>
          </w:p>
        </w:tc>
        <w:tc>
          <w:tcPr>
            <w:tcW w:type="dxa" w:w="1440"/>
            <w:shd w:fill="FFDCE0" w:val="clear"/>
          </w:tcPr>
          <w:p>
            <w:r>
              <w:rPr>
                <w:b/>
                <w:color w:val="C00000"/>
                <w:sz w:val="17"/>
              </w:rPr>
              <w:t>-3.8%</w:t>
            </w:r>
          </w:p>
        </w:tc>
      </w:tr>
      <w:tr>
        <w:tc>
          <w:tcPr>
            <w:tcW w:type="dxa" w:w="1440"/>
            <w:shd w:fill="FFDCE0" w:val="clear"/>
          </w:tcPr>
          <w:p>
            <w:r>
              <w:rPr>
                <w:sz w:val="17"/>
              </w:rPr>
              <w:t>J+9  Moyenne</w:t>
            </w:r>
          </w:p>
        </w:tc>
        <w:tc>
          <w:tcPr>
            <w:tcW w:type="dxa" w:w="1440"/>
            <w:shd w:fill="FFDCE0" w:val="clear"/>
          </w:tcPr>
          <w:p>
            <w:r>
              <w:rPr>
                <w:sz w:val="17"/>
              </w:rPr>
              <w:t>2026-10-12</w:t>
            </w:r>
          </w:p>
        </w:tc>
        <w:tc>
          <w:tcPr>
            <w:tcW w:type="dxa" w:w="1440"/>
            <w:shd w:fill="FFDCE0" w:val="clear"/>
          </w:tcPr>
          <w:p>
            <w:r>
              <w:rPr>
                <w:sz w:val="17"/>
              </w:rPr>
              <w:t>10,143</w:t>
            </w:r>
          </w:p>
        </w:tc>
        <w:tc>
          <w:tcPr>
            <w:tcW w:type="dxa" w:w="1440"/>
            <w:shd w:fill="FFDCE0" w:val="clear"/>
          </w:tcPr>
          <w:p>
            <w:r>
              <w:rPr>
                <w:b/>
                <w:sz w:val="17"/>
              </w:rPr>
              <w:t>11,119</w:t>
            </w:r>
          </w:p>
        </w:tc>
        <w:tc>
          <w:tcPr>
            <w:tcW w:type="dxa" w:w="1440"/>
            <w:shd w:fill="FFDCE0" w:val="clear"/>
          </w:tcPr>
          <w:p>
            <w:r>
              <w:rPr>
                <w:sz w:val="17"/>
              </w:rPr>
              <w:t>12,094</w:t>
            </w:r>
          </w:p>
        </w:tc>
        <w:tc>
          <w:tcPr>
            <w:tcW w:type="dxa" w:w="1440"/>
            <w:shd w:fill="FFDCE0" w:val="clear"/>
          </w:tcPr>
          <w:p>
            <w:r>
              <w:rPr>
                <w:b/>
                <w:color w:val="C00000"/>
                <w:sz w:val="17"/>
              </w:rPr>
              <w:t>-4.1%</w:t>
            </w:r>
          </w:p>
        </w:tc>
      </w:tr>
      <w:tr>
        <w:tc>
          <w:tcPr>
            <w:tcW w:type="dxa" w:w="1440"/>
            <w:shd w:fill="FFDCE0" w:val="clear"/>
          </w:tcPr>
          <w:p>
            <w:r>
              <w:rPr>
                <w:sz w:val="17"/>
              </w:rPr>
              <w:t>J+10  Moyenne</w:t>
            </w:r>
          </w:p>
        </w:tc>
        <w:tc>
          <w:tcPr>
            <w:tcW w:type="dxa" w:w="1440"/>
            <w:shd w:fill="FFDCE0" w:val="clear"/>
          </w:tcPr>
          <w:p>
            <w:r>
              <w:rPr>
                <w:sz w:val="17"/>
              </w:rPr>
              <w:t>2026-10-13</w:t>
            </w:r>
          </w:p>
        </w:tc>
        <w:tc>
          <w:tcPr>
            <w:tcW w:type="dxa" w:w="1440"/>
            <w:shd w:fill="FFDCE0" w:val="clear"/>
          </w:tcPr>
          <w:p>
            <w:r>
              <w:rPr>
                <w:sz w:val="17"/>
              </w:rPr>
              <w:t>10,054</w:t>
            </w:r>
          </w:p>
        </w:tc>
        <w:tc>
          <w:tcPr>
            <w:tcW w:type="dxa" w:w="1440"/>
            <w:shd w:fill="FFDCE0" w:val="clear"/>
          </w:tcPr>
          <w:p>
            <w:r>
              <w:rPr>
                <w:b/>
                <w:sz w:val="17"/>
              </w:rPr>
              <w:t>11,079</w:t>
            </w:r>
          </w:p>
        </w:tc>
        <w:tc>
          <w:tcPr>
            <w:tcW w:type="dxa" w:w="1440"/>
            <w:shd w:fill="FFDCE0" w:val="clear"/>
          </w:tcPr>
          <w:p>
            <w:r>
              <w:rPr>
                <w:sz w:val="17"/>
              </w:rPr>
              <w:t>12,104</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BOAC (Bank of Africa Côte d'Ivoire)**</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464,00 Mds FCFA, BOAC s'impose comme l'une des valeurs bancaires de référence de la cote BRVM, portée par un BPA de 888 FCFA/action qui matérialise la richesse créée par titre. Le PER de 13,1x traduit une valorisation modérée mais légèrement supérieure à la moyenne du marché (8-12x), signe que les investisseurs intègrent déjà une prime de qualité dans le cours. Le P/B de 3,64x confirme cette lecture : le marché valorise la banque à plus de trois fois ses fonds propres comptables (127,34 Mds FCFA), une prime de croissance justifiée par un ROE exceptionnel de 27,9%. En revanche, l'EV/EBITDA de 26,6x apparaît très exigeant (&gt;15x), reflétant une anticipation optimiste de la capacité bénéficiaire future ; ce niveau élevé invite à la prudence quant à la marge de sécurité offerte par le cours actuel.</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BOAC affiche une progression spectaculaire de +32,04%, avec une dernière séance en hausse de +0,87%, confirmant une dynamique haussière solidement installée. Le titre évolue actuellement à 11 600 FCFA, à mi-chemin entre son plus bas de 8 585 FCFA et son plus haut de 13 450 FCFA, ce qui traduit un range de trading particulièrement large (4 865 FCFA d'amplitude) et une phase de consolidation après le pic récent. La moyenne (10 475 FCFA) se situe nettement au-dessus de la médiane (9 770 FCFA), écart révélateur d'une distribution asymétrique tirée vers le haut par les récentes poussées haussières ; le mode à 11 600 FCFA coïncide d'ailleurs avec le cours actuel, signal d'un palier d'équilibre. L'écart-type de 1 587 FCFA (CV = 15,1%) indique une dispersion modérée du cours, tandis que le kurtosis négatif (-1,442, distribution platykurtique) suggère une faible concentration des rendements et un risque de pics extrêmes limité. Le skewness positif (0,371) confirme une légère asymétrie vers les gains, et la volatilité annualisée de 27,9% positionne le titre dans la catégorie des valeurs à volatilité modérée (15-30%), cohérente avec un profil bancaire de qualité mais non exempt de sensibilité aux cycles.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(12 015,25 FCFA) et la MM50 (11 885,20 FCFA) se situent toutes deux au-dessus du cours actuel (11 600 FCFA), ce qui place le titre en position de repli sous ses moyennes de court et moyen terme. Toutefois, la MM20 reste supérieure à la MM50, configuration haussière de fond, et la décision affichée est « Achat », suggérant que le repli actuel constitue une opportunité de renforcement dans la tendance.</w:t>
      </w:r>
    </w:p>
    <w:p>
      <w:pPr>
        <w:spacing w:after="120" w:line="276" w:lineRule="auto"/>
      </w:pPr>
      <w:r>
        <w:t>**Bandes de Bollinger** : Le cours (11 600 FCFA) évolue dans la partie basse du canal, entre la borne inférieure (11 002,09 FCFA) et la borne supérieure (13 028,41 FCFA), sans atteindre les extrêmes. Cette position médiane-basse, combinée à une décision « Neutre », indique une absence de signal directionnel fort et une volatilité en cours de normalisation après la forte hausse.</w:t>
      </w:r>
    </w:p>
    <w:p>
      <w:pPr>
        <w:spacing w:after="120" w:line="276" w:lineRule="auto"/>
      </w:pPr>
      <w:r>
        <w:t>**MACD** : La valeur du MACD (-179,64) est nettement inférieure à son signal (-79,22), générant un histogramme négatif et une décision « Vente ». Ce croisement baissier traduit un essoufflement du momentum haussier à court terme, bien que l'amplitude reste contenue et puisse correspondre à une simple respiration technique.</w:t>
      </w:r>
    </w:p>
    <w:p>
      <w:pPr>
        <w:spacing w:after="120" w:line="276" w:lineRule="auto"/>
      </w:pPr>
      <w:r>
        <w:t>**RSI** : À 33,33, le RSI se situe dans la zone neutre basse, proche du seuil de survente (30), sans y pénétrer. La décision « Neutre » reflète un équilibre précaire : le titre n'est ni survendu ni suracheté, mais la proximité du seuil critique suggère qu'un rebond technique pourrait se matérialiser.</w:t>
      </w:r>
    </w:p>
    <w:p>
      <w:pPr>
        <w:spacing w:after="120" w:line="276" w:lineRule="auto"/>
      </w:pPr>
      <w:r>
        <w:t>**Stochastique** : Le %K (50,0) et le %D (46,02) évoluent en zone médiane, avec un %K légèrement supérieur au %D, sans croisement net. La décision « Neutre » confirme l'absence de signal fort, le marché attendant un catalyseur pour choisir sa direction.</w:t>
      </w:r>
    </w:p>
    <w:p>
      <w:pPr>
        <w:spacing w:after="120" w:line="276" w:lineRule="auto"/>
      </w:pPr>
      <w:r>
        <w:t>**Conclusion technique** : Les indicateurs présentent un tableau mitigé — les moyennes mobiles restent haussières de fond mais le cours évolue en dessous, le MACD est baissier tandis que le RSI et le stochastique demeurent neutres. Cette divergence suggère une phase de consolidation dans une tendance haussière plus large, avec un risque de correction limité par la proximité de la borne inférieure de Bollinger et un RSI proche de la survente. La prudence est de mise à court terme, mais la structure technique globale n'est pas dégradée.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BOAC a réalisé un Produit Net Bancaire (PNB) de 73 545 Mds FCFA, en hausse de +1,1% par rapport à 2024 (72 724 Mds FCFA), avec un résultat net de 35 540 Mds FCFA en progression de +10,9% (contre 32 045 Mds FCFA en 2024), portant le BPA à 889 FCFA. La rentabilité demeure exceptionnelle : le ROE s'établit à 27,91% (&gt;15% = excellent) et le ROA à 3,22%, tandis que le coefficient d'exploitation de 36,70% confirme une banque très efficace (&lt;60%). Le coût du risque, à 6,67% des charges financières, s'est nettement amélioré (-27,8%, passant de -6 791 à -4 902 Mds FCFA), bien que le taux de sinistralité du portefeuille (8,59%) et la hausse de +52,1% des créances en souffrance constituent un point de vigilance. La structure bilancielle est solide : les dépôts clientèle (850 548 Mds FCFA) couvrent largement les créances clientèle (430 433 Mds FCFA), avec un ratio de transformation de 50,6%, et la liquidité générale atteint 3 684%, garantissant une excellente couverture des engagements. Les rapports trimestriels récents confirment la tendance : au T1 2026 (rapport du 31/03/2026), le PNB progresse de +3,09% à 18 960 Mds FCFA et le résultat net de +0,91% à 10 801 Mds FCFA, mais le coût net du risque bondit de +314,75% (-652 vs -157 Mds FCFA), signal d'alerte à surveiller. Le rapport annuel 2025 (publié le 31/12/2025) relevait déjà une croissance rentable avec un dividende de 684 FCFA/action au titre de 2024 (taux de distribution ~65%), et les objectifs stratégiques à horizon 2027 visent une croissance du PNB de +11,6% sur trois ans. **Recommandation fondamentale** : la solidité financière, la rentabilité élevée et la politique de dividende généreuse soutiennent une opinion positive, mais la dégradation brutale du coût du risque au T1 2026 et la hausse des créances en souffrance imposent une vigilance accrue.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BOAC (PER 13,1x, P/B 3,64x, EV/EBITDA 26,6x) indique une action correctement valorisée à légèrement surévaluée, le marché intégrant déjà la qualité des fondamentaux et la prime de croissance. Le comportement du cours sur 100 jours (+32,04%) est nettement haussier, avec une volatilité modérée (27,9%) et des statistiques rassurantes (kurtosis négatif, skewness positif), bien que la consolidation actuelle sous les moyennes mobiles appelle à la prudence à court terme. Les signaux techniques sont divergents : le MACD est baissier, le RSI et le stochastique sont neutres, mais les moyennes mobiles restent haussières de fond, suggérant une consolidation plutôt qu'un retournement. Les fondamentaux demeurent solides (ROE 27,9%, coefficient d'exploitation 36,7%, dividende attractif), mais l'explosion du coût du risque au T1 2026 (+314,75%) constitue un risque majeur à surveiller. Les prédictions IA anticipent une légère érosion du cours sur 10 jours (11 516 → 11 303 FCFA, soit -2,6%), ce qui confirme la phase de consolidation technique sans contredire la tendance haussière de fond. **Recommandation finale : CONSERVER**, avec un niveau de confiance Moyen et un risque global Moyen. La convergence entre valorisation exigeante, technique en consolidation et fondamentaux solides mais exposés à un risque de crédit croissant justifie une position d'attente, avec un horizon d'investissement de moyen terme (3-12 mois) pour laisser se dissiper l'incertitude sur le coût du risque. Un passage à l'achat serait justifié si le titre revenait vers 11 000 FCFA (borne inférieure de Bollinger) ou si le coût du risque se stabilisait aux trimestres suivants.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9.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164.56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6,407 titres</w:t>
            </w:r>
          </w:p>
        </w:tc>
        <w:tc>
          <w:tcPr>
            <w:tcW w:type="dxa" w:w="2268"/>
            <w:shd w:fill="FFF2CC" w:val="clear"/>
          </w:tcPr>
          <w:p>
            <w:r>
              <w:rPr>
                <w:b/>
                <w:color w:val="503200"/>
                <w:sz w:val="16"/>
              </w:rPr>
              <w:t xml:space="preserve">Cours actuel : </w:t>
            </w:r>
            <w:r>
              <w:rPr>
                <w:color w:val="000000"/>
                <w:sz w:val="17"/>
              </w:rPr>
              <w:t>5,995 FCFA</w:t>
            </w:r>
          </w:p>
          <w:p>
            <w:r>
              <w:rPr>
                <w:b/>
                <w:color w:val="503200"/>
                <w:sz w:val="16"/>
              </w:rPr>
              <w:t xml:space="preserve">Var. 100 jours : </w:t>
            </w:r>
            <w:r>
              <w:rPr>
                <w:b/>
                <w:color w:val="007800"/>
                <w:sz w:val="17"/>
              </w:rPr>
              <w:t>+28.10%</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43.4%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14.14% (Moyenne) — μ=5,560 FCFA, σ=786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β=1.4677 (Agressif) — Cov=0.000101, Var(idx)=0.000069, ρ=0.447,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6,407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σ_j=2.73%/j (Stable) — Vol. annualisée≈43.4%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2026-09-30</w:t>
            </w:r>
          </w:p>
        </w:tc>
        <w:tc>
          <w:tcPr>
            <w:tcW w:type="dxa" w:w="1440"/>
            <w:shd w:fill="FAFAFA" w:val="clear"/>
          </w:tcPr>
          <w:p>
            <w:r>
              <w:rPr>
                <w:sz w:val="17"/>
              </w:rPr>
              <w:t>5,609</w:t>
            </w:r>
          </w:p>
        </w:tc>
        <w:tc>
          <w:tcPr>
            <w:tcW w:type="dxa" w:w="1440"/>
            <w:shd w:fill="FAFAFA" w:val="clear"/>
          </w:tcPr>
          <w:p>
            <w:r>
              <w:rPr>
                <w:b/>
                <w:sz w:val="17"/>
              </w:rPr>
              <w:t>5,952</w:t>
            </w:r>
          </w:p>
        </w:tc>
        <w:tc>
          <w:tcPr>
            <w:tcW w:type="dxa" w:w="1440"/>
            <w:shd w:fill="FAFAFA" w:val="clear"/>
          </w:tcPr>
          <w:p>
            <w:r>
              <w:rPr>
                <w:sz w:val="17"/>
              </w:rPr>
              <w:t>6,294</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2026-10-01</w:t>
            </w:r>
          </w:p>
        </w:tc>
        <w:tc>
          <w:tcPr>
            <w:tcW w:type="dxa" w:w="1440"/>
            <w:shd w:fill="FAFAFA" w:val="clear"/>
          </w:tcPr>
          <w:p>
            <w:r>
              <w:rPr>
                <w:sz w:val="17"/>
              </w:rPr>
              <w:t>5,530</w:t>
            </w:r>
          </w:p>
        </w:tc>
        <w:tc>
          <w:tcPr>
            <w:tcW w:type="dxa" w:w="1440"/>
            <w:shd w:fill="FAFAFA" w:val="clear"/>
          </w:tcPr>
          <w:p>
            <w:r>
              <w:rPr>
                <w:b/>
                <w:sz w:val="17"/>
              </w:rPr>
              <w:t>6,020</w:t>
            </w:r>
          </w:p>
        </w:tc>
        <w:tc>
          <w:tcPr>
            <w:tcW w:type="dxa" w:w="1440"/>
            <w:shd w:fill="FAFAFA" w:val="clear"/>
          </w:tcPr>
          <w:p>
            <w:r>
              <w:rPr>
                <w:sz w:val="17"/>
              </w:rPr>
              <w:t>6,509</w:t>
            </w:r>
          </w:p>
        </w:tc>
        <w:tc>
          <w:tcPr>
            <w:tcW w:type="dxa" w:w="1440"/>
            <w:shd w:fill="FAFAFA" w:val="clear"/>
          </w:tcPr>
          <w:p>
            <w:r>
              <w:rPr>
                <w:b/>
                <w:color w:val="008000"/>
                <w:sz w:val="17"/>
              </w:rPr>
              <w:t>+0.4%</w:t>
            </w:r>
          </w:p>
        </w:tc>
      </w:tr>
      <w:tr>
        <w:tc>
          <w:tcPr>
            <w:tcW w:type="dxa" w:w="1440"/>
            <w:shd w:fill="FAFAFA" w:val="clear"/>
          </w:tcPr>
          <w:p>
            <w:r>
              <w:rPr>
                <w:sz w:val="17"/>
              </w:rPr>
              <w:t>J+3  Moyenne</w:t>
            </w:r>
          </w:p>
        </w:tc>
        <w:tc>
          <w:tcPr>
            <w:tcW w:type="dxa" w:w="1440"/>
            <w:shd w:fill="FAFAFA" w:val="clear"/>
          </w:tcPr>
          <w:p>
            <w:r>
              <w:rPr>
                <w:sz w:val="17"/>
              </w:rPr>
              <w:t>2026-10-02</w:t>
            </w:r>
          </w:p>
        </w:tc>
        <w:tc>
          <w:tcPr>
            <w:tcW w:type="dxa" w:w="1440"/>
            <w:shd w:fill="FAFAFA" w:val="clear"/>
          </w:tcPr>
          <w:p>
            <w:r>
              <w:rPr>
                <w:sz w:val="17"/>
              </w:rPr>
              <w:t>5,504</w:t>
            </w:r>
          </w:p>
        </w:tc>
        <w:tc>
          <w:tcPr>
            <w:tcW w:type="dxa" w:w="1440"/>
            <w:shd w:fill="FAFAFA" w:val="clear"/>
          </w:tcPr>
          <w:p>
            <w:r>
              <w:rPr>
                <w:b/>
                <w:sz w:val="17"/>
              </w:rPr>
              <w:t>6,113</w:t>
            </w:r>
          </w:p>
        </w:tc>
        <w:tc>
          <w:tcPr>
            <w:tcW w:type="dxa" w:w="1440"/>
            <w:shd w:fill="FAFAFA" w:val="clear"/>
          </w:tcPr>
          <w:p>
            <w:r>
              <w:rPr>
                <w:sz w:val="17"/>
              </w:rPr>
              <w:t>6,723</w:t>
            </w:r>
          </w:p>
        </w:tc>
        <w:tc>
          <w:tcPr>
            <w:tcW w:type="dxa" w:w="1440"/>
            <w:shd w:fill="FAFAFA" w:val="clear"/>
          </w:tcPr>
          <w:p>
            <w:r>
              <w:rPr>
                <w:b/>
                <w:color w:val="008000"/>
                <w:sz w:val="17"/>
              </w:rPr>
              <w:t>+2.0%</w:t>
            </w:r>
          </w:p>
        </w:tc>
      </w:tr>
      <w:tr>
        <w:tc>
          <w:tcPr>
            <w:tcW w:type="dxa" w:w="1440"/>
            <w:shd w:fill="C6EFCE" w:val="clear"/>
          </w:tcPr>
          <w:p>
            <w:r>
              <w:rPr>
                <w:sz w:val="17"/>
              </w:rPr>
              <w:t>J+4  ⭐</w:t>
            </w:r>
          </w:p>
        </w:tc>
        <w:tc>
          <w:tcPr>
            <w:tcW w:type="dxa" w:w="1440"/>
            <w:shd w:fill="C6EFCE" w:val="clear"/>
          </w:tcPr>
          <w:p>
            <w:r>
              <w:rPr>
                <w:sz w:val="17"/>
              </w:rPr>
              <w:t>2026-10-05</w:t>
            </w:r>
          </w:p>
        </w:tc>
        <w:tc>
          <w:tcPr>
            <w:tcW w:type="dxa" w:w="1440"/>
            <w:shd w:fill="C6EFCE" w:val="clear"/>
          </w:tcPr>
          <w:p>
            <w:r>
              <w:rPr>
                <w:sz w:val="17"/>
              </w:rPr>
              <w:t>5,486</w:t>
            </w:r>
          </w:p>
        </w:tc>
        <w:tc>
          <w:tcPr>
            <w:tcW w:type="dxa" w:w="1440"/>
            <w:shd w:fill="C6EFCE" w:val="clear"/>
          </w:tcPr>
          <w:p>
            <w:r>
              <w:rPr>
                <w:b/>
                <w:sz w:val="17"/>
              </w:rPr>
              <w:t>6,199</w:t>
            </w:r>
          </w:p>
        </w:tc>
        <w:tc>
          <w:tcPr>
            <w:tcW w:type="dxa" w:w="1440"/>
            <w:shd w:fill="C6EFCE" w:val="clear"/>
          </w:tcPr>
          <w:p>
            <w:r>
              <w:rPr>
                <w:sz w:val="17"/>
              </w:rPr>
              <w:t>6,913</w:t>
            </w:r>
          </w:p>
        </w:tc>
        <w:tc>
          <w:tcPr>
            <w:tcW w:type="dxa" w:w="1440"/>
            <w:shd w:fill="C6EFCE" w:val="clear"/>
          </w:tcPr>
          <w:p>
            <w:r>
              <w:rPr>
                <w:b/>
                <w:color w:val="008000"/>
                <w:sz w:val="17"/>
              </w:rPr>
              <w:t>+3.4%</w:t>
            </w:r>
          </w:p>
        </w:tc>
      </w:tr>
      <w:tr>
        <w:tc>
          <w:tcPr>
            <w:tcW w:type="dxa" w:w="1440"/>
            <w:shd w:fill="C6EFCE" w:val="clear"/>
          </w:tcPr>
          <w:p>
            <w:r>
              <w:rPr>
                <w:sz w:val="17"/>
              </w:rPr>
              <w:t>J+5  ⭐</w:t>
            </w:r>
          </w:p>
        </w:tc>
        <w:tc>
          <w:tcPr>
            <w:tcW w:type="dxa" w:w="1440"/>
            <w:shd w:fill="C6EFCE" w:val="clear"/>
          </w:tcPr>
          <w:p>
            <w:r>
              <w:rPr>
                <w:sz w:val="17"/>
              </w:rPr>
              <w:t>2026-10-06</w:t>
            </w:r>
          </w:p>
        </w:tc>
        <w:tc>
          <w:tcPr>
            <w:tcW w:type="dxa" w:w="1440"/>
            <w:shd w:fill="C6EFCE" w:val="clear"/>
          </w:tcPr>
          <w:p>
            <w:r>
              <w:rPr>
                <w:sz w:val="17"/>
              </w:rPr>
              <w:t>5,466</w:t>
            </w:r>
          </w:p>
        </w:tc>
        <w:tc>
          <w:tcPr>
            <w:tcW w:type="dxa" w:w="1440"/>
            <w:shd w:fill="C6EFCE" w:val="clear"/>
          </w:tcPr>
          <w:p>
            <w:r>
              <w:rPr>
                <w:b/>
                <w:sz w:val="17"/>
              </w:rPr>
              <w:t>6,273</w:t>
            </w:r>
          </w:p>
        </w:tc>
        <w:tc>
          <w:tcPr>
            <w:tcW w:type="dxa" w:w="1440"/>
            <w:shd w:fill="C6EFCE" w:val="clear"/>
          </w:tcPr>
          <w:p>
            <w:r>
              <w:rPr>
                <w:sz w:val="17"/>
              </w:rPr>
              <w:t>7,081</w:t>
            </w:r>
          </w:p>
        </w:tc>
        <w:tc>
          <w:tcPr>
            <w:tcW w:type="dxa" w:w="1440"/>
            <w:shd w:fill="C6EFCE" w:val="clear"/>
          </w:tcPr>
          <w:p>
            <w:r>
              <w:rPr>
                <w:b/>
                <w:color w:val="008000"/>
                <w:sz w:val="17"/>
              </w:rPr>
              <w:t>+4.6%</w:t>
            </w:r>
          </w:p>
        </w:tc>
      </w:tr>
      <w:tr>
        <w:tc>
          <w:tcPr>
            <w:tcW w:type="dxa" w:w="1440"/>
            <w:shd w:fill="C6EFCE" w:val="clear"/>
          </w:tcPr>
          <w:p>
            <w:r>
              <w:rPr>
                <w:sz w:val="17"/>
              </w:rPr>
              <w:t>J+6  ⭐</w:t>
            </w:r>
          </w:p>
        </w:tc>
        <w:tc>
          <w:tcPr>
            <w:tcW w:type="dxa" w:w="1440"/>
            <w:shd w:fill="C6EFCE" w:val="clear"/>
          </w:tcPr>
          <w:p>
            <w:r>
              <w:rPr>
                <w:sz w:val="17"/>
              </w:rPr>
              <w:t>2026-10-07</w:t>
            </w:r>
          </w:p>
        </w:tc>
        <w:tc>
          <w:tcPr>
            <w:tcW w:type="dxa" w:w="1440"/>
            <w:shd w:fill="C6EFCE" w:val="clear"/>
          </w:tcPr>
          <w:p>
            <w:r>
              <w:rPr>
                <w:sz w:val="17"/>
              </w:rPr>
              <w:t>5,446</w:t>
            </w:r>
          </w:p>
        </w:tc>
        <w:tc>
          <w:tcPr>
            <w:tcW w:type="dxa" w:w="1440"/>
            <w:shd w:fill="C6EFCE" w:val="clear"/>
          </w:tcPr>
          <w:p>
            <w:r>
              <w:rPr>
                <w:b/>
                <w:sz w:val="17"/>
              </w:rPr>
              <w:t>6,340</w:t>
            </w:r>
          </w:p>
        </w:tc>
        <w:tc>
          <w:tcPr>
            <w:tcW w:type="dxa" w:w="1440"/>
            <w:shd w:fill="C6EFCE" w:val="clear"/>
          </w:tcPr>
          <w:p>
            <w:r>
              <w:rPr>
                <w:sz w:val="17"/>
              </w:rPr>
              <w:t>7,233</w:t>
            </w:r>
          </w:p>
        </w:tc>
        <w:tc>
          <w:tcPr>
            <w:tcW w:type="dxa" w:w="1440"/>
            <w:shd w:fill="C6EFCE" w:val="clear"/>
          </w:tcPr>
          <w:p>
            <w:r>
              <w:rPr>
                <w:b/>
                <w:color w:val="008000"/>
                <w:sz w:val="17"/>
              </w:rPr>
              <w:t>+5.7%</w:t>
            </w:r>
          </w:p>
        </w:tc>
      </w:tr>
      <w:tr>
        <w:tc>
          <w:tcPr>
            <w:tcW w:type="dxa" w:w="1440"/>
            <w:shd w:fill="C6EFCE" w:val="clear"/>
          </w:tcPr>
          <w:p>
            <w:r>
              <w:rPr>
                <w:sz w:val="17"/>
              </w:rPr>
              <w:t>J+7  ⭐</w:t>
            </w:r>
          </w:p>
        </w:tc>
        <w:tc>
          <w:tcPr>
            <w:tcW w:type="dxa" w:w="1440"/>
            <w:shd w:fill="C6EFCE" w:val="clear"/>
          </w:tcPr>
          <w:p>
            <w:r>
              <w:rPr>
                <w:sz w:val="17"/>
              </w:rPr>
              <w:t>2026-10-08</w:t>
            </w:r>
          </w:p>
        </w:tc>
        <w:tc>
          <w:tcPr>
            <w:tcW w:type="dxa" w:w="1440"/>
            <w:shd w:fill="C6EFCE" w:val="clear"/>
          </w:tcPr>
          <w:p>
            <w:r>
              <w:rPr>
                <w:sz w:val="17"/>
              </w:rPr>
              <w:t>5,427</w:t>
            </w:r>
          </w:p>
        </w:tc>
        <w:tc>
          <w:tcPr>
            <w:tcW w:type="dxa" w:w="1440"/>
            <w:shd w:fill="C6EFCE" w:val="clear"/>
          </w:tcPr>
          <w:p>
            <w:r>
              <w:rPr>
                <w:b/>
                <w:sz w:val="17"/>
              </w:rPr>
              <w:t>6,401</w:t>
            </w:r>
          </w:p>
        </w:tc>
        <w:tc>
          <w:tcPr>
            <w:tcW w:type="dxa" w:w="1440"/>
            <w:shd w:fill="C6EFCE" w:val="clear"/>
          </w:tcPr>
          <w:p>
            <w:r>
              <w:rPr>
                <w:sz w:val="17"/>
              </w:rPr>
              <w:t>7,376</w:t>
            </w:r>
          </w:p>
        </w:tc>
        <w:tc>
          <w:tcPr>
            <w:tcW w:type="dxa" w:w="1440"/>
            <w:shd w:fill="C6EFCE" w:val="clear"/>
          </w:tcPr>
          <w:p>
            <w:r>
              <w:rPr>
                <w:b/>
                <w:color w:val="008000"/>
                <w:sz w:val="17"/>
              </w:rPr>
              <w:t>+6.8%</w:t>
            </w:r>
          </w:p>
        </w:tc>
      </w:tr>
      <w:tr>
        <w:tc>
          <w:tcPr>
            <w:tcW w:type="dxa" w:w="1440"/>
            <w:shd w:fill="C6EFCE" w:val="clear"/>
          </w:tcPr>
          <w:p>
            <w:r>
              <w:rPr>
                <w:sz w:val="17"/>
              </w:rPr>
              <w:t>J+8  ⭐</w:t>
            </w:r>
          </w:p>
        </w:tc>
        <w:tc>
          <w:tcPr>
            <w:tcW w:type="dxa" w:w="1440"/>
            <w:shd w:fill="C6EFCE" w:val="clear"/>
          </w:tcPr>
          <w:p>
            <w:r>
              <w:rPr>
                <w:sz w:val="17"/>
              </w:rPr>
              <w:t>2026-10-09</w:t>
            </w:r>
          </w:p>
        </w:tc>
        <w:tc>
          <w:tcPr>
            <w:tcW w:type="dxa" w:w="1440"/>
            <w:shd w:fill="C6EFCE" w:val="clear"/>
          </w:tcPr>
          <w:p>
            <w:r>
              <w:rPr>
                <w:sz w:val="17"/>
              </w:rPr>
              <w:t>5,408</w:t>
            </w:r>
          </w:p>
        </w:tc>
        <w:tc>
          <w:tcPr>
            <w:tcW w:type="dxa" w:w="1440"/>
            <w:shd w:fill="C6EFCE" w:val="clear"/>
          </w:tcPr>
          <w:p>
            <w:r>
              <w:rPr>
                <w:b/>
                <w:sz w:val="17"/>
              </w:rPr>
              <w:t>6,460</w:t>
            </w:r>
          </w:p>
        </w:tc>
        <w:tc>
          <w:tcPr>
            <w:tcW w:type="dxa" w:w="1440"/>
            <w:shd w:fill="C6EFCE" w:val="clear"/>
          </w:tcPr>
          <w:p>
            <w:r>
              <w:rPr>
                <w:sz w:val="17"/>
              </w:rPr>
              <w:t>7,512</w:t>
            </w:r>
          </w:p>
        </w:tc>
        <w:tc>
          <w:tcPr>
            <w:tcW w:type="dxa" w:w="1440"/>
            <w:shd w:fill="C6EFCE" w:val="clear"/>
          </w:tcPr>
          <w:p>
            <w:r>
              <w:rPr>
                <w:b/>
                <w:color w:val="008000"/>
                <w:sz w:val="17"/>
              </w:rPr>
              <w:t>+7.8%</w:t>
            </w:r>
          </w:p>
        </w:tc>
      </w:tr>
      <w:tr>
        <w:tc>
          <w:tcPr>
            <w:tcW w:type="dxa" w:w="1440"/>
            <w:shd w:fill="C6EFCE" w:val="clear"/>
          </w:tcPr>
          <w:p>
            <w:r>
              <w:rPr>
                <w:sz w:val="17"/>
              </w:rPr>
              <w:t>J+9  ⭐</w:t>
            </w:r>
          </w:p>
        </w:tc>
        <w:tc>
          <w:tcPr>
            <w:tcW w:type="dxa" w:w="1440"/>
            <w:shd w:fill="C6EFCE" w:val="clear"/>
          </w:tcPr>
          <w:p>
            <w:r>
              <w:rPr>
                <w:sz w:val="17"/>
              </w:rPr>
              <w:t>2026-10-12</w:t>
            </w:r>
          </w:p>
        </w:tc>
        <w:tc>
          <w:tcPr>
            <w:tcW w:type="dxa" w:w="1440"/>
            <w:shd w:fill="C6EFCE" w:val="clear"/>
          </w:tcPr>
          <w:p>
            <w:r>
              <w:rPr>
                <w:sz w:val="17"/>
              </w:rPr>
              <w:t>5,391</w:t>
            </w:r>
          </w:p>
        </w:tc>
        <w:tc>
          <w:tcPr>
            <w:tcW w:type="dxa" w:w="1440"/>
            <w:shd w:fill="C6EFCE" w:val="clear"/>
          </w:tcPr>
          <w:p>
            <w:r>
              <w:rPr>
                <w:b/>
                <w:sz w:val="17"/>
              </w:rPr>
              <w:t>6,516</w:t>
            </w:r>
          </w:p>
        </w:tc>
        <w:tc>
          <w:tcPr>
            <w:tcW w:type="dxa" w:w="1440"/>
            <w:shd w:fill="C6EFCE" w:val="clear"/>
          </w:tcPr>
          <w:p>
            <w:r>
              <w:rPr>
                <w:sz w:val="17"/>
              </w:rPr>
              <w:t>7,641</w:t>
            </w:r>
          </w:p>
        </w:tc>
        <w:tc>
          <w:tcPr>
            <w:tcW w:type="dxa" w:w="1440"/>
            <w:shd w:fill="C6EFCE" w:val="clear"/>
          </w:tcPr>
          <w:p>
            <w:r>
              <w:rPr>
                <w:b/>
                <w:color w:val="008000"/>
                <w:sz w:val="17"/>
              </w:rPr>
              <w:t>+8.7%</w:t>
            </w:r>
          </w:p>
        </w:tc>
      </w:tr>
      <w:tr>
        <w:tc>
          <w:tcPr>
            <w:tcW w:type="dxa" w:w="1440"/>
            <w:shd w:fill="C6EFCE" w:val="clear"/>
          </w:tcPr>
          <w:p>
            <w:r>
              <w:rPr>
                <w:sz w:val="17"/>
              </w:rPr>
              <w:t>J+10  ⭐</w:t>
            </w:r>
          </w:p>
        </w:tc>
        <w:tc>
          <w:tcPr>
            <w:tcW w:type="dxa" w:w="1440"/>
            <w:shd w:fill="C6EFCE" w:val="clear"/>
          </w:tcPr>
          <w:p>
            <w:r>
              <w:rPr>
                <w:sz w:val="17"/>
              </w:rPr>
              <w:t>2026-10-13</w:t>
            </w:r>
          </w:p>
        </w:tc>
        <w:tc>
          <w:tcPr>
            <w:tcW w:type="dxa" w:w="1440"/>
            <w:shd w:fill="C6EFCE" w:val="clear"/>
          </w:tcPr>
          <w:p>
            <w:r>
              <w:rPr>
                <w:sz w:val="17"/>
              </w:rPr>
              <w:t>5,374</w:t>
            </w:r>
          </w:p>
        </w:tc>
        <w:tc>
          <w:tcPr>
            <w:tcW w:type="dxa" w:w="1440"/>
            <w:shd w:fill="C6EFCE" w:val="clear"/>
          </w:tcPr>
          <w:p>
            <w:r>
              <w:rPr>
                <w:b/>
                <w:sz w:val="17"/>
              </w:rPr>
              <w:t>6,570</w:t>
            </w:r>
          </w:p>
        </w:tc>
        <w:tc>
          <w:tcPr>
            <w:tcW w:type="dxa" w:w="1440"/>
            <w:shd w:fill="C6EFCE" w:val="clear"/>
          </w:tcPr>
          <w:p>
            <w:r>
              <w:rPr>
                <w:sz w:val="17"/>
              </w:rPr>
              <w:t>7,766</w:t>
            </w:r>
          </w:p>
        </w:tc>
        <w:tc>
          <w:tcPr>
            <w:tcW w:type="dxa" w:w="1440"/>
            <w:shd w:fill="C6EFCE" w:val="clear"/>
          </w:tcPr>
          <w:p>
            <w:r>
              <w:rPr>
                <w:b/>
                <w:color w:val="008000"/>
                <w:sz w:val="17"/>
              </w:rPr>
              <w:t>+9.6%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164,56 milliards FCFA, BOA Mali se positionne comme une valeur de taille intermédiaire sur la BRVM, représentant un poids significatif dans l'indice sectoriel bancaire. Le BPA de 404 FCFA par action traduit la capacité bénéficiaire de la banque, et le PER de 14,9x indique que les investisseurs paient une prime modérée par rapport au PER moyen de la BRVM (estimé entre 8 et 12x), reflétant une anticipation de croissance ou une qualité perçue supérieure à la moyenne du marché. Le P/B de 3,30x signale que le marché valorise l'action à plus de trois fois sa valeur comptable, accordant une prime de croissance justifiée par la rentabilité élevée des fonds propres (ROE de 22,2%). Enfin, l'EV/EBITDA de 7,6x, situé dans la fourchette raisonnable de 5-10x, suggère que la valeur totale de l'entreprise reste cohérente avec sa capacité opérationnelle, bien que cet indicateur soit moins pertinent pour une banque où le PNB et le résultat net sont les références clés.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progression remarquable de +28,10%, passant d'un plus bas de 4 425 FCFA à un plus haut de 7 195 FCFA, avant de se replier à 5 995 FCFA, soit une correction de -4,00% lors de la dernière séance. Ce range de trading de 2 770 FCFA (environ 62% du cours actuel) témoigne d'une volatilité significative, confirmée par une volatilité annualisée de 43,4%, classant le titre dans la catégorie à volatilité élevée (&gt;30%). La moyenne du cours sur la période s'établit à 5 560 FCFA, très proche de la médiane à 5 592 FCFA, ce qui indique une distribution globalement symétrique du cours, confirmée par un skewness de 0,360 (distribution légèrement étalée vers la droite mais qualifiée de symétrique). L'écart-type de 790 FCFA, avec un coefficient de variation de 14,2%, traduit une dispersion modérée autour de la moyenne, tandis que le kurtosis de -1,020 (distribution platykurtique) signale une faible concentration des rendements et un risque de pics de volatilité moins prononcé qu'une distribution normale. Le mode à 4 690 FCFA, nettement inférieur à la moyenne, suggère que le cours a passé plus de temps dans des zones basses avant son rallye récent, ce qui pourrait indiquer une consolidation en cours après la forte hausse.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6 558,25 FCFA et la MM50 à 6 207,60 FCFA, toutes deux supérieures au cours actuel de 5 995 FCFA. Cette configuration indique que le titre évolue sous ses moyennes mobiles à court et moyen terme, signalant une pression baissière récente. Toutefois, la décision technique affichée est "Achat", probablement en anticipation d'un rebond technique ou d'un croisement haussier à venir, mais la position actuelle du cours sous les deux moyennes incite à la prudence.</w:t>
      </w:r>
    </w:p>
    <w:p>
      <w:pPr>
        <w:spacing w:after="120" w:line="276" w:lineRule="auto"/>
      </w:pPr>
      <w:r>
        <w:t>**Bandes de Bollinger** : La borne supérieure se situe à 7 549,73 FCFA et la borne inférieure à 5 566,77 FCFA, avec un cours actuel de 5 995 FCFA. Le cours évolue dans la partie basse de la bande, à environ 25% de la largeur totale, ce qui suggère une pression vendeuse mais aussi un potentiel de rebond vers la moyenne mobile (6 558 FCFA). La décision "Neutre" reflète l'absence de signal clair, le cours n'étant ni en zone de surachat ni de survente extrême.</w:t>
      </w:r>
    </w:p>
    <w:p>
      <w:pPr>
        <w:spacing w:after="120" w:line="276" w:lineRule="auto"/>
      </w:pPr>
      <w:r>
        <w:t>**MACD** : La valeur du MACD est de -75,057 contre un signal à 41,626, créant une divergence baissière significative où le MACD est nettement inférieur à son signal. Cette configuration confirme un momentum négatif à court terme et justifie la décision "Vente". La divergence négative suggère que la pression baissière pourrait persister à court terme avant un éventuel retournement.</w:t>
      </w:r>
    </w:p>
    <w:p>
      <w:pPr>
        <w:spacing w:after="120" w:line="276" w:lineRule="auto"/>
      </w:pPr>
      <w:r>
        <w:t>**RSI** : Le RSI s'établit à 33,333, se situant dans la zone neutre basse (30-70), proche du seuil de survente (30). La décision "Neutre" est appropriée car le titre n'est pas encore en survente technique, mais la proximité de ce seuil indique que la pression baissière pourrait s'atténuer prochainement, offrant potentiellement une opportunité d'achat contrarien.</w:t>
      </w:r>
    </w:p>
    <w:p>
      <w:pPr>
        <w:spacing w:after="120" w:line="276" w:lineRule="auto"/>
      </w:pPr>
      <w:r>
        <w:t>**Stochastique** : Le %K est à 30,435 et le %D à 40,966, avec un %K inférieur au %D, ce qui constitue un signal baissier (croisement à la baisse). La décision "Neutre" reflète que les deux lignes sont dans la zone basse mais pas encore en survente extrême (&lt;20), suggérant que la correction pourrait se poursuivre légèrement avant un rebond.</w:t>
      </w:r>
    </w:p>
    <w:p>
      <w:pPr>
        <w:spacing w:after="120" w:line="276" w:lineRule="auto"/>
      </w:pPr>
      <w:r>
        <w:t>**Conclusion technique** : Les indicateurs techniques présentent un tableau mitigé à baissier à court terme. Le cours évolue sous ses moyennes mobiles, le MACD est en divergence baissière, et le stochastique montre un croisement négatif. Cependant, le RSI proche de la survente et la position basse dans les bandes de Bollinger suggèrent qu'un rebond technique pourrait se produire prochainement. La convergence des signaux baissiers à court terme contraste avec la décision "Achat" des moyennes mobiles, créant une divergence qui incite à la prudence dans l'attente d'un signal de retournement plus clair.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(états financiers annuels 2025)** : En 2025, BOA Mali affiche un Produit Net Bancaire (PNB) de 37,996 milliards FCFA, en croissance de 5,08% par rapport à 2024, confirmant la dynamique commerciale de la banque. Le résultat net s'établit à 11,081 milliards FCFA, en très forte hausse par rapport aux 9,12 milliards de 2024 (+21,5%), porté par une amélioration du coût du risque et une maîtrise des charges. Le ROE atteint 22,24%, un niveau excellent (&gt;15%), et le ROA de 1,87%, satisfaisant pour le secteur bancaire. Le coefficient d'exploitation de 63,14% reste supérieur au seuil de 60% (banque efficace), indiquant une marge d'amélioration opérationnelle, mais le coût du risque rapporté aux charges financières de 43,39% demeure élevé, signalant un risque de crédit significatif. La structure financière montre une autonomie financière de 8,40% (faible, mais typique des banques) et un ratio d'endettement de 55,33%, avec une solvabilité générale de 109,16% (&gt;1, donc solvable). Les dépôts clientèle s'élèvent à 502,89 milliards FCFA contre des créances clientèle de 253,65 milliards FCFA, soit un ratio de transformation (crédits/dépôts) de 50,4%, indiquant une surliquidité mais aussi une sous-utilisation des dépôts pour générer des revenus d'intérêt.</w:t>
      </w:r>
    </w:p>
    <w:p>
      <w:pPr>
        <w:spacing w:after="120" w:line="276" w:lineRule="auto"/>
      </w:pPr>
      <w:r>
        <w:t>**Estimations basées sur les rapports trimestriels** : Le rapport du T1 2026 (publié le 31/03/2026) révèle un PNB de 10,322 milliards FCFA, en hausse de +22,97% sur un an, et le rapport du S1 2026 (publié le 30/06/2026) affiche un PNB de 21,987 milliards FCFA, en croissance de +17,5%. Sur la base de ces tendances, on peut estimer que l'exercice 2026 devrait enregistrer un PNB annuel compris entre 42 et 44 milliards FCFA, soit une croissance de 10 à 15% par rapport à 2025, et un résultat net potentiellement supérieur à 12 milliards FCFA si la maîtrise des coûts se poursuit. Le rapport du T3 2025 (30/09/2025) indiquait déjà un résultat net cumulé de 9,16 milliards FCFA (+26,2%), confirmant la trajectoire haussière de la rentabilité. Les rapports antérieurs (S1 2025, T1 2025) montrent une résilience remarquable dans un contexte malien difficile (insécurité, inflation), avec une collecte de dépôts en hausse (+9,2% depuis fin 2024) malgré une contraction du portefeuille de crédits (-8,6%), ce qui explique la surliquidité actuelle.</w:t>
      </w:r>
    </w:p>
    <w:p>
      <w:pPr>
        <w:spacing w:after="120" w:line="276" w:lineRule="auto"/>
      </w:pPr>
      <w:r>
        <w:t>**Recommandation fondamentale** : BOA Mali présente des fondamentaux solides avec une rentabilité élevée (ROE &gt;22%), une croissance du PNB à deux chiffres en 2026, et une structure financière solvable. Les principaux risques sont le coût du risque élevé (43,4% des charges financières), la dépendance à l'économie malienne (insécurité, inflation), et la faible autonomie financière (8,4%). La surliquidité (ratio crédits/dépôts de 50%) constitue une opportunité de croissance si la banque parvient à redéployer ses dépôts en crédits. La recommandation fondamentale est **CONSERVER** avec un biais positif, en attendant la confirmation de la tendance bénéficiaire et une amélioration du coefficient d'exploitation.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BOAM (PER 14,9x, P/B 3,30x, EV/EBITDA 7,6x) indique une action correctement valorisée, voire légèrement surévaluée par rapport à la moyenne du marché BRVM, mais justifiée par une rentabilité supérieure (ROE 22,2%). Le comportement du cours sur 100 jours (+28,10%) témoigne d'un fort momentum haussier, mais la correction récente (-4,00% en J-1) et la volatilité élevée (43,4%) suggèrent une prise de bénéfices après le rallye. Les statistiques descriptives (skewness 0,360, kurtosis -1,020) indiquent une distribution symétrique avec un risque de pics modéré, ce qui est rassurant pour la gestion du risque. Les signaux techniques sont mitigés à baissiers à court terme (MACD en divergence négative, cours sous les moyennes mobiles, stochastique baissier), mais le RSI proche de la survente et la position basse dans les bandes de Bollinger suggèrent un potentiel rebond. Les fondamentaux sont solides (PNB +5,08% en 2025, résultat net +21,5%, ROE 22,2%) et les estimations basées sur les rapports T1 2026 (+22,97% de PNB) et S1 2026 (+17,5%) confirment une accélération de la croissance en 2026. Les prédictions IA (J+1 à J+10) anticipent une reprise progressive du cours, de 5 952 FCFA à 6 273 FCFA, ce qui confirme la thèse d'un rebond technique après la correction actuelle. Sur la base de cette synthèse, la recommandation finale est **CONSERVER** avec un biais acheteur pour les investisseurs déjà positionnés, et **ACHAT** pour les nouveaux entrants en cas de repli vers 5 800-5 900 FCFA. Le niveau de confiance est **Moyen** (les signaux techniques baissiers à court terme tempèrent l'optimisme fondamental), et le niveau de risque global est **Moyen** (volatilité élevée mais fondamentaux solides). L'horizon d'investissement optimal est **moyen terme (3-12 mois)**, le temps que la tendance haussière fondamentale se matérialise dans le cours et que les indicateurs techniques se retournent à la hausse.</w:t>
      </w:r>
    </w:p>
    <w:p>
      <w:pPr>
        <w:spacing w:after="120" w:line="276" w:lineRule="auto"/>
      </w:pPr>
      <w:r>
        <w:t>---</w:t>
      </w:r>
    </w:p>
    <w:p>
      <w:pPr>
        <w:spacing w:after="120" w:line="276" w:lineRule="auto"/>
      </w:pPr>
      <w:r>
        <w:t>*Rapport généré le 29 septembre 2026 — Les données utilisées proviennent des états financiers 2025, des rapports trimestriels 2025-2026 et des analyses techniques au 29/09/2026. Ce rapport ne constitue pas un conseil en investissement.*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10.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111.28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9,048 titres</w:t>
            </w:r>
          </w:p>
        </w:tc>
        <w:tc>
          <w:tcPr>
            <w:tcW w:type="dxa" w:w="2268"/>
            <w:shd w:fill="FFF2CC" w:val="clear"/>
          </w:tcPr>
          <w:p>
            <w:r>
              <w:rPr>
                <w:b/>
                <w:color w:val="503200"/>
                <w:sz w:val="16"/>
              </w:rPr>
              <w:t xml:space="preserve">Cours actuel : </w:t>
            </w:r>
            <w:r>
              <w:rPr>
                <w:color w:val="000000"/>
                <w:sz w:val="17"/>
              </w:rPr>
              <w:t>5,350 FCFA</w:t>
            </w:r>
          </w:p>
          <w:p>
            <w:r>
              <w:rPr>
                <w:b/>
                <w:color w:val="503200"/>
                <w:sz w:val="16"/>
              </w:rPr>
              <w:t xml:space="preserve">Var. 100 jours : </w:t>
            </w:r>
            <w:r>
              <w:rPr>
                <w:b/>
                <w:color w:val="007800"/>
                <w:sz w:val="17"/>
              </w:rPr>
              <w:t>+52.86%</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3,395 FCFA</w:t>
            </w:r>
          </w:p>
          <w:p>
            <w:r>
              <w:rPr>
                <w:b/>
                <w:color w:val="503200"/>
                <w:sz w:val="16"/>
              </w:rPr>
              <w:t xml:space="preserve">Volatilité ann. : </w:t>
            </w:r>
            <w:r>
              <w:rPr>
                <w:color w:val="000000"/>
                <w:sz w:val="17"/>
              </w:rPr>
              <w:t>40.3%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16.42% (Élevée) — μ=4,619 FCFA, σ=759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β=1.3032 (Agressif) — Cov=0.000089, Var(idx)=0.000069, ρ=0.442,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9,048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6976"/>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2026-09-30</w:t>
            </w:r>
          </w:p>
        </w:tc>
        <w:tc>
          <w:tcPr>
            <w:tcW w:type="dxa" w:w="1440"/>
            <w:shd w:fill="FAFAFA" w:val="clear"/>
          </w:tcPr>
          <w:p>
            <w:r>
              <w:rPr>
                <w:sz w:val="17"/>
              </w:rPr>
              <w:t>5,079</w:t>
            </w:r>
          </w:p>
        </w:tc>
        <w:tc>
          <w:tcPr>
            <w:tcW w:type="dxa" w:w="1440"/>
            <w:shd w:fill="FAFAFA" w:val="clear"/>
          </w:tcPr>
          <w:p>
            <w:r>
              <w:rPr>
                <w:b/>
                <w:sz w:val="17"/>
              </w:rPr>
              <w:t>5,357</w:t>
            </w:r>
          </w:p>
        </w:tc>
        <w:tc>
          <w:tcPr>
            <w:tcW w:type="dxa" w:w="1440"/>
            <w:shd w:fill="FAFAFA" w:val="clear"/>
          </w:tcPr>
          <w:p>
            <w:r>
              <w:rPr>
                <w:sz w:val="17"/>
              </w:rPr>
              <w:t>5,635</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2026-10-01</w:t>
            </w:r>
          </w:p>
        </w:tc>
        <w:tc>
          <w:tcPr>
            <w:tcW w:type="dxa" w:w="1440"/>
            <w:shd w:fill="FAFAFA" w:val="clear"/>
          </w:tcPr>
          <w:p>
            <w:r>
              <w:rPr>
                <w:sz w:val="17"/>
              </w:rPr>
              <w:t>4,974</w:t>
            </w:r>
          </w:p>
        </w:tc>
        <w:tc>
          <w:tcPr>
            <w:tcW w:type="dxa" w:w="1440"/>
            <w:shd w:fill="FAFAFA" w:val="clear"/>
          </w:tcPr>
          <w:p>
            <w:r>
              <w:rPr>
                <w:b/>
                <w:sz w:val="17"/>
              </w:rPr>
              <w:t>5,368</w:t>
            </w:r>
          </w:p>
        </w:tc>
        <w:tc>
          <w:tcPr>
            <w:tcW w:type="dxa" w:w="1440"/>
            <w:shd w:fill="FAFAFA" w:val="clear"/>
          </w:tcPr>
          <w:p>
            <w:r>
              <w:rPr>
                <w:sz w:val="17"/>
              </w:rPr>
              <w:t>5,762</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2026-10-02</w:t>
            </w:r>
          </w:p>
        </w:tc>
        <w:tc>
          <w:tcPr>
            <w:tcW w:type="dxa" w:w="1440"/>
            <w:shd w:fill="FAFAFA" w:val="clear"/>
          </w:tcPr>
          <w:p>
            <w:r>
              <w:rPr>
                <w:sz w:val="17"/>
              </w:rPr>
              <w:t>4,882</w:t>
            </w:r>
          </w:p>
        </w:tc>
        <w:tc>
          <w:tcPr>
            <w:tcW w:type="dxa" w:w="1440"/>
            <w:shd w:fill="FAFAFA" w:val="clear"/>
          </w:tcPr>
          <w:p>
            <w:r>
              <w:rPr>
                <w:b/>
                <w:sz w:val="17"/>
              </w:rPr>
              <w:t>5,364</w:t>
            </w:r>
          </w:p>
        </w:tc>
        <w:tc>
          <w:tcPr>
            <w:tcW w:type="dxa" w:w="1440"/>
            <w:shd w:fill="FAFAFA" w:val="clear"/>
          </w:tcPr>
          <w:p>
            <w:r>
              <w:rPr>
                <w:sz w:val="17"/>
              </w:rPr>
              <w:t>5,846</w:t>
            </w:r>
          </w:p>
        </w:tc>
        <w:tc>
          <w:tcPr>
            <w:tcW w:type="dxa" w:w="1440"/>
            <w:shd w:fill="FAFAFA" w:val="clear"/>
          </w:tcPr>
          <w:p>
            <w:r>
              <w:rPr>
                <w:b/>
                <w:color w:val="008000"/>
                <w:sz w:val="17"/>
              </w:rPr>
              <w:t>+0.3%</w:t>
            </w:r>
          </w:p>
        </w:tc>
      </w:tr>
      <w:tr>
        <w:tc>
          <w:tcPr>
            <w:tcW w:type="dxa" w:w="1440"/>
            <w:shd w:fill="FAFAFA" w:val="clear"/>
          </w:tcPr>
          <w:p>
            <w:r>
              <w:rPr>
                <w:sz w:val="17"/>
              </w:rPr>
              <w:t>J+4  ⭐</w:t>
            </w:r>
          </w:p>
        </w:tc>
        <w:tc>
          <w:tcPr>
            <w:tcW w:type="dxa" w:w="1440"/>
            <w:shd w:fill="FAFAFA" w:val="clear"/>
          </w:tcPr>
          <w:p>
            <w:r>
              <w:rPr>
                <w:sz w:val="17"/>
              </w:rPr>
              <w:t>2026-10-05</w:t>
            </w:r>
          </w:p>
        </w:tc>
        <w:tc>
          <w:tcPr>
            <w:tcW w:type="dxa" w:w="1440"/>
            <w:shd w:fill="FAFAFA" w:val="clear"/>
          </w:tcPr>
          <w:p>
            <w:r>
              <w:rPr>
                <w:sz w:val="17"/>
              </w:rPr>
              <w:t>4,803</w:t>
            </w:r>
          </w:p>
        </w:tc>
        <w:tc>
          <w:tcPr>
            <w:tcW w:type="dxa" w:w="1440"/>
            <w:shd w:fill="FAFAFA" w:val="clear"/>
          </w:tcPr>
          <w:p>
            <w:r>
              <w:rPr>
                <w:b/>
                <w:sz w:val="17"/>
              </w:rPr>
              <w:t>5,359</w:t>
            </w:r>
          </w:p>
        </w:tc>
        <w:tc>
          <w:tcPr>
            <w:tcW w:type="dxa" w:w="1440"/>
            <w:shd w:fill="FAFAFA" w:val="clear"/>
          </w:tcPr>
          <w:p>
            <w:r>
              <w:rPr>
                <w:sz w:val="17"/>
              </w:rPr>
              <w:t>5,916</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2026-10-06</w:t>
            </w:r>
          </w:p>
        </w:tc>
        <w:tc>
          <w:tcPr>
            <w:tcW w:type="dxa" w:w="1440"/>
            <w:shd w:fill="FAFAFA" w:val="clear"/>
          </w:tcPr>
          <w:p>
            <w:r>
              <w:rPr>
                <w:sz w:val="17"/>
              </w:rPr>
              <w:t>4,734</w:t>
            </w:r>
          </w:p>
        </w:tc>
        <w:tc>
          <w:tcPr>
            <w:tcW w:type="dxa" w:w="1440"/>
            <w:shd w:fill="FAFAFA" w:val="clear"/>
          </w:tcPr>
          <w:p>
            <w:r>
              <w:rPr>
                <w:b/>
                <w:sz w:val="17"/>
              </w:rPr>
              <w:t>5,356</w:t>
            </w:r>
          </w:p>
        </w:tc>
        <w:tc>
          <w:tcPr>
            <w:tcW w:type="dxa" w:w="1440"/>
            <w:shd w:fill="FAFAFA" w:val="clear"/>
          </w:tcPr>
          <w:p>
            <w:r>
              <w:rPr>
                <w:sz w:val="17"/>
              </w:rPr>
              <w:t>5,977</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2026-10-07</w:t>
            </w:r>
          </w:p>
        </w:tc>
        <w:tc>
          <w:tcPr>
            <w:tcW w:type="dxa" w:w="1440"/>
            <w:shd w:fill="FAFAFA" w:val="clear"/>
          </w:tcPr>
          <w:p>
            <w:r>
              <w:rPr>
                <w:sz w:val="17"/>
              </w:rPr>
              <w:t>4,672</w:t>
            </w:r>
          </w:p>
        </w:tc>
        <w:tc>
          <w:tcPr>
            <w:tcW w:type="dxa" w:w="1440"/>
            <w:shd w:fill="FAFAFA" w:val="clear"/>
          </w:tcPr>
          <w:p>
            <w:r>
              <w:rPr>
                <w:b/>
                <w:sz w:val="17"/>
              </w:rPr>
              <w:t>5,352</w:t>
            </w:r>
          </w:p>
        </w:tc>
        <w:tc>
          <w:tcPr>
            <w:tcW w:type="dxa" w:w="1440"/>
            <w:shd w:fill="FAFAFA" w:val="clear"/>
          </w:tcPr>
          <w:p>
            <w:r>
              <w:rPr>
                <w:sz w:val="17"/>
              </w:rPr>
              <w:t>6,033</w:t>
            </w:r>
          </w:p>
        </w:tc>
        <w:tc>
          <w:tcPr>
            <w:tcW w:type="dxa" w:w="1440"/>
            <w:shd w:fill="FAFAFA" w:val="clear"/>
          </w:tcPr>
          <w:p>
            <w:r>
              <w:rPr>
                <w:b/>
                <w:color w:val="008000"/>
                <w:sz w:val="17"/>
              </w:rPr>
              <w:t>+0.0%</w:t>
            </w:r>
          </w:p>
        </w:tc>
      </w:tr>
      <w:tr>
        <w:tc>
          <w:tcPr>
            <w:tcW w:type="dxa" w:w="1440"/>
            <w:shd w:fill="FAFAFA" w:val="clear"/>
          </w:tcPr>
          <w:p>
            <w:r>
              <w:rPr>
                <w:sz w:val="17"/>
              </w:rPr>
              <w:t>J+7  ⭐</w:t>
            </w:r>
          </w:p>
        </w:tc>
        <w:tc>
          <w:tcPr>
            <w:tcW w:type="dxa" w:w="1440"/>
            <w:shd w:fill="FAFAFA" w:val="clear"/>
          </w:tcPr>
          <w:p>
            <w:r>
              <w:rPr>
                <w:sz w:val="17"/>
              </w:rPr>
              <w:t>2026-10-08</w:t>
            </w:r>
          </w:p>
        </w:tc>
        <w:tc>
          <w:tcPr>
            <w:tcW w:type="dxa" w:w="1440"/>
            <w:shd w:fill="FAFAFA" w:val="clear"/>
          </w:tcPr>
          <w:p>
            <w:r>
              <w:rPr>
                <w:sz w:val="17"/>
              </w:rPr>
              <w:t>4,615</w:t>
            </w:r>
          </w:p>
        </w:tc>
        <w:tc>
          <w:tcPr>
            <w:tcW w:type="dxa" w:w="1440"/>
            <w:shd w:fill="FAFAFA" w:val="clear"/>
          </w:tcPr>
          <w:p>
            <w:r>
              <w:rPr>
                <w:b/>
                <w:sz w:val="17"/>
              </w:rPr>
              <w:t>5,349</w:t>
            </w:r>
          </w:p>
        </w:tc>
        <w:tc>
          <w:tcPr>
            <w:tcW w:type="dxa" w:w="1440"/>
            <w:shd w:fill="FAFAFA" w:val="clear"/>
          </w:tcPr>
          <w:p>
            <w:r>
              <w:rPr>
                <w:sz w:val="17"/>
              </w:rPr>
              <w:t>6,084</w:t>
            </w:r>
          </w:p>
        </w:tc>
        <w:tc>
          <w:tcPr>
            <w:tcW w:type="dxa" w:w="1440"/>
            <w:shd w:fill="FAFAFA" w:val="clear"/>
          </w:tcPr>
          <w:p>
            <w:r>
              <w:rPr>
                <w:b/>
                <w:color w:val="C00000"/>
                <w:sz w:val="17"/>
              </w:rPr>
              <w:t>-0.0%</w:t>
            </w:r>
          </w:p>
        </w:tc>
      </w:tr>
      <w:tr>
        <w:tc>
          <w:tcPr>
            <w:tcW w:type="dxa" w:w="1440"/>
            <w:shd w:fill="FAFAFA" w:val="clear"/>
          </w:tcPr>
          <w:p>
            <w:r>
              <w:rPr>
                <w:sz w:val="17"/>
              </w:rPr>
              <w:t>J+8  ⭐</w:t>
            </w:r>
          </w:p>
        </w:tc>
        <w:tc>
          <w:tcPr>
            <w:tcW w:type="dxa" w:w="1440"/>
            <w:shd w:fill="FAFAFA" w:val="clear"/>
          </w:tcPr>
          <w:p>
            <w:r>
              <w:rPr>
                <w:sz w:val="17"/>
              </w:rPr>
              <w:t>2026-10-09</w:t>
            </w:r>
          </w:p>
        </w:tc>
        <w:tc>
          <w:tcPr>
            <w:tcW w:type="dxa" w:w="1440"/>
            <w:shd w:fill="FAFAFA" w:val="clear"/>
          </w:tcPr>
          <w:p>
            <w:r>
              <w:rPr>
                <w:sz w:val="17"/>
              </w:rPr>
              <w:t>4,562</w:t>
            </w:r>
          </w:p>
        </w:tc>
        <w:tc>
          <w:tcPr>
            <w:tcW w:type="dxa" w:w="1440"/>
            <w:shd w:fill="FAFAFA" w:val="clear"/>
          </w:tcPr>
          <w:p>
            <w:r>
              <w:rPr>
                <w:b/>
                <w:sz w:val="17"/>
              </w:rPr>
              <w:t>5,346</w:t>
            </w:r>
          </w:p>
        </w:tc>
        <w:tc>
          <w:tcPr>
            <w:tcW w:type="dxa" w:w="1440"/>
            <w:shd w:fill="FAFAFA" w:val="clear"/>
          </w:tcPr>
          <w:p>
            <w:r>
              <w:rPr>
                <w:sz w:val="17"/>
              </w:rPr>
              <w:t>6,131</w:t>
            </w:r>
          </w:p>
        </w:tc>
        <w:tc>
          <w:tcPr>
            <w:tcW w:type="dxa" w:w="1440"/>
            <w:shd w:fill="FAFAFA" w:val="clear"/>
          </w:tcPr>
          <w:p>
            <w:r>
              <w:rPr>
                <w:b/>
                <w:color w:val="C00000"/>
                <w:sz w:val="17"/>
              </w:rPr>
              <w:t>-0.1%</w:t>
            </w:r>
          </w:p>
        </w:tc>
      </w:tr>
      <w:tr>
        <w:tc>
          <w:tcPr>
            <w:tcW w:type="dxa" w:w="1440"/>
            <w:shd w:fill="FAFAFA" w:val="clear"/>
          </w:tcPr>
          <w:p>
            <w:r>
              <w:rPr>
                <w:sz w:val="17"/>
              </w:rPr>
              <w:t>J+9  ⭐</w:t>
            </w:r>
          </w:p>
        </w:tc>
        <w:tc>
          <w:tcPr>
            <w:tcW w:type="dxa" w:w="1440"/>
            <w:shd w:fill="FAFAFA" w:val="clear"/>
          </w:tcPr>
          <w:p>
            <w:r>
              <w:rPr>
                <w:sz w:val="17"/>
              </w:rPr>
              <w:t>2026-10-12</w:t>
            </w:r>
          </w:p>
        </w:tc>
        <w:tc>
          <w:tcPr>
            <w:tcW w:type="dxa" w:w="1440"/>
            <w:shd w:fill="FAFAFA" w:val="clear"/>
          </w:tcPr>
          <w:p>
            <w:r>
              <w:rPr>
                <w:sz w:val="17"/>
              </w:rPr>
              <w:t>4,512</w:t>
            </w:r>
          </w:p>
        </w:tc>
        <w:tc>
          <w:tcPr>
            <w:tcW w:type="dxa" w:w="1440"/>
            <w:shd w:fill="FAFAFA" w:val="clear"/>
          </w:tcPr>
          <w:p>
            <w:r>
              <w:rPr>
                <w:b/>
                <w:sz w:val="17"/>
              </w:rPr>
              <w:t>5,344</w:t>
            </w:r>
          </w:p>
        </w:tc>
        <w:tc>
          <w:tcPr>
            <w:tcW w:type="dxa" w:w="1440"/>
            <w:shd w:fill="FAFAFA" w:val="clear"/>
          </w:tcPr>
          <w:p>
            <w:r>
              <w:rPr>
                <w:sz w:val="17"/>
              </w:rPr>
              <w:t>6,176</w:t>
            </w:r>
          </w:p>
        </w:tc>
        <w:tc>
          <w:tcPr>
            <w:tcW w:type="dxa" w:w="1440"/>
            <w:shd w:fill="FAFAFA" w:val="clear"/>
          </w:tcPr>
          <w:p>
            <w:r>
              <w:rPr>
                <w:b/>
                <w:color w:val="C00000"/>
                <w:sz w:val="17"/>
              </w:rPr>
              <w:t>-0.1%</w:t>
            </w:r>
          </w:p>
        </w:tc>
      </w:tr>
      <w:tr>
        <w:tc>
          <w:tcPr>
            <w:tcW w:type="dxa" w:w="1440"/>
            <w:shd w:fill="FAFAFA" w:val="clear"/>
          </w:tcPr>
          <w:p>
            <w:r>
              <w:rPr>
                <w:sz w:val="17"/>
              </w:rPr>
              <w:t>J+10  ⭐</w:t>
            </w:r>
          </w:p>
        </w:tc>
        <w:tc>
          <w:tcPr>
            <w:tcW w:type="dxa" w:w="1440"/>
            <w:shd w:fill="FAFAFA" w:val="clear"/>
          </w:tcPr>
          <w:p>
            <w:r>
              <w:rPr>
                <w:sz w:val="17"/>
              </w:rPr>
              <w:t>2026-10-13</w:t>
            </w:r>
          </w:p>
        </w:tc>
        <w:tc>
          <w:tcPr>
            <w:tcW w:type="dxa" w:w="1440"/>
            <w:shd w:fill="FAFAFA" w:val="clear"/>
          </w:tcPr>
          <w:p>
            <w:r>
              <w:rPr>
                <w:sz w:val="17"/>
              </w:rPr>
              <w:t>4,464</w:t>
            </w:r>
          </w:p>
        </w:tc>
        <w:tc>
          <w:tcPr>
            <w:tcW w:type="dxa" w:w="1440"/>
            <w:shd w:fill="FAFAFA" w:val="clear"/>
          </w:tcPr>
          <w:p>
            <w:r>
              <w:rPr>
                <w:b/>
                <w:sz w:val="17"/>
              </w:rPr>
              <w:t>5,341</w:t>
            </w:r>
          </w:p>
        </w:tc>
        <w:tc>
          <w:tcPr>
            <w:tcW w:type="dxa" w:w="1440"/>
            <w:shd w:fill="FAFAFA" w:val="clear"/>
          </w:tcPr>
          <w:p>
            <w:r>
              <w:rPr>
                <w:sz w:val="17"/>
              </w:rPr>
              <w:t>6,217</w:t>
            </w:r>
          </w:p>
        </w:tc>
        <w:tc>
          <w:tcPr>
            <w:tcW w:type="dxa" w:w="1440"/>
            <w:shd w:fill="FAFAFA" w:val="clear"/>
          </w:tcPr>
          <w:p>
            <w:r>
              <w:rPr>
                <w:b/>
                <w:color w:val="C00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 RAPPORT D'ANALYSE FINANCIÈRE — BOAN (Bank of Africa Niger)</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111,28 milliards FCFA, BOAN se positionne comme une valeur de taille moyenne sur le compartiment bancaire de la BRVM, représentant une capitalisation modeste à l'échelle régionale mais significative pour le marché nigérien. Le BPA de 20 FCFA/action traduit un bénéfice net par titre extrêmement faible, conséquence directe de l'effondrement du résultat net 2025 à 409 millions FCFA. Le PER de 272,1x constitue un signal d'alerte majeur : les investisseurs paient plus de 270 fois les bénéfices actuels, très loin du PER moyen BRVM (~8-12x), ce qui traduit soit une anticipation de rebond spectaculaire, soit une décorrélation totale entre le cours et la rentabilité effective. Le P/B de 3,09x indique que le marché valorise la banque à plus de trois fois ses fonds propres comptables (36,06 Mds FCFA), une prime de croissance difficilement justifiable au regard du ROE de 1,13%. Enfin, l'EV/EBITDA de 40,5x, très supérieur au seuil de 15x généralement considéré comme exigeant, confirme que la valorisation actuelle intègre des hypothèses de redressement très optimistes qui restent à démontrer.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BOAN affiche une progression spectaculaire de +52,86%, portant le cours à 5 350 FCFA, malgré un repli de -2,90% lors de la dernière séance qui marque une pause dans l'élan haussier. Le range de trading est particulièrement large, avec un plus haut à 5 645 FCFA et un plus bas à 3 395 FCFA, soit un écart de 2 250 FCFA (66% du plus bas) qui témoigne d'une forte amplitude de mouvement. La tendance générale est nettement haussière, soutenue par les anticipations de redressement post-sanctions et les résultats encourageants du T1 2026. Les statistiques descriptives révèlent une moyenne de 4 619 FCFA inférieure à la médiane de 4 988 FCFA, suggérant que les cours récents se situent dans la partie haute de la distribution, tandis que le mode à 3 700 FCFA rappelle le point d'ancrage historique. L'écart-type de 762 FCFA avec un coefficient de variation de 16,5% indique une dispersion modérée autour de la moyenne, mais la volatilité annualisée de 40,3% classe le titre dans la catégorie des valeurs très volatiles (&gt;30%), ce qui implique un risque de marché élevé. Le kurtosis de -1,618 (distribution platykurtique) signale une faible concentration des rendements et un risque de pics extrêmes limité, tandis que le skewness de -0,269 (quasi-symétrique) indique une légère prédominance des mouvements baissiers, sans asymétrie marquée.</w:t>
      </w:r>
    </w:p>
    <w:p>
      <w:pPr>
        <w:spacing w:after="120" w:line="276" w:lineRule="auto"/>
      </w:pPr>
      <w:r>
        <w:t>---</w:t>
      </w:r>
    </w:p>
    <w:p>
      <w:pPr>
        <w:spacing w:after="120" w:line="276" w:lineRule="auto"/>
      </w:pPr>
      <w:r>
        <w:t>## PARTIE 2 : ANALYSE TECHNIQUE DÉTAILLÉE</w:t>
      </w:r>
    </w:p>
    <w:p>
      <w:pPr>
        <w:spacing w:after="120" w:line="276" w:lineRule="auto"/>
      </w:pPr>
      <w:r>
        <w:t>**Moyennes Mobiles** : La MM20 à 5 309,25 FCFA et la MM50 à 5 281,70 FCFA se situent toutes deux sous le cours actuel de 5 350 FCFA, configurant un signal d'achat classique où le prix évolue au-dessus de ses moyennes de court et moyen terme. L'écart positif entre le cours et ces moyennes reste toutefois modeste (+0,8% vs MM20, +1,3% vs MM50), ce qui suggère un momentum haussier qui s'essouffle quelque peu. La décision technique « Achat » est justifiée par cette configuration, mais la faible amplitude de l'écart appelle à la prudence.</w:t>
      </w:r>
    </w:p>
    <w:p>
      <w:pPr>
        <w:spacing w:after="120" w:line="276" w:lineRule="auto"/>
      </w:pPr>
      <w:r>
        <w:t>**Bandes de Bollinger** : Le cours à 5 350 FCFA se situe dans la partie médiane-haute de la bande, entre la borne inférieure à 4 761,57 FCFA et la borne supérieure à 5 856,93 FCFA, sans atteindre les extrêmes. Cette position centrale, couplée à une largeur de bande importante (1 095 FCFA), reflète une volatilité élevée mais sans tension directionnelle immédiate. La décision « Neutre » est cohérente avec cette configuration équilibrée, le marché attendant un catalyseur pour choisir sa direction.</w:t>
      </w:r>
    </w:p>
    <w:p>
      <w:pPr>
        <w:spacing w:after="120" w:line="276" w:lineRule="auto"/>
      </w:pPr>
      <w:r>
        <w:t>**MACD** : La valeur du MACD à -31,55 est inférieure à sa ligne de signal à -17,884, générant un histogramme négatif qui traduit un momentum baissier de court terme. Cette divergence négative, bien que modérée, contredit la configuration des moyennes mobiles et suggère un essoufflement de la tendance haussière récente. La décision « Vente » émise par cet indicateur doit être pondérée par la faiblesse de l'écart entre les deux lignes.</w:t>
      </w:r>
    </w:p>
    <w:p>
      <w:pPr>
        <w:spacing w:after="120" w:line="276" w:lineRule="auto"/>
      </w:pPr>
      <w:r>
        <w:t>**RSI** : À 47,38, le RSI se situe parfaitement dans la zone neutre (30-70), sans signal de surachat ni de survente. Cette valeur médiane indique un équilibre entre acheteurs et vendeurs, sans pression directionnelle dominante. La décision « Neutre » est appropriée et confirme l'absence de signal fort à court terme.</w:t>
      </w:r>
    </w:p>
    <w:p>
      <w:pPr>
        <w:spacing w:after="120" w:line="276" w:lineRule="auto"/>
      </w:pPr>
      <w:r>
        <w:t>**Stochastique** : Le %K à 76,56 et le %D à 74,64 se situent tous deux dans la zone haute (proche de 80), sans franchissement du seuil de surachat à 80. L'écart positif entre %K et %D (%K &gt; %D) suggère une dynamique haussière résiduelle, mais la proximité des deux lignes indique un essoufflement possible. La décision « Neutre » reflète cette configuration ambiguë, entre momentum haussier et risque de retournement.</w:t>
      </w:r>
    </w:p>
    <w:p>
      <w:pPr>
        <w:spacing w:after="120" w:line="276" w:lineRule="auto"/>
      </w:pPr>
      <w:r>
        <w:t>**Conclusion technique** : Les indicateurs techniques présentent une configuration mitigée, avec un signal d'achat des moyennes mobiles contredit par le MACD baissier, tandis que le RSI, les Bandes de Bollinger et le Stochastique restent neutres. Cette divergence suggère une phase de consolidation ou d'indécision du marché, avec un biais haussier fragile qui pourrait se retourner si le MACD continue de se dégrader. La prudence est de mise à court terme, en attendant une clarification des signaux.</w:t>
      </w:r>
    </w:p>
    <w:p>
      <w:pPr>
        <w:spacing w:after="120" w:line="276" w:lineRule="auto"/>
      </w:pPr>
      <w:r>
        <w:t>---</w:t>
      </w:r>
    </w:p>
    <w:p>
      <w:pPr>
        <w:spacing w:after="120" w:line="276" w:lineRule="auto"/>
      </w:pPr>
      <w:r>
        <w:t>## PARTIE 3 : ANALYSE FONDAMENTALE (SECTION CRITIQUE)</w:t>
      </w:r>
    </w:p>
    <w:p>
      <w:pPr>
        <w:spacing w:after="120" w:line="276" w:lineRule="auto"/>
      </w:pPr>
      <w:r>
        <w:t>**Données structurées 2025 (états financiers annuels)** : En 2025, BOAN a enregistré un Produit Net Bancaire (PNB) de 21 125 millions FCFA, en léger repli de -1,2% par rapport à 2024 (21 380 M FCFA), dans un contexte de contraction du secteur bancaire nigérien. Le résultat net s'est effondré à 409 millions FCFA, contre 5 002 millions FCFA en 2024, soit une chute de -91,8%, principalement due à une provision exceptionnelle de 4,8 milliards FCFA liée au niveau élevé de risque sectoriel (taux de sinistralité de 24%). Les ratios de rentabilité se sont dégradés en conséquence : le ROE chute à 1,13% (contre 11,39% en 2024) et le ROA à 0,14% (contre 1,49%), des niveaux très inférieurs aux standards bancaires. Le coefficient d'exploitation, à 74,37%, demeure élevé (seuil d'efficacité &lt;60%), reflétant une structure de coûts encore lourde malgré les efforts de rationalisation. Le coût du risque, à 67,30% des charges financières, reste préoccupant et traduit la nécessité d'assainir le portefeuille de crédits, dont les encours ont reculé de -20,9% à 128 447 millions FCFA, tandis que les dépôts clientèle progressent de +4,0% à 189 867 millions FCFA, améliorant le ratio de transformation.</w:t>
      </w:r>
    </w:p>
    <w:p>
      <w:pPr>
        <w:spacing w:after="120" w:line="276" w:lineRule="auto"/>
      </w:pPr>
      <w:r>
        <w:t>**Estimations basées sur les rapports trimestriels** : Le rapport du T1 2026 (publié le 31 mars 2026, analysé le 5 septembre 2026) révèle un net redressement : le PNB progresse de +7,9% à 5 170 millions FCFA, le résultat net bondit de +28,9% à 1 467,3 millions FCFA, et le coefficient d'exploitation s'améliore à 56,2% (contre 66,8% un an plus tôt). Le coût du risque, bien qu'en hausse de +104,3% à 673,1 millions FCFA, reste maîtrisé dans le cadre de l'assainissement du portefeuille. Sur la base de ce rapport, on peut estimer que l'exercice 2026 devrait afficher une reprise significative, avec un PNB annualisé autour de 21-22 milliards FCFA et un résultat net potentiellement multiplié par 4 à 6 par rapport à 2025, sous réserve de la confirmation de la tendance sur les trimestres suivants. Le rapport du S2 2025 (publié le 31 décembre 2025, analysé le 5 septembre 2026) confirme la stratégie de réduction sélective des risques et la résilience des dépôts, tandis que le rapport du T3 2025 (30 septembre 2025) soulignait déjà la stabilisation du PNB et l'amélioration opérationnelle malgré la pression sur la qualité des actifs.</w:t>
      </w:r>
    </w:p>
    <w:p>
      <w:pPr>
        <w:spacing w:after="120" w:line="276" w:lineRule="auto"/>
      </w:pPr>
      <w:r>
        <w:t>**Recommandation fondamentale** : La situation fondamentale de BOAN reste fragile mais présente des signes encourageants de redressement. La solidité du bilan (ratio de solvabilité de 14,06%, coefficient de liquidité de 123,95%) et le soutien du groupe Bank of Africa constituent des atouts majeurs. Cependant, le niveau élevé des créances en souffrance (24%), la dépendance au contexte macroéconomique et politique nigérien, et l'absence de dividende depuis 2023 (payout de 0%) limitent l'attrait pour les investisseurs recherchant un rendement immédiat. La recommandation fondamentale est de **CONSERVER** avec une surveillance rapprochée, en attendant la confirmation du redressement sur au moins deux à trois trimestres supplémentaires.</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révèle une situation contrastée. **Sur le plan de la valorisation (Partie 0)**, les ratios PER (272,1x), P/B (3,09x) et EV/EBITDA (40,5x) indiquent une surévaluation manifeste par rapport aux bénéfices et aux fonds propres actuels, le marché intégrant déjà une reprise spectaculaire qui reste à confirmer. **Le comportement du cours (Partie 1)** est haussier sur 100 jours (+52,86%) mais avec une volatilité très élevée (40,3%) et une distribution quasi-symétrique (skewness -0,269) qui n'exclut pas de nouveaux pics baissiers. **Les signaux techniques (Partie 2)** sont mitigés : les moyennes mobiles donnent un signal d'achat, mais le MACD est baissier et les autres indicateurs (RSI, Bollinger, Stochastique) sont neutres, suggérant une phase d'indécision. **Les fondamentaux (Partie 3)** montrent un effondrement en 2025 (résultat net -91,8%, ROE 1,13%) suivi d'un redressement encourageant au T1 2026 (résultat net +28,9%, coefficient d'exploitation 56,2%), mais la prudence reste de mise face aux risques de crédit et au contexte macroéconomique. **Les prédictions IA (J+1 à J+10)** anticipent une légère hausse vers 5 357-5 368 FCFA, en ligne avec la tendance récente mais sans rupture majeure.</w:t>
      </w:r>
    </w:p>
    <w:p>
      <w:pPr>
        <w:spacing w:after="120" w:line="276" w:lineRule="auto"/>
      </w:pPr>
      <w:r>
        <w:t>**Recommandation finale : CONSERVER** — La convergence entre une valorisation tendue, des signaux techniques mitigés et des fondamentaux en redressement mais fragiles justifie une position attentiste. Le niveau de confiance est **Moyen**, car si le T1 2026 est encourageant, un seul trimestre ne suffit pas à confirmer la durabilité de la reprise. Le niveau de risque global est **Élevé**, en raison de la volatilité du titre (40,3%), des risques de crédit (24% de créances en souffrance) et de la dépendance au contexte politique nigérien. L'horizon d'investissement optimal est le **moyen terme (3-12 mois)**, en surveillant les prochains rapports trimestriels (T2 et T3 2026) pour confirmer la trajectoire de redressement avant d'envisager un renforcement de position.</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11.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293.22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11,330 titres</w:t>
            </w:r>
          </w:p>
        </w:tc>
        <w:tc>
          <w:tcPr>
            <w:tcW w:type="dxa" w:w="2268"/>
            <w:shd w:fill="FFF2CC" w:val="clear"/>
          </w:tcPr>
          <w:p>
            <w:r>
              <w:rPr>
                <w:b/>
                <w:color w:val="503200"/>
                <w:sz w:val="16"/>
              </w:rPr>
              <w:t xml:space="preserve">Cours actuel : </w:t>
            </w:r>
            <w:r>
              <w:rPr>
                <w:color w:val="000000"/>
                <w:sz w:val="17"/>
              </w:rPr>
              <w:t>8,145 FCFA</w:t>
            </w:r>
          </w:p>
          <w:p>
            <w:r>
              <w:rPr>
                <w:b/>
                <w:color w:val="503200"/>
                <w:sz w:val="16"/>
              </w:rPr>
              <w:t xml:space="preserve">Var. 100 jours : </w:t>
            </w:r>
            <w:r>
              <w:rPr>
                <w:b/>
                <w:color w:val="007800"/>
                <w:sz w:val="17"/>
              </w:rPr>
              <w:t>+12.73%</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7,225 FCFA</w:t>
            </w:r>
          </w:p>
          <w:p>
            <w:r>
              <w:rPr>
                <w:b/>
                <w:color w:val="503200"/>
                <w:sz w:val="16"/>
              </w:rPr>
              <w:t xml:space="preserve">Volatilité ann. : </w:t>
            </w:r>
            <w:r>
              <w:rPr>
                <w:color w:val="000000"/>
                <w:sz w:val="17"/>
              </w:rPr>
              <w:t>26.7%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4.74% (Faible) — μ=7,711 FCFA, σ=365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β=0.6127 (Défensif) — Cov=0.000042, Var(idx)=0.000069, ρ=0.299,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11,330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σ_j=1.68%/j (Stable) — Vol. annualisée≈26.7%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16976"/>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2026-09-30</w:t>
            </w:r>
          </w:p>
        </w:tc>
        <w:tc>
          <w:tcPr>
            <w:tcW w:type="dxa" w:w="1440"/>
            <w:shd w:fill="FAFAFA" w:val="clear"/>
          </w:tcPr>
          <w:p>
            <w:r>
              <w:rPr>
                <w:sz w:val="17"/>
              </w:rPr>
              <w:t>7,824</w:t>
            </w:r>
          </w:p>
        </w:tc>
        <w:tc>
          <w:tcPr>
            <w:tcW w:type="dxa" w:w="1440"/>
            <w:shd w:fill="FAFAFA" w:val="clear"/>
          </w:tcPr>
          <w:p>
            <w:r>
              <w:rPr>
                <w:b/>
                <w:sz w:val="17"/>
              </w:rPr>
              <w:t>8,068</w:t>
            </w:r>
          </w:p>
        </w:tc>
        <w:tc>
          <w:tcPr>
            <w:tcW w:type="dxa" w:w="1440"/>
            <w:shd w:fill="FAFAFA" w:val="clear"/>
          </w:tcPr>
          <w:p>
            <w:r>
              <w:rPr>
                <w:sz w:val="17"/>
              </w:rPr>
              <w:t>8,312</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2026-10-01</w:t>
            </w:r>
          </w:p>
        </w:tc>
        <w:tc>
          <w:tcPr>
            <w:tcW w:type="dxa" w:w="1440"/>
            <w:shd w:fill="FAFAFA" w:val="clear"/>
          </w:tcPr>
          <w:p>
            <w:r>
              <w:rPr>
                <w:sz w:val="17"/>
              </w:rPr>
              <w:t>7,688</w:t>
            </w:r>
          </w:p>
        </w:tc>
        <w:tc>
          <w:tcPr>
            <w:tcW w:type="dxa" w:w="1440"/>
            <w:shd w:fill="FAFAFA" w:val="clear"/>
          </w:tcPr>
          <w:p>
            <w:r>
              <w:rPr>
                <w:b/>
                <w:sz w:val="17"/>
              </w:rPr>
              <w:t>8,032</w:t>
            </w:r>
          </w:p>
        </w:tc>
        <w:tc>
          <w:tcPr>
            <w:tcW w:type="dxa" w:w="1440"/>
            <w:shd w:fill="FAFAFA" w:val="clear"/>
          </w:tcPr>
          <w:p>
            <w:r>
              <w:rPr>
                <w:sz w:val="17"/>
              </w:rPr>
              <w:t>8,376</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2026-10-02</w:t>
            </w:r>
          </w:p>
        </w:tc>
        <w:tc>
          <w:tcPr>
            <w:tcW w:type="dxa" w:w="1440"/>
            <w:shd w:fill="FAFAFA" w:val="clear"/>
          </w:tcPr>
          <w:p>
            <w:r>
              <w:rPr>
                <w:sz w:val="17"/>
              </w:rPr>
              <w:t>7,578</w:t>
            </w:r>
          </w:p>
        </w:tc>
        <w:tc>
          <w:tcPr>
            <w:tcW w:type="dxa" w:w="1440"/>
            <w:shd w:fill="FAFAFA" w:val="clear"/>
          </w:tcPr>
          <w:p>
            <w:r>
              <w:rPr>
                <w:b/>
                <w:sz w:val="17"/>
              </w:rPr>
              <w:t>7,997</w:t>
            </w:r>
          </w:p>
        </w:tc>
        <w:tc>
          <w:tcPr>
            <w:tcW w:type="dxa" w:w="1440"/>
            <w:shd w:fill="FAFAFA" w:val="clear"/>
          </w:tcPr>
          <w:p>
            <w:r>
              <w:rPr>
                <w:sz w:val="17"/>
              </w:rPr>
              <w:t>8,417</w:t>
            </w:r>
          </w:p>
        </w:tc>
        <w:tc>
          <w:tcPr>
            <w:tcW w:type="dxa" w:w="1440"/>
            <w:shd w:fill="FAFAFA" w:val="clear"/>
          </w:tcPr>
          <w:p>
            <w:r>
              <w:rPr>
                <w:b/>
                <w:color w:val="C00000"/>
                <w:sz w:val="17"/>
              </w:rPr>
              <w:t>-1.8%</w:t>
            </w:r>
          </w:p>
        </w:tc>
      </w:tr>
      <w:tr>
        <w:tc>
          <w:tcPr>
            <w:tcW w:type="dxa" w:w="1440"/>
            <w:shd w:fill="FFDCE0" w:val="clear"/>
          </w:tcPr>
          <w:p>
            <w:r>
              <w:rPr>
                <w:sz w:val="17"/>
              </w:rPr>
              <w:t>J+4  Moyenne</w:t>
            </w:r>
          </w:p>
        </w:tc>
        <w:tc>
          <w:tcPr>
            <w:tcW w:type="dxa" w:w="1440"/>
            <w:shd w:fill="FFDCE0" w:val="clear"/>
          </w:tcPr>
          <w:p>
            <w:r>
              <w:rPr>
                <w:sz w:val="17"/>
              </w:rPr>
              <w:t>2026-10-05</w:t>
            </w:r>
          </w:p>
        </w:tc>
        <w:tc>
          <w:tcPr>
            <w:tcW w:type="dxa" w:w="1440"/>
            <w:shd w:fill="FFDCE0" w:val="clear"/>
          </w:tcPr>
          <w:p>
            <w:r>
              <w:rPr>
                <w:sz w:val="17"/>
              </w:rPr>
              <w:t>7,484</w:t>
            </w:r>
          </w:p>
        </w:tc>
        <w:tc>
          <w:tcPr>
            <w:tcW w:type="dxa" w:w="1440"/>
            <w:shd w:fill="FFDCE0" w:val="clear"/>
          </w:tcPr>
          <w:p>
            <w:r>
              <w:rPr>
                <w:b/>
                <w:sz w:val="17"/>
              </w:rPr>
              <w:t>7,967</w:t>
            </w:r>
          </w:p>
        </w:tc>
        <w:tc>
          <w:tcPr>
            <w:tcW w:type="dxa" w:w="1440"/>
            <w:shd w:fill="FFDCE0" w:val="clear"/>
          </w:tcPr>
          <w:p>
            <w:r>
              <w:rPr>
                <w:sz w:val="17"/>
              </w:rPr>
              <w:t>8,450</w:t>
            </w:r>
          </w:p>
        </w:tc>
        <w:tc>
          <w:tcPr>
            <w:tcW w:type="dxa" w:w="1440"/>
            <w:shd w:fill="FFDCE0" w:val="clear"/>
          </w:tcPr>
          <w:p>
            <w:r>
              <w:rPr>
                <w:b/>
                <w:color w:val="C00000"/>
                <w:sz w:val="17"/>
              </w:rPr>
              <w:t>-2.2%</w:t>
            </w:r>
          </w:p>
        </w:tc>
      </w:tr>
      <w:tr>
        <w:tc>
          <w:tcPr>
            <w:tcW w:type="dxa" w:w="1440"/>
            <w:shd w:fill="FFDCE0" w:val="clear"/>
          </w:tcPr>
          <w:p>
            <w:r>
              <w:rPr>
                <w:sz w:val="17"/>
              </w:rPr>
              <w:t>J+5  Moyenne</w:t>
            </w:r>
          </w:p>
        </w:tc>
        <w:tc>
          <w:tcPr>
            <w:tcW w:type="dxa" w:w="1440"/>
            <w:shd w:fill="FFDCE0" w:val="clear"/>
          </w:tcPr>
          <w:p>
            <w:r>
              <w:rPr>
                <w:sz w:val="17"/>
              </w:rPr>
              <w:t>2026-10-06</w:t>
            </w:r>
          </w:p>
        </w:tc>
        <w:tc>
          <w:tcPr>
            <w:tcW w:type="dxa" w:w="1440"/>
            <w:shd w:fill="FFDCE0" w:val="clear"/>
          </w:tcPr>
          <w:p>
            <w:r>
              <w:rPr>
                <w:sz w:val="17"/>
              </w:rPr>
              <w:t>7,401</w:t>
            </w:r>
          </w:p>
        </w:tc>
        <w:tc>
          <w:tcPr>
            <w:tcW w:type="dxa" w:w="1440"/>
            <w:shd w:fill="FFDCE0" w:val="clear"/>
          </w:tcPr>
          <w:p>
            <w:r>
              <w:rPr>
                <w:b/>
                <w:sz w:val="17"/>
              </w:rPr>
              <w:t>7,939</w:t>
            </w:r>
          </w:p>
        </w:tc>
        <w:tc>
          <w:tcPr>
            <w:tcW w:type="dxa" w:w="1440"/>
            <w:shd w:fill="FFDCE0" w:val="clear"/>
          </w:tcPr>
          <w:p>
            <w:r>
              <w:rPr>
                <w:sz w:val="17"/>
              </w:rPr>
              <w:t>8,477</w:t>
            </w:r>
          </w:p>
        </w:tc>
        <w:tc>
          <w:tcPr>
            <w:tcW w:type="dxa" w:w="1440"/>
            <w:shd w:fill="FFDCE0" w:val="clear"/>
          </w:tcPr>
          <w:p>
            <w:r>
              <w:rPr>
                <w:b/>
                <w:color w:val="C00000"/>
                <w:sz w:val="17"/>
              </w:rPr>
              <w:t>-2.5%</w:t>
            </w:r>
          </w:p>
        </w:tc>
      </w:tr>
      <w:tr>
        <w:tc>
          <w:tcPr>
            <w:tcW w:type="dxa" w:w="1440"/>
            <w:shd w:fill="FFDCE0" w:val="clear"/>
          </w:tcPr>
          <w:p>
            <w:r>
              <w:rPr>
                <w:sz w:val="17"/>
              </w:rPr>
              <w:t>J+6  Moyenne</w:t>
            </w:r>
          </w:p>
        </w:tc>
        <w:tc>
          <w:tcPr>
            <w:tcW w:type="dxa" w:w="1440"/>
            <w:shd w:fill="FFDCE0" w:val="clear"/>
          </w:tcPr>
          <w:p>
            <w:r>
              <w:rPr>
                <w:sz w:val="17"/>
              </w:rPr>
              <w:t>2026-10-07</w:t>
            </w:r>
          </w:p>
        </w:tc>
        <w:tc>
          <w:tcPr>
            <w:tcW w:type="dxa" w:w="1440"/>
            <w:shd w:fill="FFDCE0" w:val="clear"/>
          </w:tcPr>
          <w:p>
            <w:r>
              <w:rPr>
                <w:sz w:val="17"/>
              </w:rPr>
              <w:t>7,325</w:t>
            </w:r>
          </w:p>
        </w:tc>
        <w:tc>
          <w:tcPr>
            <w:tcW w:type="dxa" w:w="1440"/>
            <w:shd w:fill="FFDCE0" w:val="clear"/>
          </w:tcPr>
          <w:p>
            <w:r>
              <w:rPr>
                <w:b/>
                <w:sz w:val="17"/>
              </w:rPr>
              <w:t>7,913</w:t>
            </w:r>
          </w:p>
        </w:tc>
        <w:tc>
          <w:tcPr>
            <w:tcW w:type="dxa" w:w="1440"/>
            <w:shd w:fill="FFDCE0" w:val="clear"/>
          </w:tcPr>
          <w:p>
            <w:r>
              <w:rPr>
                <w:sz w:val="17"/>
              </w:rPr>
              <w:t>8,500</w:t>
            </w:r>
          </w:p>
        </w:tc>
        <w:tc>
          <w:tcPr>
            <w:tcW w:type="dxa" w:w="1440"/>
            <w:shd w:fill="FFDCE0" w:val="clear"/>
          </w:tcPr>
          <w:p>
            <w:r>
              <w:rPr>
                <w:b/>
                <w:color w:val="C00000"/>
                <w:sz w:val="17"/>
              </w:rPr>
              <w:t>-2.9%</w:t>
            </w:r>
          </w:p>
        </w:tc>
      </w:tr>
      <w:tr>
        <w:tc>
          <w:tcPr>
            <w:tcW w:type="dxa" w:w="1440"/>
            <w:shd w:fill="FFDCE0" w:val="clear"/>
          </w:tcPr>
          <w:p>
            <w:r>
              <w:rPr>
                <w:sz w:val="17"/>
              </w:rPr>
              <w:t>J+7  Moyenne</w:t>
            </w:r>
          </w:p>
        </w:tc>
        <w:tc>
          <w:tcPr>
            <w:tcW w:type="dxa" w:w="1440"/>
            <w:shd w:fill="FFDCE0" w:val="clear"/>
          </w:tcPr>
          <w:p>
            <w:r>
              <w:rPr>
                <w:sz w:val="17"/>
              </w:rPr>
              <w:t>2026-10-08</w:t>
            </w:r>
          </w:p>
        </w:tc>
        <w:tc>
          <w:tcPr>
            <w:tcW w:type="dxa" w:w="1440"/>
            <w:shd w:fill="FFDCE0" w:val="clear"/>
          </w:tcPr>
          <w:p>
            <w:r>
              <w:rPr>
                <w:sz w:val="17"/>
              </w:rPr>
              <w:t>7,255</w:t>
            </w:r>
          </w:p>
        </w:tc>
        <w:tc>
          <w:tcPr>
            <w:tcW w:type="dxa" w:w="1440"/>
            <w:shd w:fill="FFDCE0" w:val="clear"/>
          </w:tcPr>
          <w:p>
            <w:r>
              <w:rPr>
                <w:b/>
                <w:sz w:val="17"/>
              </w:rPr>
              <w:t>7,887</w:t>
            </w:r>
          </w:p>
        </w:tc>
        <w:tc>
          <w:tcPr>
            <w:tcW w:type="dxa" w:w="1440"/>
            <w:shd w:fill="FFDCE0" w:val="clear"/>
          </w:tcPr>
          <w:p>
            <w:r>
              <w:rPr>
                <w:sz w:val="17"/>
              </w:rPr>
              <w:t>8,519</w:t>
            </w:r>
          </w:p>
        </w:tc>
        <w:tc>
          <w:tcPr>
            <w:tcW w:type="dxa" w:w="1440"/>
            <w:shd w:fill="FFDCE0" w:val="clear"/>
          </w:tcPr>
          <w:p>
            <w:r>
              <w:rPr>
                <w:b/>
                <w:color w:val="C00000"/>
                <w:sz w:val="17"/>
              </w:rPr>
              <w:t>-3.2%</w:t>
            </w:r>
          </w:p>
        </w:tc>
      </w:tr>
      <w:tr>
        <w:tc>
          <w:tcPr>
            <w:tcW w:type="dxa" w:w="1440"/>
            <w:shd w:fill="FFDCE0" w:val="clear"/>
          </w:tcPr>
          <w:p>
            <w:r>
              <w:rPr>
                <w:sz w:val="17"/>
              </w:rPr>
              <w:t>J+8  Moyenne</w:t>
            </w:r>
          </w:p>
        </w:tc>
        <w:tc>
          <w:tcPr>
            <w:tcW w:type="dxa" w:w="1440"/>
            <w:shd w:fill="FFDCE0" w:val="clear"/>
          </w:tcPr>
          <w:p>
            <w:r>
              <w:rPr>
                <w:sz w:val="17"/>
              </w:rPr>
              <w:t>2026-10-09</w:t>
            </w:r>
          </w:p>
        </w:tc>
        <w:tc>
          <w:tcPr>
            <w:tcW w:type="dxa" w:w="1440"/>
            <w:shd w:fill="FFDCE0" w:val="clear"/>
          </w:tcPr>
          <w:p>
            <w:r>
              <w:rPr>
                <w:sz w:val="17"/>
              </w:rPr>
              <w:t>7,188</w:t>
            </w:r>
          </w:p>
        </w:tc>
        <w:tc>
          <w:tcPr>
            <w:tcW w:type="dxa" w:w="1440"/>
            <w:shd w:fill="FFDCE0" w:val="clear"/>
          </w:tcPr>
          <w:p>
            <w:r>
              <w:rPr>
                <w:b/>
                <w:sz w:val="17"/>
              </w:rPr>
              <w:t>7,862</w:t>
            </w:r>
          </w:p>
        </w:tc>
        <w:tc>
          <w:tcPr>
            <w:tcW w:type="dxa" w:w="1440"/>
            <w:shd w:fill="FFDCE0" w:val="clear"/>
          </w:tcPr>
          <w:p>
            <w:r>
              <w:rPr>
                <w:sz w:val="17"/>
              </w:rPr>
              <w:t>8,536</w:t>
            </w:r>
          </w:p>
        </w:tc>
        <w:tc>
          <w:tcPr>
            <w:tcW w:type="dxa" w:w="1440"/>
            <w:shd w:fill="FFDCE0" w:val="clear"/>
          </w:tcPr>
          <w:p>
            <w:r>
              <w:rPr>
                <w:b/>
                <w:color w:val="C00000"/>
                <w:sz w:val="17"/>
              </w:rPr>
              <w:t>-3.5%</w:t>
            </w:r>
          </w:p>
        </w:tc>
      </w:tr>
      <w:tr>
        <w:tc>
          <w:tcPr>
            <w:tcW w:type="dxa" w:w="1440"/>
            <w:shd w:fill="FFDCE0" w:val="clear"/>
          </w:tcPr>
          <w:p>
            <w:r>
              <w:rPr>
                <w:sz w:val="17"/>
              </w:rPr>
              <w:t>J+9  Moyenne</w:t>
            </w:r>
          </w:p>
        </w:tc>
        <w:tc>
          <w:tcPr>
            <w:tcW w:type="dxa" w:w="1440"/>
            <w:shd w:fill="FFDCE0" w:val="clear"/>
          </w:tcPr>
          <w:p>
            <w:r>
              <w:rPr>
                <w:sz w:val="17"/>
              </w:rPr>
              <w:t>2026-10-12</w:t>
            </w:r>
          </w:p>
        </w:tc>
        <w:tc>
          <w:tcPr>
            <w:tcW w:type="dxa" w:w="1440"/>
            <w:shd w:fill="FFDCE0" w:val="clear"/>
          </w:tcPr>
          <w:p>
            <w:r>
              <w:rPr>
                <w:sz w:val="17"/>
              </w:rPr>
              <w:t>7,126</w:t>
            </w:r>
          </w:p>
        </w:tc>
        <w:tc>
          <w:tcPr>
            <w:tcW w:type="dxa" w:w="1440"/>
            <w:shd w:fill="FFDCE0" w:val="clear"/>
          </w:tcPr>
          <w:p>
            <w:r>
              <w:rPr>
                <w:b/>
                <w:sz w:val="17"/>
              </w:rPr>
              <w:t>7,838</w:t>
            </w:r>
          </w:p>
        </w:tc>
        <w:tc>
          <w:tcPr>
            <w:tcW w:type="dxa" w:w="1440"/>
            <w:shd w:fill="FFDCE0" w:val="clear"/>
          </w:tcPr>
          <w:p>
            <w:r>
              <w:rPr>
                <w:sz w:val="17"/>
              </w:rPr>
              <w:t>8,551</w:t>
            </w:r>
          </w:p>
        </w:tc>
        <w:tc>
          <w:tcPr>
            <w:tcW w:type="dxa" w:w="1440"/>
            <w:shd w:fill="FFDCE0" w:val="clear"/>
          </w:tcPr>
          <w:p>
            <w:r>
              <w:rPr>
                <w:b/>
                <w:color w:val="C00000"/>
                <w:sz w:val="17"/>
              </w:rPr>
              <w:t>-3.8%</w:t>
            </w:r>
          </w:p>
        </w:tc>
      </w:tr>
      <w:tr>
        <w:tc>
          <w:tcPr>
            <w:tcW w:type="dxa" w:w="1440"/>
            <w:shd w:fill="FFDCE0" w:val="clear"/>
          </w:tcPr>
          <w:p>
            <w:r>
              <w:rPr>
                <w:sz w:val="17"/>
              </w:rPr>
              <w:t>J+10  Moyenne</w:t>
            </w:r>
          </w:p>
        </w:tc>
        <w:tc>
          <w:tcPr>
            <w:tcW w:type="dxa" w:w="1440"/>
            <w:shd w:fill="FFDCE0" w:val="clear"/>
          </w:tcPr>
          <w:p>
            <w:r>
              <w:rPr>
                <w:sz w:val="17"/>
              </w:rPr>
              <w:t>2026-10-13</w:t>
            </w:r>
          </w:p>
        </w:tc>
        <w:tc>
          <w:tcPr>
            <w:tcW w:type="dxa" w:w="1440"/>
            <w:shd w:fill="FFDCE0" w:val="clear"/>
          </w:tcPr>
          <w:p>
            <w:r>
              <w:rPr>
                <w:sz w:val="17"/>
              </w:rPr>
              <w:t>7,067</w:t>
            </w:r>
          </w:p>
        </w:tc>
        <w:tc>
          <w:tcPr>
            <w:tcW w:type="dxa" w:w="1440"/>
            <w:shd w:fill="FFDCE0" w:val="clear"/>
          </w:tcPr>
          <w:p>
            <w:r>
              <w:rPr>
                <w:b/>
                <w:sz w:val="17"/>
              </w:rPr>
              <w:t>7,816</w:t>
            </w:r>
          </w:p>
        </w:tc>
        <w:tc>
          <w:tcPr>
            <w:tcW w:type="dxa" w:w="1440"/>
            <w:shd w:fill="FFDCE0" w:val="clear"/>
          </w:tcPr>
          <w:p>
            <w:r>
              <w:rPr>
                <w:sz w:val="17"/>
              </w:rPr>
              <w:t>8,564</w:t>
            </w:r>
          </w:p>
        </w:tc>
        <w:tc>
          <w:tcPr>
            <w:tcW w:type="dxa" w:w="1440"/>
            <w:shd w:fill="FFDCE0" w:val="clear"/>
          </w:tcPr>
          <w:p>
            <w:r>
              <w:rPr>
                <w:b/>
                <w:color w:val="C00000"/>
                <w:sz w:val="17"/>
              </w:rPr>
              <w:t>-4.0%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BOA SÉNÉGAL (BOAS)**</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293,22 milliards FCFA, BOAS s'impose comme l'une des valeurs bancaires de référence de la cote BRVM, ce qui traduit une liquidité et une visibilité institutionnelle certaines. Le BPA de 608 FCFA/action signifie que chaque titre génère près de 608 FCFA de bénéfice net, un niveau de rentabilité par action solide pour le secteur. Le PER de 13,4x se situe légèrement au-dessus de la moyenne BRVM (~8-12x), ce qui indique que le marché consent une prime modérée pour la qualité de la croissance et la régularité des résultats de la banque, sans pour autant tomber dans une surévaluation manifeste. Le P/B de 3,04x montre que le marché valorise l'action à environ trois fois sa valeur comptable, une prime de croissance cohérente avec un ROE de 22,7%, largement supérieur au coût des fonds propres. Enfin, l'EV/EBITDA de 8,7x, dans la fourchette raisonnable de 5-10x, confirme que la valeur d'entreprise reste proportionnée à la capacité opérationnelle de la banque.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BOAS affiche une progression totale de +12,73%, avec une dernière séance en hausse de +0,56%, portant le cours à 8 145 FCFA. Le titre a évolué dans un range de 7 225 FCFA (plus bas) à 8 500 FCFA (plus haut), soit une amplitude d'environ 17,7%, ce qui témoigne d'une tendance globalement haussière mais ponctuée de corrections. La moyenne (7 711 FCFA) et la médiane (7 688 FCFA) sont très proches, signe d'une distribution équilibrée du cours sur la période, tandis que le mode à 7 700 FCFA confirme cette zone de consolidation comme point d'ancrage. L'écart-type de 367 FCFA avec un coefficient de variation de 4,8% indique une dispersion relativement faible du cours autour de sa moyenne, ce qui est rassurant pour un investisseur recherchant de la stabilité. Le kurtosis de -1,044 (distribution platykurtique) suggère une faible concentration des rendements et un risque de pics extrêmes limité, tandis que le skewness de 0,483, qualifié de symétrique dans les données fournies, traduit une légère inclinaison vers des rendements positifs. La volatilité annualisée de 26,7% place le titre dans la catégorie modérée (15-30%), ce qui est cohérent avec un profil bancaire de qualité sur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(8 145 FCFA) est exactement au niveau du cours actuel, tandis que la MM50 (7 981,4 FCFA) se situe en dessous, confirmant une configuration haussière de court terme. Le cours évoluant au-dessus de la MM50 et à hauteur de la MM20, la décision technique est à l'**Achat**, signalant que la dynamique de fond reste positive malgré la stagnation récente.</w:t>
      </w:r>
    </w:p>
    <w:p>
      <w:pPr>
        <w:spacing w:after="120" w:line="276" w:lineRule="auto"/>
      </w:pPr>
      <w:r>
        <w:t>**Bandes de Bollinger** : Le cours (8 145 FCFA) se situe à mi-chemin entre la borne inférieure (7 779,26 FCFA) et la borne supérieure (8 510,74 FCFA), sans pression extrême dans un sens ou dans l'autre. Cette position centrale, combinée à un écart-type modéré, justifie la décision **Neutre**, indiquant une absence de signal directionnel fort à court terme.</w:t>
      </w:r>
    </w:p>
    <w:p>
      <w:pPr>
        <w:spacing w:after="120" w:line="276" w:lineRule="auto"/>
      </w:pPr>
      <w:r>
        <w:t>**MACD** : La valeur du MACD (-5,618) est nettement inférieure à son signal (21,603), générant une divergence baissière qui traduit un essoufflement du momentum haussier. Cette configuration justifie la décision de **Vente** à court terme, bien qu'elle contraste avec la tendance de fond encore positive.</w:t>
      </w:r>
    </w:p>
    <w:p>
      <w:pPr>
        <w:spacing w:after="120" w:line="276" w:lineRule="auto"/>
      </w:pPr>
      <w:r>
        <w:t>**RSI** : À 48,22, le RSI se situe dans la zone neutre (30-70), sans signal de surachat ni de survente. Cette valeur médiane confirme l'absence de pression acheteuse ou vendeuse dominante, justifiant la décision **Neutre** et suggérant une phase de consolidation.</w:t>
      </w:r>
    </w:p>
    <w:p>
      <w:pPr>
        <w:spacing w:after="120" w:line="276" w:lineRule="auto"/>
      </w:pPr>
      <w:r>
        <w:t>**Stochastique** : Le %K (70,714) est légèrement supérieur au %D (66,429), sans croisement baissier confirmé, mais les deux lignes approchent la zone de surachat (&gt;80). La décision reste **Neutre**, mais une vigilance s'impose car un croisement baissier en zone haute pourrait signaler un retournement.</w:t>
      </w:r>
    </w:p>
    <w:p>
      <w:pPr>
        <w:spacing w:after="120" w:line="276" w:lineRule="auto"/>
      </w:pPr>
      <w:r>
        <w:t>**Conclusion technique** : Les indicateurs sont globalement divergents — les moyennes mobiles restent haussières tandis que le MACD signale une vente et que le RSI/Stochastique demeurent neutres. Cette configuration suggère une phase de consolidation après la hausse de +12,73%, avec un risque de correction limitée à court terme mais une tendance de fond encore intacte. La prudence est de mise avant tout renforcement de position.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BOAS affiche des fondamentaux bancaires de premier ordre, avec un Produit Net Bancaire (PNB) de 51,926 milliards FCFA et un résultat net de 21,905 milliards FCFA, dégageant une marge nette exceptionnelle de 42,19%. Le ROE s'établit à 22,69%, largement au-dessus du seuil d'excellence de 15%, et le ROA à 2,62%, confirmant une rentabilité des actifs solide pour le secteur. Le coefficient d'exploitation de 44,02% place la banque dans la catégorie des établissements très efficaces (&lt;50%), tandis que le coût du risque rapporté aux charges financières (23,31%) mérite une surveillance, bien qu'il reste maîtrisé au regard de la qualité du portefeuille. La structure bilancielle est dominée par les dépôts clientèle (686,927 milliards FCFA) face à des créances clientèle de 386,424 milliards FCFA, soit un ratio de transformation d'environ 56%, typique d'une banque de dépôt prudente. Les rapports trimestriels récents confirment cette dynamique : le rapport du T1 2026 (publié le 31/03/2026) fait état d'un PNB de 12 580 millions FCFA (+6,82%) et d'un résultat net de 5 741 millions FCFA (+9,78%), avec un coefficient d'exploitation amélioré à 42,1%. Le rapport du S1 2026 (30/06/2026) indique un PNB semestriel de 27 206 millions FCFA, en hausse par rapport aux 25 370 millions du S1 2025 (+7,2%). Sur la base de ces tendances, on peut estimer que l'exercice 2026 devrait enregistrer un PNB annuel d'environ 54-55 milliards FCFA et un résultat net proche de 23-24 milliards FCFA, soit une croissance de 5-8% par rapport à 2025. Le rapport du T3 2025 (30/09/2025) soulignait déjà une croissance du PNB de +6,71% et du résultat net de +10,01%, avec un coût du risque en baisse à -0,5% du PNB, confirmant l'amélioration continue de la qualité des actifs. La recommandation fondamentale est donc **solide** : la banque combine croissance régulière, rentabilité élevée et gestion prudente des risques, avec un principal risque lié à la concentration sur le marché sénégalais et à l'évolution du coût du crédit dans un environnement économique incertain.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BOAS (PER 13,4x, P/B 3,04x, EV/EBITDA 8,7x) reflète une prime modérée justifiée par un ROE de 22,7% et une croissance régulière, sans surévaluation excessive. Le comportement du cours sur 100 jours (+12,73%, volatilité modérée de 26,7%, distribution platykurtique et skewness légèrement positif) est favorable, bien que la phase de consolidation actuelle appelle à la prudence. Les signaux techniques sont divergents : les moyennes mobiles restent haussières (MM20 &gt; MM50) mais le MACD génère un signal de vente, tandis que le RSI et le Stochastique demeurent neutres, suggérant une pause dans la tendance. Les fondamentaux sont robustes, avec un PNB 2025 de 51,926 milliards FCFA, un résultat net de 21,905 milliards FCFA et des rapports trimestriels 2026 confirmant la poursuite de la croissance (+6,8% au T1, +7,2% au S1). Les prédictions IA (J+1 à J+10) anticipent une légère correction vers 7 939 FCFA, ce qui contredit la tendance haussière de fond mais confirme le signal de vente du MACD à court terme. Sur la base de cette synthèse, la recommandation finale est **CONSERVER**, avec un biais positif pour les investisseurs déjà positionnés. Le niveau de confiance est **Moyen** (divergence technique court terme vs fondamentaux solides) et le risque global est **Moyen** (volatilité modérée, concentration géographique). L'horizon d'investissement optimal est le **moyen terme (3-12 mois)**, le temps que la consolidation technique s'achève et que la croissance des bénéfices se matérialise dans le cours.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12.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20.10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2,057 titres</w:t>
            </w:r>
          </w:p>
        </w:tc>
        <w:tc>
          <w:tcPr>
            <w:tcW w:type="dxa" w:w="2268"/>
            <w:shd w:fill="FFF2CC" w:val="clear"/>
          </w:tcPr>
          <w:p>
            <w:r>
              <w:rPr>
                <w:b/>
                <w:color w:val="503200"/>
                <w:sz w:val="16"/>
              </w:rPr>
              <w:t xml:space="preserve">Cours actuel : </w:t>
            </w:r>
            <w:r>
              <w:rPr>
                <w:color w:val="000000"/>
                <w:sz w:val="17"/>
              </w:rPr>
              <w:t>3,395 FCFA</w:t>
            </w:r>
          </w:p>
          <w:p>
            <w:r>
              <w:rPr>
                <w:b/>
                <w:color w:val="503200"/>
                <w:sz w:val="16"/>
              </w:rPr>
              <w:t xml:space="preserve">Var. 100 jours : </w:t>
            </w:r>
            <w:r>
              <w:rPr>
                <w:b/>
                <w:color w:val="B40000"/>
                <w:sz w:val="17"/>
              </w:rPr>
              <w:t>-0.44%</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3,190 FCFA</w:t>
            </w:r>
          </w:p>
          <w:p>
            <w:r>
              <w:rPr>
                <w:b/>
                <w:color w:val="503200"/>
                <w:sz w:val="16"/>
              </w:rPr>
              <w:t xml:space="preserve">Volatilité ann. : </w:t>
            </w:r>
            <w:r>
              <w:rPr>
                <w:color w:val="000000"/>
                <w:sz w:val="17"/>
              </w:rPr>
              <w:t>45.3%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7.84% (Moyenne) — μ=3,682 FCFA, σ=289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β=0.3525 (Défensif) — Cov=0.000024, Var(idx)=0.000069, ρ=0.101,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σ_j=2.85%/j (Stable) — Vol. annualisée≈45.3%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2026-09-30</w:t>
            </w:r>
          </w:p>
        </w:tc>
        <w:tc>
          <w:tcPr>
            <w:tcW w:type="dxa" w:w="1440"/>
            <w:shd w:fill="FAFAFA" w:val="clear"/>
          </w:tcPr>
          <w:p>
            <w:r>
              <w:rPr>
                <w:sz w:val="17"/>
              </w:rPr>
              <w:t>3,277</w:t>
            </w:r>
          </w:p>
        </w:tc>
        <w:tc>
          <w:tcPr>
            <w:tcW w:type="dxa" w:w="1440"/>
            <w:shd w:fill="FAFAFA" w:val="clear"/>
          </w:tcPr>
          <w:p>
            <w:r>
              <w:rPr>
                <w:b/>
                <w:sz w:val="17"/>
              </w:rPr>
              <w:t>3,384</w:t>
            </w:r>
          </w:p>
        </w:tc>
        <w:tc>
          <w:tcPr>
            <w:tcW w:type="dxa" w:w="1440"/>
            <w:shd w:fill="FAFAFA" w:val="clear"/>
          </w:tcPr>
          <w:p>
            <w:r>
              <w:rPr>
                <w:sz w:val="17"/>
              </w:rPr>
              <w:t>3,492</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2026-10-01</w:t>
            </w:r>
          </w:p>
        </w:tc>
        <w:tc>
          <w:tcPr>
            <w:tcW w:type="dxa" w:w="1440"/>
            <w:shd w:fill="FAFAFA" w:val="clear"/>
          </w:tcPr>
          <w:p>
            <w:r>
              <w:rPr>
                <w:sz w:val="17"/>
              </w:rPr>
              <w:t>3,210</w:t>
            </w:r>
          </w:p>
        </w:tc>
        <w:tc>
          <w:tcPr>
            <w:tcW w:type="dxa" w:w="1440"/>
            <w:shd w:fill="FAFAFA" w:val="clear"/>
          </w:tcPr>
          <w:p>
            <w:r>
              <w:rPr>
                <w:b/>
                <w:sz w:val="17"/>
              </w:rPr>
              <w:t>3,361</w:t>
            </w:r>
          </w:p>
        </w:tc>
        <w:tc>
          <w:tcPr>
            <w:tcW w:type="dxa" w:w="1440"/>
            <w:shd w:fill="FAFAFA" w:val="clear"/>
          </w:tcPr>
          <w:p>
            <w:r>
              <w:rPr>
                <w:sz w:val="17"/>
              </w:rPr>
              <w:t>3,512</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2026-10-02</w:t>
            </w:r>
          </w:p>
        </w:tc>
        <w:tc>
          <w:tcPr>
            <w:tcW w:type="dxa" w:w="1440"/>
            <w:shd w:fill="FAFAFA" w:val="clear"/>
          </w:tcPr>
          <w:p>
            <w:r>
              <w:rPr>
                <w:sz w:val="17"/>
              </w:rPr>
              <w:t>3,148</w:t>
            </w:r>
          </w:p>
        </w:tc>
        <w:tc>
          <w:tcPr>
            <w:tcW w:type="dxa" w:w="1440"/>
            <w:shd w:fill="FAFAFA" w:val="clear"/>
          </w:tcPr>
          <w:p>
            <w:r>
              <w:rPr>
                <w:b/>
                <w:sz w:val="17"/>
              </w:rPr>
              <w:t>3,331</w:t>
            </w:r>
          </w:p>
        </w:tc>
        <w:tc>
          <w:tcPr>
            <w:tcW w:type="dxa" w:w="1440"/>
            <w:shd w:fill="FAFAFA" w:val="clear"/>
          </w:tcPr>
          <w:p>
            <w:r>
              <w:rPr>
                <w:sz w:val="17"/>
              </w:rPr>
              <w:t>3,515</w:t>
            </w:r>
          </w:p>
        </w:tc>
        <w:tc>
          <w:tcPr>
            <w:tcW w:type="dxa" w:w="1440"/>
            <w:shd w:fill="FAFAFA" w:val="clear"/>
          </w:tcPr>
          <w:p>
            <w:r>
              <w:rPr>
                <w:b/>
                <w:color w:val="C00000"/>
                <w:sz w:val="17"/>
              </w:rPr>
              <w:t>-1.9%</w:t>
            </w:r>
          </w:p>
        </w:tc>
      </w:tr>
      <w:tr>
        <w:tc>
          <w:tcPr>
            <w:tcW w:type="dxa" w:w="1440"/>
            <w:shd w:fill="FFDCE0" w:val="clear"/>
          </w:tcPr>
          <w:p>
            <w:r>
              <w:rPr>
                <w:sz w:val="17"/>
              </w:rPr>
              <w:t>J+4  Moyenne</w:t>
            </w:r>
          </w:p>
        </w:tc>
        <w:tc>
          <w:tcPr>
            <w:tcW w:type="dxa" w:w="1440"/>
            <w:shd w:fill="FFDCE0" w:val="clear"/>
          </w:tcPr>
          <w:p>
            <w:r>
              <w:rPr>
                <w:sz w:val="17"/>
              </w:rPr>
              <w:t>2026-10-05</w:t>
            </w:r>
          </w:p>
        </w:tc>
        <w:tc>
          <w:tcPr>
            <w:tcW w:type="dxa" w:w="1440"/>
            <w:shd w:fill="FFDCE0" w:val="clear"/>
          </w:tcPr>
          <w:p>
            <w:r>
              <w:rPr>
                <w:sz w:val="17"/>
              </w:rPr>
              <w:t>3,090</w:t>
            </w:r>
          </w:p>
        </w:tc>
        <w:tc>
          <w:tcPr>
            <w:tcW w:type="dxa" w:w="1440"/>
            <w:shd w:fill="FFDCE0" w:val="clear"/>
          </w:tcPr>
          <w:p>
            <w:r>
              <w:rPr>
                <w:b/>
                <w:sz w:val="17"/>
              </w:rPr>
              <w:t>3,300</w:t>
            </w:r>
          </w:p>
        </w:tc>
        <w:tc>
          <w:tcPr>
            <w:tcW w:type="dxa" w:w="1440"/>
            <w:shd w:fill="FFDCE0" w:val="clear"/>
          </w:tcPr>
          <w:p>
            <w:r>
              <w:rPr>
                <w:sz w:val="17"/>
              </w:rPr>
              <w:t>3,510</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2026-10-06</w:t>
            </w:r>
          </w:p>
        </w:tc>
        <w:tc>
          <w:tcPr>
            <w:tcW w:type="dxa" w:w="1440"/>
            <w:shd w:fill="FFDCE0" w:val="clear"/>
          </w:tcPr>
          <w:p>
            <w:r>
              <w:rPr>
                <w:sz w:val="17"/>
              </w:rPr>
              <w:t>3,036</w:t>
            </w:r>
          </w:p>
        </w:tc>
        <w:tc>
          <w:tcPr>
            <w:tcW w:type="dxa" w:w="1440"/>
            <w:shd w:fill="FFDCE0" w:val="clear"/>
          </w:tcPr>
          <w:p>
            <w:r>
              <w:rPr>
                <w:b/>
                <w:sz w:val="17"/>
              </w:rPr>
              <w:t>3,269</w:t>
            </w:r>
          </w:p>
        </w:tc>
        <w:tc>
          <w:tcPr>
            <w:tcW w:type="dxa" w:w="1440"/>
            <w:shd w:fill="FFDCE0" w:val="clear"/>
          </w:tcPr>
          <w:p>
            <w:r>
              <w:rPr>
                <w:sz w:val="17"/>
              </w:rPr>
              <w:t>3,501</w:t>
            </w:r>
          </w:p>
        </w:tc>
        <w:tc>
          <w:tcPr>
            <w:tcW w:type="dxa" w:w="1440"/>
            <w:shd w:fill="FFDCE0" w:val="clear"/>
          </w:tcPr>
          <w:p>
            <w:r>
              <w:rPr>
                <w:b/>
                <w:color w:val="C00000"/>
                <w:sz w:val="17"/>
              </w:rPr>
              <w:t>-3.7%</w:t>
            </w:r>
          </w:p>
        </w:tc>
      </w:tr>
      <w:tr>
        <w:tc>
          <w:tcPr>
            <w:tcW w:type="dxa" w:w="1440"/>
            <w:shd w:fill="FFDCE0" w:val="clear"/>
          </w:tcPr>
          <w:p>
            <w:r>
              <w:rPr>
                <w:sz w:val="17"/>
              </w:rPr>
              <w:t>J+6  Moyenne</w:t>
            </w:r>
          </w:p>
        </w:tc>
        <w:tc>
          <w:tcPr>
            <w:tcW w:type="dxa" w:w="1440"/>
            <w:shd w:fill="FFDCE0" w:val="clear"/>
          </w:tcPr>
          <w:p>
            <w:r>
              <w:rPr>
                <w:sz w:val="17"/>
              </w:rPr>
              <w:t>2026-10-07</w:t>
            </w:r>
          </w:p>
        </w:tc>
        <w:tc>
          <w:tcPr>
            <w:tcW w:type="dxa" w:w="1440"/>
            <w:shd w:fill="FFDCE0" w:val="clear"/>
          </w:tcPr>
          <w:p>
            <w:r>
              <w:rPr>
                <w:sz w:val="17"/>
              </w:rPr>
              <w:t>2,988</w:t>
            </w:r>
          </w:p>
        </w:tc>
        <w:tc>
          <w:tcPr>
            <w:tcW w:type="dxa" w:w="1440"/>
            <w:shd w:fill="FFDCE0" w:val="clear"/>
          </w:tcPr>
          <w:p>
            <w:r>
              <w:rPr>
                <w:b/>
                <w:sz w:val="17"/>
              </w:rPr>
              <w:t>3,240</w:t>
            </w:r>
          </w:p>
        </w:tc>
        <w:tc>
          <w:tcPr>
            <w:tcW w:type="dxa" w:w="1440"/>
            <w:shd w:fill="FFDCE0" w:val="clear"/>
          </w:tcPr>
          <w:p>
            <w:r>
              <w:rPr>
                <w:sz w:val="17"/>
              </w:rPr>
              <w:t>3,492</w:t>
            </w:r>
          </w:p>
        </w:tc>
        <w:tc>
          <w:tcPr>
            <w:tcW w:type="dxa" w:w="1440"/>
            <w:shd w:fill="FFDCE0" w:val="clear"/>
          </w:tcPr>
          <w:p>
            <w:r>
              <w:rPr>
                <w:b/>
                <w:color w:val="C00000"/>
                <w:sz w:val="17"/>
              </w:rPr>
              <w:t>-4.6%</w:t>
            </w:r>
          </w:p>
        </w:tc>
      </w:tr>
      <w:tr>
        <w:tc>
          <w:tcPr>
            <w:tcW w:type="dxa" w:w="1440"/>
            <w:shd w:fill="FFDCE0" w:val="clear"/>
          </w:tcPr>
          <w:p>
            <w:r>
              <w:rPr>
                <w:sz w:val="17"/>
              </w:rPr>
              <w:t>J+7  Moyenne</w:t>
            </w:r>
          </w:p>
        </w:tc>
        <w:tc>
          <w:tcPr>
            <w:tcW w:type="dxa" w:w="1440"/>
            <w:shd w:fill="FFDCE0" w:val="clear"/>
          </w:tcPr>
          <w:p>
            <w:r>
              <w:rPr>
                <w:sz w:val="17"/>
              </w:rPr>
              <w:t>2026-10-08</w:t>
            </w:r>
          </w:p>
        </w:tc>
        <w:tc>
          <w:tcPr>
            <w:tcW w:type="dxa" w:w="1440"/>
            <w:shd w:fill="FFDCE0" w:val="clear"/>
          </w:tcPr>
          <w:p>
            <w:r>
              <w:rPr>
                <w:sz w:val="17"/>
              </w:rPr>
              <w:t>2,943</w:t>
            </w:r>
          </w:p>
        </w:tc>
        <w:tc>
          <w:tcPr>
            <w:tcW w:type="dxa" w:w="1440"/>
            <w:shd w:fill="FFDCE0" w:val="clear"/>
          </w:tcPr>
          <w:p>
            <w:r>
              <w:rPr>
                <w:b/>
                <w:sz w:val="17"/>
              </w:rPr>
              <w:t>3,213</w:t>
            </w:r>
          </w:p>
        </w:tc>
        <w:tc>
          <w:tcPr>
            <w:tcW w:type="dxa" w:w="1440"/>
            <w:shd w:fill="FFDCE0" w:val="clear"/>
          </w:tcPr>
          <w:p>
            <w:r>
              <w:rPr>
                <w:sz w:val="17"/>
              </w:rPr>
              <w:t>3,484</w:t>
            </w:r>
          </w:p>
        </w:tc>
        <w:tc>
          <w:tcPr>
            <w:tcW w:type="dxa" w:w="1440"/>
            <w:shd w:fill="FFDCE0" w:val="clear"/>
          </w:tcPr>
          <w:p>
            <w:r>
              <w:rPr>
                <w:b/>
                <w:color w:val="C00000"/>
                <w:sz w:val="17"/>
              </w:rPr>
              <w:t>-5.3%</w:t>
            </w:r>
          </w:p>
        </w:tc>
      </w:tr>
      <w:tr>
        <w:tc>
          <w:tcPr>
            <w:tcW w:type="dxa" w:w="1440"/>
            <w:shd w:fill="FFDCE0" w:val="clear"/>
          </w:tcPr>
          <w:p>
            <w:r>
              <w:rPr>
                <w:sz w:val="17"/>
              </w:rPr>
              <w:t>J+8  Moyenne</w:t>
            </w:r>
          </w:p>
        </w:tc>
        <w:tc>
          <w:tcPr>
            <w:tcW w:type="dxa" w:w="1440"/>
            <w:shd w:fill="FFDCE0" w:val="clear"/>
          </w:tcPr>
          <w:p>
            <w:r>
              <w:rPr>
                <w:sz w:val="17"/>
              </w:rPr>
              <w:t>2026-10-09</w:t>
            </w:r>
          </w:p>
        </w:tc>
        <w:tc>
          <w:tcPr>
            <w:tcW w:type="dxa" w:w="1440"/>
            <w:shd w:fill="FFDCE0" w:val="clear"/>
          </w:tcPr>
          <w:p>
            <w:r>
              <w:rPr>
                <w:sz w:val="17"/>
              </w:rPr>
              <w:t>2,903</w:t>
            </w:r>
          </w:p>
        </w:tc>
        <w:tc>
          <w:tcPr>
            <w:tcW w:type="dxa" w:w="1440"/>
            <w:shd w:fill="FFDCE0" w:val="clear"/>
          </w:tcPr>
          <w:p>
            <w:r>
              <w:rPr>
                <w:b/>
                <w:sz w:val="17"/>
              </w:rPr>
              <w:t>3,190</w:t>
            </w:r>
          </w:p>
        </w:tc>
        <w:tc>
          <w:tcPr>
            <w:tcW w:type="dxa" w:w="1440"/>
            <w:shd w:fill="FFDCE0" w:val="clear"/>
          </w:tcPr>
          <w:p>
            <w:r>
              <w:rPr>
                <w:sz w:val="17"/>
              </w:rPr>
              <w:t>3,476</w:t>
            </w:r>
          </w:p>
        </w:tc>
        <w:tc>
          <w:tcPr>
            <w:tcW w:type="dxa" w:w="1440"/>
            <w:shd w:fill="FFDCE0" w:val="clear"/>
          </w:tcPr>
          <w:p>
            <w:r>
              <w:rPr>
                <w:b/>
                <w:color w:val="C00000"/>
                <w:sz w:val="17"/>
              </w:rPr>
              <w:t>-6.1%</w:t>
            </w:r>
          </w:p>
        </w:tc>
      </w:tr>
      <w:tr>
        <w:tc>
          <w:tcPr>
            <w:tcW w:type="dxa" w:w="1440"/>
            <w:shd w:fill="FFDCE0" w:val="clear"/>
          </w:tcPr>
          <w:p>
            <w:r>
              <w:rPr>
                <w:sz w:val="17"/>
              </w:rPr>
              <w:t>J+9  Moyenne</w:t>
            </w:r>
          </w:p>
        </w:tc>
        <w:tc>
          <w:tcPr>
            <w:tcW w:type="dxa" w:w="1440"/>
            <w:shd w:fill="FFDCE0" w:val="clear"/>
          </w:tcPr>
          <w:p>
            <w:r>
              <w:rPr>
                <w:sz w:val="17"/>
              </w:rPr>
              <w:t>2026-10-12</w:t>
            </w:r>
          </w:p>
        </w:tc>
        <w:tc>
          <w:tcPr>
            <w:tcW w:type="dxa" w:w="1440"/>
            <w:shd w:fill="FFDCE0" w:val="clear"/>
          </w:tcPr>
          <w:p>
            <w:r>
              <w:rPr>
                <w:sz w:val="17"/>
              </w:rPr>
              <w:t>2,866</w:t>
            </w:r>
          </w:p>
        </w:tc>
        <w:tc>
          <w:tcPr>
            <w:tcW w:type="dxa" w:w="1440"/>
            <w:shd w:fill="FFDCE0" w:val="clear"/>
          </w:tcPr>
          <w:p>
            <w:r>
              <w:rPr>
                <w:b/>
                <w:sz w:val="17"/>
              </w:rPr>
              <w:t>3,168</w:t>
            </w:r>
          </w:p>
        </w:tc>
        <w:tc>
          <w:tcPr>
            <w:tcW w:type="dxa" w:w="1440"/>
            <w:shd w:fill="FFDCE0" w:val="clear"/>
          </w:tcPr>
          <w:p>
            <w:r>
              <w:rPr>
                <w:sz w:val="17"/>
              </w:rPr>
              <w:t>3,470</w:t>
            </w:r>
          </w:p>
        </w:tc>
        <w:tc>
          <w:tcPr>
            <w:tcW w:type="dxa" w:w="1440"/>
            <w:shd w:fill="FFDCE0" w:val="clear"/>
          </w:tcPr>
          <w:p>
            <w:r>
              <w:rPr>
                <w:b/>
                <w:color w:val="C00000"/>
                <w:sz w:val="17"/>
              </w:rPr>
              <w:t>-6.7%</w:t>
            </w:r>
          </w:p>
        </w:tc>
      </w:tr>
      <w:tr>
        <w:tc>
          <w:tcPr>
            <w:tcW w:type="dxa" w:w="1440"/>
            <w:shd w:fill="FFDCE0" w:val="clear"/>
          </w:tcPr>
          <w:p>
            <w:r>
              <w:rPr>
                <w:sz w:val="17"/>
              </w:rPr>
              <w:t>J+10  Moyenne</w:t>
            </w:r>
          </w:p>
        </w:tc>
        <w:tc>
          <w:tcPr>
            <w:tcW w:type="dxa" w:w="1440"/>
            <w:shd w:fill="FFDCE0" w:val="clear"/>
          </w:tcPr>
          <w:p>
            <w:r>
              <w:rPr>
                <w:sz w:val="17"/>
              </w:rPr>
              <w:t>2026-10-13</w:t>
            </w:r>
          </w:p>
        </w:tc>
        <w:tc>
          <w:tcPr>
            <w:tcW w:type="dxa" w:w="1440"/>
            <w:shd w:fill="FFDCE0" w:val="clear"/>
          </w:tcPr>
          <w:p>
            <w:r>
              <w:rPr>
                <w:sz w:val="17"/>
              </w:rPr>
              <w:t>2,831</w:t>
            </w:r>
          </w:p>
        </w:tc>
        <w:tc>
          <w:tcPr>
            <w:tcW w:type="dxa" w:w="1440"/>
            <w:shd w:fill="FFDCE0" w:val="clear"/>
          </w:tcPr>
          <w:p>
            <w:r>
              <w:rPr>
                <w:b/>
                <w:sz w:val="17"/>
              </w:rPr>
              <w:t>3,148</w:t>
            </w:r>
          </w:p>
        </w:tc>
        <w:tc>
          <w:tcPr>
            <w:tcW w:type="dxa" w:w="1440"/>
            <w:shd w:fill="FFDCE0" w:val="clear"/>
          </w:tcPr>
          <w:p>
            <w:r>
              <w:rPr>
                <w:sz w:val="17"/>
              </w:rPr>
              <w:t>3,464</w:t>
            </w:r>
          </w:p>
        </w:tc>
        <w:tc>
          <w:tcPr>
            <w:tcW w:type="dxa" w:w="1440"/>
            <w:shd w:fill="FFDCE0" w:val="clear"/>
          </w:tcPr>
          <w:p>
            <w:r>
              <w:rPr>
                <w:b/>
                <w:color w:val="C00000"/>
                <w:sz w:val="17"/>
              </w:rPr>
              <w:t>-7.3%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Côte d'Ivoire*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20,10 Mds FCFA, CABC se positionne comme une valeur de petite capitalisation sur la BRVM, ce qui implique une liquidité limitée et une sensibilité accrue aux mouvements de portefeuille. Le BPA de 243 FCFA/action indique ce que chaque titre rapporte en bénéfice, mais ce chiffre doit être nuancé au regard de la volatilité historique des résultats. Le PER de 14,0x situe le titre légèrement au-dessus de la moyenne BRVM (~8-12x), suggérant que les investisseurs paient une prime modérée pour les bénéfices, sans exagération manifeste. Le P/B de 2,15x traduit une valorisation supérieure à la valeur comptable, cohérente avec une prime de croissance accordée par le marché. Enfin, l'EV/EBITDA de 7,0x demeure raisonnable dans la fourchette 5-10x, indiquant que la valeur d'entreprise reste proportionnée à la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CABC affiche une variation quasi-stable de -0,44%, avec une dernière séance en repli de -0,15%, s'établissant à 3 395 FCFA. Le range de trading est significatif, oscillant entre un plus haut de 4 500 FCFA et un plus bas de 3 190 FCFA, soit une amplitude de plus de 40%, révélant une forte nervosité du titre. La tendance générale apparaît baissière sur la période, le cours actuel se situant sous sa moyenne (3 682 FCFA) et sa médiane (3 592 FCFA), signe d'une pression vendeuse persistante. L'écart entre moyenne et médiane (90 FCFA) confirme une distribution asymétrique, avec un skewness positif de 0,965 indiquant davantage de journées sous la moyenne, tandis que le kurtosis de 0,488 (mésokurtique) suggère une distribution proche de la normale, sans risque extrême de pics. L'écart-type de 290 FCFA et le coefficient de variation de 7,9% traduisent une dispersion modérée du cours autour de sa moyenne. La volatilité annualisée de 45,3% classe le titre dans la catégorie des valeurs à volatilité élevée (&gt;30%), ce qui implique un risque important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(3 424,25 FCFA) et la MM50 (3 533,30 FCFA) se situent toutes deux au-dessus du cours actuel (3 395 FCFA), confirmant une configuration baissière. La MM20 étant inférieure à la MM50, on observe un croisement baissier (death cross), ce qui justifie la décision technique de **Vente**.</w:t>
      </w:r>
    </w:p>
    <w:p>
      <w:pPr>
        <w:spacing w:after="120" w:line="276" w:lineRule="auto"/>
      </w:pPr>
      <w:r>
        <w:t>**Bandes de Bollinger** : Le cours (3 395 FCFA) évolue dans la partie basse de la bande, entre la borne inférieure (3 203,29 FCFA) et la borne supérieure (3 645,21 FCFA). Cette position médiane-basse, couplée à un rétrécissement des bandes, suggère une volatilité en contraction et une absence de signal directionnel fort, d'où la décision **Neutre**.</w:t>
      </w:r>
    </w:p>
    <w:p>
      <w:pPr>
        <w:spacing w:after="120" w:line="276" w:lineRule="auto"/>
      </w:pPr>
      <w:r>
        <w:t>**MACD** : La valeur du MACD (-65,544) est supérieure à son signal (-69,554), générant un croisement haussier (MACD &gt; Signal) bien que les deux restent en territoire négatif. Ce croisement précoce indique un essoufflement de la dynamique baissière et un potentiel retournement, justifiant la décision d'**Achat** technique.</w:t>
      </w:r>
    </w:p>
    <w:p>
      <w:pPr>
        <w:spacing w:after="120" w:line="276" w:lineRule="auto"/>
      </w:pPr>
      <w:r>
        <w:t>**RSI** : À 43,537, le RSI se situe en zone neutre (30-70), sans signal de surachat ni de survente. Cette position médiane reflète un équilibre entre acheteurs et vendeurs, sans pression directionnelle claire, d'où la décision **Neutre**.</w:t>
      </w:r>
    </w:p>
    <w:p>
      <w:pPr>
        <w:spacing w:after="120" w:line="276" w:lineRule="auto"/>
      </w:pPr>
      <w:r>
        <w:t>**Stochastique** : Le %K (66,129) est légèrement inférieur au %D (67,204), sans croisement significatif, et les deux se situent en zone médiane-haute. Cette configuration indique une absence de signal fort, justifiant la décision **Neutre**.</w:t>
      </w:r>
    </w:p>
    <w:p>
      <w:pPr>
        <w:spacing w:after="120" w:line="276" w:lineRule="auto"/>
      </w:pPr>
      <w:r>
        <w:t>**Conclusion technique** : Les indicateurs techniques présentent une divergence notable. Les moyennes mobiles confirment une tendance baissière, tandis que le MACD génère un signal d'achat précoce. Les oscillateurs (RSI, Stochastique) restent neutres, et les Bandes de Bollinger n'offrent pas de direction claire. Cette configuration suggère une phase de consolidation avec un potentiel retournement à court terme, mais sans confirmation franche.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CABC a réalisé un chiffre d'affaires de 21 263 M FCFA, en croissance de 11,18% par rapport à 2024, confirmant la dynamique commerciale positive. Le résultat net s'établit à 1 439 M FCFA, dégageant une marge nette de 6,77% et un ROE de 15,40% (excellent, &gt;15%), tandis que le ROA de 6,10% reflète une utilisation correcte des actifs. La structure financière est saine avec une autonomie financière de 39,58% (&gt;30%), une liquidité générale de 242,60% (&gt;1) et une capacité de remboursement de 0,26 an (très faible endettement). Cependant, les délais clients (144,69 jours) et la durée de stockage (152,12 jours) sont élevés, générant un BFR de 7 186 M FCFA et un flux opérationnel négatif de -819,66 M FCFA, signalant une tension sur la trésorerie malgré une trésorerie nette de 5 139 M FCFA.</w:t>
      </w:r>
    </w:p>
    <w:p>
      <w:pPr>
        <w:spacing w:after="120" w:line="276" w:lineRule="auto"/>
      </w:pPr>
      <w:r>
        <w:t>**Estimations basées sur les rapports trimestriels** : Le rapport du 3ème trimestre 2025 (arrêté au 30/09/2025) indique un CA cumulé de 16 630 M FCFA (+13,7%) et un résultat net de 1 329,5 M FCFA (+26,0%), avec une marge nette de 8,0%. Sur cette base, on estime que l'exercice 2025 devrait clôturer avec un résultat net supérieur à 1 700 M FCFA, confirmant la tendance haussière. Toutefois, le rapport du T1 2026 (publié en 2026) révèle une dégradation marquée : CA en baisse de 26,5% à 3 794 M FCFA, perte d'exploitation de 237 M FCFA et résultat net déficitaire de 222 M FCFA, en raison d'une maintenance planifiée et d'une inflation des cours des métaux (+23%). La direction anticipe une normalisation dès le T2 2026, mais cette situation introduit une incertitude majeure pour l'exercice en cours.</w:t>
      </w:r>
    </w:p>
    <w:p>
      <w:pPr>
        <w:spacing w:after="120" w:line="276" w:lineRule="auto"/>
      </w:pPr>
      <w:r>
        <w:t>**Évolution pluriannuelle** : Les rapports antérieurs (2023, 2024) montrent une amélioration progressive de la rentabilité, avec un résultat net passant de 1 430 M FCFA en 2023 à 1 439 M FCFA en 2025, malgré une provision importante de 490 M FCFA en 2024. La trésorerie nette, bien qu'en baisse de 25% en 2025 (5 139 M FCFA vs 6 865 M FCFA en 2024), reste confortable.</w:t>
      </w:r>
    </w:p>
    <w:p>
      <w:pPr>
        <w:spacing w:after="120" w:line="276" w:lineRule="auto"/>
      </w:pPr>
      <w:r>
        <w:t>**Recommandation fondamentale** : La solidité financière de CABC est indéniable (ROE &gt;15%, endettement faible, liquidité abondante), mais les risques opérationnels (délais clients élevés, flux opérationnel négatif, volatilité des matières premières) et la dégradation récente du T1 2026 incitent à la prudence. La recommandation fondamentale est **CONSERVER**, avec une surveillance active des indicateurs de trésorerie et des marges.</w:t>
      </w:r>
    </w:p>
    <w:p>
      <w:pPr>
        <w:spacing w:after="120" w:line="276" w:lineRule="auto"/>
      </w:pPr>
      <w:r>
        <w:t>---</w:t>
      </w:r>
    </w:p>
    <w:p>
      <w:pPr>
        <w:spacing w:after="120" w:line="276" w:lineRule="auto"/>
      </w:pPr>
      <w:r>
        <w:t>## PARTIE 4 : CONCLUSION D'INVESTISSEMENT</w:t>
      </w:r>
    </w:p>
    <w:p>
      <w:pPr>
        <w:spacing w:after="120" w:line="276" w:lineRule="auto"/>
      </w:pPr>
      <w:r>
        <w:t>La valorisation de CABC (PER 14,0x, P/B 2,15x, EV/EBITDA 7,0x) apparaît modérément exigeante, sans être excessive, reflétant une prime de croissance justifiée par les fondamentaux. Le comportement du cours sur 100 jours est préoccupant : tendance baissière (-0,44%), volatilité élevée (45,3%), skewness positif (0,965) et cours sous les moyennes mobiles, bien que le kurtosis (0,488) n'indique pas de risque extrême. Les signaux techniques sont divergents : les moyennes mobiles confirment la baisse, mais le MACD génère un signal d'achat précoce, tandis que le RSI et le Stochastique restent neutres, suggérant une consolidation avant un éventuel retournement. Les fondamentaux sont solides (CA 21 263 M FCFA en 2025, ROE 15,40%, endettement faible), mais les délais clients élevés (144,69 jours) et le flux opérationnel négatif (-819,66 M FCFA) constituent des points de vigilance, aggravés par la perte enregistrée au T1 2026. Les prédictions IA (J+1 à J+10) anticipent une poursuite de la baisse jusqu'à 3 269 FCFA, confirmant la pression baissière à court terme. **Recommandation finale : CONSERVER**, avec un niveau de confiance **Moyen** et un risque global **Élevé**. L'horizon d'investissement optimal est le **moyen terme (3-12 mois)**, en attendant la confirmation d'un retournement technique et la normalisation des performances opérationnelles au T2 2026. Une divergence persiste entre la valorisation raisonnable et les signaux techniques baissiers, ce qui justifie une approche attentiste.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13.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1039.68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1,576 titres</w:t>
            </w:r>
          </w:p>
        </w:tc>
        <w:tc>
          <w:tcPr>
            <w:tcW w:type="dxa" w:w="2268"/>
            <w:shd w:fill="FFF2CC" w:val="clear"/>
          </w:tcPr>
          <w:p>
            <w:r>
              <w:rPr>
                <w:b/>
                <w:color w:val="503200"/>
                <w:sz w:val="16"/>
              </w:rPr>
              <w:t xml:space="preserve">Cours actuel : </w:t>
            </w:r>
            <w:r>
              <w:rPr>
                <w:color w:val="000000"/>
                <w:sz w:val="17"/>
              </w:rPr>
              <w:t>32,490 FCFA</w:t>
            </w:r>
          </w:p>
          <w:p>
            <w:r>
              <w:rPr>
                <w:b/>
                <w:color w:val="503200"/>
                <w:sz w:val="16"/>
              </w:rPr>
              <w:t xml:space="preserve">Var. 100 jours : </w:t>
            </w:r>
            <w:r>
              <w:rPr>
                <w:b/>
                <w:color w:val="007800"/>
                <w:sz w:val="17"/>
              </w:rPr>
              <w:t>+94.55%</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16,600 FCFA</w:t>
            </w:r>
          </w:p>
          <w:p>
            <w:r>
              <w:rPr>
                <w:b/>
                <w:color w:val="503200"/>
                <w:sz w:val="16"/>
              </w:rPr>
              <w:t xml:space="preserve">Volatilité ann. : </w:t>
            </w:r>
            <w:r>
              <w:rPr>
                <w:color w:val="000000"/>
                <w:sz w:val="17"/>
              </w:rPr>
              <w:t>44.2%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18.39% (Élevée) — μ=26,348 FCFA, σ=4,845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β=1.5689 (Agressif) — Cov=0.000108, Var(idx)=0.000069, ρ=0.465,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1,576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598627"/>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2026-09-30</w:t>
            </w:r>
          </w:p>
        </w:tc>
        <w:tc>
          <w:tcPr>
            <w:tcW w:type="dxa" w:w="1440"/>
            <w:shd w:fill="FFDCE0" w:val="clear"/>
          </w:tcPr>
          <w:p>
            <w:r>
              <w:rPr>
                <w:sz w:val="17"/>
              </w:rPr>
              <w:t>29,090</w:t>
            </w:r>
          </w:p>
        </w:tc>
        <w:tc>
          <w:tcPr>
            <w:tcW w:type="dxa" w:w="1440"/>
            <w:shd w:fill="FFDCE0" w:val="clear"/>
          </w:tcPr>
          <w:p>
            <w:r>
              <w:rPr>
                <w:b/>
                <w:sz w:val="17"/>
              </w:rPr>
              <w:t>30,546</w:t>
            </w:r>
          </w:p>
        </w:tc>
        <w:tc>
          <w:tcPr>
            <w:tcW w:type="dxa" w:w="1440"/>
            <w:shd w:fill="FFDCE0" w:val="clear"/>
          </w:tcPr>
          <w:p>
            <w:r>
              <w:rPr>
                <w:sz w:val="17"/>
              </w:rPr>
              <w:t>32,002</w:t>
            </w:r>
          </w:p>
        </w:tc>
        <w:tc>
          <w:tcPr>
            <w:tcW w:type="dxa" w:w="1440"/>
            <w:shd w:fill="FFDCE0" w:val="clear"/>
          </w:tcPr>
          <w:p>
            <w:r>
              <w:rPr>
                <w:b/>
                <w:color w:val="C00000"/>
                <w:sz w:val="17"/>
              </w:rPr>
              <w:t>-6.0%</w:t>
            </w:r>
          </w:p>
        </w:tc>
      </w:tr>
      <w:tr>
        <w:tc>
          <w:tcPr>
            <w:tcW w:type="dxa" w:w="1440"/>
            <w:shd w:fill="FFDCE0" w:val="clear"/>
          </w:tcPr>
          <w:p>
            <w:r>
              <w:rPr>
                <w:sz w:val="17"/>
              </w:rPr>
              <w:t>J+2  Moyenne</w:t>
            </w:r>
          </w:p>
        </w:tc>
        <w:tc>
          <w:tcPr>
            <w:tcW w:type="dxa" w:w="1440"/>
            <w:shd w:fill="FFDCE0" w:val="clear"/>
          </w:tcPr>
          <w:p>
            <w:r>
              <w:rPr>
                <w:sz w:val="17"/>
              </w:rPr>
              <w:t>2026-10-01</w:t>
            </w:r>
          </w:p>
        </w:tc>
        <w:tc>
          <w:tcPr>
            <w:tcW w:type="dxa" w:w="1440"/>
            <w:shd w:fill="FFDCE0" w:val="clear"/>
          </w:tcPr>
          <w:p>
            <w:r>
              <w:rPr>
                <w:sz w:val="17"/>
              </w:rPr>
              <w:t>27,721</w:t>
            </w:r>
          </w:p>
        </w:tc>
        <w:tc>
          <w:tcPr>
            <w:tcW w:type="dxa" w:w="1440"/>
            <w:shd w:fill="FFDCE0" w:val="clear"/>
          </w:tcPr>
          <w:p>
            <w:r>
              <w:rPr>
                <w:b/>
                <w:sz w:val="17"/>
              </w:rPr>
              <w:t>29,725</w:t>
            </w:r>
          </w:p>
        </w:tc>
        <w:tc>
          <w:tcPr>
            <w:tcW w:type="dxa" w:w="1440"/>
            <w:shd w:fill="FFDCE0" w:val="clear"/>
          </w:tcPr>
          <w:p>
            <w:r>
              <w:rPr>
                <w:sz w:val="17"/>
              </w:rPr>
              <w:t>31,728</w:t>
            </w:r>
          </w:p>
        </w:tc>
        <w:tc>
          <w:tcPr>
            <w:tcW w:type="dxa" w:w="1440"/>
            <w:shd w:fill="FFDCE0" w:val="clear"/>
          </w:tcPr>
          <w:p>
            <w:r>
              <w:rPr>
                <w:b/>
                <w:color w:val="C00000"/>
                <w:sz w:val="17"/>
              </w:rPr>
              <w:t>-8.5%</w:t>
            </w:r>
          </w:p>
        </w:tc>
      </w:tr>
      <w:tr>
        <w:tc>
          <w:tcPr>
            <w:tcW w:type="dxa" w:w="1440"/>
            <w:shd w:fill="FFDCE0" w:val="clear"/>
          </w:tcPr>
          <w:p>
            <w:r>
              <w:rPr>
                <w:sz w:val="17"/>
              </w:rPr>
              <w:t>J+3  Moyenne</w:t>
            </w:r>
          </w:p>
        </w:tc>
        <w:tc>
          <w:tcPr>
            <w:tcW w:type="dxa" w:w="1440"/>
            <w:shd w:fill="FFDCE0" w:val="clear"/>
          </w:tcPr>
          <w:p>
            <w:r>
              <w:rPr>
                <w:sz w:val="17"/>
              </w:rPr>
              <w:t>2026-10-02</w:t>
            </w:r>
          </w:p>
        </w:tc>
        <w:tc>
          <w:tcPr>
            <w:tcW w:type="dxa" w:w="1440"/>
            <w:shd w:fill="FFDCE0" w:val="clear"/>
          </w:tcPr>
          <w:p>
            <w:r>
              <w:rPr>
                <w:sz w:val="17"/>
              </w:rPr>
              <w:t>26,964</w:t>
            </w:r>
          </w:p>
        </w:tc>
        <w:tc>
          <w:tcPr>
            <w:tcW w:type="dxa" w:w="1440"/>
            <w:shd w:fill="FFDCE0" w:val="clear"/>
          </w:tcPr>
          <w:p>
            <w:r>
              <w:rPr>
                <w:b/>
                <w:sz w:val="17"/>
              </w:rPr>
              <w:t>29,390</w:t>
            </w:r>
          </w:p>
        </w:tc>
        <w:tc>
          <w:tcPr>
            <w:tcW w:type="dxa" w:w="1440"/>
            <w:shd w:fill="FFDCE0" w:val="clear"/>
          </w:tcPr>
          <w:p>
            <w:r>
              <w:rPr>
                <w:sz w:val="17"/>
              </w:rPr>
              <w:t>31,816</w:t>
            </w:r>
          </w:p>
        </w:tc>
        <w:tc>
          <w:tcPr>
            <w:tcW w:type="dxa" w:w="1440"/>
            <w:shd w:fill="FFDCE0" w:val="clear"/>
          </w:tcPr>
          <w:p>
            <w:r>
              <w:rPr>
                <w:b/>
                <w:color w:val="C00000"/>
                <w:sz w:val="17"/>
              </w:rPr>
              <w:t>-9.5%</w:t>
            </w:r>
          </w:p>
        </w:tc>
      </w:tr>
      <w:tr>
        <w:tc>
          <w:tcPr>
            <w:tcW w:type="dxa" w:w="1440"/>
            <w:shd w:fill="FFDCE0" w:val="clear"/>
          </w:tcPr>
          <w:p>
            <w:r>
              <w:rPr>
                <w:sz w:val="17"/>
              </w:rPr>
              <w:t>J+4  ⭐</w:t>
            </w:r>
          </w:p>
        </w:tc>
        <w:tc>
          <w:tcPr>
            <w:tcW w:type="dxa" w:w="1440"/>
            <w:shd w:fill="FFDCE0" w:val="clear"/>
          </w:tcPr>
          <w:p>
            <w:r>
              <w:rPr>
                <w:sz w:val="17"/>
              </w:rPr>
              <w:t>2026-10-05</w:t>
            </w:r>
          </w:p>
        </w:tc>
        <w:tc>
          <w:tcPr>
            <w:tcW w:type="dxa" w:w="1440"/>
            <w:shd w:fill="FFDCE0" w:val="clear"/>
          </w:tcPr>
          <w:p>
            <w:r>
              <w:rPr>
                <w:sz w:val="17"/>
              </w:rPr>
              <w:t>26,384</w:t>
            </w:r>
          </w:p>
        </w:tc>
        <w:tc>
          <w:tcPr>
            <w:tcW w:type="dxa" w:w="1440"/>
            <w:shd w:fill="FFDCE0" w:val="clear"/>
          </w:tcPr>
          <w:p>
            <w:r>
              <w:rPr>
                <w:b/>
                <w:sz w:val="17"/>
              </w:rPr>
              <w:t>29,165</w:t>
            </w:r>
          </w:p>
        </w:tc>
        <w:tc>
          <w:tcPr>
            <w:tcW w:type="dxa" w:w="1440"/>
            <w:shd w:fill="FFDCE0" w:val="clear"/>
          </w:tcPr>
          <w:p>
            <w:r>
              <w:rPr>
                <w:sz w:val="17"/>
              </w:rPr>
              <w:t>31,945</w:t>
            </w:r>
          </w:p>
        </w:tc>
        <w:tc>
          <w:tcPr>
            <w:tcW w:type="dxa" w:w="1440"/>
            <w:shd w:fill="FFDCE0" w:val="clear"/>
          </w:tcPr>
          <w:p>
            <w:r>
              <w:rPr>
                <w:b/>
                <w:color w:val="C00000"/>
                <w:sz w:val="17"/>
              </w:rPr>
              <w:t>-10.2%</w:t>
            </w:r>
          </w:p>
        </w:tc>
      </w:tr>
      <w:tr>
        <w:tc>
          <w:tcPr>
            <w:tcW w:type="dxa" w:w="1440"/>
            <w:shd w:fill="FFDCE0" w:val="clear"/>
          </w:tcPr>
          <w:p>
            <w:r>
              <w:rPr>
                <w:sz w:val="17"/>
              </w:rPr>
              <w:t>J+5  ⭐</w:t>
            </w:r>
          </w:p>
        </w:tc>
        <w:tc>
          <w:tcPr>
            <w:tcW w:type="dxa" w:w="1440"/>
            <w:shd w:fill="FFDCE0" w:val="clear"/>
          </w:tcPr>
          <w:p>
            <w:r>
              <w:rPr>
                <w:sz w:val="17"/>
              </w:rPr>
              <w:t>2026-10-06</w:t>
            </w:r>
          </w:p>
        </w:tc>
        <w:tc>
          <w:tcPr>
            <w:tcW w:type="dxa" w:w="1440"/>
            <w:shd w:fill="FFDCE0" w:val="clear"/>
          </w:tcPr>
          <w:p>
            <w:r>
              <w:rPr>
                <w:sz w:val="17"/>
              </w:rPr>
              <w:t>25,876</w:t>
            </w:r>
          </w:p>
        </w:tc>
        <w:tc>
          <w:tcPr>
            <w:tcW w:type="dxa" w:w="1440"/>
            <w:shd w:fill="FFDCE0" w:val="clear"/>
          </w:tcPr>
          <w:p>
            <w:r>
              <w:rPr>
                <w:b/>
                <w:sz w:val="17"/>
              </w:rPr>
              <w:t>28,962</w:t>
            </w:r>
          </w:p>
        </w:tc>
        <w:tc>
          <w:tcPr>
            <w:tcW w:type="dxa" w:w="1440"/>
            <w:shd w:fill="FFDCE0" w:val="clear"/>
          </w:tcPr>
          <w:p>
            <w:r>
              <w:rPr>
                <w:sz w:val="17"/>
              </w:rPr>
              <w:t>32,049</w:t>
            </w:r>
          </w:p>
        </w:tc>
        <w:tc>
          <w:tcPr>
            <w:tcW w:type="dxa" w:w="1440"/>
            <w:shd w:fill="FFDCE0" w:val="clear"/>
          </w:tcPr>
          <w:p>
            <w:r>
              <w:rPr>
                <w:b/>
                <w:color w:val="C00000"/>
                <w:sz w:val="17"/>
              </w:rPr>
              <w:t>-10.9%</w:t>
            </w:r>
          </w:p>
        </w:tc>
      </w:tr>
      <w:tr>
        <w:tc>
          <w:tcPr>
            <w:tcW w:type="dxa" w:w="1440"/>
            <w:shd w:fill="FFDCE0" w:val="clear"/>
          </w:tcPr>
          <w:p>
            <w:r>
              <w:rPr>
                <w:sz w:val="17"/>
              </w:rPr>
              <w:t>J+6  ⭐</w:t>
            </w:r>
          </w:p>
        </w:tc>
        <w:tc>
          <w:tcPr>
            <w:tcW w:type="dxa" w:w="1440"/>
            <w:shd w:fill="FFDCE0" w:val="clear"/>
          </w:tcPr>
          <w:p>
            <w:r>
              <w:rPr>
                <w:sz w:val="17"/>
              </w:rPr>
              <w:t>2026-10-07</w:t>
            </w:r>
          </w:p>
        </w:tc>
        <w:tc>
          <w:tcPr>
            <w:tcW w:type="dxa" w:w="1440"/>
            <w:shd w:fill="FFDCE0" w:val="clear"/>
          </w:tcPr>
          <w:p>
            <w:r>
              <w:rPr>
                <w:sz w:val="17"/>
              </w:rPr>
              <w:t>25,431</w:t>
            </w:r>
          </w:p>
        </w:tc>
        <w:tc>
          <w:tcPr>
            <w:tcW w:type="dxa" w:w="1440"/>
            <w:shd w:fill="FFDCE0" w:val="clear"/>
          </w:tcPr>
          <w:p>
            <w:r>
              <w:rPr>
                <w:b/>
                <w:sz w:val="17"/>
              </w:rPr>
              <w:t>28,792</w:t>
            </w:r>
          </w:p>
        </w:tc>
        <w:tc>
          <w:tcPr>
            <w:tcW w:type="dxa" w:w="1440"/>
            <w:shd w:fill="FFDCE0" w:val="clear"/>
          </w:tcPr>
          <w:p>
            <w:r>
              <w:rPr>
                <w:sz w:val="17"/>
              </w:rPr>
              <w:t>32,154</w:t>
            </w:r>
          </w:p>
        </w:tc>
        <w:tc>
          <w:tcPr>
            <w:tcW w:type="dxa" w:w="1440"/>
            <w:shd w:fill="FFDCE0" w:val="clear"/>
          </w:tcPr>
          <w:p>
            <w:r>
              <w:rPr>
                <w:b/>
                <w:color w:val="C00000"/>
                <w:sz w:val="17"/>
              </w:rPr>
              <w:t>-11.4%</w:t>
            </w:r>
          </w:p>
        </w:tc>
      </w:tr>
      <w:tr>
        <w:tc>
          <w:tcPr>
            <w:tcW w:type="dxa" w:w="1440"/>
            <w:shd w:fill="FFDCE0" w:val="clear"/>
          </w:tcPr>
          <w:p>
            <w:r>
              <w:rPr>
                <w:sz w:val="17"/>
              </w:rPr>
              <w:t>J+7  ⭐</w:t>
            </w:r>
          </w:p>
        </w:tc>
        <w:tc>
          <w:tcPr>
            <w:tcW w:type="dxa" w:w="1440"/>
            <w:shd w:fill="FFDCE0" w:val="clear"/>
          </w:tcPr>
          <w:p>
            <w:r>
              <w:rPr>
                <w:sz w:val="17"/>
              </w:rPr>
              <w:t>2026-10-08</w:t>
            </w:r>
          </w:p>
        </w:tc>
        <w:tc>
          <w:tcPr>
            <w:tcW w:type="dxa" w:w="1440"/>
            <w:shd w:fill="FFDCE0" w:val="clear"/>
          </w:tcPr>
          <w:p>
            <w:r>
              <w:rPr>
                <w:sz w:val="17"/>
              </w:rPr>
              <w:t>25,036</w:t>
            </w:r>
          </w:p>
        </w:tc>
        <w:tc>
          <w:tcPr>
            <w:tcW w:type="dxa" w:w="1440"/>
            <w:shd w:fill="FFDCE0" w:val="clear"/>
          </w:tcPr>
          <w:p>
            <w:r>
              <w:rPr>
                <w:b/>
                <w:sz w:val="17"/>
              </w:rPr>
              <w:t>28,649</w:t>
            </w:r>
          </w:p>
        </w:tc>
        <w:tc>
          <w:tcPr>
            <w:tcW w:type="dxa" w:w="1440"/>
            <w:shd w:fill="FFDCE0" w:val="clear"/>
          </w:tcPr>
          <w:p>
            <w:r>
              <w:rPr>
                <w:sz w:val="17"/>
              </w:rPr>
              <w:t>32,262</w:t>
            </w:r>
          </w:p>
        </w:tc>
        <w:tc>
          <w:tcPr>
            <w:tcW w:type="dxa" w:w="1440"/>
            <w:shd w:fill="FFDCE0" w:val="clear"/>
          </w:tcPr>
          <w:p>
            <w:r>
              <w:rPr>
                <w:b/>
                <w:color w:val="C00000"/>
                <w:sz w:val="17"/>
              </w:rPr>
              <w:t>-11.8%</w:t>
            </w:r>
          </w:p>
        </w:tc>
      </w:tr>
      <w:tr>
        <w:tc>
          <w:tcPr>
            <w:tcW w:type="dxa" w:w="1440"/>
            <w:shd w:fill="FFDCE0" w:val="clear"/>
          </w:tcPr>
          <w:p>
            <w:r>
              <w:rPr>
                <w:sz w:val="17"/>
              </w:rPr>
              <w:t>J+8  ⭐</w:t>
            </w:r>
          </w:p>
        </w:tc>
        <w:tc>
          <w:tcPr>
            <w:tcW w:type="dxa" w:w="1440"/>
            <w:shd w:fill="FFDCE0" w:val="clear"/>
          </w:tcPr>
          <w:p>
            <w:r>
              <w:rPr>
                <w:sz w:val="17"/>
              </w:rPr>
              <w:t>2026-10-09</w:t>
            </w:r>
          </w:p>
        </w:tc>
        <w:tc>
          <w:tcPr>
            <w:tcW w:type="dxa" w:w="1440"/>
            <w:shd w:fill="FFDCE0" w:val="clear"/>
          </w:tcPr>
          <w:p>
            <w:r>
              <w:rPr>
                <w:sz w:val="17"/>
              </w:rPr>
              <w:t>24,681</w:t>
            </w:r>
          </w:p>
        </w:tc>
        <w:tc>
          <w:tcPr>
            <w:tcW w:type="dxa" w:w="1440"/>
            <w:shd w:fill="FFDCE0" w:val="clear"/>
          </w:tcPr>
          <w:p>
            <w:r>
              <w:rPr>
                <w:b/>
                <w:sz w:val="17"/>
              </w:rPr>
              <w:t>28,526</w:t>
            </w:r>
          </w:p>
        </w:tc>
        <w:tc>
          <w:tcPr>
            <w:tcW w:type="dxa" w:w="1440"/>
            <w:shd w:fill="FFDCE0" w:val="clear"/>
          </w:tcPr>
          <w:p>
            <w:r>
              <w:rPr>
                <w:sz w:val="17"/>
              </w:rPr>
              <w:t>32,372</w:t>
            </w:r>
          </w:p>
        </w:tc>
        <w:tc>
          <w:tcPr>
            <w:tcW w:type="dxa" w:w="1440"/>
            <w:shd w:fill="FFDCE0" w:val="clear"/>
          </w:tcPr>
          <w:p>
            <w:r>
              <w:rPr>
                <w:b/>
                <w:color w:val="C00000"/>
                <w:sz w:val="17"/>
              </w:rPr>
              <w:t>-12.2%</w:t>
            </w:r>
          </w:p>
        </w:tc>
      </w:tr>
      <w:tr>
        <w:tc>
          <w:tcPr>
            <w:tcW w:type="dxa" w:w="1440"/>
            <w:shd w:fill="FFDCE0" w:val="clear"/>
          </w:tcPr>
          <w:p>
            <w:r>
              <w:rPr>
                <w:sz w:val="17"/>
              </w:rPr>
              <w:t>J+9  ⭐</w:t>
            </w:r>
          </w:p>
        </w:tc>
        <w:tc>
          <w:tcPr>
            <w:tcW w:type="dxa" w:w="1440"/>
            <w:shd w:fill="FFDCE0" w:val="clear"/>
          </w:tcPr>
          <w:p>
            <w:r>
              <w:rPr>
                <w:sz w:val="17"/>
              </w:rPr>
              <w:t>2026-10-12</w:t>
            </w:r>
          </w:p>
        </w:tc>
        <w:tc>
          <w:tcPr>
            <w:tcW w:type="dxa" w:w="1440"/>
            <w:shd w:fill="FFDCE0" w:val="clear"/>
          </w:tcPr>
          <w:p>
            <w:r>
              <w:rPr>
                <w:sz w:val="17"/>
              </w:rPr>
              <w:t>24,356</w:t>
            </w:r>
          </w:p>
        </w:tc>
        <w:tc>
          <w:tcPr>
            <w:tcW w:type="dxa" w:w="1440"/>
            <w:shd w:fill="FFDCE0" w:val="clear"/>
          </w:tcPr>
          <w:p>
            <w:r>
              <w:rPr>
                <w:b/>
                <w:sz w:val="17"/>
              </w:rPr>
              <w:t>28,420</w:t>
            </w:r>
          </w:p>
        </w:tc>
        <w:tc>
          <w:tcPr>
            <w:tcW w:type="dxa" w:w="1440"/>
            <w:shd w:fill="FFDCE0" w:val="clear"/>
          </w:tcPr>
          <w:p>
            <w:r>
              <w:rPr>
                <w:sz w:val="17"/>
              </w:rPr>
              <w:t>32,483</w:t>
            </w:r>
          </w:p>
        </w:tc>
        <w:tc>
          <w:tcPr>
            <w:tcW w:type="dxa" w:w="1440"/>
            <w:shd w:fill="FFDCE0" w:val="clear"/>
          </w:tcPr>
          <w:p>
            <w:r>
              <w:rPr>
                <w:b/>
                <w:color w:val="C00000"/>
                <w:sz w:val="17"/>
              </w:rPr>
              <w:t>-12.5%</w:t>
            </w:r>
          </w:p>
        </w:tc>
      </w:tr>
      <w:tr>
        <w:tc>
          <w:tcPr>
            <w:tcW w:type="dxa" w:w="1440"/>
            <w:shd w:fill="FFDCE0" w:val="clear"/>
          </w:tcPr>
          <w:p>
            <w:r>
              <w:rPr>
                <w:sz w:val="17"/>
              </w:rPr>
              <w:t>J+10  ⭐</w:t>
            </w:r>
          </w:p>
        </w:tc>
        <w:tc>
          <w:tcPr>
            <w:tcW w:type="dxa" w:w="1440"/>
            <w:shd w:fill="FFDCE0" w:val="clear"/>
          </w:tcPr>
          <w:p>
            <w:r>
              <w:rPr>
                <w:sz w:val="17"/>
              </w:rPr>
              <w:t>2026-10-13</w:t>
            </w:r>
          </w:p>
        </w:tc>
        <w:tc>
          <w:tcPr>
            <w:tcW w:type="dxa" w:w="1440"/>
            <w:shd w:fill="FFDCE0" w:val="clear"/>
          </w:tcPr>
          <w:p>
            <w:r>
              <w:rPr>
                <w:sz w:val="17"/>
              </w:rPr>
              <w:t>24,057</w:t>
            </w:r>
          </w:p>
        </w:tc>
        <w:tc>
          <w:tcPr>
            <w:tcW w:type="dxa" w:w="1440"/>
            <w:shd w:fill="FFDCE0" w:val="clear"/>
          </w:tcPr>
          <w:p>
            <w:r>
              <w:rPr>
                <w:b/>
                <w:sz w:val="17"/>
              </w:rPr>
              <w:t>28,326</w:t>
            </w:r>
          </w:p>
        </w:tc>
        <w:tc>
          <w:tcPr>
            <w:tcW w:type="dxa" w:w="1440"/>
            <w:shd w:fill="FFDCE0" w:val="clear"/>
          </w:tcPr>
          <w:p>
            <w:r>
              <w:rPr>
                <w:sz w:val="17"/>
              </w:rPr>
              <w:t>32,596</w:t>
            </w:r>
          </w:p>
        </w:tc>
        <w:tc>
          <w:tcPr>
            <w:tcW w:type="dxa" w:w="1440"/>
            <w:shd w:fill="FFDCE0" w:val="clear"/>
          </w:tcPr>
          <w:p>
            <w:r>
              <w:rPr>
                <w:b/>
                <w:color w:val="C00000"/>
                <w:sz w:val="17"/>
              </w:rPr>
              <w:t>-12.8%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CORIS BANK INTERNATIONAL (CBIBF)**</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1 039,68 milliards FCFA, CBIBF s'impose comme l'une des plus importantes capitalisations de la cote BRVM, ce qui témoigne de sa stature de valeur de premier plan dans le compartiment bancaire régional. Le BPA de 2 047 FCFA/action signifie que chaque titre génère près de 2 047 FCFA de bénéfice net, un niveau de rentabilité par action particulièrement élevé pour le marché. Le PER de 15,9x se situe au-dessus de la moyenne BRVM (estimée entre 8x et 12x), ce qui indique que les investisseurs acceptent de payer une prime de valorisation pour cette valeur de croissance, justifiée par la forte progression du résultat net (+36,6% en 2025). L'EV/EBITDA de 11,8x, dans la fourchette 10-15x, traduit une valorisation élevée de la capacité opérationnelle, cohérente avec la qualité des fondamentaux mais laissant peu de marge d'erreur. Le ratio P/B n'étant pas fourni dans les données disponibles, il n'est pas commenté ici.</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CBIBF a enregistré une progression spectaculaire de +94,55%, passant d'un plus bas de 16 600 FCFA à un plus haut de 34 450 FCFA, pour un cours actuel de 32 490 FCFA ; la séance du jour (J-1) est restée stable à +0,00%, marquant une pause dans l'élan haussier. Le range de trading de 17 850 FCFA (soit plus du double du plus bas) illustre une tendance nettement haussière, portée par l'amélioration des résultats fondamentaux et la confiance du marché. Les statistiques descriptives révèlent une moyenne de 26 348 FCFA légèrement inférieure à la médiane de 27 585 FCFA, suggérant une distribution faiblement asymétrique avec quelques séances de forte baisse ayant tiré la moyenne vers le bas ; le mode à 22 000 FCFA indique que ce niveau de prix a été le plus fréquemment échangé. L'écart-type de 4 870 FCFA avec un coefficient de variation de 18,5% traduit une dispersion modérée du cours autour de sa moyenne, tandis que le kurtosis de -1,043 (distribution platykurtique) signale une faible concentration des rendements et un risque de pics extrêmes limité. Le skewness de -0,138, proche de zéro, confirme une distribution quasi symétrique, sans biais directionnel marqué. Enfin, la volatilité annualisée de 44,2% classe le titre dans la catégorie des valeurs à volatilité élevée (&gt;30%), ce qui implique un risque de marché significatif mais aussi un potentiel de gain attractif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32 810 FCFA et la MM50 à 30 134,6 FCFA, toutes deux inférieures au cours actuel de 32 490 FCFA pour la MM20 (léger écart) et nettement en-dessous pour la MM50. Cette configuration — cours au-dessus des deux moyennes avec MM20 &gt; MM50 — dessine une structure haussière classique (golden cross), justifiant la décision technique d'**Achat**. Le cours évolue toutefois très près de sa MM20, ce qui suggère une possible consolidation à court terme.</w:t>
      </w:r>
    </w:p>
    <w:p>
      <w:pPr>
        <w:spacing w:after="120" w:line="276" w:lineRule="auto"/>
      </w:pPr>
      <w:r>
        <w:t>**Bandes de Bollinger :** Le cours actuel (32 490 FCFA) se situe à l'intérieur des bandes, entre la borne inférieure (29 891 FCFA) et la borne supérieure (35 729 FCFA), plus proche du milieu que des extrêmes. Cette position centrale, couplée à un écart relativement large entre les bornes, traduit une volatilité encore présente mais sans signal de surachat ou de survente, d'où la décision **Neutre**. Le titre n'est ni comprimé ni en expansion imminente selon ce seul indicateur.</w:t>
      </w:r>
    </w:p>
    <w:p>
      <w:pPr>
        <w:spacing w:after="120" w:line="276" w:lineRule="auto"/>
      </w:pPr>
      <w:r>
        <w:t>**MACD :** La valeur du MACD (396,956) est nettement inférieure à son signal (728,284), ce qui génère un croisement baissier (MACD sous le signal) et une divergence négative. Ce positionnement indique un essoufflement du momentum haussier malgré la tendance de fond positive, justifiant la décision de **Vente** à court terme. C'est le signal technique le plus préoccupant du tableau.</w:t>
      </w:r>
    </w:p>
    <w:p>
      <w:pPr>
        <w:spacing w:after="120" w:line="276" w:lineRule="auto"/>
      </w:pPr>
      <w:r>
        <w:t>**RSI :** À 45,795, le RSI se situe dans la zone neutre (entre 30 et 70), sans signal de surachat (&gt;70) ni de survente (&lt;30). Cette valeur médiane indique un équilibre entre acheteurs et vendeurs, sans pression directionnelle dominante, d'où la décision **Neutre**. Le titre dispose donc d'un potentiel de rebond comme de repli sans contrainte technique immédiate.</w:t>
      </w:r>
    </w:p>
    <w:p>
      <w:pPr>
        <w:spacing w:after="120" w:line="276" w:lineRule="auto"/>
      </w:pPr>
      <w:r>
        <w:t>**Stochastique :** Le %K (66,061) est légèrement supérieur au %D (60,346), ce qui suggère un croisement haussier naissant mais encore faible. Les deux lignes se situent dans la zone médiane-haute sans atteindre la zone de surachat (&gt;80), justifiant la décision **Neutre**. Ce signal confirme l'absence de pression vendeuse forte mais ne fournit pas de catalyseur d'achat décisif.</w:t>
      </w:r>
    </w:p>
    <w:p>
      <w:pPr>
        <w:spacing w:after="120" w:line="276" w:lineRule="auto"/>
      </w:pPr>
      <w:r>
        <w:t>**Conclusion technique :** Les indicateurs techniques présentent un tableau mitigé : les moyennes mobiles restent haussières (Achat) et le stochastique neutre, mais le MACD en croisement baissier (Vente) et le RSI neutre tempèrent l'optimisme. Le titre semble entrer dans une phase de consolidation après sa forte hausse, avec un risque de correction à court terme mais une tendance de fond toujours positive. La convergence des signaux penche légèrement vers la prudence à court terme, sans invalider la dynamique haussière moyen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Coris Bank International affiche un Produit Net Bancaire (équivalent du chiffre d'affaires pour une banque) de 138,986 milliards FCFA, en croissance de 6,11% sur un an, et un résultat net de 65,495 milliards FCFA, en progression spectaculaire de +36,6% par rapport aux 47,937 milliards FCFA de 2024. Le coefficient d'exploitation s'établit à 36,39%, un niveau excellent (&lt;50%) qui témoigne d'une efficacité opérationnelle remarquable. La marge nette atteint 47,12% et le ROA 2,18%, tandis que le total du bilan s'élève à 2 997,779 milliards FCFA. Le ratio dépôts/crédits est très favorable : 2 015,284 milliards FCFA de dépôts clientèle contre 1 326,977 milliards FCFA de créances, soit un taux de transformation de 65,8%, indiquant une forte capacité de collecte et une politique de crédit sélective. Le coût du risque, bien qu'affiché à un niveau élevé dans les données brutes, s'est amélioré de 59,3% selon le rapport annuel 2025, traduisant l'assainissement réussi du portefeuille après l'exercice difficile de 2024.</w:t>
      </w:r>
    </w:p>
    <w:p>
      <w:pPr>
        <w:spacing w:after="120" w:line="276" w:lineRule="auto"/>
      </w:pPr>
      <w:r>
        <w:t>**Évolution pluriannuelle :** L'analyse des rapports antérieurs révèle une trajectoire de résilience : après une chute du résultat net de -25,4% en 2024 (47,9 milliards FCFA) due à l'explosion du coût du risque (+72,5%), la banque a opéré un redressement spectaculaire en 2025 (+36,6%). Le rapport annuel 2022 (publié en 2025) rappelle que la banque affichait déjà 56,5 milliards FCFA de résultat net avec un PNB de 111,1 milliards FCFA, confirmant une dynamique de croissance de long terme malgré la cyclicité des provisions.</w:t>
      </w:r>
    </w:p>
    <w:p>
      <w:pPr>
        <w:spacing w:after="120" w:line="276" w:lineRule="auto"/>
      </w:pPr>
      <w:r>
        <w:t>**Estimations basées sur les rapports trimestriels :** Le rapport du T1 2026 (publié en 2026) confirme l'accélération de la dynamique : le PNB atteint 36,8 milliards FCFA (+28,5%) et le résultat net 21,5 milliards FCFA (+22,2%), avec une marge nette de 58,4%. Sur cette base, on estime que l'exercice 2026 devrait générer un résultat net annuel compris entre 75 et 80 milliards FCFA, soit une nouvelle croissance à deux chiffres. Le rapport T3 2025 (daté du 30/09/2025) faisait déjà état d'un PNB de 101,3 milliards FCFA (+9,65%) et d'un résultat net de 52,9 milliards FCFA (+6,25%), confirmant la solidité de la trajectoire. La forte progression des dépôts (+37,9% au T1 2026 à 2 365,1 milliards FCFA) constitue un excellent indicateur avancé de la confiance des clients et de la capacité future de génération de revenus.</w:t>
      </w:r>
    </w:p>
    <w:p>
      <w:pPr>
        <w:spacing w:after="120" w:line="276" w:lineRule="auto"/>
      </w:pPr>
      <w:r>
        <w:t>**Recommandation fondamentale :** La solidité financière de CBIBF est incontestable : efficacité opérationnelle excellente, rentabilité élevée, bilan en forte croissance et gestion du risque en nette amélioration. Les principaux risques restent l'environnement sécuritaire et politique régional, ainsi que la concentration géographique sur le Burkina Faso. La valorisation (PER 15,9x) intègre déjà une large part de ces bonnes performances, ce qui limite le potentiel de revalorisation à court terme mais n'entame pas l'attractivité de long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dessine un profil d'investissement contrasté entre court et moyen terme. **Sur la valorisation (Partie 0)** , le PER de 15,9x et l'EV/EBITDA de 11,8x indiquent une valeur correctement valorisée à légèrement chère par rapport à la moyenne BRVM, sans décote évidente mais justifiée par la prime de croissance. **Sur le comportement du cours (Partie 1)** , la tendance haussière spectaculaire (+94,55%) et la volatilité élevée (44,2%) avec une distribution symétrique et sans pics extrêmes (kurtosis -1,043) suggèrent un titre en phase de maturité haussière, favorable mais exigeant. **Sur le plan technique (Partie 2)** , les signaux sont mitigés : les moyennes mobiles restent acheteuses mais le MACD baissier et le RSI neutre plaident pour une consolidation, voire une correction à court terme. **Sur les fondamentaux (Partie 3)** , la banque affiche une santé financière remarquable avec un coefficient d'exploitation de 36,4%, un résultat net 2025 de 65,5 milliards FCFA (+36,6%) et des estimations T1 2026 très prometteuses (+22,2% de résultat net), ce qui constitue le pilier le plus solide de l'analyse. **Les prédictions IA (J+1 à J+10)** anticipent une trajectoire baissière graduelle de 30 546 FCFA à 28 962 FCFA, soit une correction d'environ -10,9% sur dix séances, ce qui contredit la tendance haussière de fond mais confirme le signal baissier du MACD et la nécessité d'une consolidation après la flambée.</w:t>
      </w:r>
    </w:p>
    <w:p>
      <w:pPr>
        <w:spacing w:after="120" w:line="276" w:lineRule="auto"/>
      </w:pPr>
      <w:r>
        <w:t>**Recommandation finale : CONSERVER** (avec opportunité d'achat sur repli). La convergence entre la valorisation correcte, les fondamentaux excellents et la correction technique anticipée suggère qu'il n'est pas opportun de renforcer au cours actuel (32 490 FCFA) mais qu'une vente serait prématurée au vu de la solidité fondamentale. **Niveau de confiance : Moyen** — les fondamentaux sont solides mais les signaux techniques à court terme sont divergents. **Niveau de risque global : Moyen à Élevé** — volatilité de 44,2% et exposition aux risques géopolitiques régionaux. **Horizon d'investissement optimal : Moyen terme (3-12 mois)** , en privilégiant un point d'entrée sur repli vers 29 000-30 000 FCFA (zone de la borne inférieure de Bollinger et de la MM50) pour profiter de la poursuite de la croissance bénéficiaire estimée à +15-20% en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14.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290.20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3,581 titres</w:t>
            </w:r>
          </w:p>
        </w:tc>
        <w:tc>
          <w:tcPr>
            <w:tcW w:type="dxa" w:w="2268"/>
            <w:shd w:fill="FFF2CC" w:val="clear"/>
          </w:tcPr>
          <w:p>
            <w:r>
              <w:rPr>
                <w:b/>
                <w:color w:val="503200"/>
                <w:sz w:val="16"/>
              </w:rPr>
              <w:t xml:space="preserve">Cours actuel : </w:t>
            </w:r>
            <w:r>
              <w:rPr>
                <w:color w:val="000000"/>
                <w:sz w:val="17"/>
              </w:rPr>
              <w:t>1,600 FCFA</w:t>
            </w:r>
          </w:p>
          <w:p>
            <w:r>
              <w:rPr>
                <w:b/>
                <w:color w:val="503200"/>
                <w:sz w:val="16"/>
              </w:rPr>
              <w:t xml:space="preserve">Var. 100 jours : </w:t>
            </w:r>
            <w:r>
              <w:rPr>
                <w:b/>
                <w:color w:val="007800"/>
                <w:sz w:val="17"/>
              </w:rPr>
              <w:t>+14.29%</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1,380 FCFA</w:t>
            </w:r>
          </w:p>
          <w:p>
            <w:r>
              <w:rPr>
                <w:b/>
                <w:color w:val="503200"/>
                <w:sz w:val="16"/>
              </w:rPr>
              <w:t xml:space="preserve">Volatilité ann. : </w:t>
            </w:r>
            <w:r>
              <w:rPr>
                <w:color w:val="000000"/>
                <w:sz w:val="17"/>
              </w:rPr>
              <w:t>46.0%</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17.5/100 → Faible</w:t>
      </w:r>
    </w:p>
    <w:p>
      <w:pPr>
        <w:spacing w:before="40" w:after="80"/>
      </w:pPr>
      <w:r>
        <w:rPr>
          <w:rFonts w:ascii="Courier New" w:hAnsi="Courier New"/>
          <w:color w:val="006400"/>
          <w:sz w:val="18"/>
        </w:rPr>
        <w:t>███░░░░░░░░░░░░░░░░░  17.5/100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6.24% (Moyenne) — μ=1,630 FCFA, σ=102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β=1.0947 (Neutre (suit le marché)) — Cov=0.000075, Var(idx)=0.000069, ρ=0.313,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σ_j=2.90%/j (Stable) — Vol. annualisée≈46.0%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48/100  (Moyen)</w:t>
      </w:r>
    </w:p>
    <w:p/>
    <w:p>
      <w:pPr>
        <w:jc w:val="center"/>
      </w:pPr>
      <w:r>
        <w:drawing>
          <wp:inline xmlns:a="http://schemas.openxmlformats.org/drawingml/2006/main" xmlns:pic="http://schemas.openxmlformats.org/drawingml/2006/picture">
            <wp:extent cx="5669280" cy="2616976"/>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2026-09-30</w:t>
            </w:r>
          </w:p>
        </w:tc>
        <w:tc>
          <w:tcPr>
            <w:tcW w:type="dxa" w:w="1440"/>
            <w:shd w:fill="FAFAFA" w:val="clear"/>
          </w:tcPr>
          <w:p>
            <w:r>
              <w:rPr>
                <w:sz w:val="17"/>
              </w:rPr>
              <w:t>1,540</w:t>
            </w:r>
          </w:p>
        </w:tc>
        <w:tc>
          <w:tcPr>
            <w:tcW w:type="dxa" w:w="1440"/>
            <w:shd w:fill="FAFAFA" w:val="clear"/>
          </w:tcPr>
          <w:p>
            <w:r>
              <w:rPr>
                <w:b/>
                <w:sz w:val="17"/>
              </w:rPr>
              <w:t>1,606</w:t>
            </w:r>
          </w:p>
        </w:tc>
        <w:tc>
          <w:tcPr>
            <w:tcW w:type="dxa" w:w="1440"/>
            <w:shd w:fill="FAFAFA" w:val="clear"/>
          </w:tcPr>
          <w:p>
            <w:r>
              <w:rPr>
                <w:sz w:val="17"/>
              </w:rPr>
              <w:t>1,672</w:t>
            </w:r>
          </w:p>
        </w:tc>
        <w:tc>
          <w:tcPr>
            <w:tcW w:type="dxa" w:w="1440"/>
            <w:shd w:fill="FAFAFA" w:val="clear"/>
          </w:tcPr>
          <w:p>
            <w:r>
              <w:rPr>
                <w:b/>
                <w:color w:val="008000"/>
                <w:sz w:val="17"/>
              </w:rPr>
              <w:t>+0.4%</w:t>
            </w:r>
          </w:p>
        </w:tc>
      </w:tr>
      <w:tr>
        <w:tc>
          <w:tcPr>
            <w:tcW w:type="dxa" w:w="1440"/>
            <w:shd w:fill="FAFAFA" w:val="clear"/>
          </w:tcPr>
          <w:p>
            <w:r>
              <w:rPr>
                <w:sz w:val="17"/>
              </w:rPr>
              <w:t>J+2  Moyenne</w:t>
            </w:r>
          </w:p>
        </w:tc>
        <w:tc>
          <w:tcPr>
            <w:tcW w:type="dxa" w:w="1440"/>
            <w:shd w:fill="FAFAFA" w:val="clear"/>
          </w:tcPr>
          <w:p>
            <w:r>
              <w:rPr>
                <w:sz w:val="17"/>
              </w:rPr>
              <w:t>2026-10-01</w:t>
            </w:r>
          </w:p>
        </w:tc>
        <w:tc>
          <w:tcPr>
            <w:tcW w:type="dxa" w:w="1440"/>
            <w:shd w:fill="FAFAFA" w:val="clear"/>
          </w:tcPr>
          <w:p>
            <w:r>
              <w:rPr>
                <w:sz w:val="17"/>
              </w:rPr>
              <w:t>1,519</w:t>
            </w:r>
          </w:p>
        </w:tc>
        <w:tc>
          <w:tcPr>
            <w:tcW w:type="dxa" w:w="1440"/>
            <w:shd w:fill="FAFAFA" w:val="clear"/>
          </w:tcPr>
          <w:p>
            <w:r>
              <w:rPr>
                <w:b/>
                <w:sz w:val="17"/>
              </w:rPr>
              <w:t>1,613</w:t>
            </w:r>
          </w:p>
        </w:tc>
        <w:tc>
          <w:tcPr>
            <w:tcW w:type="dxa" w:w="1440"/>
            <w:shd w:fill="FAFAFA" w:val="clear"/>
          </w:tcPr>
          <w:p>
            <w:r>
              <w:rPr>
                <w:sz w:val="17"/>
              </w:rPr>
              <w:t>1,707</w:t>
            </w:r>
          </w:p>
        </w:tc>
        <w:tc>
          <w:tcPr>
            <w:tcW w:type="dxa" w:w="1440"/>
            <w:shd w:fill="FAFAFA" w:val="clear"/>
          </w:tcPr>
          <w:p>
            <w:r>
              <w:rPr>
                <w:b/>
                <w:color w:val="008000"/>
                <w:sz w:val="17"/>
              </w:rPr>
              <w:t>+0.8%</w:t>
            </w:r>
          </w:p>
        </w:tc>
      </w:tr>
      <w:tr>
        <w:tc>
          <w:tcPr>
            <w:tcW w:type="dxa" w:w="1440"/>
            <w:shd w:fill="FAFAFA" w:val="clear"/>
          </w:tcPr>
          <w:p>
            <w:r>
              <w:rPr>
                <w:sz w:val="17"/>
              </w:rPr>
              <w:t>J+3  Moyenne</w:t>
            </w:r>
          </w:p>
        </w:tc>
        <w:tc>
          <w:tcPr>
            <w:tcW w:type="dxa" w:w="1440"/>
            <w:shd w:fill="FAFAFA" w:val="clear"/>
          </w:tcPr>
          <w:p>
            <w:r>
              <w:rPr>
                <w:sz w:val="17"/>
              </w:rPr>
              <w:t>2026-10-02</w:t>
            </w:r>
          </w:p>
        </w:tc>
        <w:tc>
          <w:tcPr>
            <w:tcW w:type="dxa" w:w="1440"/>
            <w:shd w:fill="FAFAFA" w:val="clear"/>
          </w:tcPr>
          <w:p>
            <w:r>
              <w:rPr>
                <w:sz w:val="17"/>
              </w:rPr>
              <w:t>1,503</w:t>
            </w:r>
          </w:p>
        </w:tc>
        <w:tc>
          <w:tcPr>
            <w:tcW w:type="dxa" w:w="1440"/>
            <w:shd w:fill="FAFAFA" w:val="clear"/>
          </w:tcPr>
          <w:p>
            <w:r>
              <w:rPr>
                <w:b/>
                <w:sz w:val="17"/>
              </w:rPr>
              <w:t>1,618</w:t>
            </w:r>
          </w:p>
        </w:tc>
        <w:tc>
          <w:tcPr>
            <w:tcW w:type="dxa" w:w="1440"/>
            <w:shd w:fill="FAFAFA" w:val="clear"/>
          </w:tcPr>
          <w:p>
            <w:r>
              <w:rPr>
                <w:sz w:val="17"/>
              </w:rPr>
              <w:t>1,734</w:t>
            </w:r>
          </w:p>
        </w:tc>
        <w:tc>
          <w:tcPr>
            <w:tcW w:type="dxa" w:w="1440"/>
            <w:shd w:fill="FAFAFA" w:val="clear"/>
          </w:tcPr>
          <w:p>
            <w:r>
              <w:rPr>
                <w:b/>
                <w:color w:val="008000"/>
                <w:sz w:val="17"/>
              </w:rPr>
              <w:t>+1.2%</w:t>
            </w:r>
          </w:p>
        </w:tc>
      </w:tr>
      <w:tr>
        <w:tc>
          <w:tcPr>
            <w:tcW w:type="dxa" w:w="1440"/>
            <w:shd w:fill="FAFAFA" w:val="clear"/>
          </w:tcPr>
          <w:p>
            <w:r>
              <w:rPr>
                <w:sz w:val="17"/>
              </w:rPr>
              <w:t>J+4  ⭐</w:t>
            </w:r>
          </w:p>
        </w:tc>
        <w:tc>
          <w:tcPr>
            <w:tcW w:type="dxa" w:w="1440"/>
            <w:shd w:fill="FAFAFA" w:val="clear"/>
          </w:tcPr>
          <w:p>
            <w:r>
              <w:rPr>
                <w:sz w:val="17"/>
              </w:rPr>
              <w:t>2026-10-05</w:t>
            </w:r>
          </w:p>
        </w:tc>
        <w:tc>
          <w:tcPr>
            <w:tcW w:type="dxa" w:w="1440"/>
            <w:shd w:fill="FAFAFA" w:val="clear"/>
          </w:tcPr>
          <w:p>
            <w:r>
              <w:rPr>
                <w:sz w:val="17"/>
              </w:rPr>
              <w:t>1,490</w:t>
            </w:r>
          </w:p>
        </w:tc>
        <w:tc>
          <w:tcPr>
            <w:tcW w:type="dxa" w:w="1440"/>
            <w:shd w:fill="FAFAFA" w:val="clear"/>
          </w:tcPr>
          <w:p>
            <w:r>
              <w:rPr>
                <w:b/>
                <w:sz w:val="17"/>
              </w:rPr>
              <w:t>1,624</w:t>
            </w:r>
          </w:p>
        </w:tc>
        <w:tc>
          <w:tcPr>
            <w:tcW w:type="dxa" w:w="1440"/>
            <w:shd w:fill="FAFAFA" w:val="clear"/>
          </w:tcPr>
          <w:p>
            <w:r>
              <w:rPr>
                <w:sz w:val="17"/>
              </w:rPr>
              <w:t>1,758</w:t>
            </w:r>
          </w:p>
        </w:tc>
        <w:tc>
          <w:tcPr>
            <w:tcW w:type="dxa" w:w="1440"/>
            <w:shd w:fill="FAFAFA" w:val="clear"/>
          </w:tcPr>
          <w:p>
            <w:r>
              <w:rPr>
                <w:b/>
                <w:color w:val="008000"/>
                <w:sz w:val="17"/>
              </w:rPr>
              <w:t>+1.5%</w:t>
            </w:r>
          </w:p>
        </w:tc>
      </w:tr>
      <w:tr>
        <w:tc>
          <w:tcPr>
            <w:tcW w:type="dxa" w:w="1440"/>
            <w:shd w:fill="FAFAFA" w:val="clear"/>
          </w:tcPr>
          <w:p>
            <w:r>
              <w:rPr>
                <w:sz w:val="17"/>
              </w:rPr>
              <w:t>J+5  ⭐</w:t>
            </w:r>
          </w:p>
        </w:tc>
        <w:tc>
          <w:tcPr>
            <w:tcW w:type="dxa" w:w="1440"/>
            <w:shd w:fill="FAFAFA" w:val="clear"/>
          </w:tcPr>
          <w:p>
            <w:r>
              <w:rPr>
                <w:sz w:val="17"/>
              </w:rPr>
              <w:t>2026-10-06</w:t>
            </w:r>
          </w:p>
        </w:tc>
        <w:tc>
          <w:tcPr>
            <w:tcW w:type="dxa" w:w="1440"/>
            <w:shd w:fill="FAFAFA" w:val="clear"/>
          </w:tcPr>
          <w:p>
            <w:r>
              <w:rPr>
                <w:sz w:val="17"/>
              </w:rPr>
              <w:t>1,479</w:t>
            </w:r>
          </w:p>
        </w:tc>
        <w:tc>
          <w:tcPr>
            <w:tcW w:type="dxa" w:w="1440"/>
            <w:shd w:fill="FAFAFA" w:val="clear"/>
          </w:tcPr>
          <w:p>
            <w:r>
              <w:rPr>
                <w:b/>
                <w:sz w:val="17"/>
              </w:rPr>
              <w:t>1,630</w:t>
            </w:r>
          </w:p>
        </w:tc>
        <w:tc>
          <w:tcPr>
            <w:tcW w:type="dxa" w:w="1440"/>
            <w:shd w:fill="FAFAFA" w:val="clear"/>
          </w:tcPr>
          <w:p>
            <w:r>
              <w:rPr>
                <w:sz w:val="17"/>
              </w:rPr>
              <w:t>1,780</w:t>
            </w:r>
          </w:p>
        </w:tc>
        <w:tc>
          <w:tcPr>
            <w:tcW w:type="dxa" w:w="1440"/>
            <w:shd w:fill="FAFAFA" w:val="clear"/>
          </w:tcPr>
          <w:p>
            <w:r>
              <w:rPr>
                <w:b/>
                <w:color w:val="008000"/>
                <w:sz w:val="17"/>
              </w:rPr>
              <w:t>+1.9%</w:t>
            </w:r>
          </w:p>
        </w:tc>
      </w:tr>
      <w:tr>
        <w:tc>
          <w:tcPr>
            <w:tcW w:type="dxa" w:w="1440"/>
            <w:shd w:fill="C6EFCE" w:val="clear"/>
          </w:tcPr>
          <w:p>
            <w:r>
              <w:rPr>
                <w:sz w:val="17"/>
              </w:rPr>
              <w:t>J+6  ⭐</w:t>
            </w:r>
          </w:p>
        </w:tc>
        <w:tc>
          <w:tcPr>
            <w:tcW w:type="dxa" w:w="1440"/>
            <w:shd w:fill="C6EFCE" w:val="clear"/>
          </w:tcPr>
          <w:p>
            <w:r>
              <w:rPr>
                <w:sz w:val="17"/>
              </w:rPr>
              <w:t>2026-10-07</w:t>
            </w:r>
          </w:p>
        </w:tc>
        <w:tc>
          <w:tcPr>
            <w:tcW w:type="dxa" w:w="1440"/>
            <w:shd w:fill="C6EFCE" w:val="clear"/>
          </w:tcPr>
          <w:p>
            <w:r>
              <w:rPr>
                <w:sz w:val="17"/>
              </w:rPr>
              <w:t>1,470</w:t>
            </w:r>
          </w:p>
        </w:tc>
        <w:tc>
          <w:tcPr>
            <w:tcW w:type="dxa" w:w="1440"/>
            <w:shd w:fill="C6EFCE" w:val="clear"/>
          </w:tcPr>
          <w:p>
            <w:r>
              <w:rPr>
                <w:b/>
                <w:sz w:val="17"/>
              </w:rPr>
              <w:t>1,635</w:t>
            </w:r>
          </w:p>
        </w:tc>
        <w:tc>
          <w:tcPr>
            <w:tcW w:type="dxa" w:w="1440"/>
            <w:shd w:fill="C6EFCE" w:val="clear"/>
          </w:tcPr>
          <w:p>
            <w:r>
              <w:rPr>
                <w:sz w:val="17"/>
              </w:rPr>
              <w:t>1,801</w:t>
            </w:r>
          </w:p>
        </w:tc>
        <w:tc>
          <w:tcPr>
            <w:tcW w:type="dxa" w:w="1440"/>
            <w:shd w:fill="C6EFCE" w:val="clear"/>
          </w:tcPr>
          <w:p>
            <w:r>
              <w:rPr>
                <w:b/>
                <w:color w:val="008000"/>
                <w:sz w:val="17"/>
              </w:rPr>
              <w:t>+2.2%</w:t>
            </w:r>
          </w:p>
        </w:tc>
      </w:tr>
      <w:tr>
        <w:tc>
          <w:tcPr>
            <w:tcW w:type="dxa" w:w="1440"/>
            <w:shd w:fill="C6EFCE" w:val="clear"/>
          </w:tcPr>
          <w:p>
            <w:r>
              <w:rPr>
                <w:sz w:val="17"/>
              </w:rPr>
              <w:t>J+7  ⭐</w:t>
            </w:r>
          </w:p>
        </w:tc>
        <w:tc>
          <w:tcPr>
            <w:tcW w:type="dxa" w:w="1440"/>
            <w:shd w:fill="C6EFCE" w:val="clear"/>
          </w:tcPr>
          <w:p>
            <w:r>
              <w:rPr>
                <w:sz w:val="17"/>
              </w:rPr>
              <w:t>2026-10-08</w:t>
            </w:r>
          </w:p>
        </w:tc>
        <w:tc>
          <w:tcPr>
            <w:tcW w:type="dxa" w:w="1440"/>
            <w:shd w:fill="C6EFCE" w:val="clear"/>
          </w:tcPr>
          <w:p>
            <w:r>
              <w:rPr>
                <w:sz w:val="17"/>
              </w:rPr>
              <w:t>1,461</w:t>
            </w:r>
          </w:p>
        </w:tc>
        <w:tc>
          <w:tcPr>
            <w:tcW w:type="dxa" w:w="1440"/>
            <w:shd w:fill="C6EFCE" w:val="clear"/>
          </w:tcPr>
          <w:p>
            <w:r>
              <w:rPr>
                <w:b/>
                <w:sz w:val="17"/>
              </w:rPr>
              <w:t>1,640</w:t>
            </w:r>
          </w:p>
        </w:tc>
        <w:tc>
          <w:tcPr>
            <w:tcW w:type="dxa" w:w="1440"/>
            <w:shd w:fill="C6EFCE" w:val="clear"/>
          </w:tcPr>
          <w:p>
            <w:r>
              <w:rPr>
                <w:sz w:val="17"/>
              </w:rPr>
              <w:t>1,820</w:t>
            </w:r>
          </w:p>
        </w:tc>
        <w:tc>
          <w:tcPr>
            <w:tcW w:type="dxa" w:w="1440"/>
            <w:shd w:fill="C6EFCE" w:val="clear"/>
          </w:tcPr>
          <w:p>
            <w:r>
              <w:rPr>
                <w:b/>
                <w:color w:val="008000"/>
                <w:sz w:val="17"/>
              </w:rPr>
              <w:t>+2.5%</w:t>
            </w:r>
          </w:p>
        </w:tc>
      </w:tr>
      <w:tr>
        <w:tc>
          <w:tcPr>
            <w:tcW w:type="dxa" w:w="1440"/>
            <w:shd w:fill="C6EFCE" w:val="clear"/>
          </w:tcPr>
          <w:p>
            <w:r>
              <w:rPr>
                <w:sz w:val="17"/>
              </w:rPr>
              <w:t>J+8  ⭐</w:t>
            </w:r>
          </w:p>
        </w:tc>
        <w:tc>
          <w:tcPr>
            <w:tcW w:type="dxa" w:w="1440"/>
            <w:shd w:fill="C6EFCE" w:val="clear"/>
          </w:tcPr>
          <w:p>
            <w:r>
              <w:rPr>
                <w:sz w:val="17"/>
              </w:rPr>
              <w:t>2026-10-09</w:t>
            </w:r>
          </w:p>
        </w:tc>
        <w:tc>
          <w:tcPr>
            <w:tcW w:type="dxa" w:w="1440"/>
            <w:shd w:fill="C6EFCE" w:val="clear"/>
          </w:tcPr>
          <w:p>
            <w:r>
              <w:rPr>
                <w:sz w:val="17"/>
              </w:rPr>
              <w:t>1,454</w:t>
            </w:r>
          </w:p>
        </w:tc>
        <w:tc>
          <w:tcPr>
            <w:tcW w:type="dxa" w:w="1440"/>
            <w:shd w:fill="C6EFCE" w:val="clear"/>
          </w:tcPr>
          <w:p>
            <w:r>
              <w:rPr>
                <w:b/>
                <w:sz w:val="17"/>
              </w:rPr>
              <w:t>1,646</w:t>
            </w:r>
          </w:p>
        </w:tc>
        <w:tc>
          <w:tcPr>
            <w:tcW w:type="dxa" w:w="1440"/>
            <w:shd w:fill="C6EFCE" w:val="clear"/>
          </w:tcPr>
          <w:p>
            <w:r>
              <w:rPr>
                <w:sz w:val="17"/>
              </w:rPr>
              <w:t>1,838</w:t>
            </w:r>
          </w:p>
        </w:tc>
        <w:tc>
          <w:tcPr>
            <w:tcW w:type="dxa" w:w="1440"/>
            <w:shd w:fill="C6EFCE" w:val="clear"/>
          </w:tcPr>
          <w:p>
            <w:r>
              <w:rPr>
                <w:b/>
                <w:color w:val="008000"/>
                <w:sz w:val="17"/>
              </w:rPr>
              <w:t>+2.9%</w:t>
            </w:r>
          </w:p>
        </w:tc>
      </w:tr>
      <w:tr>
        <w:tc>
          <w:tcPr>
            <w:tcW w:type="dxa" w:w="1440"/>
            <w:shd w:fill="C6EFCE" w:val="clear"/>
          </w:tcPr>
          <w:p>
            <w:r>
              <w:rPr>
                <w:sz w:val="17"/>
              </w:rPr>
              <w:t>J+9  ⭐</w:t>
            </w:r>
          </w:p>
        </w:tc>
        <w:tc>
          <w:tcPr>
            <w:tcW w:type="dxa" w:w="1440"/>
            <w:shd w:fill="C6EFCE" w:val="clear"/>
          </w:tcPr>
          <w:p>
            <w:r>
              <w:rPr>
                <w:sz w:val="17"/>
              </w:rPr>
              <w:t>2026-10-12</w:t>
            </w:r>
          </w:p>
        </w:tc>
        <w:tc>
          <w:tcPr>
            <w:tcW w:type="dxa" w:w="1440"/>
            <w:shd w:fill="C6EFCE" w:val="clear"/>
          </w:tcPr>
          <w:p>
            <w:r>
              <w:rPr>
                <w:sz w:val="17"/>
              </w:rPr>
              <w:t>1,446</w:t>
            </w:r>
          </w:p>
        </w:tc>
        <w:tc>
          <w:tcPr>
            <w:tcW w:type="dxa" w:w="1440"/>
            <w:shd w:fill="C6EFCE" w:val="clear"/>
          </w:tcPr>
          <w:p>
            <w:r>
              <w:rPr>
                <w:b/>
                <w:sz w:val="17"/>
              </w:rPr>
              <w:t>1,651</w:t>
            </w:r>
          </w:p>
        </w:tc>
        <w:tc>
          <w:tcPr>
            <w:tcW w:type="dxa" w:w="1440"/>
            <w:shd w:fill="C6EFCE" w:val="clear"/>
          </w:tcPr>
          <w:p>
            <w:r>
              <w:rPr>
                <w:sz w:val="17"/>
              </w:rPr>
              <w:t>1,855</w:t>
            </w:r>
          </w:p>
        </w:tc>
        <w:tc>
          <w:tcPr>
            <w:tcW w:type="dxa" w:w="1440"/>
            <w:shd w:fill="C6EFCE" w:val="clear"/>
          </w:tcPr>
          <w:p>
            <w:r>
              <w:rPr>
                <w:b/>
                <w:color w:val="008000"/>
                <w:sz w:val="17"/>
              </w:rPr>
              <w:t>+3.2%</w:t>
            </w:r>
          </w:p>
        </w:tc>
      </w:tr>
      <w:tr>
        <w:tc>
          <w:tcPr>
            <w:tcW w:type="dxa" w:w="1440"/>
            <w:shd w:fill="C6EFCE" w:val="clear"/>
          </w:tcPr>
          <w:p>
            <w:r>
              <w:rPr>
                <w:sz w:val="17"/>
              </w:rPr>
              <w:t>J+10  ⭐</w:t>
            </w:r>
          </w:p>
        </w:tc>
        <w:tc>
          <w:tcPr>
            <w:tcW w:type="dxa" w:w="1440"/>
            <w:shd w:fill="C6EFCE" w:val="clear"/>
          </w:tcPr>
          <w:p>
            <w:r>
              <w:rPr>
                <w:sz w:val="17"/>
              </w:rPr>
              <w:t>2026-10-13</w:t>
            </w:r>
          </w:p>
        </w:tc>
        <w:tc>
          <w:tcPr>
            <w:tcW w:type="dxa" w:w="1440"/>
            <w:shd w:fill="C6EFCE" w:val="clear"/>
          </w:tcPr>
          <w:p>
            <w:r>
              <w:rPr>
                <w:sz w:val="17"/>
              </w:rPr>
              <w:t>1,439</w:t>
            </w:r>
          </w:p>
        </w:tc>
        <w:tc>
          <w:tcPr>
            <w:tcW w:type="dxa" w:w="1440"/>
            <w:shd w:fill="C6EFCE" w:val="clear"/>
          </w:tcPr>
          <w:p>
            <w:r>
              <w:rPr>
                <w:b/>
                <w:sz w:val="17"/>
              </w:rPr>
              <w:t>1,656</w:t>
            </w:r>
          </w:p>
        </w:tc>
        <w:tc>
          <w:tcPr>
            <w:tcW w:type="dxa" w:w="1440"/>
            <w:shd w:fill="C6EFCE" w:val="clear"/>
          </w:tcPr>
          <w:p>
            <w:r>
              <w:rPr>
                <w:sz w:val="17"/>
              </w:rPr>
              <w:t>1,872</w:t>
            </w:r>
          </w:p>
        </w:tc>
        <w:tc>
          <w:tcPr>
            <w:tcW w:type="dxa" w:w="1440"/>
            <w:shd w:fill="C6EFCE" w:val="clear"/>
          </w:tcPr>
          <w:p>
            <w:r>
              <w:rPr>
                <w:b/>
                <w:color w:val="008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**Bourse Régionale des Valeurs Mobilières (BRVM) | Cours de référence : 1 600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290,20 milliards FCFA, CFAC figure parmi les valeurs les plus importantes de la cote BRVM, ce qui lui confère une liquidité relative et une visibilité institutionnelle notables. Le BPA de 26 FCFA/action signifie que chaque titre génère 26 FCFA de bénéfice net, mais le PER de 61,8x traduit un prix payé par les investisseurs très supérieur à la norme du marché (PER BRVM moyen ~8-12x), signalant une valorisation tendue. Le P/B de 14,92x, largement au-dessus du seuil de 4x, indique que le marché valorise l'entreprise à près de 15 fois sa valeur comptable, soit une prime considérable justifiée uniquement par des anticipations de croissance forte. Enfin, l'EV/EBITDA de 31,5x (seuil d'alerte &gt;15x) montre que la valeur d'entreprise rapportée à la capacité opérationnelle est très exigeante, ce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progression totale de +14,29%, malgré un repli de -0,93% lors de la dernière séance (J-1), ce qui témoigne d'une dynamique haussière de fond mais d'une légère prise de bénéfices récente. Le cours a évolué dans un range de 445 FCFA, entre un plus bas de 1 380 FCFA et un plus haut de 1 825 FCFA, le cours actuel de 1 600 FCFA se situant dans la partie médiane-basse de cette fourchette, suggérant une consolidation après le pic. La moyenne (1 630 FCFA) est légèrement supérieure à la médiane (1 642 FCFA) et au mode (1 600 FCFA), avec un skewness de -0,523 indiquant une asymétrie négative — plus de journées se sont négociées au-dessus de la moyenne, ce qui est cohérent avec une tendance haussière ponctuée de corrections. L'écart-type de 102 FCFA et le coefficient de variation de 6,3% révèlent une dispersion modérée du cours autour de sa moyenne, tandis que le kurtosis de -0,323 (mésokurtique) suggère une distribution proche de la normale, sans risque excessif de pics extrêmes. La volatilité annualisée de 46,0% classe le titre dans la catégorie des valeurs à volatilité élevée (&gt;30%), ce qui implique un risque de marché significatif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(1 661,25 FCFA) et la MM50 (1 673,40 FCFA) se situent toutes deux au-dessus du cours actuel (1 600 FCFA), ce qui place le titre en position baissière à court et moyen terme. La MM20 étant légèrement inférieure à la MM50, on observe un début de croisement baissier, confirmant la décision technique de **Vente** émise par le système.</w:t>
      </w:r>
    </w:p>
    <w:p>
      <w:pPr>
        <w:spacing w:after="120" w:line="276" w:lineRule="auto"/>
      </w:pPr>
      <w:r>
        <w:t>**Bandes de Bollinger** : Le cours actuel (1 600 FCFA) évolue entre la borne inférieure (1 501,19 FCFA) et la borne supérieure (1 821,31 FCFA), se rapprochant de la borne basse sans la toucher. Cette position médiane-basse, dans un canal relativement large, traduit une volatilité modérée et une absence de signal directionnel fort, justifiant la décision **Neutre**.</w:t>
      </w:r>
    </w:p>
    <w:p>
      <w:pPr>
        <w:spacing w:after="120" w:line="276" w:lineRule="auto"/>
      </w:pPr>
      <w:r>
        <w:t>**MACD** : La valeur du MACD (-33,993) est inférieure à sa ligne de signal (-23,767), avec un histogramme négatif, ce qui indique un momentum baissier persistant. La divergence négative entre le MACD et son signal confirme la pression vendeuse à court terme, validant la décision **Vente**.</w:t>
      </w:r>
    </w:p>
    <w:p>
      <w:pPr>
        <w:spacing w:after="120" w:line="276" w:lineRule="auto"/>
      </w:pPr>
      <w:r>
        <w:t>**RSI** : À 39,773, le RSI se situe dans la zone neutre basse (30-70), sans atteindre le seuil de survente (&lt;30). Cela suggère que le titre n'est ni suracheté ni survendu, mais penche légèrement vers la faiblesse, justifiant la décision **Neutre** avec une orientation baissière modérée.</w:t>
      </w:r>
    </w:p>
    <w:p>
      <w:pPr>
        <w:spacing w:after="120" w:line="276" w:lineRule="auto"/>
      </w:pPr>
      <w:r>
        <w:t>**Stochastique** : Le %K (48,0) est légèrement supérieur au %D (44,0), sans croisement significatif récent. Cette configuration neutre, proche de la zone médiane, indique une absence de signal clair de retournement ou de continuation, confirmant la décision **Neutre**.</w:t>
      </w:r>
    </w:p>
    <w:p>
      <w:pPr>
        <w:spacing w:after="120" w:line="276" w:lineRule="auto"/>
      </w:pPr>
      <w:r>
        <w:t>**Conclusion technique** : La convergence des signaux baissiers (MM, MACD) et neutres (Bollinger, RSI, Stochastique) dresse un tableau technique mitigé, avec une tendance court terme orientée à la baisse mais sans excès. Le titre se trouve dans une phase de consolidation baissière modérée, et l'absence de signal de survente suggère que la pression vendeuse pourrait persister à court terme avant un éventuel rebond.</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2024, les états financiers de CFAC (exercice clos au 31 décembre 2024) affichent un chiffre d'affaires de 158,313 milliards FCFA, en baisse de -12,1% par rapport à 2023 (180,162 milliards FCFA), et un résultat net de 4,693 milliards FCFA, en recul de -26,7% (contre 6,399 milliards en 2023). Le ROE s'établit à 24,13%, un niveau excellent (&gt;15%), et le ROA à 5,52%, traduisant une bonne rentabilité des fonds propres malgré la contraction. La marge nette de 2,96% et la marge opérationnelle de 4,96% restent modestes, typiques du secteur automobile, tandis que le BFR négatif de -3,482 milliards FCFA constitue un point favorable, reflétant un financement des opérations par les fournisseurs (délai fournisseurs de 81,75 jours contre 36,64 jours pour les clients). Le taux d'endettement de 23,07% et l'autonomie financière de 22,88% (inférieure au seuil sain de 30%) indiquent une structure financière correcte mais perfectible, avec une trésorerie nette négative de -624,20 millions FCFA. Les rapports trimestriels de 2025 (T1, S1, T3) révèlent un redressement spectaculaire : au T3 2025 (rapport du 30 septembre 2025), le CA atteint 43,580 milliards FCFA (+18,3%) et le résultat net 1,489 milliard FCFA (+38,1%), avec une marge nette de 3,42% contre 2,93% un an plus tôt. Sur la base de ces tendances, on estime que l'exercice 2025 devrait clôturer avec un CA annuel compris entre 175 et 180 milliards FCFA et un résultat net en hausse de 30 à 40% par rapport à 2024, porté par la croissance des volumes (2 942 véhicules au T3 2025 contre 2 594) et une part de marché dominante de 41,7%. La recommandation fondamentale est donc **positive** : malgré la valorisation exigeante, la solidité du leadership, l'amélioration des marges et la dynamique trimestrielle soutiennent les perspectives, sous réserve d'une surveillance des risques liés à la cyclicité du marché et à la pression concurrentielle.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CFAC apparaît nettement surévaluée (PER 61,8x, P/B 14,92x, EV/EBITDA 31,5x), ce qui contraste avec des fondamentaux en amélioration mais encore fragiles sur l'exercice 2024 (CA -12,1%, RN -26,7%). Le comportement du cours sur 100 jours (+14,29%) est haussier, mais la volatilité élevée (46%) et le skewness négatif (-0,523) suggèrent une tendance à la correction après les pics, tandis que les signaux techniques (MM baissières, MACD négatif) confirment une pression vendeuse à court terme. Les fondamentaux 2025 (T1, S1, T3) montrent un redressement robuste (+18,3% de CA et +38,1% de RN au T3), ce qui pourrait justifier une partie de la prime de valorisation, mais le PER de 61,8x intègre déjà une grande partie de ces bonnes nouvelles. Les prédictions IA pour les 10 prochains jours (1 606 à 1 630 FCFA) anticipent une légère reprise (+1,9% depuis 1 600 FCFA), ce qui contredit les signaux techniques baissiers mais reste cohérent avec la dynamique fondamentale positive. Compte tenu de la divergence entre une valorisation tendue, des signaux techniques baissiers à court terme et des fondamentaux en amélioration, la recommandation finale est **CONSERVER** avec un niveau de confiance **Moyen** et un risque global **Élevé**. L'horizon d'investissement optimal est le **moyen terme (3-12 mois)**, en attendant la confirmation de la tendance bénéficiaire sur l'ensemble de l'exercice 2025 et une correction éventuelle de la valorisation pour offrir un point d'entrée plus attractif.</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15.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361.20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7,007 titres</w:t>
            </w:r>
          </w:p>
        </w:tc>
        <w:tc>
          <w:tcPr>
            <w:tcW w:type="dxa" w:w="2268"/>
            <w:shd w:fill="FFF2CC" w:val="clear"/>
          </w:tcPr>
          <w:p>
            <w:r>
              <w:rPr>
                <w:b/>
                <w:color w:val="503200"/>
                <w:sz w:val="16"/>
              </w:rPr>
              <w:t xml:space="preserve">Cours actuel : </w:t>
            </w:r>
            <w:r>
              <w:rPr>
                <w:color w:val="000000"/>
                <w:sz w:val="17"/>
              </w:rPr>
              <w:t>6,450 FCFA</w:t>
            </w:r>
          </w:p>
          <w:p>
            <w:r>
              <w:rPr>
                <w:b/>
                <w:color w:val="503200"/>
                <w:sz w:val="16"/>
              </w:rPr>
              <w:t xml:space="preserve">Var. 100 jours : </w:t>
            </w:r>
            <w:r>
              <w:rPr>
                <w:b/>
                <w:color w:val="007800"/>
                <w:sz w:val="17"/>
              </w:rPr>
              <w:t>+101.56%</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3,200 FCFA</w:t>
            </w:r>
          </w:p>
          <w:p>
            <w:r>
              <w:rPr>
                <w:b/>
                <w:color w:val="503200"/>
                <w:sz w:val="16"/>
              </w:rPr>
              <w:t xml:space="preserve">Volatilité ann. : </w:t>
            </w:r>
            <w:r>
              <w:rPr>
                <w:color w:val="000000"/>
                <w:sz w:val="17"/>
              </w:rPr>
              <w:t>50.2%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20.06% (Élevée) — μ=5,380 FCFA, σ=1,079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β=0.6717 (Défensif) — Cov=0.000046, Var(idx)=0.000069, ρ=0.174,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7,007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σ_j=3.16%/j (Modérée) — Vol. annualisée≈50.2%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6976"/>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2026-09-30</w:t>
            </w:r>
          </w:p>
        </w:tc>
        <w:tc>
          <w:tcPr>
            <w:tcW w:type="dxa" w:w="1440"/>
            <w:shd w:fill="FFDCE0" w:val="clear"/>
          </w:tcPr>
          <w:p>
            <w:r>
              <w:rPr>
                <w:sz w:val="17"/>
              </w:rPr>
              <w:t>5,917</w:t>
            </w:r>
          </w:p>
        </w:tc>
        <w:tc>
          <w:tcPr>
            <w:tcW w:type="dxa" w:w="1440"/>
            <w:shd w:fill="FFDCE0" w:val="clear"/>
          </w:tcPr>
          <w:p>
            <w:r>
              <w:rPr>
                <w:b/>
                <w:sz w:val="17"/>
              </w:rPr>
              <w:t>6,267</w:t>
            </w:r>
          </w:p>
        </w:tc>
        <w:tc>
          <w:tcPr>
            <w:tcW w:type="dxa" w:w="1440"/>
            <w:shd w:fill="FFDCE0" w:val="clear"/>
          </w:tcPr>
          <w:p>
            <w:r>
              <w:rPr>
                <w:sz w:val="17"/>
              </w:rPr>
              <w:t>6,618</w:t>
            </w:r>
          </w:p>
        </w:tc>
        <w:tc>
          <w:tcPr>
            <w:tcW w:type="dxa" w:w="1440"/>
            <w:shd w:fill="FFDCE0" w:val="clear"/>
          </w:tcPr>
          <w:p>
            <w:r>
              <w:rPr>
                <w:b/>
                <w:color w:val="C00000"/>
                <w:sz w:val="17"/>
              </w:rPr>
              <w:t>-2.8%</w:t>
            </w:r>
          </w:p>
        </w:tc>
      </w:tr>
      <w:tr>
        <w:tc>
          <w:tcPr>
            <w:tcW w:type="dxa" w:w="1440"/>
            <w:shd w:fill="FFDCE0" w:val="clear"/>
          </w:tcPr>
          <w:p>
            <w:r>
              <w:rPr>
                <w:sz w:val="17"/>
              </w:rPr>
              <w:t>J+2  Moyenne</w:t>
            </w:r>
          </w:p>
        </w:tc>
        <w:tc>
          <w:tcPr>
            <w:tcW w:type="dxa" w:w="1440"/>
            <w:shd w:fill="FFDCE0" w:val="clear"/>
          </w:tcPr>
          <w:p>
            <w:r>
              <w:rPr>
                <w:sz w:val="17"/>
              </w:rPr>
              <w:t>2026-10-01</w:t>
            </w:r>
          </w:p>
        </w:tc>
        <w:tc>
          <w:tcPr>
            <w:tcW w:type="dxa" w:w="1440"/>
            <w:shd w:fill="FFDCE0" w:val="clear"/>
          </w:tcPr>
          <w:p>
            <w:r>
              <w:rPr>
                <w:sz w:val="17"/>
              </w:rPr>
              <w:t>5,669</w:t>
            </w:r>
          </w:p>
        </w:tc>
        <w:tc>
          <w:tcPr>
            <w:tcW w:type="dxa" w:w="1440"/>
            <w:shd w:fill="FFDCE0" w:val="clear"/>
          </w:tcPr>
          <w:p>
            <w:r>
              <w:rPr>
                <w:b/>
                <w:sz w:val="17"/>
              </w:rPr>
              <w:t>6,156</w:t>
            </w:r>
          </w:p>
        </w:tc>
        <w:tc>
          <w:tcPr>
            <w:tcW w:type="dxa" w:w="1440"/>
            <w:shd w:fill="FFDCE0" w:val="clear"/>
          </w:tcPr>
          <w:p>
            <w:r>
              <w:rPr>
                <w:sz w:val="17"/>
              </w:rPr>
              <w:t>6,643</w:t>
            </w:r>
          </w:p>
        </w:tc>
        <w:tc>
          <w:tcPr>
            <w:tcW w:type="dxa" w:w="1440"/>
            <w:shd w:fill="FFDCE0" w:val="clear"/>
          </w:tcPr>
          <w:p>
            <w:r>
              <w:rPr>
                <w:b/>
                <w:color w:val="C00000"/>
                <w:sz w:val="17"/>
              </w:rPr>
              <w:t>-4.6%</w:t>
            </w:r>
          </w:p>
        </w:tc>
      </w:tr>
      <w:tr>
        <w:tc>
          <w:tcPr>
            <w:tcW w:type="dxa" w:w="1440"/>
            <w:shd w:fill="FFDCE0" w:val="clear"/>
          </w:tcPr>
          <w:p>
            <w:r>
              <w:rPr>
                <w:sz w:val="17"/>
              </w:rPr>
              <w:t>J+3  Moyenne</w:t>
            </w:r>
          </w:p>
        </w:tc>
        <w:tc>
          <w:tcPr>
            <w:tcW w:type="dxa" w:w="1440"/>
            <w:shd w:fill="FFDCE0" w:val="clear"/>
          </w:tcPr>
          <w:p>
            <w:r>
              <w:rPr>
                <w:sz w:val="17"/>
              </w:rPr>
              <w:t>2026-10-02</w:t>
            </w:r>
          </w:p>
        </w:tc>
        <w:tc>
          <w:tcPr>
            <w:tcW w:type="dxa" w:w="1440"/>
            <w:shd w:fill="FFDCE0" w:val="clear"/>
          </w:tcPr>
          <w:p>
            <w:r>
              <w:rPr>
                <w:sz w:val="17"/>
              </w:rPr>
              <w:t>5,493</w:t>
            </w:r>
          </w:p>
        </w:tc>
        <w:tc>
          <w:tcPr>
            <w:tcW w:type="dxa" w:w="1440"/>
            <w:shd w:fill="FFDCE0" w:val="clear"/>
          </w:tcPr>
          <w:p>
            <w:r>
              <w:rPr>
                <w:b/>
                <w:sz w:val="17"/>
              </w:rPr>
              <w:t>6,082</w:t>
            </w:r>
          </w:p>
        </w:tc>
        <w:tc>
          <w:tcPr>
            <w:tcW w:type="dxa" w:w="1440"/>
            <w:shd w:fill="FFDCE0" w:val="clear"/>
          </w:tcPr>
          <w:p>
            <w:r>
              <w:rPr>
                <w:sz w:val="17"/>
              </w:rPr>
              <w:t>6,672</w:t>
            </w:r>
          </w:p>
        </w:tc>
        <w:tc>
          <w:tcPr>
            <w:tcW w:type="dxa" w:w="1440"/>
            <w:shd w:fill="FFDCE0" w:val="clear"/>
          </w:tcPr>
          <w:p>
            <w:r>
              <w:rPr>
                <w:b/>
                <w:color w:val="C00000"/>
                <w:sz w:val="17"/>
              </w:rPr>
              <w:t>-5.7%</w:t>
            </w:r>
          </w:p>
        </w:tc>
      </w:tr>
      <w:tr>
        <w:tc>
          <w:tcPr>
            <w:tcW w:type="dxa" w:w="1440"/>
            <w:shd w:fill="FFDCE0" w:val="clear"/>
          </w:tcPr>
          <w:p>
            <w:r>
              <w:rPr>
                <w:sz w:val="17"/>
              </w:rPr>
              <w:t>J+4  ⭐</w:t>
            </w:r>
          </w:p>
        </w:tc>
        <w:tc>
          <w:tcPr>
            <w:tcW w:type="dxa" w:w="1440"/>
            <w:shd w:fill="FFDCE0" w:val="clear"/>
          </w:tcPr>
          <w:p>
            <w:r>
              <w:rPr>
                <w:sz w:val="17"/>
              </w:rPr>
              <w:t>2026-10-05</w:t>
            </w:r>
          </w:p>
        </w:tc>
        <w:tc>
          <w:tcPr>
            <w:tcW w:type="dxa" w:w="1440"/>
            <w:shd w:fill="FFDCE0" w:val="clear"/>
          </w:tcPr>
          <w:p>
            <w:r>
              <w:rPr>
                <w:sz w:val="17"/>
              </w:rPr>
              <w:t>5,364</w:t>
            </w:r>
          </w:p>
        </w:tc>
        <w:tc>
          <w:tcPr>
            <w:tcW w:type="dxa" w:w="1440"/>
            <w:shd w:fill="FFDCE0" w:val="clear"/>
          </w:tcPr>
          <w:p>
            <w:r>
              <w:rPr>
                <w:b/>
                <w:sz w:val="17"/>
              </w:rPr>
              <w:t>6,040</w:t>
            </w:r>
          </w:p>
        </w:tc>
        <w:tc>
          <w:tcPr>
            <w:tcW w:type="dxa" w:w="1440"/>
            <w:shd w:fill="FFDCE0" w:val="clear"/>
          </w:tcPr>
          <w:p>
            <w:r>
              <w:rPr>
                <w:sz w:val="17"/>
              </w:rPr>
              <w:t>6,715</w:t>
            </w:r>
          </w:p>
        </w:tc>
        <w:tc>
          <w:tcPr>
            <w:tcW w:type="dxa" w:w="1440"/>
            <w:shd w:fill="FFDCE0" w:val="clear"/>
          </w:tcPr>
          <w:p>
            <w:r>
              <w:rPr>
                <w:b/>
                <w:color w:val="C00000"/>
                <w:sz w:val="17"/>
              </w:rPr>
              <w:t>-6.4%</w:t>
            </w:r>
          </w:p>
        </w:tc>
      </w:tr>
      <w:tr>
        <w:tc>
          <w:tcPr>
            <w:tcW w:type="dxa" w:w="1440"/>
            <w:shd w:fill="FFDCE0" w:val="clear"/>
          </w:tcPr>
          <w:p>
            <w:r>
              <w:rPr>
                <w:sz w:val="17"/>
              </w:rPr>
              <w:t>J+5  ⭐</w:t>
            </w:r>
          </w:p>
        </w:tc>
        <w:tc>
          <w:tcPr>
            <w:tcW w:type="dxa" w:w="1440"/>
            <w:shd w:fill="FFDCE0" w:val="clear"/>
          </w:tcPr>
          <w:p>
            <w:r>
              <w:rPr>
                <w:sz w:val="17"/>
              </w:rPr>
              <w:t>2026-10-06</w:t>
            </w:r>
          </w:p>
        </w:tc>
        <w:tc>
          <w:tcPr>
            <w:tcW w:type="dxa" w:w="1440"/>
            <w:shd w:fill="FFDCE0" w:val="clear"/>
          </w:tcPr>
          <w:p>
            <w:r>
              <w:rPr>
                <w:sz w:val="17"/>
              </w:rPr>
              <w:t>5,258</w:t>
            </w:r>
          </w:p>
        </w:tc>
        <w:tc>
          <w:tcPr>
            <w:tcW w:type="dxa" w:w="1440"/>
            <w:shd w:fill="FFDCE0" w:val="clear"/>
          </w:tcPr>
          <w:p>
            <w:r>
              <w:rPr>
                <w:b/>
                <w:sz w:val="17"/>
              </w:rPr>
              <w:t>6,009</w:t>
            </w:r>
          </w:p>
        </w:tc>
        <w:tc>
          <w:tcPr>
            <w:tcW w:type="dxa" w:w="1440"/>
            <w:shd w:fill="FFDCE0" w:val="clear"/>
          </w:tcPr>
          <w:p>
            <w:r>
              <w:rPr>
                <w:sz w:val="17"/>
              </w:rPr>
              <w:t>6,761</w:t>
            </w:r>
          </w:p>
        </w:tc>
        <w:tc>
          <w:tcPr>
            <w:tcW w:type="dxa" w:w="1440"/>
            <w:shd w:fill="FFDCE0" w:val="clear"/>
          </w:tcPr>
          <w:p>
            <w:r>
              <w:rPr>
                <w:b/>
                <w:color w:val="C00000"/>
                <w:sz w:val="17"/>
              </w:rPr>
              <w:t>-6.8%</w:t>
            </w:r>
          </w:p>
        </w:tc>
      </w:tr>
      <w:tr>
        <w:tc>
          <w:tcPr>
            <w:tcW w:type="dxa" w:w="1440"/>
            <w:shd w:fill="FFDCE0" w:val="clear"/>
          </w:tcPr>
          <w:p>
            <w:r>
              <w:rPr>
                <w:sz w:val="17"/>
              </w:rPr>
              <w:t>J+6  ⭐</w:t>
            </w:r>
          </w:p>
        </w:tc>
        <w:tc>
          <w:tcPr>
            <w:tcW w:type="dxa" w:w="1440"/>
            <w:shd w:fill="FFDCE0" w:val="clear"/>
          </w:tcPr>
          <w:p>
            <w:r>
              <w:rPr>
                <w:sz w:val="17"/>
              </w:rPr>
              <w:t>2026-10-07</w:t>
            </w:r>
          </w:p>
        </w:tc>
        <w:tc>
          <w:tcPr>
            <w:tcW w:type="dxa" w:w="1440"/>
            <w:shd w:fill="FFDCE0" w:val="clear"/>
          </w:tcPr>
          <w:p>
            <w:r>
              <w:rPr>
                <w:sz w:val="17"/>
              </w:rPr>
              <w:t>5,166</w:t>
            </w:r>
          </w:p>
        </w:tc>
        <w:tc>
          <w:tcPr>
            <w:tcW w:type="dxa" w:w="1440"/>
            <w:shd w:fill="FFDCE0" w:val="clear"/>
          </w:tcPr>
          <w:p>
            <w:r>
              <w:rPr>
                <w:b/>
                <w:sz w:val="17"/>
              </w:rPr>
              <w:t>5,986</w:t>
            </w:r>
          </w:p>
        </w:tc>
        <w:tc>
          <w:tcPr>
            <w:tcW w:type="dxa" w:w="1440"/>
            <w:shd w:fill="FFDCE0" w:val="clear"/>
          </w:tcPr>
          <w:p>
            <w:r>
              <w:rPr>
                <w:sz w:val="17"/>
              </w:rPr>
              <w:t>6,806</w:t>
            </w:r>
          </w:p>
        </w:tc>
        <w:tc>
          <w:tcPr>
            <w:tcW w:type="dxa" w:w="1440"/>
            <w:shd w:fill="FFDCE0" w:val="clear"/>
          </w:tcPr>
          <w:p>
            <w:r>
              <w:rPr>
                <w:b/>
                <w:color w:val="C00000"/>
                <w:sz w:val="17"/>
              </w:rPr>
              <w:t>-7.2%</w:t>
            </w:r>
          </w:p>
        </w:tc>
      </w:tr>
      <w:tr>
        <w:tc>
          <w:tcPr>
            <w:tcW w:type="dxa" w:w="1440"/>
            <w:shd w:fill="FFDCE0" w:val="clear"/>
          </w:tcPr>
          <w:p>
            <w:r>
              <w:rPr>
                <w:sz w:val="17"/>
              </w:rPr>
              <w:t>J+7  ⭐</w:t>
            </w:r>
          </w:p>
        </w:tc>
        <w:tc>
          <w:tcPr>
            <w:tcW w:type="dxa" w:w="1440"/>
            <w:shd w:fill="FFDCE0" w:val="clear"/>
          </w:tcPr>
          <w:p>
            <w:r>
              <w:rPr>
                <w:sz w:val="17"/>
              </w:rPr>
              <w:t>2026-10-08</w:t>
            </w:r>
          </w:p>
        </w:tc>
        <w:tc>
          <w:tcPr>
            <w:tcW w:type="dxa" w:w="1440"/>
            <w:shd w:fill="FFDCE0" w:val="clear"/>
          </w:tcPr>
          <w:p>
            <w:r>
              <w:rPr>
                <w:sz w:val="17"/>
              </w:rPr>
              <w:t>5,085</w:t>
            </w:r>
          </w:p>
        </w:tc>
        <w:tc>
          <w:tcPr>
            <w:tcW w:type="dxa" w:w="1440"/>
            <w:shd w:fill="FFDCE0" w:val="clear"/>
          </w:tcPr>
          <w:p>
            <w:r>
              <w:rPr>
                <w:b/>
                <w:sz w:val="17"/>
              </w:rPr>
              <w:t>5,968</w:t>
            </w:r>
          </w:p>
        </w:tc>
        <w:tc>
          <w:tcPr>
            <w:tcW w:type="dxa" w:w="1440"/>
            <w:shd w:fill="FFDCE0" w:val="clear"/>
          </w:tcPr>
          <w:p>
            <w:r>
              <w:rPr>
                <w:sz w:val="17"/>
              </w:rPr>
              <w:t>6,851</w:t>
            </w:r>
          </w:p>
        </w:tc>
        <w:tc>
          <w:tcPr>
            <w:tcW w:type="dxa" w:w="1440"/>
            <w:shd w:fill="FFDCE0" w:val="clear"/>
          </w:tcPr>
          <w:p>
            <w:r>
              <w:rPr>
                <w:b/>
                <w:color w:val="C00000"/>
                <w:sz w:val="17"/>
              </w:rPr>
              <w:t>-7.5%</w:t>
            </w:r>
          </w:p>
        </w:tc>
      </w:tr>
      <w:tr>
        <w:tc>
          <w:tcPr>
            <w:tcW w:type="dxa" w:w="1440"/>
            <w:shd w:fill="FFDCE0" w:val="clear"/>
          </w:tcPr>
          <w:p>
            <w:r>
              <w:rPr>
                <w:sz w:val="17"/>
              </w:rPr>
              <w:t>J+8  ⭐</w:t>
            </w:r>
          </w:p>
        </w:tc>
        <w:tc>
          <w:tcPr>
            <w:tcW w:type="dxa" w:w="1440"/>
            <w:shd w:fill="FFDCE0" w:val="clear"/>
          </w:tcPr>
          <w:p>
            <w:r>
              <w:rPr>
                <w:sz w:val="17"/>
              </w:rPr>
              <w:t>2026-10-09</w:t>
            </w:r>
          </w:p>
        </w:tc>
        <w:tc>
          <w:tcPr>
            <w:tcW w:type="dxa" w:w="1440"/>
            <w:shd w:fill="FFDCE0" w:val="clear"/>
          </w:tcPr>
          <w:p>
            <w:r>
              <w:rPr>
                <w:sz w:val="17"/>
              </w:rPr>
              <w:t>5,012</w:t>
            </w:r>
          </w:p>
        </w:tc>
        <w:tc>
          <w:tcPr>
            <w:tcW w:type="dxa" w:w="1440"/>
            <w:shd w:fill="FFDCE0" w:val="clear"/>
          </w:tcPr>
          <w:p>
            <w:r>
              <w:rPr>
                <w:b/>
                <w:sz w:val="17"/>
              </w:rPr>
              <w:t>5,953</w:t>
            </w:r>
          </w:p>
        </w:tc>
        <w:tc>
          <w:tcPr>
            <w:tcW w:type="dxa" w:w="1440"/>
            <w:shd w:fill="FFDCE0" w:val="clear"/>
          </w:tcPr>
          <w:p>
            <w:r>
              <w:rPr>
                <w:sz w:val="17"/>
              </w:rPr>
              <w:t>6,895</w:t>
            </w:r>
          </w:p>
        </w:tc>
        <w:tc>
          <w:tcPr>
            <w:tcW w:type="dxa" w:w="1440"/>
            <w:shd w:fill="FFDCE0" w:val="clear"/>
          </w:tcPr>
          <w:p>
            <w:r>
              <w:rPr>
                <w:b/>
                <w:color w:val="C00000"/>
                <w:sz w:val="17"/>
              </w:rPr>
              <w:t>-7.7%</w:t>
            </w:r>
          </w:p>
        </w:tc>
      </w:tr>
      <w:tr>
        <w:tc>
          <w:tcPr>
            <w:tcW w:type="dxa" w:w="1440"/>
            <w:shd w:fill="FFDCE0" w:val="clear"/>
          </w:tcPr>
          <w:p>
            <w:r>
              <w:rPr>
                <w:sz w:val="17"/>
              </w:rPr>
              <w:t>J+9  ⭐</w:t>
            </w:r>
          </w:p>
        </w:tc>
        <w:tc>
          <w:tcPr>
            <w:tcW w:type="dxa" w:w="1440"/>
            <w:shd w:fill="FFDCE0" w:val="clear"/>
          </w:tcPr>
          <w:p>
            <w:r>
              <w:rPr>
                <w:sz w:val="17"/>
              </w:rPr>
              <w:t>2026-10-12</w:t>
            </w:r>
          </w:p>
        </w:tc>
        <w:tc>
          <w:tcPr>
            <w:tcW w:type="dxa" w:w="1440"/>
            <w:shd w:fill="FFDCE0" w:val="clear"/>
          </w:tcPr>
          <w:p>
            <w:r>
              <w:rPr>
                <w:sz w:val="17"/>
              </w:rPr>
              <w:t>4,945</w:t>
            </w:r>
          </w:p>
        </w:tc>
        <w:tc>
          <w:tcPr>
            <w:tcW w:type="dxa" w:w="1440"/>
            <w:shd w:fill="FFDCE0" w:val="clear"/>
          </w:tcPr>
          <w:p>
            <w:r>
              <w:rPr>
                <w:b/>
                <w:sz w:val="17"/>
              </w:rPr>
              <w:t>5,942</w:t>
            </w:r>
          </w:p>
        </w:tc>
        <w:tc>
          <w:tcPr>
            <w:tcW w:type="dxa" w:w="1440"/>
            <w:shd w:fill="FFDCE0" w:val="clear"/>
          </w:tcPr>
          <w:p>
            <w:r>
              <w:rPr>
                <w:sz w:val="17"/>
              </w:rPr>
              <w:t>6,939</w:t>
            </w:r>
          </w:p>
        </w:tc>
        <w:tc>
          <w:tcPr>
            <w:tcW w:type="dxa" w:w="1440"/>
            <w:shd w:fill="FFDCE0" w:val="clear"/>
          </w:tcPr>
          <w:p>
            <w:r>
              <w:rPr>
                <w:b/>
                <w:color w:val="C00000"/>
                <w:sz w:val="17"/>
              </w:rPr>
              <w:t>-7.9%</w:t>
            </w:r>
          </w:p>
        </w:tc>
      </w:tr>
      <w:tr>
        <w:tc>
          <w:tcPr>
            <w:tcW w:type="dxa" w:w="1440"/>
            <w:shd w:fill="FFDCE0" w:val="clear"/>
          </w:tcPr>
          <w:p>
            <w:r>
              <w:rPr>
                <w:sz w:val="17"/>
              </w:rPr>
              <w:t>J+10  ⭐</w:t>
            </w:r>
          </w:p>
        </w:tc>
        <w:tc>
          <w:tcPr>
            <w:tcW w:type="dxa" w:w="1440"/>
            <w:shd w:fill="FFDCE0" w:val="clear"/>
          </w:tcPr>
          <w:p>
            <w:r>
              <w:rPr>
                <w:sz w:val="17"/>
              </w:rPr>
              <w:t>2026-10-13</w:t>
            </w:r>
          </w:p>
        </w:tc>
        <w:tc>
          <w:tcPr>
            <w:tcW w:type="dxa" w:w="1440"/>
            <w:shd w:fill="FFDCE0" w:val="clear"/>
          </w:tcPr>
          <w:p>
            <w:r>
              <w:rPr>
                <w:sz w:val="17"/>
              </w:rPr>
              <w:t>4,883</w:t>
            </w:r>
          </w:p>
        </w:tc>
        <w:tc>
          <w:tcPr>
            <w:tcW w:type="dxa" w:w="1440"/>
            <w:shd w:fill="FFDCE0" w:val="clear"/>
          </w:tcPr>
          <w:p>
            <w:r>
              <w:rPr>
                <w:b/>
                <w:sz w:val="17"/>
              </w:rPr>
              <w:t>5,933</w:t>
            </w:r>
          </w:p>
        </w:tc>
        <w:tc>
          <w:tcPr>
            <w:tcW w:type="dxa" w:w="1440"/>
            <w:shd w:fill="FFDCE0" w:val="clear"/>
          </w:tcPr>
          <w:p>
            <w:r>
              <w:rPr>
                <w:sz w:val="17"/>
              </w:rPr>
              <w:t>6,982</w:t>
            </w:r>
          </w:p>
        </w:tc>
        <w:tc>
          <w:tcPr>
            <w:tcW w:type="dxa" w:w="1440"/>
            <w:shd w:fill="FFDCE0" w:val="clear"/>
          </w:tcPr>
          <w:p>
            <w:r>
              <w:rPr>
                <w:b/>
                <w:color w:val="C00000"/>
                <w:sz w:val="17"/>
              </w:rPr>
              <w:t>-8.0%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*Marché : BRVM | Secteur : Services publics / Électricité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361,20 milliards FCFA, la CIEC s'impose comme l'une des plus importantes capitalisations de la BRVM, ce qui témoigne de son statut d'entreprise stratégique dans le paysage boursier ouest-africain. Le BPA de 234 FCFA/action indique que chaque titre génère 234 FCFA de bénéfice net, un niveau correct pour une entreprise de services publics régulée. Le PER de 27,5x est nettement supérieur à la moyenne BRVM (~8-12x), signalant que les investisseurs paient une prime élevée pour les bénéfices actuels, anticipant probablement la croissance future et la stabilité du dividende. Le P/B de 10,04x traduit une valorisation très supérieure à la valeur comptable (capitaux propres de 35,962 Mds FCFA seulement), ce qui est exigeant mais s'explique par la structure de concession où les actifs sont largement gérés pour le compte de l'Autorité concédante. L'EV/EBITDA de 14,8x, dans la fourchette haute (10-15x), confirme une valorisation tendue par rapport à la capacité opérationnelle, bien que justifiée par la croissance de 14,8% du CA et la progression de 30% du résultat net en 2025.</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CIEC a enregistré une variation spectaculaire de +101,56%, passant d'un plus bas de 3 200 FCFA à un plus haut de 7 400 FCFA, pour un cours actuel de 6 450 FCFA (variation J-1 de 0,00%, indiquant une séance de stabilisation). Cette performance exceptionnelle traduit un net retournement haussier, le titre ayant plus que doublé en moins de quatre mois, porté par l'engouement des investisseurs pour les valeurs à dividende attractif et la publication de résultats annuels solides. Les statistiques descriptives révèlent une moyenne de 5 380 FCFA légèrement supérieure à la médiane de 5 200 FCFA, suggérant une distribution quasi-symétrique avec une légère prédominance des cours élevés en fin de période. L'écart-type de 1 085 FCFA (CV=20,2%) indique une dispersion modérée du cours autour de sa moyenne, tandis que le kurtosis de -0,497 (mésokurtique) et le skewness de -0,158 (distribution symétrique) confirment un comportement proche d'une loi normale, sans risque excessif de pics extrêmes ni d'asymétrie marquée. La volatilité annualisée de 50,2% positionne le titre dans la catégorie des valeurs à volatilité élevée (&gt;30%), ce qui est cohérent avec la forte progression récente et le volume moyen de 7 007 titres/jour, relativement liquide pour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(6 698,5 FCFA) et la MM50 (6 130,3 FCFA) encadrent le cours actuel de 6 450 FCFA, ce dernier se situant entre les deux moyennes. La MM20 étant supérieure à la MM50, la configuration reste haussière de fond, mais le cours sous la MM20 suggère une consolidation à court terme. La décision technique est à l'**Achat**, la structure des moyennes demeurant favorable.</w:t>
      </w:r>
    </w:p>
    <w:p>
      <w:pPr>
        <w:spacing w:after="120" w:line="276" w:lineRule="auto"/>
      </w:pPr>
      <w:r>
        <w:t>**Bandes de Bollinger** : Le cours (6 450 FCFA) évolue dans la partie médiane de la bande, entre la borne inférieure (5 981,4 FCFA) et la borne supérieure (7 415,6 FCFA). L'écart important entre les bornes (1 434 FCFA) reflète la forte volatilité récente. La décision est **Neutre**, le cours n'étant ni en zone de surachat ni de survente technique.</w:t>
      </w:r>
    </w:p>
    <w:p>
      <w:pPr>
        <w:spacing w:after="120" w:line="276" w:lineRule="auto"/>
      </w:pPr>
      <w:r>
        <w:t>**MACD** : La valeur du MACD (14,715) est très inférieure à son signal (103,91), générant une divergence baissière marquée. Ce croisement négatif indique un essoufflement du momentum haussier et un risque de correction à court terme. La décision est à la **Vente**, le MACD ayant probablement atteint un sommet et entamé son repli.</w:t>
      </w:r>
    </w:p>
    <w:p>
      <w:pPr>
        <w:spacing w:after="120" w:line="276" w:lineRule="auto"/>
      </w:pPr>
      <w:r>
        <w:t>**RSI** : Avec une valeur de 27,273, le RSI se situe en zone de **survente** (&lt;30), ce qui est surprenant compte tenu de la progression récente du titre. Cela suggère que la correction actuelle est peut-être excessive et qu'un rebond technique est probable. La décision est à l'**Achat**, le RSI signalant un potentiel de rebond.</w:t>
      </w:r>
    </w:p>
    <w:p>
      <w:pPr>
        <w:spacing w:after="120" w:line="276" w:lineRule="auto"/>
      </w:pPr>
      <w:r>
        <w:t>**Stochastique** : Le %K (31,579) est légèrement supérieur au %D (26,26), sans croisement net, et les deux se situent en zone basse. La décision est **Neutre**, le stochastique n'indiquant pas de signal directionnel fort mais une possible amorce de retournement.</w:t>
      </w:r>
    </w:p>
    <w:p>
      <w:pPr>
        <w:spacing w:after="120" w:line="276" w:lineRule="auto"/>
      </w:pPr>
      <w:r>
        <w:t>**Conclusion technique** : Les indicateurs sont divergents : le RSI en survente et les moyennes mobiles haussières plaident pour un rebond, tandis que le MACD baissier et la position du cours sous la MM20 suggèrent une consolidation voire une correction. La configuration globale est **mitigée**, avec une tendance de fond haussière mais un momentum court terme affaibli. Une prudence est de mise avant tout nouvel engagement.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la CIEC a réalisé un chiffre d'affaires de 302,320 milliards FCFA, en croissance de 14,8% par rapport à 2024 (263,294 Mds FCFA), portée par une hausse des ventes d'énergie (+8,3% en volume) et une expansion du nombre de clients (+15,1% à 5 282 283 clients). Le résultat net s'établit à 13,127 milliards FCFA (comptes sociaux) et 13,1 milliards FCFA (comptes consolidés IFRS), en progression de 30% sur un an, avec une marge nette de 4,3% et un ROE exceptionnel de 36,5%, bien supérieur au seuil de 15% considéré comme excellent. Le ROA reste faible à 0,65%, reflétant l'intensité capitalistique du secteur et la structure de concession où les actifs sont largement gérés pour le compte de l'État. L'EBE progresse de 23,2% à 37,161 Mds FCFA, et la CAF s'élève à 28,869 Mds FCFA, couvrant 121,6% des investissements. Le BFR est négatif (-90,244 Mds FCFA), ce qui est favorable car il signifie que les dettes fournisseurs (278,106 Mds FCFA, délai de 970 jours) financent largement les créances clients (137,728 Mds FCFA, délai de 164 jours) et les stocks (50,134 Mds FCFA, 175 jours). Cependant, l'endettement est très élevé (ratio d'endettement de 612,9%, autonomie financière de seulement 1,78%), et la liquidité générale (96,95%) est légèrement inférieure à 1, ce qui constitue un point de vigilance. Le rapport annuel 2025 (publié le 31/12/2026) confirme une politique de dividende très généreuse avec un DPA de 234 FCFA (rendement de 3,6% au cours actuel), représentant 99,8% du résultat net social. Les rapports semestriels 2025 (S1 2025, datés du 30/06/2025) indiquaient un CA de 134,923 Mds FCFA (+18,85%) et un résultat net de 5,096 Mds FCFA (+13,4%), laissant présager un exercice annuel solide, confirmé par les résultats publiés. La recommandation fondamentale est de **CONSERVER** : la société affiche une croissance robuste, une rentabilité des fonds propres excellente et un dividende attractif, mais la valorisation exigeante, l'endettement massif et la dépendance au cadre réglementaire limitent le potentiel de revalorisation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exigeante avec un PER de 27,5x et un P/B de 10,04x, nettement supérieurs aux moyennes du marché, ce qui intègre déjà une large part de la croissance attendue et ne laisse que peu de marge d'erreur. Le comportement du cours (Partie 1) est exceptionnellement haussier (+101,56% sur 100 jours) mais la volatilité élevée (50,2%) et la distribution symétrique (skewness -0,158, kurtosis -0,497) suggèrent que le titre pourrait entrer dans une phase de consolidation après cette flambée. Les signaux techniques (Partie 2) sont divergents : le RSI en survente (27,3) et les moyennes mobiles haussières soutiennent un rebond, mais le MACD baissier (14,7 vs signal 103,9) et la position du cours sous la MM20 plaident pour une correction à court terme. Les fondamentaux (Partie 3) sont solides : croissance du CA de 14,8%, résultat net en hausse de 30%, ROE de 36,5%, dividende de 234 FCFA (rendement 3,6%), mais l'endettement (612,9%) et la faible autonomie financière (1,78%) constituent des risques structurels. Les prédictions IA (J+1 à J+10) anticipent une baisse progressive du cours de 6 267 FCFA à 6 009 FCFA, soit une correction de -6,8% sur 10 jours, ce qui confirme les signaux baissiers du MACD et la nécessité d'une consolidation après la hausse vertigineuse. **Recommandation finale : CONSERVER**, avec un niveau de confiance **Moyen** et un risque global **Élevé**. La convergence entre la valorisation tendue, le MACD baissier et les prédictions IA à la baisse incite à la prudence, mais la solidité fondamentale et le dividende attractif justifient de ne pas vendre. L'horizon optimal est le **moyen terme (3-12 mois)**, le temps que la consolidation s'achève et que la croissance bénéficiaire rattrape la valorisation. Un point d'entrée plus favorable pourrait se situer autour de 5 800-6 000 FCFA, niveau correspondant à la borne inférieure des Bandes de Bollinger et à la MM50.</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16.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924.57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4,144 titres</w:t>
            </w:r>
          </w:p>
        </w:tc>
        <w:tc>
          <w:tcPr>
            <w:tcW w:type="dxa" w:w="2268"/>
            <w:shd w:fill="FFF2CC" w:val="clear"/>
          </w:tcPr>
          <w:p>
            <w:r>
              <w:rPr>
                <w:b/>
                <w:color w:val="503200"/>
                <w:sz w:val="16"/>
              </w:rPr>
              <w:t xml:space="preserve">Cours actuel : </w:t>
            </w:r>
            <w:r>
              <w:rPr>
                <w:color w:val="000000"/>
                <w:sz w:val="17"/>
              </w:rPr>
              <w:t>16,795 FCFA</w:t>
            </w:r>
          </w:p>
          <w:p>
            <w:r>
              <w:rPr>
                <w:b/>
                <w:color w:val="503200"/>
                <w:sz w:val="16"/>
              </w:rPr>
              <w:t xml:space="preserve">Var. 100 jours : </w:t>
            </w:r>
            <w:r>
              <w:rPr>
                <w:b/>
                <w:color w:val="007800"/>
                <w:sz w:val="17"/>
              </w:rPr>
              <w:t>+4.32%</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2.74% (Faible) — μ=16,557 FCFA, σ=454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β=0.2845 (Défensif) — Cov=0.000020, Var(idx)=0.000069, ρ=0.132,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4,144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σ_j=1.78%/j (Stable) — Vol. annualisée≈28.3%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598627"/>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2026-09-30</w:t>
            </w:r>
          </w:p>
        </w:tc>
        <w:tc>
          <w:tcPr>
            <w:tcW w:type="dxa" w:w="1440"/>
            <w:shd w:fill="FAFAFA" w:val="clear"/>
          </w:tcPr>
          <w:p>
            <w:r>
              <w:rPr>
                <w:sz w:val="17"/>
              </w:rPr>
              <w:t>16,393</w:t>
            </w:r>
          </w:p>
        </w:tc>
        <w:tc>
          <w:tcPr>
            <w:tcW w:type="dxa" w:w="1440"/>
            <w:shd w:fill="FAFAFA" w:val="clear"/>
          </w:tcPr>
          <w:p>
            <w:r>
              <w:rPr>
                <w:b/>
                <w:sz w:val="17"/>
              </w:rPr>
              <w:t>16,926</w:t>
            </w:r>
          </w:p>
        </w:tc>
        <w:tc>
          <w:tcPr>
            <w:tcW w:type="dxa" w:w="1440"/>
            <w:shd w:fill="FAFAFA" w:val="clear"/>
          </w:tcPr>
          <w:p>
            <w:r>
              <w:rPr>
                <w:sz w:val="17"/>
              </w:rPr>
              <w:t>17,460</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2026-10-01</w:t>
            </w:r>
          </w:p>
        </w:tc>
        <w:tc>
          <w:tcPr>
            <w:tcW w:type="dxa" w:w="1440"/>
            <w:shd w:fill="FAFAFA" w:val="clear"/>
          </w:tcPr>
          <w:p>
            <w:r>
              <w:rPr>
                <w:sz w:val="17"/>
              </w:rPr>
              <w:t>16,188</w:t>
            </w:r>
          </w:p>
        </w:tc>
        <w:tc>
          <w:tcPr>
            <w:tcW w:type="dxa" w:w="1440"/>
            <w:shd w:fill="FAFAFA" w:val="clear"/>
          </w:tcPr>
          <w:p>
            <w:r>
              <w:rPr>
                <w:b/>
                <w:sz w:val="17"/>
              </w:rPr>
              <w:t>16,943</w:t>
            </w:r>
          </w:p>
        </w:tc>
        <w:tc>
          <w:tcPr>
            <w:tcW w:type="dxa" w:w="1440"/>
            <w:shd w:fill="FAFAFA" w:val="clear"/>
          </w:tcPr>
          <w:p>
            <w:r>
              <w:rPr>
                <w:sz w:val="17"/>
              </w:rPr>
              <w:t>17,698</w:t>
            </w:r>
          </w:p>
        </w:tc>
        <w:tc>
          <w:tcPr>
            <w:tcW w:type="dxa" w:w="1440"/>
            <w:shd w:fill="FAFAFA" w:val="clear"/>
          </w:tcPr>
          <w:p>
            <w:r>
              <w:rPr>
                <w:b/>
                <w:color w:val="008000"/>
                <w:sz w:val="17"/>
              </w:rPr>
              <w:t>+0.9%</w:t>
            </w:r>
          </w:p>
        </w:tc>
      </w:tr>
      <w:tr>
        <w:tc>
          <w:tcPr>
            <w:tcW w:type="dxa" w:w="1440"/>
            <w:shd w:fill="FAFAFA" w:val="clear"/>
          </w:tcPr>
          <w:p>
            <w:r>
              <w:rPr>
                <w:sz w:val="17"/>
              </w:rPr>
              <w:t>J+3  ⭐⭐⭐</w:t>
            </w:r>
          </w:p>
        </w:tc>
        <w:tc>
          <w:tcPr>
            <w:tcW w:type="dxa" w:w="1440"/>
            <w:shd w:fill="FAFAFA" w:val="clear"/>
          </w:tcPr>
          <w:p>
            <w:r>
              <w:rPr>
                <w:sz w:val="17"/>
              </w:rPr>
              <w:t>2026-10-02</w:t>
            </w:r>
          </w:p>
        </w:tc>
        <w:tc>
          <w:tcPr>
            <w:tcW w:type="dxa" w:w="1440"/>
            <w:shd w:fill="FAFAFA" w:val="clear"/>
          </w:tcPr>
          <w:p>
            <w:r>
              <w:rPr>
                <w:sz w:val="17"/>
              </w:rPr>
              <w:t>16,039</w:t>
            </w:r>
          </w:p>
        </w:tc>
        <w:tc>
          <w:tcPr>
            <w:tcW w:type="dxa" w:w="1440"/>
            <w:shd w:fill="FAFAFA" w:val="clear"/>
          </w:tcPr>
          <w:p>
            <w:r>
              <w:rPr>
                <w:b/>
                <w:sz w:val="17"/>
              </w:rPr>
              <w:t>16,966</w:t>
            </w:r>
          </w:p>
        </w:tc>
        <w:tc>
          <w:tcPr>
            <w:tcW w:type="dxa" w:w="1440"/>
            <w:shd w:fill="FAFAFA" w:val="clear"/>
          </w:tcPr>
          <w:p>
            <w:r>
              <w:rPr>
                <w:sz w:val="17"/>
              </w:rPr>
              <w:t>17,892</w:t>
            </w:r>
          </w:p>
        </w:tc>
        <w:tc>
          <w:tcPr>
            <w:tcW w:type="dxa" w:w="1440"/>
            <w:shd w:fill="FAFAFA" w:val="clear"/>
          </w:tcPr>
          <w:p>
            <w:r>
              <w:rPr>
                <w:b/>
                <w:color w:val="008000"/>
                <w:sz w:val="17"/>
              </w:rPr>
              <w:t>+1.0%</w:t>
            </w:r>
          </w:p>
        </w:tc>
      </w:tr>
      <w:tr>
        <w:tc>
          <w:tcPr>
            <w:tcW w:type="dxa" w:w="1440"/>
            <w:shd w:fill="FAFAFA" w:val="clear"/>
          </w:tcPr>
          <w:p>
            <w:r>
              <w:rPr>
                <w:sz w:val="17"/>
              </w:rPr>
              <w:t>J+4  Moyenne</w:t>
            </w:r>
          </w:p>
        </w:tc>
        <w:tc>
          <w:tcPr>
            <w:tcW w:type="dxa" w:w="1440"/>
            <w:shd w:fill="FAFAFA" w:val="clear"/>
          </w:tcPr>
          <w:p>
            <w:r>
              <w:rPr>
                <w:sz w:val="17"/>
              </w:rPr>
              <w:t>2026-10-05</w:t>
            </w:r>
          </w:p>
        </w:tc>
        <w:tc>
          <w:tcPr>
            <w:tcW w:type="dxa" w:w="1440"/>
            <w:shd w:fill="FAFAFA" w:val="clear"/>
          </w:tcPr>
          <w:p>
            <w:r>
              <w:rPr>
                <w:sz w:val="17"/>
              </w:rPr>
              <w:t>15,917</w:t>
            </w:r>
          </w:p>
        </w:tc>
        <w:tc>
          <w:tcPr>
            <w:tcW w:type="dxa" w:w="1440"/>
            <w:shd w:fill="FAFAFA" w:val="clear"/>
          </w:tcPr>
          <w:p>
            <w:r>
              <w:rPr>
                <w:b/>
                <w:sz w:val="17"/>
              </w:rPr>
              <w:t>16,988</w:t>
            </w:r>
          </w:p>
        </w:tc>
        <w:tc>
          <w:tcPr>
            <w:tcW w:type="dxa" w:w="1440"/>
            <w:shd w:fill="FAFAFA" w:val="clear"/>
          </w:tcPr>
          <w:p>
            <w:r>
              <w:rPr>
                <w:sz w:val="17"/>
              </w:rPr>
              <w:t>18,059</w:t>
            </w:r>
          </w:p>
        </w:tc>
        <w:tc>
          <w:tcPr>
            <w:tcW w:type="dxa" w:w="1440"/>
            <w:shd w:fill="FAFAFA" w:val="clear"/>
          </w:tcPr>
          <w:p>
            <w:r>
              <w:rPr>
                <w:b/>
                <w:color w:val="008000"/>
                <w:sz w:val="17"/>
              </w:rPr>
              <w:t>+1.1%</w:t>
            </w:r>
          </w:p>
        </w:tc>
      </w:tr>
      <w:tr>
        <w:tc>
          <w:tcPr>
            <w:tcW w:type="dxa" w:w="1440"/>
            <w:shd w:fill="FAFAFA" w:val="clear"/>
          </w:tcPr>
          <w:p>
            <w:r>
              <w:rPr>
                <w:sz w:val="17"/>
              </w:rPr>
              <w:t>J+5  Moyenne</w:t>
            </w:r>
          </w:p>
        </w:tc>
        <w:tc>
          <w:tcPr>
            <w:tcW w:type="dxa" w:w="1440"/>
            <w:shd w:fill="FAFAFA" w:val="clear"/>
          </w:tcPr>
          <w:p>
            <w:r>
              <w:rPr>
                <w:sz w:val="17"/>
              </w:rPr>
              <w:t>2026-10-06</w:t>
            </w:r>
          </w:p>
        </w:tc>
        <w:tc>
          <w:tcPr>
            <w:tcW w:type="dxa" w:w="1440"/>
            <w:shd w:fill="FAFAFA" w:val="clear"/>
          </w:tcPr>
          <w:p>
            <w:r>
              <w:rPr>
                <w:sz w:val="17"/>
              </w:rPr>
              <w:t>15,810</w:t>
            </w:r>
          </w:p>
        </w:tc>
        <w:tc>
          <w:tcPr>
            <w:tcW w:type="dxa" w:w="1440"/>
            <w:shd w:fill="FAFAFA" w:val="clear"/>
          </w:tcPr>
          <w:p>
            <w:r>
              <w:rPr>
                <w:b/>
                <w:sz w:val="17"/>
              </w:rPr>
              <w:t>17,009</w:t>
            </w:r>
          </w:p>
        </w:tc>
        <w:tc>
          <w:tcPr>
            <w:tcW w:type="dxa" w:w="1440"/>
            <w:shd w:fill="FAFAFA" w:val="clear"/>
          </w:tcPr>
          <w:p>
            <w:r>
              <w:rPr>
                <w:sz w:val="17"/>
              </w:rPr>
              <w:t>18,208</w:t>
            </w:r>
          </w:p>
        </w:tc>
        <w:tc>
          <w:tcPr>
            <w:tcW w:type="dxa" w:w="1440"/>
            <w:shd w:fill="FAFAFA" w:val="clear"/>
          </w:tcPr>
          <w:p>
            <w:r>
              <w:rPr>
                <w:b/>
                <w:color w:val="008000"/>
                <w:sz w:val="17"/>
              </w:rPr>
              <w:t>+1.3%</w:t>
            </w:r>
          </w:p>
        </w:tc>
      </w:tr>
      <w:tr>
        <w:tc>
          <w:tcPr>
            <w:tcW w:type="dxa" w:w="1440"/>
            <w:shd w:fill="FAFAFA" w:val="clear"/>
          </w:tcPr>
          <w:p>
            <w:r>
              <w:rPr>
                <w:sz w:val="17"/>
              </w:rPr>
              <w:t>J+6  Moyenne</w:t>
            </w:r>
          </w:p>
        </w:tc>
        <w:tc>
          <w:tcPr>
            <w:tcW w:type="dxa" w:w="1440"/>
            <w:shd w:fill="FAFAFA" w:val="clear"/>
          </w:tcPr>
          <w:p>
            <w:r>
              <w:rPr>
                <w:sz w:val="17"/>
              </w:rPr>
              <w:t>2026-10-07</w:t>
            </w:r>
          </w:p>
        </w:tc>
        <w:tc>
          <w:tcPr>
            <w:tcW w:type="dxa" w:w="1440"/>
            <w:shd w:fill="FAFAFA" w:val="clear"/>
          </w:tcPr>
          <w:p>
            <w:r>
              <w:rPr>
                <w:sz w:val="17"/>
              </w:rPr>
              <w:t>15,715</w:t>
            </w:r>
          </w:p>
        </w:tc>
        <w:tc>
          <w:tcPr>
            <w:tcW w:type="dxa" w:w="1440"/>
            <w:shd w:fill="FAFAFA" w:val="clear"/>
          </w:tcPr>
          <w:p>
            <w:r>
              <w:rPr>
                <w:b/>
                <w:sz w:val="17"/>
              </w:rPr>
              <w:t>17,030</w:t>
            </w:r>
          </w:p>
        </w:tc>
        <w:tc>
          <w:tcPr>
            <w:tcW w:type="dxa" w:w="1440"/>
            <w:shd w:fill="FAFAFA" w:val="clear"/>
          </w:tcPr>
          <w:p>
            <w:r>
              <w:rPr>
                <w:sz w:val="17"/>
              </w:rPr>
              <w:t>18,344</w:t>
            </w:r>
          </w:p>
        </w:tc>
        <w:tc>
          <w:tcPr>
            <w:tcW w:type="dxa" w:w="1440"/>
            <w:shd w:fill="FAFAFA" w:val="clear"/>
          </w:tcPr>
          <w:p>
            <w:r>
              <w:rPr>
                <w:b/>
                <w:color w:val="008000"/>
                <w:sz w:val="17"/>
              </w:rPr>
              <w:t>+1.4%</w:t>
            </w:r>
          </w:p>
        </w:tc>
      </w:tr>
      <w:tr>
        <w:tc>
          <w:tcPr>
            <w:tcW w:type="dxa" w:w="1440"/>
            <w:shd w:fill="FAFAFA" w:val="clear"/>
          </w:tcPr>
          <w:p>
            <w:r>
              <w:rPr>
                <w:sz w:val="17"/>
              </w:rPr>
              <w:t>J+7  Moyenne</w:t>
            </w:r>
          </w:p>
        </w:tc>
        <w:tc>
          <w:tcPr>
            <w:tcW w:type="dxa" w:w="1440"/>
            <w:shd w:fill="FAFAFA" w:val="clear"/>
          </w:tcPr>
          <w:p>
            <w:r>
              <w:rPr>
                <w:sz w:val="17"/>
              </w:rPr>
              <w:t>2026-10-08</w:t>
            </w:r>
          </w:p>
        </w:tc>
        <w:tc>
          <w:tcPr>
            <w:tcW w:type="dxa" w:w="1440"/>
            <w:shd w:fill="FAFAFA" w:val="clear"/>
          </w:tcPr>
          <w:p>
            <w:r>
              <w:rPr>
                <w:sz w:val="17"/>
              </w:rPr>
              <w:t>15,628</w:t>
            </w:r>
          </w:p>
        </w:tc>
        <w:tc>
          <w:tcPr>
            <w:tcW w:type="dxa" w:w="1440"/>
            <w:shd w:fill="FAFAFA" w:val="clear"/>
          </w:tcPr>
          <w:p>
            <w:r>
              <w:rPr>
                <w:b/>
                <w:sz w:val="17"/>
              </w:rPr>
              <w:t>17,050</w:t>
            </w:r>
          </w:p>
        </w:tc>
        <w:tc>
          <w:tcPr>
            <w:tcW w:type="dxa" w:w="1440"/>
            <w:shd w:fill="FAFAFA" w:val="clear"/>
          </w:tcPr>
          <w:p>
            <w:r>
              <w:rPr>
                <w:sz w:val="17"/>
              </w:rPr>
              <w:t>18,472</w:t>
            </w:r>
          </w:p>
        </w:tc>
        <w:tc>
          <w:tcPr>
            <w:tcW w:type="dxa" w:w="1440"/>
            <w:shd w:fill="FAFAFA" w:val="clear"/>
          </w:tcPr>
          <w:p>
            <w:r>
              <w:rPr>
                <w:b/>
                <w:color w:val="008000"/>
                <w:sz w:val="17"/>
              </w:rPr>
              <w:t>+1.5%</w:t>
            </w:r>
          </w:p>
        </w:tc>
      </w:tr>
      <w:tr>
        <w:tc>
          <w:tcPr>
            <w:tcW w:type="dxa" w:w="1440"/>
            <w:shd w:fill="FAFAFA" w:val="clear"/>
          </w:tcPr>
          <w:p>
            <w:r>
              <w:rPr>
                <w:sz w:val="17"/>
              </w:rPr>
              <w:t>J+8  Moyenne</w:t>
            </w:r>
          </w:p>
        </w:tc>
        <w:tc>
          <w:tcPr>
            <w:tcW w:type="dxa" w:w="1440"/>
            <w:shd w:fill="FAFAFA" w:val="clear"/>
          </w:tcPr>
          <w:p>
            <w:r>
              <w:rPr>
                <w:sz w:val="17"/>
              </w:rPr>
              <w:t>2026-10-09</w:t>
            </w:r>
          </w:p>
        </w:tc>
        <w:tc>
          <w:tcPr>
            <w:tcW w:type="dxa" w:w="1440"/>
            <w:shd w:fill="FAFAFA" w:val="clear"/>
          </w:tcPr>
          <w:p>
            <w:r>
              <w:rPr>
                <w:sz w:val="17"/>
              </w:rPr>
              <w:t>15,548</w:t>
            </w:r>
          </w:p>
        </w:tc>
        <w:tc>
          <w:tcPr>
            <w:tcW w:type="dxa" w:w="1440"/>
            <w:shd w:fill="FAFAFA" w:val="clear"/>
          </w:tcPr>
          <w:p>
            <w:r>
              <w:rPr>
                <w:b/>
                <w:sz w:val="17"/>
              </w:rPr>
              <w:t>17,070</w:t>
            </w:r>
          </w:p>
        </w:tc>
        <w:tc>
          <w:tcPr>
            <w:tcW w:type="dxa" w:w="1440"/>
            <w:shd w:fill="FAFAFA" w:val="clear"/>
          </w:tcPr>
          <w:p>
            <w:r>
              <w:rPr>
                <w:sz w:val="17"/>
              </w:rPr>
              <w:t>18,592</w:t>
            </w:r>
          </w:p>
        </w:tc>
        <w:tc>
          <w:tcPr>
            <w:tcW w:type="dxa" w:w="1440"/>
            <w:shd w:fill="FAFAFA" w:val="clear"/>
          </w:tcPr>
          <w:p>
            <w:r>
              <w:rPr>
                <w:b/>
                <w:color w:val="008000"/>
                <w:sz w:val="17"/>
              </w:rPr>
              <w:t>+1.6%</w:t>
            </w:r>
          </w:p>
        </w:tc>
      </w:tr>
      <w:tr>
        <w:tc>
          <w:tcPr>
            <w:tcW w:type="dxa" w:w="1440"/>
            <w:shd w:fill="FAFAFA" w:val="clear"/>
          </w:tcPr>
          <w:p>
            <w:r>
              <w:rPr>
                <w:sz w:val="17"/>
              </w:rPr>
              <w:t>J+9  Moyenne</w:t>
            </w:r>
          </w:p>
        </w:tc>
        <w:tc>
          <w:tcPr>
            <w:tcW w:type="dxa" w:w="1440"/>
            <w:shd w:fill="FAFAFA" w:val="clear"/>
          </w:tcPr>
          <w:p>
            <w:r>
              <w:rPr>
                <w:sz w:val="17"/>
              </w:rPr>
              <w:t>2026-10-12</w:t>
            </w:r>
          </w:p>
        </w:tc>
        <w:tc>
          <w:tcPr>
            <w:tcW w:type="dxa" w:w="1440"/>
            <w:shd w:fill="FAFAFA" w:val="clear"/>
          </w:tcPr>
          <w:p>
            <w:r>
              <w:rPr>
                <w:sz w:val="17"/>
              </w:rPr>
              <w:t>15,474</w:t>
            </w:r>
          </w:p>
        </w:tc>
        <w:tc>
          <w:tcPr>
            <w:tcW w:type="dxa" w:w="1440"/>
            <w:shd w:fill="FAFAFA" w:val="clear"/>
          </w:tcPr>
          <w:p>
            <w:r>
              <w:rPr>
                <w:b/>
                <w:sz w:val="17"/>
              </w:rPr>
              <w:t>17,090</w:t>
            </w:r>
          </w:p>
        </w:tc>
        <w:tc>
          <w:tcPr>
            <w:tcW w:type="dxa" w:w="1440"/>
            <w:shd w:fill="FAFAFA" w:val="clear"/>
          </w:tcPr>
          <w:p>
            <w:r>
              <w:rPr>
                <w:sz w:val="17"/>
              </w:rPr>
              <w:t>18,705</w:t>
            </w:r>
          </w:p>
        </w:tc>
        <w:tc>
          <w:tcPr>
            <w:tcW w:type="dxa" w:w="1440"/>
            <w:shd w:fill="FAFAFA" w:val="clear"/>
          </w:tcPr>
          <w:p>
            <w:r>
              <w:rPr>
                <w:b/>
                <w:color w:val="008000"/>
                <w:sz w:val="17"/>
              </w:rPr>
              <w:t>+1.8%</w:t>
            </w:r>
          </w:p>
        </w:tc>
      </w:tr>
      <w:tr>
        <w:tc>
          <w:tcPr>
            <w:tcW w:type="dxa" w:w="1440"/>
            <w:shd w:fill="FAFAFA" w:val="clear"/>
          </w:tcPr>
          <w:p>
            <w:r>
              <w:rPr>
                <w:sz w:val="17"/>
              </w:rPr>
              <w:t>J+10  Moyenne</w:t>
            </w:r>
          </w:p>
        </w:tc>
        <w:tc>
          <w:tcPr>
            <w:tcW w:type="dxa" w:w="1440"/>
            <w:shd w:fill="FAFAFA" w:val="clear"/>
          </w:tcPr>
          <w:p>
            <w:r>
              <w:rPr>
                <w:sz w:val="17"/>
              </w:rPr>
              <w:t>2026-10-13</w:t>
            </w:r>
          </w:p>
        </w:tc>
        <w:tc>
          <w:tcPr>
            <w:tcW w:type="dxa" w:w="1440"/>
            <w:shd w:fill="FAFAFA" w:val="clear"/>
          </w:tcPr>
          <w:p>
            <w:r>
              <w:rPr>
                <w:sz w:val="17"/>
              </w:rPr>
              <w:t>15,404</w:t>
            </w:r>
          </w:p>
        </w:tc>
        <w:tc>
          <w:tcPr>
            <w:tcW w:type="dxa" w:w="1440"/>
            <w:shd w:fill="FAFAFA" w:val="clear"/>
          </w:tcPr>
          <w:p>
            <w:r>
              <w:rPr>
                <w:b/>
                <w:sz w:val="17"/>
              </w:rPr>
              <w:t>17,109</w:t>
            </w:r>
          </w:p>
        </w:tc>
        <w:tc>
          <w:tcPr>
            <w:tcW w:type="dxa" w:w="1440"/>
            <w:shd w:fill="FAFAFA" w:val="clear"/>
          </w:tcPr>
          <w:p>
            <w:r>
              <w:rPr>
                <w:sz w:val="17"/>
              </w:rPr>
              <w:t>18,814</w:t>
            </w:r>
          </w:p>
        </w:tc>
        <w:tc>
          <w:tcPr>
            <w:tcW w:type="dxa" w:w="1440"/>
            <w:shd w:fill="FAFAFA" w:val="clear"/>
          </w:tcPr>
          <w:p>
            <w:r>
              <w:rPr>
                <w:b/>
                <w:color w:val="008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ECOBANK CÔTE D'IVOIRE (ECOC)**</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924,57 milliards FCFA, ECOC figure parmi les valeurs les plus capitalisées de la BRVM, ce qui en fait un pilier de l'indice BRVM Composite et un titre de référence pour les investisseurs institutionnels de la zone UEMOA. Le BPA de 1 153 FCFA/action signifie que chaque titre génère un bénéfice net de 1 153 FCFA, ce qui, rapporté au cours actuel de 16 795 FCFA, donne un PER de 14,6x — un niveau modéré mais supérieur à la moyenne du marché BRVM (généralement située entre 8 et 12x), traduisant une prime de qualité consentie par le marché. Le P/B de 4,23x indique que le marché valorise la banque à plus de quatre fois sa valeur comptable, une prime exigeante qui reflète la forte rentabilité des fonds propres (ROE de 29,04% en 2025) mais qui laisse peu de marge d'erreur en cas de dégradation des résultats. Enfin, l'EV/EBITDA de 14,2x, bien que calculé sur une base imparfaite pour une banque, confirme une valorisation élevée par rapport à la capacité opérationnelle, cohérente avec le positionnement premium du titre sur le marché régional.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ECOC affiche une progression totale de +4,32%, malgré un repli de -1,21% lors de la dernière séance (J-1), signalant une légère prise de bénéfices après une dynamique haussière. Le cours actuel de 16 795 FCFA se situe dans la partie médiane du range de trading, le plus haut ayant atteint 17 725 FCFA et le plus bas 15 520 FCFA, soit un écart de 2 205 FCFA (14,2%) qui témoigne d'une volatilité contenue mais réelle. La tendance générale sur la période reste haussière, portée par la solidité des fondamentaux et la perspective d'un dividende attractif de 888 FCFA brut par action. Les statistiques descriptives révèlent une moyenne de 16 557 FCFA légèrement supérieure à la médiane de 16 500 FCFA, avec un mode à 16 300 FCFA, suggérant une distribution quasi-symétrique (skewness de 0,302) sans biais marqué vers le haut ou le bas. L'écart-type de 456 FCFA, correspondant à un coefficient de variation de seulement 2,8%, indique une dispersion très faible du cours autour de sa moyenne, ce qui est rassurant pour les investisseurs recherchant de la stabilité. Le kurtosis de -0,242 (mésokurtique) signifie que la distribution des rendements est proche d'une loi normale, sans risque excessif de pics extrêmes (queues épaisses), ce qui réduit la probabilité d'événements de marché violents. La volatilité annualisée de 28,3% place le titre dans la catégorie des valeurs à volatilité modérée (15-30%), un profil équilibré entre rendement et risque, adapté à une stratégie de moyen terme.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17 125 FCFA et la MM50 à 16 628,9 FCFA, toutes deux supérieures au cours actuel de 16 795 FCFA pour la MM20 mais inférieures pour la MM50. Le cours évolue donc légèrement sous sa moyenne court terme mais au-dessus de sa moyenne moyen terme, ce qui traduit une consolidation après une phase haussière. La décision technique est à l'**Achat**, car la structure MM20 &gt; MM50 confirme une tendance de fond haussière, et le repli actuel pourrait constituer un point d'entrée intéressant.</w:t>
      </w:r>
    </w:p>
    <w:p>
      <w:pPr>
        <w:spacing w:after="120" w:line="276" w:lineRule="auto"/>
      </w:pPr>
      <w:r>
        <w:t>**Bandes de Bollinger** : La borne supérieure se situe à 17 762,59 FCFA et la borne inférieure à 16 487,41 FCFA, avec un cours actuel de 16 795 FCFA positionné dans la moitié basse de la bande. Cette position suggère que le titre n'est ni suracheté ni survendu, mais qu'il évolue dans une zone de neutralité avec une légère pression baissière à court terme. La décision est **Neutre**, car le cours reste à distance raisonnable des deux bornes, sans signal de retournement imminent.</w:t>
      </w:r>
    </w:p>
    <w:p>
      <w:pPr>
        <w:spacing w:after="120" w:line="276" w:lineRule="auto"/>
      </w:pPr>
      <w:r>
        <w:t>**MACD** : La valeur du MACD est de 17,219 contre un signal à 81,499, soit une divergence négative marquée où le MACD est nettement inférieur à sa ligne de signal. Cette configuration indique un momentum baissier à court terme, avec un croisement baissier déjà effectué. La décision est à la **Vente**, car la dynamique actuelle plaide pour une poursuite de la correction ou une consolidation avant un éventuel rebond.</w:t>
      </w:r>
    </w:p>
    <w:p>
      <w:pPr>
        <w:spacing w:after="120" w:line="276" w:lineRule="auto"/>
      </w:pPr>
      <w:r>
        <w:t>**RSI** : Le RSI s'établit à 36,239, un niveau qui se situe dans la zone neutre basse (30-70), sans atteindre le seuil de survente (30). Cela signifie que le titre n'est pas encore techniquement survendu, mais qu'il se rapproche d'une zone où les acheteurs pourraient revenir. La décision est **Neutre**, car le RSI n'offre pas de signal directionnel fort à ce stade.</w:t>
      </w:r>
    </w:p>
    <w:p>
      <w:pPr>
        <w:spacing w:after="120" w:line="276" w:lineRule="auto"/>
      </w:pPr>
      <w:r>
        <w:t>**Stochastique** : Le %K est à 28,467 et le %D à 27,906, tous deux en zone basse mais sans croisement haussier confirmé. Ces valeurs suggèrent que le titre est proche d'une zone de survente, mais le croisement des lignes n'est pas encore effectué pour valider un signal d'achat. La décision est **Neutre**, en attendant une confirmation par un croisement du %K au-dessus du %D.</w:t>
      </w:r>
    </w:p>
    <w:p>
      <w:pPr>
        <w:spacing w:after="120" w:line="276" w:lineRule="auto"/>
      </w:pPr>
      <w:r>
        <w:t>**Conclusion technique** : Les indicateurs techniques présentent un tableau mitigé, avec une majorité de signaux neutres (Bollinger, RSI, Stochastique) et un signal de vente sur le MACD, tandis que les moyennes mobiles restent orientées à l'achat sur le moyen terme. Cette divergence suggère que le titre traverse une phase de consolidation au sein d'une tendance haussière plus large. La prudence est de mise à court terme, mais la structure MM20 &gt; MM50 et la proximité de la zone de survente du stochastique pourraient offrir une opportunité d'achat si un rebond se confirme dans les prochains jours.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Ecobank Côte d'Ivoire a réalisé un Produit Net Bancaire (PNB) de 132,725 milliards FCFA, en croissance de 8,51% par rapport à 2024, confirmant la dynamique commerciale de la banque. Le résultat net s'établit à 63,482 milliards FCFA, avec une marge nette exceptionnelle de 47,83%, un ROE de 29,04% (très au-dessus du seuil de 15% considéré comme excellent) et un ROA de 3,09%, témoignant d'une rentabilité parmi les meilleures du secteur bancaire UEMOA. Le coefficient d'exploitation de 42,89% est excellent (&lt; 50%), signe d'une maîtrise rigoureuse des charges, tandis que le coût du risque rapporté aux charges financières reste modéré à 1,36%, bien que nécessitant une surveillance. La structure financière affiche une autonomie financière de 10,64% (faible mais typique du modèle bancaire) et une solvabilité générale de 111,91%, confirmant la solidité du bilan. Le ratio dépôts/crédits (1 626,22 Mds de dépôts clients pour 1 050,80 Mds de créances clients) de 64,6% indique une capacité de transformation maîtrisée et une marge de déploiement du crédit importante.</w:t>
      </w:r>
    </w:p>
    <w:p>
      <w:pPr>
        <w:spacing w:after="120" w:line="276" w:lineRule="auto"/>
      </w:pPr>
      <w:r>
        <w:t>**Estimations basées sur les rapports trimestriels** : Le rapport S1 2026 (publié le 26 août 2026) révèle un PNB de 64,078 milliards FCFA (+2,0%), une marge nette d'intérêts en forte hausse de +14,5% à 49,661 milliards FCFA, mais un résultat net en repli de -8,6% à 26,408 milliards FCFA, pénalisé par un coût du risque multiplié par 7,4 à 5,197 milliards FCFA. Le ROE recule à 26,9% (vs 31,4% au S1 2025) et le ROA à 2,5%, mais ces niveaux restent élevés. Le rapport T1 2026 (publié en avril 2026) confirme cette tendance avec un PNB de 30,8 milliards FCFA (+3,7%) et un résultat net de 13,0 milliards FCFA (-1,6%), tandis que le coefficient d'exploitation s'améliore à 45,7%. Sur la base de ces éléments, on estime que l'exercice 2026 devrait afficher un PNB en croissance modérée de 3-5% (autour de 137-139 milliards FCFA) et un résultat net en léger recul de 5-8% (autour de 58-60 milliards FCFA), sous l'effet du provisionnement prudent. Le dividende proposé de 888 FCFA brut par action (soit 781 FCFA net pour les personnes physiques), en hausse de 10,4% par rapport aux 804 FCFA de 2024, offre un rendement attractif de 5,3% au cours actuel de 16 795 FCFA, ce qui constitue un soutien majeur pour le titre.</w:t>
      </w:r>
    </w:p>
    <w:p>
      <w:pPr>
        <w:spacing w:after="120" w:line="276" w:lineRule="auto"/>
      </w:pPr>
      <w:r>
        <w:t>**Recommandation fondamentale** : La solidité financière d'ECOC est incontestable, avec des ratios de rentabilité exceptionnels et une gestion prudente du risque qui, bien que pesant sur le résultat semestriel 2026, préserve la qualité du portefeuille sur le moyen terme. Les risques identifiés (hausse du coût du risque, contraction des produits hors intérêts, incertitudes géopolitiques) sont réels mais semblent conjoncturels plutôt que structurels. La recommandation fondamentale est de **CONSERVER**, en attendant la confirmation de la stabilisation du coût du risque au second semestre 2026 et les annonces sur la politique de dividende pour 2027.</w:t>
      </w:r>
    </w:p>
    <w:p>
      <w:pPr>
        <w:spacing w:after="120" w:line="276" w:lineRule="auto"/>
      </w:pPr>
      <w:r>
        <w:t>---</w:t>
      </w:r>
    </w:p>
    <w:p>
      <w:pPr>
        <w:spacing w:after="120" w:line="276" w:lineRule="auto"/>
      </w:pPr>
      <w:r>
        <w:t>## PARTIE 4 : CONCLUSION D'INVESTISSEMENT</w:t>
      </w:r>
    </w:p>
    <w:p>
      <w:pPr>
        <w:spacing w:after="120" w:line="276" w:lineRule="auto"/>
      </w:pPr>
      <w:r>
        <w:t>La valorisation d'ECOC (PER de 14,6x, P/B de 4,23x, EV/EBITDA de 14,2x) indique une **surévaluation modérée** par rapport à la moyenne du marché BRVM, mais cette prime se justifie par la qualité exceptionnelle des fondamentaux (ROE de 29%, coefficient d'exploitation de 42,9%) et le rendement du dividende de 5,3%. Le comportement du cours sur 100 jours (+4,32%) est favorable, avec une volatilité modérée (28,3%) et une distribution quasi-normale (kurtosis de -0,242, skewness de 0,302) qui réduit le risque de mouvements extrêmes. Les signaux techniques sont **divergents** : les moyennes mobiles restent haussières (MM20 &gt; MM50), mais le MACD est baissier et les autres indicateurs (RSI, Stochastique, Bollinger) sont neutres, suggérant une consolidation avant une reprise. Les fondamentaux sont **solides mais sous pression** : la rentabilité reste excellente (ROE de 26,9% au S1 2026), mais le coût du risque multiplié par 7,4 et la baisse du résultat net de -8,6% au S1 2026 incitent à la prudence. Les prédictions IA (J+1 à J+10) tablent sur une légère hausse vers 17 009 FCFA d'ici le 6 octobre 2026, ce qui **confirme** la tendance haussière de fond mais **contredit** le signal baissier du MACD à court terme. Sur la base de cette synthèse globale, la recommandation finale est de **CONSERVER**, avec un niveau de confiance **Moyen** et un risque global **Moyen**. L'horizon d'investissement optimal est le **moyen terme (3-12 mois)**, en attendant la publication des résultats annuels 2026 et la confirmation de la stabilisation du coût du risque, qui pourraient justifier un passage à l'ACHAT si le dividende est maintenu à un niveau attractif et si la qualité du portefeuille s'améliore.</w:t>
      </w:r>
    </w:p>
    <w:p>
      <w:pPr>
        <w:spacing w:after="120" w:line="276" w:lineRule="auto"/>
      </w:pPr>
      <w:r>
        <w:t>---</w:t>
      </w:r>
    </w:p>
    <w:p>
      <w:pPr>
        <w:spacing w:after="120" w:line="276" w:lineRule="auto"/>
      </w:pPr>
      <w:r>
        <w:t>*Analyse basée sur les données de la BRVM, les états financiers 2025, les rapports trimestriels T1 2026 et S1 2026, et les communiqués officiels d'Ecobank Côte d'Ivoire.*</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17.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1247.80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1,665,812 titres</w:t>
            </w:r>
          </w:p>
        </w:tc>
        <w:tc>
          <w:tcPr>
            <w:tcW w:type="dxa" w:w="2268"/>
            <w:shd w:fill="FFF2CC" w:val="clear"/>
          </w:tcPr>
          <w:p>
            <w:r>
              <w:rPr>
                <w:b/>
                <w:color w:val="503200"/>
                <w:sz w:val="16"/>
              </w:rPr>
              <w:t xml:space="preserve">Cours actuel : </w:t>
            </w:r>
            <w:r>
              <w:rPr>
                <w:color w:val="000000"/>
                <w:sz w:val="17"/>
              </w:rPr>
              <w:t>69 FCFA</w:t>
            </w:r>
          </w:p>
          <w:p>
            <w:r>
              <w:rPr>
                <w:b/>
                <w:color w:val="503200"/>
                <w:sz w:val="16"/>
              </w:rPr>
              <w:t xml:space="preserve">Var. 100 jours : </w:t>
            </w:r>
            <w:r>
              <w:rPr>
                <w:b/>
                <w:color w:val="007800"/>
                <w:sz w:val="17"/>
              </w:rPr>
              <w:t>+137.93%</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32.50% (Élevée) — μ=54 FCFA, σ=17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β=2.0048 (Très agressif) — Cov=0.000138, Var(idx)=0.000069, ρ=0.422,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1,665,812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σ_j=3.90%/j (Modérée) — Vol. annualisée≈61.9%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51664"/>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5166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2026-09-30</w:t>
            </w:r>
          </w:p>
        </w:tc>
        <w:tc>
          <w:tcPr>
            <w:tcW w:type="dxa" w:w="1440"/>
            <w:shd w:fill="FAFAFA" w:val="clear"/>
          </w:tcPr>
          <w:p>
            <w:r>
              <w:rPr>
                <w:sz w:val="17"/>
              </w:rPr>
              <w:t>66</w:t>
            </w:r>
          </w:p>
        </w:tc>
        <w:tc>
          <w:tcPr>
            <w:tcW w:type="dxa" w:w="1440"/>
            <w:shd w:fill="FAFAFA" w:val="clear"/>
          </w:tcPr>
          <w:p>
            <w:r>
              <w:rPr>
                <w:b/>
                <w:sz w:val="17"/>
              </w:rPr>
              <w:t>69</w:t>
            </w:r>
          </w:p>
        </w:tc>
        <w:tc>
          <w:tcPr>
            <w:tcW w:type="dxa" w:w="1440"/>
            <w:shd w:fill="FAFAFA" w:val="clear"/>
          </w:tcPr>
          <w:p>
            <w:r>
              <w:rPr>
                <w:sz w:val="17"/>
              </w:rPr>
              <w:t>71</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2026-10-01</w:t>
            </w:r>
          </w:p>
        </w:tc>
        <w:tc>
          <w:tcPr>
            <w:tcW w:type="dxa" w:w="1440"/>
            <w:shd w:fill="FAFAFA" w:val="clear"/>
          </w:tcPr>
          <w:p>
            <w:r>
              <w:rPr>
                <w:sz w:val="17"/>
              </w:rPr>
              <w:t>64</w:t>
            </w:r>
          </w:p>
        </w:tc>
        <w:tc>
          <w:tcPr>
            <w:tcW w:type="dxa" w:w="1440"/>
            <w:shd w:fill="FAFAFA" w:val="clear"/>
          </w:tcPr>
          <w:p>
            <w:r>
              <w:rPr>
                <w:b/>
                <w:sz w:val="17"/>
              </w:rPr>
              <w:t>68</w:t>
            </w:r>
          </w:p>
        </w:tc>
        <w:tc>
          <w:tcPr>
            <w:tcW w:type="dxa" w:w="1440"/>
            <w:shd w:fill="FAFAFA" w:val="clear"/>
          </w:tcPr>
          <w:p>
            <w:r>
              <w:rPr>
                <w:sz w:val="17"/>
              </w:rPr>
              <w:t>72</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2026-10-02</w:t>
            </w:r>
          </w:p>
        </w:tc>
        <w:tc>
          <w:tcPr>
            <w:tcW w:type="dxa" w:w="1440"/>
            <w:shd w:fill="FAFAFA" w:val="clear"/>
          </w:tcPr>
          <w:p>
            <w:r>
              <w:rPr>
                <w:sz w:val="17"/>
              </w:rPr>
              <w:t>63</w:t>
            </w:r>
          </w:p>
        </w:tc>
        <w:tc>
          <w:tcPr>
            <w:tcW w:type="dxa" w:w="1440"/>
            <w:shd w:fill="FAFAFA" w:val="clear"/>
          </w:tcPr>
          <w:p>
            <w:r>
              <w:rPr>
                <w:b/>
                <w:sz w:val="17"/>
              </w:rPr>
              <w:t>68</w:t>
            </w:r>
          </w:p>
        </w:tc>
        <w:tc>
          <w:tcPr>
            <w:tcW w:type="dxa" w:w="1440"/>
            <w:shd w:fill="FAFAFA" w:val="clear"/>
          </w:tcPr>
          <w:p>
            <w:r>
              <w:rPr>
                <w:sz w:val="17"/>
              </w:rPr>
              <w:t>73</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2026-10-05</w:t>
            </w:r>
          </w:p>
        </w:tc>
        <w:tc>
          <w:tcPr>
            <w:tcW w:type="dxa" w:w="1440"/>
            <w:shd w:fill="FAFAFA" w:val="clear"/>
          </w:tcPr>
          <w:p>
            <w:r>
              <w:rPr>
                <w:sz w:val="17"/>
              </w:rPr>
              <w:t>62</w:t>
            </w:r>
          </w:p>
        </w:tc>
        <w:tc>
          <w:tcPr>
            <w:tcW w:type="dxa" w:w="1440"/>
            <w:shd w:fill="FAFAFA" w:val="clear"/>
          </w:tcPr>
          <w:p>
            <w:r>
              <w:rPr>
                <w:b/>
                <w:sz w:val="17"/>
              </w:rPr>
              <w:t>68</w:t>
            </w:r>
          </w:p>
        </w:tc>
        <w:tc>
          <w:tcPr>
            <w:tcW w:type="dxa" w:w="1440"/>
            <w:shd w:fill="FAFAFA" w:val="clear"/>
          </w:tcPr>
          <w:p>
            <w:r>
              <w:rPr>
                <w:sz w:val="17"/>
              </w:rPr>
              <w:t>74</w:t>
            </w:r>
          </w:p>
        </w:tc>
        <w:tc>
          <w:tcPr>
            <w:tcW w:type="dxa" w:w="1440"/>
            <w:shd w:fill="FAFAFA" w:val="clear"/>
          </w:tcPr>
          <w:p>
            <w:r>
              <w:rPr>
                <w:b/>
                <w:color w:val="C00000"/>
                <w:sz w:val="17"/>
              </w:rPr>
              <w:t>-1.8%</w:t>
            </w:r>
          </w:p>
        </w:tc>
      </w:tr>
      <w:tr>
        <w:tc>
          <w:tcPr>
            <w:tcW w:type="dxa" w:w="1440"/>
            <w:shd w:fill="FFDCE0" w:val="clear"/>
          </w:tcPr>
          <w:p>
            <w:r>
              <w:rPr>
                <w:sz w:val="17"/>
              </w:rPr>
              <w:t>J+5  ⭐</w:t>
            </w:r>
          </w:p>
        </w:tc>
        <w:tc>
          <w:tcPr>
            <w:tcW w:type="dxa" w:w="1440"/>
            <w:shd w:fill="FFDCE0" w:val="clear"/>
          </w:tcPr>
          <w:p>
            <w:r>
              <w:rPr>
                <w:sz w:val="17"/>
              </w:rPr>
              <w:t>2026-10-06</w:t>
            </w:r>
          </w:p>
        </w:tc>
        <w:tc>
          <w:tcPr>
            <w:tcW w:type="dxa" w:w="1440"/>
            <w:shd w:fill="FFDCE0" w:val="clear"/>
          </w:tcPr>
          <w:p>
            <w:r>
              <w:rPr>
                <w:sz w:val="17"/>
              </w:rPr>
              <w:t>61</w:t>
            </w:r>
          </w:p>
        </w:tc>
        <w:tc>
          <w:tcPr>
            <w:tcW w:type="dxa" w:w="1440"/>
            <w:shd w:fill="FFDCE0" w:val="clear"/>
          </w:tcPr>
          <w:p>
            <w:r>
              <w:rPr>
                <w:b/>
                <w:sz w:val="17"/>
              </w:rPr>
              <w:t>68</w:t>
            </w:r>
          </w:p>
        </w:tc>
        <w:tc>
          <w:tcPr>
            <w:tcW w:type="dxa" w:w="1440"/>
            <w:shd w:fill="FFDCE0" w:val="clear"/>
          </w:tcPr>
          <w:p>
            <w:r>
              <w:rPr>
                <w:sz w:val="17"/>
              </w:rPr>
              <w:t>74</w:t>
            </w:r>
          </w:p>
        </w:tc>
        <w:tc>
          <w:tcPr>
            <w:tcW w:type="dxa" w:w="1440"/>
            <w:shd w:fill="FFDCE0"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2026-10-07</w:t>
            </w:r>
          </w:p>
        </w:tc>
        <w:tc>
          <w:tcPr>
            <w:tcW w:type="dxa" w:w="1440"/>
            <w:shd w:fill="FFDCE0" w:val="clear"/>
          </w:tcPr>
          <w:p>
            <w:r>
              <w:rPr>
                <w:sz w:val="17"/>
              </w:rPr>
              <w:t>60</w:t>
            </w:r>
          </w:p>
        </w:tc>
        <w:tc>
          <w:tcPr>
            <w:tcW w:type="dxa" w:w="1440"/>
            <w:shd w:fill="FFDCE0" w:val="clear"/>
          </w:tcPr>
          <w:p>
            <w:r>
              <w:rPr>
                <w:b/>
                <w:sz w:val="17"/>
              </w:rPr>
              <w:t>68</w:t>
            </w:r>
          </w:p>
        </w:tc>
        <w:tc>
          <w:tcPr>
            <w:tcW w:type="dxa" w:w="1440"/>
            <w:shd w:fill="FFDCE0" w:val="clear"/>
          </w:tcPr>
          <w:p>
            <w:r>
              <w:rPr>
                <w:sz w:val="17"/>
              </w:rPr>
              <w:t>75</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2026-10-08</w:t>
            </w:r>
          </w:p>
        </w:tc>
        <w:tc>
          <w:tcPr>
            <w:tcW w:type="dxa" w:w="1440"/>
            <w:shd w:fill="FFDCE0" w:val="clear"/>
          </w:tcPr>
          <w:p>
            <w:r>
              <w:rPr>
                <w:sz w:val="17"/>
              </w:rPr>
              <w:t>60</w:t>
            </w:r>
          </w:p>
        </w:tc>
        <w:tc>
          <w:tcPr>
            <w:tcW w:type="dxa" w:w="1440"/>
            <w:shd w:fill="FFDCE0" w:val="clear"/>
          </w:tcPr>
          <w:p>
            <w:r>
              <w:rPr>
                <w:b/>
                <w:sz w:val="17"/>
              </w:rPr>
              <w:t>67</w:t>
            </w:r>
          </w:p>
        </w:tc>
        <w:tc>
          <w:tcPr>
            <w:tcW w:type="dxa" w:w="1440"/>
            <w:shd w:fill="FFDCE0" w:val="clear"/>
          </w:tcPr>
          <w:p>
            <w:r>
              <w:rPr>
                <w:sz w:val="17"/>
              </w:rPr>
              <w:t>75</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2026-10-09</w:t>
            </w:r>
          </w:p>
        </w:tc>
        <w:tc>
          <w:tcPr>
            <w:tcW w:type="dxa" w:w="1440"/>
            <w:shd w:fill="FFDCE0" w:val="clear"/>
          </w:tcPr>
          <w:p>
            <w:r>
              <w:rPr>
                <w:sz w:val="17"/>
              </w:rPr>
              <w:t>59</w:t>
            </w:r>
          </w:p>
        </w:tc>
        <w:tc>
          <w:tcPr>
            <w:tcW w:type="dxa" w:w="1440"/>
            <w:shd w:fill="FFDCE0" w:val="clear"/>
          </w:tcPr>
          <w:p>
            <w:r>
              <w:rPr>
                <w:b/>
                <w:sz w:val="17"/>
              </w:rPr>
              <w:t>67</w:t>
            </w:r>
          </w:p>
        </w:tc>
        <w:tc>
          <w:tcPr>
            <w:tcW w:type="dxa" w:w="1440"/>
            <w:shd w:fill="FFDCE0" w:val="clear"/>
          </w:tcPr>
          <w:p>
            <w:r>
              <w:rPr>
                <w:sz w:val="17"/>
              </w:rPr>
              <w:t>75</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2026-10-12</w:t>
            </w:r>
          </w:p>
        </w:tc>
        <w:tc>
          <w:tcPr>
            <w:tcW w:type="dxa" w:w="1440"/>
            <w:shd w:fill="FFDCE0" w:val="clear"/>
          </w:tcPr>
          <w:p>
            <w:r>
              <w:rPr>
                <w:sz w:val="17"/>
              </w:rPr>
              <w:t>59</w:t>
            </w:r>
          </w:p>
        </w:tc>
        <w:tc>
          <w:tcPr>
            <w:tcW w:type="dxa" w:w="1440"/>
            <w:shd w:fill="FFDCE0" w:val="clear"/>
          </w:tcPr>
          <w:p>
            <w:r>
              <w:rPr>
                <w:b/>
                <w:sz w:val="17"/>
              </w:rPr>
              <w:t>67</w:t>
            </w:r>
          </w:p>
        </w:tc>
        <w:tc>
          <w:tcPr>
            <w:tcW w:type="dxa" w:w="1440"/>
            <w:shd w:fill="FFDCE0" w:val="clear"/>
          </w:tcPr>
          <w:p>
            <w:r>
              <w:rPr>
                <w:sz w:val="17"/>
              </w:rPr>
              <w:t>76</w:t>
            </w:r>
          </w:p>
        </w:tc>
        <w:tc>
          <w:tcPr>
            <w:tcW w:type="dxa" w:w="1440"/>
            <w:shd w:fill="FFDCE0" w:val="clear"/>
          </w:tcPr>
          <w:p>
            <w:r>
              <w:rPr>
                <w:b/>
                <w:color w:val="C00000"/>
                <w:sz w:val="17"/>
              </w:rPr>
              <w:t>-2.5%</w:t>
            </w:r>
          </w:p>
        </w:tc>
      </w:tr>
      <w:tr>
        <w:tc>
          <w:tcPr>
            <w:tcW w:type="dxa" w:w="1440"/>
            <w:shd w:fill="FFDCE0" w:val="clear"/>
          </w:tcPr>
          <w:p>
            <w:r>
              <w:rPr>
                <w:sz w:val="17"/>
              </w:rPr>
              <w:t>J+10  ⭐</w:t>
            </w:r>
          </w:p>
        </w:tc>
        <w:tc>
          <w:tcPr>
            <w:tcW w:type="dxa" w:w="1440"/>
            <w:shd w:fill="FFDCE0" w:val="clear"/>
          </w:tcPr>
          <w:p>
            <w:r>
              <w:rPr>
                <w:sz w:val="17"/>
              </w:rPr>
              <w:t>2026-10-13</w:t>
            </w:r>
          </w:p>
        </w:tc>
        <w:tc>
          <w:tcPr>
            <w:tcW w:type="dxa" w:w="1440"/>
            <w:shd w:fill="FFDCE0" w:val="clear"/>
          </w:tcPr>
          <w:p>
            <w:r>
              <w:rPr>
                <w:sz w:val="17"/>
              </w:rPr>
              <w:t>58</w:t>
            </w:r>
          </w:p>
        </w:tc>
        <w:tc>
          <w:tcPr>
            <w:tcW w:type="dxa" w:w="1440"/>
            <w:shd w:fill="FFDCE0" w:val="clear"/>
          </w:tcPr>
          <w:p>
            <w:r>
              <w:rPr>
                <w:b/>
                <w:sz w:val="17"/>
              </w:rPr>
              <w:t>67</w:t>
            </w:r>
          </w:p>
        </w:tc>
        <w:tc>
          <w:tcPr>
            <w:tcW w:type="dxa" w:w="1440"/>
            <w:shd w:fill="FFDCE0" w:val="clear"/>
          </w:tcPr>
          <w:p>
            <w:r>
              <w:rPr>
                <w:sz w:val="17"/>
              </w:rPr>
              <w:t>76</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 RAPPORT D'ANALYSE FINANCIÈRE — ETIT (Ecobank Transnational Incorporated)</w:t>
        <w:br/>
        <w:t>## BRVM | Analyse complète au 30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1 247,80 Mds FCFA, ETIT s'impose comme l'une des plus importantes capitalisations de la BRVM, ce qui en fait un titre de référence pour les investisseurs institutionnels régionaux. Le BPA de 19 FCFA/action signifie que chaque titre génère près de 19 FCFA de bénéfice net, un niveau de rentabilité par action solide pour le secteur bancaire. Le PER de 3,6x traduit une valorisation particulièrement faible au regard de la moyenne BRVM (8-12x), suggérant que le marché sous-évalue les bénéfices de la banque — une décote qui peut s'expliquer par la complexité du groupe panafricain et les risques de change. Le P/B de 0,78x indique que le marché valorise ETIT en dessous de sa valeur comptable, une situation rare qui constitue une opportunité potentielle pour un investisseur value. Enfin, l'EV/EBITDA de 5,0x, situé dans la fourchette raisonnable de 5-10x, confirme que la valeur totale de l'entreprise reste cohérente avec sa capacité opérationnelle, renforçant le diagnostic de sous-évaluation modérée.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d'ETIT a enregistré une progression spectaculaire de +137,93%, passant d'un plus bas de 29 FCFA à un plus haut de 78 FCFA, pour se stabiliser à 69 FCFA lors de la dernière séance (variation J-1 de 0,00%). Cette performance exceptionnelle traduit un net retournement de tendance haussière, le titre ayant plus que doublé en moins de quatre mois, porté par la publication de résultats semestriels 2026 solides (PNB +15%). La moyenne du cours s'établit à 54 FCFA contre une médiane de 64 FCFA : cet écart significatif révèle une distribution asymétrique, le cours ayant passé davantage de temps dans les niveaux élevés (proches de 64-78 FCFA) que dans les niveaux bas, ce qui confirme la vigueur du mouvement haussier récent. L'écart-type de 18 FCFA avec un coefficient de variation de 32,7% indique une dispersion importante du cours, caractéristique d'un titre en phase de découverte de prix. Le kurtosis de -1,685 (distribution platykurtique) signale une faible concentration des rendements autour de la moyenne, donc un risque de pics de volatilité moins prononcé qu'une distribution normale, tandis que le skewness de -0,366 (distribution symétrique) suggère un équilibre relatif entre les mouvements haussiers et baissiers extrêmes. Avec une volatilité annualisée de 61,9%, ETIT se positionne dans la catégorie des titres à volatilité élevée (&gt;30%), ce qui implique un risque de marché significatif mais aussi un potentiel de gain amplifié pour les investisseurs avertis.</w:t>
      </w:r>
    </w:p>
    <w:p>
      <w:pPr>
        <w:spacing w:after="120" w:line="276" w:lineRule="auto"/>
      </w:pPr>
      <w:r>
        <w:t>---</w:t>
      </w:r>
    </w:p>
    <w:p>
      <w:pPr>
        <w:spacing w:after="120" w:line="276" w:lineRule="auto"/>
      </w:pPr>
      <w:r>
        <w:t>## PARTIE 2 : ANALYSE TECHNIQUE DÉTAILLÉE</w:t>
      </w:r>
    </w:p>
    <w:p>
      <w:pPr>
        <w:spacing w:after="120" w:line="276" w:lineRule="auto"/>
      </w:pPr>
      <w:r>
        <w:t>**Moyennes Mobiles** : La MM20 (69,35 FCFA) et la MM50 (68,1 FCFA) se situent toutes deux légèrement au-dessus du cours actuel (69 FCFA), avec un écart très faible entre les deux moyennes. Cette configuration indique une tendance haussière mature mais essoufflée, le cours évoluant au contact de ses supports mobiles. La décision technique est "Achat", justifiée par le maintien du cours au-dessus de la MM50 et la perspective d'un rebond technique.</w:t>
      </w:r>
    </w:p>
    <w:p>
      <w:pPr>
        <w:spacing w:after="120" w:line="276" w:lineRule="auto"/>
      </w:pPr>
      <w:r>
        <w:t>**Bandes de Bollinger** : Le cours (69 FCFA) se situe à l'intérieur des bandes, entre la borne inférieure (65,9 FCFA) et la borne supérieure (72,8 FCFA), à proximité de la médiane. Cette position centrale traduit une phase de consolidation après la forte hausse, avec une volatilité qui se contracte. La décision "Neutre" reflète l'absence de signal directionnel clair, le marché attendant un catalyseur pour choisir sa direction.</w:t>
      </w:r>
    </w:p>
    <w:p>
      <w:pPr>
        <w:spacing w:after="120" w:line="276" w:lineRule="auto"/>
      </w:pPr>
      <w:r>
        <w:t>**MACD** : La valeur du MACD (0,457) est inférieure à son signal (0,792), générant une configuration baissière de court terme. Cet écart négatif indique un essoufflement du momentum haussier, les pressions acheteuses s'affaiblissant progressivement. La décision "Vente" suggère une prudence à court terme, bien que la faiblesse de l'écart relativise la portée du signal.</w:t>
      </w:r>
    </w:p>
    <w:p>
      <w:pPr>
        <w:spacing w:after="120" w:line="276" w:lineRule="auto"/>
      </w:pPr>
      <w:r>
        <w:t>**RSI** : À 46,154, le RSI se situe dans la zone neutre (30-70), légèrement en dessous du seuil de 50 qui sépare les territoires haussier et baissier. Cette position équilibrée indique l'absence de conditions de surachat ou de survente, le titre ayant digéré sa hausse récente. La décision "Neutre" est cohérente avec cette configuration, aucun signal extrême n'étant détecté.</w:t>
      </w:r>
    </w:p>
    <w:p>
      <w:pPr>
        <w:spacing w:after="120" w:line="276" w:lineRule="auto"/>
      </w:pPr>
      <w:r>
        <w:t>**Stochastique** : Les lignes %K et %D sont confondues à 71,429, situées dans la zone haute mais sans croisement baissier confirmé. Cette configuration indique que le cours évolue près du sommet de sa fourchette récente, avec un risque de retournement à court terme. La décision "Neutre" reflète cette situation ambiguë, le stochastique n'ayant pas encore généré de signal de vente clair.</w:t>
      </w:r>
    </w:p>
    <w:p>
      <w:pPr>
        <w:spacing w:after="120" w:line="276" w:lineRule="auto"/>
      </w:pPr>
      <w:r>
        <w:t>**Conclusion technique** : Les indicateurs techniques présentent une configuration mitigée, avec une majorité de signaux neutres (Bollinger, RSI, Stochastique) et un signal de vente sur le MACD, tandis que les moyennes mobiles maintiennent une orientation acheteuse. Cette divergence suggère une phase de consolidation après la forte hausse, le titre ayant besoin de digérer ses gains avant d'envisager une nouvelle impulsion. La prudence est de mise à court terme, en attendant une clarification des signaux.</w:t>
      </w:r>
    </w:p>
    <w:p>
      <w:pPr>
        <w:spacing w:after="120" w:line="276" w:lineRule="auto"/>
      </w:pPr>
      <w:r>
        <w:t>---</w:t>
      </w:r>
    </w:p>
    <w:p>
      <w:pPr>
        <w:spacing w:after="120" w:line="276" w:lineRule="auto"/>
      </w:pPr>
      <w:r>
        <w:t>## PARTIE 3 : ANALYSE FONDAMENTALE</w:t>
      </w:r>
    </w:p>
    <w:p>
      <w:pPr>
        <w:spacing w:after="120" w:line="276" w:lineRule="auto"/>
      </w:pPr>
      <w:r>
        <w:t>Les données financières structurées de l'exercice 2025 pour ETIT (secteur BANQUE) révèlent un Produit Net Bancaire (PNB) de 1 424,261 Mds FCFA, un résultat net de 345,523 Mds FCFA, un ROE de 21,62% (excellent, &gt;15%) et un ROA de 1,80%. Le coefficient d'exploitation de 27,35% est remarquablement bas (&lt;60% = banque efficace, &lt;50% = excellente), témoignant d'une discipline opérationnelle exceptionnelle. Le coût du risque, mesuré par le ratio provisions/charges financières, s'établit à 18,97%, un niveau élevé qui signale un risque de crédit significatif dans le portefeuille. La structure financière montre une autonomie financière de 8,30% (faible, &lt;30%), une dépendance financière de 91,70% et un ratio d'endettement de 154,06%, caractéristiques d'un modèle bancaire fortement levieré mais maîtrisé, avec une solvabilité générale de 109,06% (&gt;1 = solvable). Les dépôts clientèle (14 120,139 Mds FCFA) couvrent largement les créances clientèle (6 570,385 Mds FCFA), avec un ratio de transformation de 46,5%, indiquant une surliquidité et une capacité de prêt encore inexploitée. Les rapports narratifs récents confirment cette dynamique : le rapport semestriel 2026 (publié le 21 juillet 2026, analysé par DeepSeek) fait état d'un PNB de 1 281 330 milliers $EU (721 318 millions FCFA) au S1 2026, en hausse de +15% sur un an, avec un résultat net consolidé de 296 091 milliers $EU (+6%) et un BPA de 0,80 $EU (+2%). Le coefficient d'exploitation s'améliore à 48,4% et le ratio de prêts non performants (NPL) s'établit à 7,6%, dans la fourchette cible mais élevé. Le rapport du T1 2026 (analysé par DeepSeek) montre un PNB en hausse de +23% à 636,2 millions $EU et un résultat net de 142,5 millions $EU (+16%), mais avec un coût du risque en forte hausse de +73%, signal d'alerte sur la qualité des actifs. Sur la base de ces rapports trimestriels, on estime que l'exercice 2026 devrait enregistrer un PNB annuel compris entre 2 500 et 2 600 milliards FCFA (contre 1 424 Mds FCFA en 2025, mais attention : les données 2025 semblent partielles ou non consolidées), avec un résultat net attendu en progression modérée de +5 à +10%, sous réserve de la maîtrise du coût du risque au second semestre. La recommandation fondamentale est de **CONSERVER** le titre, la solidité des fondamentaux (ROE élevé, coefficient d'exploitation excellent, surliquidité) étant tempérée par la hausse préoccupante du coût du risque et la faible autonomie financière.</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dessine un tableau contrasté pour ETIT. **En termes de valorisation (Partie 0)**, les ratios PER (3,6x), P/B (0,78x) et EV/EBITDA (5,0x) indiquent une sous-évaluation manifeste par rapport aux moyennes du secteur et de la BRVM, offrant une marge de sécurité attractive pour un investisseur value. **Le comportement du cours (Partie 1)** est exceptionnellement haussier (+137,93% sur 100 jours) mais accompagné d'une volatilité élevée (61,9%) et d'une distribution platykurtique (kurtosis -1,685) qui suggère un risque de pics modéré, tandis que le skewness symétrique (-0,366) n'indique pas de biais directionnel extrême. **Les signaux techniques (Partie 2)** sont mitigés : les moyennes mobiles restent acheteuses, mais le MACD génère un signal de vente et les autres indicateurs (Bollinger, RSI, Stochastique) sont neutres, traduisant une phase de consolidation après la forte hausse. **Les fondamentaux (Partie 3)** révèlent une banque solide et efficace (ROE 21,62%, coefficient d'exploitation 27,35%, surliquidité), mais confrontée à une hausse préoccupante du coût du risque (+40% au S1 2026, +73% au T1 2026) et à une faible autonomie financière (8,30%). **Les prédictions IA (J+1 à J+10)** anticipent une légère correction de 69 FCFA à 68 FCFA, confirmant la phase de consolidation technique sans signaler de retournement baissier majeur. Sur la base de cette analyse globale, la recommandation finale est **CONSERVER**, avec un niveau de confiance **Moyen** et un risque global **Élevé**. La convergence entre la sous-évaluation fondamentale (PER 3,6x, P/B 0,78x) et la solidité opérationnelle (ROE &gt;20%, coefficient d'exploitation &lt;30%) justifie le maintien en portefeuille, mais la divergence entre les signaux techniques mitigés, la volatilité élevée et la hausse du coût du risque incite à la prudence. L'horizon d'investissement optimal est le **moyen terme (3-12 mois)**, en attendant la publication des résultats annuels 2026 qui permettront de confirmer si la hausse des provisions est conjoncturelle ou structurelle. Un passage à **ACHAT** serait justifié si le coût du risque se stabilise au second semestre et si le cours franchit résolument la résistance de 72,8 FCFA (borne supérieure de Bollinger).</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18.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28.14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4,094 titres</w:t>
            </w:r>
          </w:p>
        </w:tc>
        <w:tc>
          <w:tcPr>
            <w:tcW w:type="dxa" w:w="2268"/>
            <w:shd w:fill="FFF2CC" w:val="clear"/>
          </w:tcPr>
          <w:p>
            <w:r>
              <w:rPr>
                <w:b/>
                <w:color w:val="503200"/>
                <w:sz w:val="16"/>
              </w:rPr>
              <w:t xml:space="preserve">Cours actuel : </w:t>
            </w:r>
            <w:r>
              <w:rPr>
                <w:color w:val="000000"/>
                <w:sz w:val="17"/>
              </w:rPr>
              <w:t>1,995 FCFA</w:t>
            </w:r>
          </w:p>
          <w:p>
            <w:r>
              <w:rPr>
                <w:b/>
                <w:color w:val="503200"/>
                <w:sz w:val="16"/>
              </w:rPr>
              <w:t xml:space="preserve">Var. 100 jours : </w:t>
            </w:r>
            <w:r>
              <w:rPr>
                <w:b/>
                <w:color w:val="B40000"/>
                <w:sz w:val="17"/>
              </w:rPr>
              <w:t>-9.32%</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33.2%</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6.07% (Moyenne) — μ=2,116 FCFA, σ=128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β=0.2614 (Défensif) — Cov=0.000018, Var(idx)=0.000069, ρ=0.102,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σ_j=2.09%/j (Stable) — Vol. annualisée≈33.2%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6976"/>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2026-09-30</w:t>
            </w:r>
          </w:p>
        </w:tc>
        <w:tc>
          <w:tcPr>
            <w:tcW w:type="dxa" w:w="1440"/>
            <w:shd w:fill="FAFAFA" w:val="clear"/>
          </w:tcPr>
          <w:p>
            <w:r>
              <w:rPr>
                <w:sz w:val="17"/>
              </w:rPr>
              <w:t>1,916</w:t>
            </w:r>
          </w:p>
        </w:tc>
        <w:tc>
          <w:tcPr>
            <w:tcW w:type="dxa" w:w="1440"/>
            <w:shd w:fill="FAFAFA" w:val="clear"/>
          </w:tcPr>
          <w:p>
            <w:r>
              <w:rPr>
                <w:b/>
                <w:sz w:val="17"/>
              </w:rPr>
              <w:t>1,979</w:t>
            </w:r>
          </w:p>
        </w:tc>
        <w:tc>
          <w:tcPr>
            <w:tcW w:type="dxa" w:w="1440"/>
            <w:shd w:fill="FAFAFA" w:val="clear"/>
          </w:tcPr>
          <w:p>
            <w:r>
              <w:rPr>
                <w:sz w:val="17"/>
              </w:rPr>
              <w:t>2,042</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2026-10-01</w:t>
            </w:r>
          </w:p>
        </w:tc>
        <w:tc>
          <w:tcPr>
            <w:tcW w:type="dxa" w:w="1440"/>
            <w:shd w:fill="FAFAFA" w:val="clear"/>
          </w:tcPr>
          <w:p>
            <w:r>
              <w:rPr>
                <w:sz w:val="17"/>
              </w:rPr>
              <w:t>1,876</w:t>
            </w:r>
          </w:p>
        </w:tc>
        <w:tc>
          <w:tcPr>
            <w:tcW w:type="dxa" w:w="1440"/>
            <w:shd w:fill="FAFAFA" w:val="clear"/>
          </w:tcPr>
          <w:p>
            <w:r>
              <w:rPr>
                <w:b/>
                <w:sz w:val="17"/>
              </w:rPr>
              <w:t>1,965</w:t>
            </w:r>
          </w:p>
        </w:tc>
        <w:tc>
          <w:tcPr>
            <w:tcW w:type="dxa" w:w="1440"/>
            <w:shd w:fill="FAFAFA" w:val="clear"/>
          </w:tcPr>
          <w:p>
            <w:r>
              <w:rPr>
                <w:sz w:val="17"/>
              </w:rPr>
              <w:t>2,054</w:t>
            </w:r>
          </w:p>
        </w:tc>
        <w:tc>
          <w:tcPr>
            <w:tcW w:type="dxa" w:w="1440"/>
            <w:shd w:fill="FAFAFA" w:val="clear"/>
          </w:tcPr>
          <w:p>
            <w:r>
              <w:rPr>
                <w:b/>
                <w:color w:val="C00000"/>
                <w:sz w:val="17"/>
              </w:rPr>
              <w:t>-1.5%</w:t>
            </w:r>
          </w:p>
        </w:tc>
      </w:tr>
      <w:tr>
        <w:tc>
          <w:tcPr>
            <w:tcW w:type="dxa" w:w="1440"/>
            <w:shd w:fill="FFDCE0" w:val="clear"/>
          </w:tcPr>
          <w:p>
            <w:r>
              <w:rPr>
                <w:sz w:val="17"/>
              </w:rPr>
              <w:t>J+3  ⭐⭐⭐</w:t>
            </w:r>
          </w:p>
        </w:tc>
        <w:tc>
          <w:tcPr>
            <w:tcW w:type="dxa" w:w="1440"/>
            <w:shd w:fill="FFDCE0" w:val="clear"/>
          </w:tcPr>
          <w:p>
            <w:r>
              <w:rPr>
                <w:sz w:val="17"/>
              </w:rPr>
              <w:t>2026-10-02</w:t>
            </w:r>
          </w:p>
        </w:tc>
        <w:tc>
          <w:tcPr>
            <w:tcW w:type="dxa" w:w="1440"/>
            <w:shd w:fill="FFDCE0" w:val="clear"/>
          </w:tcPr>
          <w:p>
            <w:r>
              <w:rPr>
                <w:sz w:val="17"/>
              </w:rPr>
              <w:t>1,843</w:t>
            </w:r>
          </w:p>
        </w:tc>
        <w:tc>
          <w:tcPr>
            <w:tcW w:type="dxa" w:w="1440"/>
            <w:shd w:fill="FFDCE0" w:val="clear"/>
          </w:tcPr>
          <w:p>
            <w:r>
              <w:rPr>
                <w:b/>
                <w:sz w:val="17"/>
              </w:rPr>
              <w:t>1,952</w:t>
            </w:r>
          </w:p>
        </w:tc>
        <w:tc>
          <w:tcPr>
            <w:tcW w:type="dxa" w:w="1440"/>
            <w:shd w:fill="FFDCE0" w:val="clear"/>
          </w:tcPr>
          <w:p>
            <w:r>
              <w:rPr>
                <w:sz w:val="17"/>
              </w:rPr>
              <w:t>2,060</w:t>
            </w:r>
          </w:p>
        </w:tc>
        <w:tc>
          <w:tcPr>
            <w:tcW w:type="dxa" w:w="1440"/>
            <w:shd w:fill="FFDCE0" w:val="clear"/>
          </w:tcPr>
          <w:p>
            <w:r>
              <w:rPr>
                <w:b/>
                <w:color w:val="C00000"/>
                <w:sz w:val="17"/>
              </w:rPr>
              <w:t>-2.2%</w:t>
            </w:r>
          </w:p>
        </w:tc>
      </w:tr>
      <w:tr>
        <w:tc>
          <w:tcPr>
            <w:tcW w:type="dxa" w:w="1440"/>
            <w:shd w:fill="FFDCE0" w:val="clear"/>
          </w:tcPr>
          <w:p>
            <w:r>
              <w:rPr>
                <w:sz w:val="17"/>
              </w:rPr>
              <w:t>J+4  Moyenne</w:t>
            </w:r>
          </w:p>
        </w:tc>
        <w:tc>
          <w:tcPr>
            <w:tcW w:type="dxa" w:w="1440"/>
            <w:shd w:fill="FFDCE0" w:val="clear"/>
          </w:tcPr>
          <w:p>
            <w:r>
              <w:rPr>
                <w:sz w:val="17"/>
              </w:rPr>
              <w:t>2026-10-05</w:t>
            </w:r>
          </w:p>
        </w:tc>
        <w:tc>
          <w:tcPr>
            <w:tcW w:type="dxa" w:w="1440"/>
            <w:shd w:fill="FFDCE0" w:val="clear"/>
          </w:tcPr>
          <w:p>
            <w:r>
              <w:rPr>
                <w:sz w:val="17"/>
              </w:rPr>
              <w:t>1,815</w:t>
            </w:r>
          </w:p>
        </w:tc>
        <w:tc>
          <w:tcPr>
            <w:tcW w:type="dxa" w:w="1440"/>
            <w:shd w:fill="FFDCE0" w:val="clear"/>
          </w:tcPr>
          <w:p>
            <w:r>
              <w:rPr>
                <w:b/>
                <w:sz w:val="17"/>
              </w:rPr>
              <w:t>1,939</w:t>
            </w:r>
          </w:p>
        </w:tc>
        <w:tc>
          <w:tcPr>
            <w:tcW w:type="dxa" w:w="1440"/>
            <w:shd w:fill="FFDCE0" w:val="clear"/>
          </w:tcPr>
          <w:p>
            <w:r>
              <w:rPr>
                <w:sz w:val="17"/>
              </w:rPr>
              <w:t>2,063</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2026-10-06</w:t>
            </w:r>
          </w:p>
        </w:tc>
        <w:tc>
          <w:tcPr>
            <w:tcW w:type="dxa" w:w="1440"/>
            <w:shd w:fill="FFDCE0" w:val="clear"/>
          </w:tcPr>
          <w:p>
            <w:r>
              <w:rPr>
                <w:sz w:val="17"/>
              </w:rPr>
              <w:t>1,788</w:t>
            </w:r>
          </w:p>
        </w:tc>
        <w:tc>
          <w:tcPr>
            <w:tcW w:type="dxa" w:w="1440"/>
            <w:shd w:fill="FFDCE0" w:val="clear"/>
          </w:tcPr>
          <w:p>
            <w:r>
              <w:rPr>
                <w:b/>
                <w:sz w:val="17"/>
              </w:rPr>
              <w:t>1,927</w:t>
            </w:r>
          </w:p>
        </w:tc>
        <w:tc>
          <w:tcPr>
            <w:tcW w:type="dxa" w:w="1440"/>
            <w:shd w:fill="FFDCE0" w:val="clear"/>
          </w:tcPr>
          <w:p>
            <w:r>
              <w:rPr>
                <w:sz w:val="17"/>
              </w:rPr>
              <w:t>2,065</w:t>
            </w:r>
          </w:p>
        </w:tc>
        <w:tc>
          <w:tcPr>
            <w:tcW w:type="dxa" w:w="1440"/>
            <w:shd w:fill="FFDCE0" w:val="clear"/>
          </w:tcPr>
          <w:p>
            <w:r>
              <w:rPr>
                <w:b/>
                <w:color w:val="C00000"/>
                <w:sz w:val="17"/>
              </w:rPr>
              <w:t>-3.4%</w:t>
            </w:r>
          </w:p>
        </w:tc>
      </w:tr>
      <w:tr>
        <w:tc>
          <w:tcPr>
            <w:tcW w:type="dxa" w:w="1440"/>
            <w:shd w:fill="FFDCE0" w:val="clear"/>
          </w:tcPr>
          <w:p>
            <w:r>
              <w:rPr>
                <w:sz w:val="17"/>
              </w:rPr>
              <w:t>J+6  Moyenne</w:t>
            </w:r>
          </w:p>
        </w:tc>
        <w:tc>
          <w:tcPr>
            <w:tcW w:type="dxa" w:w="1440"/>
            <w:shd w:fill="FFDCE0" w:val="clear"/>
          </w:tcPr>
          <w:p>
            <w:r>
              <w:rPr>
                <w:sz w:val="17"/>
              </w:rPr>
              <w:t>2026-10-07</w:t>
            </w:r>
          </w:p>
        </w:tc>
        <w:tc>
          <w:tcPr>
            <w:tcW w:type="dxa" w:w="1440"/>
            <w:shd w:fill="FFDCE0" w:val="clear"/>
          </w:tcPr>
          <w:p>
            <w:r>
              <w:rPr>
                <w:sz w:val="17"/>
              </w:rPr>
              <w:t>1,764</w:t>
            </w:r>
          </w:p>
        </w:tc>
        <w:tc>
          <w:tcPr>
            <w:tcW w:type="dxa" w:w="1440"/>
            <w:shd w:fill="FFDCE0" w:val="clear"/>
          </w:tcPr>
          <w:p>
            <w:r>
              <w:rPr>
                <w:b/>
                <w:sz w:val="17"/>
              </w:rPr>
              <w:t>1,915</w:t>
            </w:r>
          </w:p>
        </w:tc>
        <w:tc>
          <w:tcPr>
            <w:tcW w:type="dxa" w:w="1440"/>
            <w:shd w:fill="FFDCE0" w:val="clear"/>
          </w:tcPr>
          <w:p>
            <w:r>
              <w:rPr>
                <w:sz w:val="17"/>
              </w:rPr>
              <w:t>2,065</w:t>
            </w:r>
          </w:p>
        </w:tc>
        <w:tc>
          <w:tcPr>
            <w:tcW w:type="dxa" w:w="1440"/>
            <w:shd w:fill="FFDCE0" w:val="clear"/>
          </w:tcPr>
          <w:p>
            <w:r>
              <w:rPr>
                <w:b/>
                <w:color w:val="C00000"/>
                <w:sz w:val="17"/>
              </w:rPr>
              <w:t>-4.0%</w:t>
            </w:r>
          </w:p>
        </w:tc>
      </w:tr>
      <w:tr>
        <w:tc>
          <w:tcPr>
            <w:tcW w:type="dxa" w:w="1440"/>
            <w:shd w:fill="FFDCE0" w:val="clear"/>
          </w:tcPr>
          <w:p>
            <w:r>
              <w:rPr>
                <w:sz w:val="17"/>
              </w:rPr>
              <w:t>J+7  Moyenne</w:t>
            </w:r>
          </w:p>
        </w:tc>
        <w:tc>
          <w:tcPr>
            <w:tcW w:type="dxa" w:w="1440"/>
            <w:shd w:fill="FFDCE0" w:val="clear"/>
          </w:tcPr>
          <w:p>
            <w:r>
              <w:rPr>
                <w:sz w:val="17"/>
              </w:rPr>
              <w:t>2026-10-08</w:t>
            </w:r>
          </w:p>
        </w:tc>
        <w:tc>
          <w:tcPr>
            <w:tcW w:type="dxa" w:w="1440"/>
            <w:shd w:fill="FFDCE0" w:val="clear"/>
          </w:tcPr>
          <w:p>
            <w:r>
              <w:rPr>
                <w:sz w:val="17"/>
              </w:rPr>
              <w:t>1,742</w:t>
            </w:r>
          </w:p>
        </w:tc>
        <w:tc>
          <w:tcPr>
            <w:tcW w:type="dxa" w:w="1440"/>
            <w:shd w:fill="FFDCE0" w:val="clear"/>
          </w:tcPr>
          <w:p>
            <w:r>
              <w:rPr>
                <w:b/>
                <w:sz w:val="17"/>
              </w:rPr>
              <w:t>1,903</w:t>
            </w:r>
          </w:p>
        </w:tc>
        <w:tc>
          <w:tcPr>
            <w:tcW w:type="dxa" w:w="1440"/>
            <w:shd w:fill="FFDCE0" w:val="clear"/>
          </w:tcPr>
          <w:p>
            <w:r>
              <w:rPr>
                <w:sz w:val="17"/>
              </w:rPr>
              <w:t>2,065</w:t>
            </w:r>
          </w:p>
        </w:tc>
        <w:tc>
          <w:tcPr>
            <w:tcW w:type="dxa" w:w="1440"/>
            <w:shd w:fill="FFDCE0" w:val="clear"/>
          </w:tcPr>
          <w:p>
            <w:r>
              <w:rPr>
                <w:b/>
                <w:color w:val="C00000"/>
                <w:sz w:val="17"/>
              </w:rPr>
              <w:t>-4.6%</w:t>
            </w:r>
          </w:p>
        </w:tc>
      </w:tr>
      <w:tr>
        <w:tc>
          <w:tcPr>
            <w:tcW w:type="dxa" w:w="1440"/>
            <w:shd w:fill="FFDCE0" w:val="clear"/>
          </w:tcPr>
          <w:p>
            <w:r>
              <w:rPr>
                <w:sz w:val="17"/>
              </w:rPr>
              <w:t>J+8  Moyenne</w:t>
            </w:r>
          </w:p>
        </w:tc>
        <w:tc>
          <w:tcPr>
            <w:tcW w:type="dxa" w:w="1440"/>
            <w:shd w:fill="FFDCE0" w:val="clear"/>
          </w:tcPr>
          <w:p>
            <w:r>
              <w:rPr>
                <w:sz w:val="17"/>
              </w:rPr>
              <w:t>2026-10-09</w:t>
            </w:r>
          </w:p>
        </w:tc>
        <w:tc>
          <w:tcPr>
            <w:tcW w:type="dxa" w:w="1440"/>
            <w:shd w:fill="FFDCE0" w:val="clear"/>
          </w:tcPr>
          <w:p>
            <w:r>
              <w:rPr>
                <w:sz w:val="17"/>
              </w:rPr>
              <w:t>1,721</w:t>
            </w:r>
          </w:p>
        </w:tc>
        <w:tc>
          <w:tcPr>
            <w:tcW w:type="dxa" w:w="1440"/>
            <w:shd w:fill="FFDCE0" w:val="clear"/>
          </w:tcPr>
          <w:p>
            <w:r>
              <w:rPr>
                <w:b/>
                <w:sz w:val="17"/>
              </w:rPr>
              <w:t>1,892</w:t>
            </w:r>
          </w:p>
        </w:tc>
        <w:tc>
          <w:tcPr>
            <w:tcW w:type="dxa" w:w="1440"/>
            <w:shd w:fill="FFDCE0" w:val="clear"/>
          </w:tcPr>
          <w:p>
            <w:r>
              <w:rPr>
                <w:sz w:val="17"/>
              </w:rPr>
              <w:t>2,064</w:t>
            </w:r>
          </w:p>
        </w:tc>
        <w:tc>
          <w:tcPr>
            <w:tcW w:type="dxa" w:w="1440"/>
            <w:shd w:fill="FFDCE0" w:val="clear"/>
          </w:tcPr>
          <w:p>
            <w:r>
              <w:rPr>
                <w:b/>
                <w:color w:val="C00000"/>
                <w:sz w:val="17"/>
              </w:rPr>
              <w:t>-5.2%</w:t>
            </w:r>
          </w:p>
        </w:tc>
      </w:tr>
      <w:tr>
        <w:tc>
          <w:tcPr>
            <w:tcW w:type="dxa" w:w="1440"/>
            <w:shd w:fill="FFDCE0" w:val="clear"/>
          </w:tcPr>
          <w:p>
            <w:r>
              <w:rPr>
                <w:sz w:val="17"/>
              </w:rPr>
              <w:t>J+9  Moyenne</w:t>
            </w:r>
          </w:p>
        </w:tc>
        <w:tc>
          <w:tcPr>
            <w:tcW w:type="dxa" w:w="1440"/>
            <w:shd w:fill="FFDCE0" w:val="clear"/>
          </w:tcPr>
          <w:p>
            <w:r>
              <w:rPr>
                <w:sz w:val="17"/>
              </w:rPr>
              <w:t>2026-10-12</w:t>
            </w:r>
          </w:p>
        </w:tc>
        <w:tc>
          <w:tcPr>
            <w:tcW w:type="dxa" w:w="1440"/>
            <w:shd w:fill="FFDCE0" w:val="clear"/>
          </w:tcPr>
          <w:p>
            <w:r>
              <w:rPr>
                <w:sz w:val="17"/>
              </w:rPr>
              <w:t>1,700</w:t>
            </w:r>
          </w:p>
        </w:tc>
        <w:tc>
          <w:tcPr>
            <w:tcW w:type="dxa" w:w="1440"/>
            <w:shd w:fill="FFDCE0" w:val="clear"/>
          </w:tcPr>
          <w:p>
            <w:r>
              <w:rPr>
                <w:b/>
                <w:sz w:val="17"/>
              </w:rPr>
              <w:t>1,881</w:t>
            </w:r>
          </w:p>
        </w:tc>
        <w:tc>
          <w:tcPr>
            <w:tcW w:type="dxa" w:w="1440"/>
            <w:shd w:fill="FFDCE0" w:val="clear"/>
          </w:tcPr>
          <w:p>
            <w:r>
              <w:rPr>
                <w:sz w:val="17"/>
              </w:rPr>
              <w:t>2,062</w:t>
            </w:r>
          </w:p>
        </w:tc>
        <w:tc>
          <w:tcPr>
            <w:tcW w:type="dxa" w:w="1440"/>
            <w:shd w:fill="FFDCE0" w:val="clear"/>
          </w:tcPr>
          <w:p>
            <w:r>
              <w:rPr>
                <w:b/>
                <w:color w:val="C00000"/>
                <w:sz w:val="17"/>
              </w:rPr>
              <w:t>-5.7%</w:t>
            </w:r>
          </w:p>
        </w:tc>
      </w:tr>
      <w:tr>
        <w:tc>
          <w:tcPr>
            <w:tcW w:type="dxa" w:w="1440"/>
            <w:shd w:fill="FFDCE0" w:val="clear"/>
          </w:tcPr>
          <w:p>
            <w:r>
              <w:rPr>
                <w:sz w:val="17"/>
              </w:rPr>
              <w:t>J+10  Moyenne</w:t>
            </w:r>
          </w:p>
        </w:tc>
        <w:tc>
          <w:tcPr>
            <w:tcW w:type="dxa" w:w="1440"/>
            <w:shd w:fill="FFDCE0" w:val="clear"/>
          </w:tcPr>
          <w:p>
            <w:r>
              <w:rPr>
                <w:sz w:val="17"/>
              </w:rPr>
              <w:t>2026-10-13</w:t>
            </w:r>
          </w:p>
        </w:tc>
        <w:tc>
          <w:tcPr>
            <w:tcW w:type="dxa" w:w="1440"/>
            <w:shd w:fill="FFDCE0" w:val="clear"/>
          </w:tcPr>
          <w:p>
            <w:r>
              <w:rPr>
                <w:sz w:val="17"/>
              </w:rPr>
              <w:t>1,681</w:t>
            </w:r>
          </w:p>
        </w:tc>
        <w:tc>
          <w:tcPr>
            <w:tcW w:type="dxa" w:w="1440"/>
            <w:shd w:fill="FFDCE0" w:val="clear"/>
          </w:tcPr>
          <w:p>
            <w:r>
              <w:rPr>
                <w:b/>
                <w:sz w:val="17"/>
              </w:rPr>
              <w:t>1,871</w:t>
            </w:r>
          </w:p>
        </w:tc>
        <w:tc>
          <w:tcPr>
            <w:tcW w:type="dxa" w:w="1440"/>
            <w:shd w:fill="FFDCE0" w:val="clear"/>
          </w:tcPr>
          <w:p>
            <w:r>
              <w:rPr>
                <w:sz w:val="17"/>
              </w:rPr>
              <w:t>2,060</w:t>
            </w:r>
          </w:p>
        </w:tc>
        <w:tc>
          <w:tcPr>
            <w:tcW w:type="dxa" w:w="1440"/>
            <w:shd w:fill="FFDCE0" w:val="clear"/>
          </w:tcPr>
          <w:p>
            <w:r>
              <w:rPr>
                <w:b/>
                <w:color w:val="C00000"/>
                <w:sz w:val="17"/>
              </w:rPr>
              <w:t>-6.2%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RAPPORT D'ANALYSE FINANCIÈRE — FTSC (FILTISAC CI)</w:t>
        <w:br/>
        <w:t>**Bourse Régionale des Valeurs Mobilières (BRVM) — Secteur : Emballages industriels / Transformation jute &amp; polymères**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**28,14 Mds FCFA**, FTSC se situe dans la catégorie des valeurs moyennes de la cote BRVM, ce qui la rend vulnérable aux mouvements de faible volume (4 094 titres/jour en moyenne). Le **BPA de 33 FCFA/action** ressort très faible, conséquence directe de l'effondrement du résultat net 2025 (465,98 MFCFA). Le **PER de 60,4x** traduit une valorisation extrêmement exigeante — les investisseurs paient plus de 60 fois les bénéfices, très loin de la moyenne BRVM (~8-12x) — signe que le marché anticipe un redressement non encore matérialisé. Le **P/B de 1,79x** reste en revanche raisonnable (fourchette 1-2x), le marché valorisant l'action légèrement au-dessus de sa valeur comptable (capitaux propres de 15,70 Mds FCFA). Enfin, l'**EV/EBITDA de 36,6x** (largement supérieur au seuil de 15x) confirme que la valeur d'entreprise est très chèrement payée au regard de la capacité opérationnelle actuelle (EBE de 1 501 MFCFA), un signal de prudence majeur.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FTSC affiche une **variation totale de -9,32%**, avec un rebond marginal de **+0,25% en J-1**, le titre clôturant à **1 995 FCFA**. Le range de trading est large, entre un plus haut de **2 430 FCFA** et un plus bas de **1 910 FCFA**, soit une amplitude de 27% qui traduit une tendance baissière dominante entrecoupée de rebonds techniques. Les statistiques descriptives révèlent une distribution quasi symétrique : la **moyenne (2 116 FCFA)** et la **médiane (2 120 FCFA)** sont très proches, confirmant l'absence de biais directionnel marqué, tandis que le **mode à 1 990 FCFA** — proche du cours actuel — indique que le titre évolue actuellement sous ses niveaux les plus fréquents. L'**écart-type de 129 FCFA (CV = 6,1%)** traduit une dispersion modérée, mais la **volatilité annualisée de 33,2%** classe le titre en catégorie **élevée (&gt;30%)**, ce qui est cohérent avec un marché peu liquide. Le **kurtosis de -0,731** (mésokurtique) suggère une distribution proche de la normale, sans risque de pics extrêmes marqué, tandis que le **skewness de +0,388** (distribution symétrique) n'indique pas d'asymétrie prononcée vers les pertes ou les gains.</w:t>
      </w:r>
    </w:p>
    <w:p>
      <w:pPr>
        <w:spacing w:after="120" w:line="276" w:lineRule="auto"/>
      </w:pPr>
      <w:r>
        <w:t>---</w:t>
      </w:r>
    </w:p>
    <w:p>
      <w:pPr>
        <w:spacing w:after="120" w:line="276" w:lineRule="auto"/>
      </w:pPr>
      <w:r>
        <w:t>## PARTIE 2 : ANALYSE TECHNIQUE DÉTAILLÉE</w:t>
      </w:r>
    </w:p>
    <w:p>
      <w:pPr>
        <w:spacing w:after="120" w:line="276" w:lineRule="auto"/>
      </w:pPr>
      <w:r>
        <w:t>**Moyennes Mobiles** : La MM20 (2 073,75 FCFA) et la MM50 (2 071,30 FCFA) sont quasi confondues et positionnées **au-dessus du cours actuel** (1 995 FCFA), ce qui place le titre en configuration baissière de court terme. Toutefois, la décision affichée est **Achat**, vraisemblablement liée à un croisement haussier imminent ou à un rebond technique attendu sur ces supports dynamiques.</w:t>
      </w:r>
    </w:p>
    <w:p>
      <w:pPr>
        <w:spacing w:after="120" w:line="276" w:lineRule="auto"/>
      </w:pPr>
      <w:r>
        <w:t>**Bandes de Bollinger** : Le cours (1 995 FCFA) évolue dans la moitié basse du canal, entre la borne inférieure (1 934,74 FCFA) et la borne supérieure (2 212,76 FCFA). La largeur des bandes traduit une volatilité encore présente, mais la décision **Neutre** reflète l'absence de signal clair de retournement ou de cassure imminente.</w:t>
      </w:r>
    </w:p>
    <w:p>
      <w:pPr>
        <w:spacing w:after="120" w:line="276" w:lineRule="auto"/>
      </w:pPr>
      <w:r>
        <w:t>**MACD** : La valeur du MACD (-31,841) est **nettement inférieure à son signal (-19,351)**, confirmant un momentum baissier persistant. La décision **Vente** est cohérente avec cette divergence négative qui n'a pas encore amorcé de retournement.</w:t>
      </w:r>
    </w:p>
    <w:p>
      <w:pPr>
        <w:spacing w:after="120" w:line="276" w:lineRule="auto"/>
      </w:pPr>
      <w:r>
        <w:t>**RSI** : À **34,783**, le RSI se situe dans la zone neutre basse, proche du seuil de survente (30) sans l'atteindre. La décision **Neutre** indique que le titre n'est ni survendu ni suracheté, laissant place à une poursuite de la consolidation.</w:t>
      </w:r>
    </w:p>
    <w:p>
      <w:pPr>
        <w:spacing w:after="120" w:line="276" w:lineRule="auto"/>
      </w:pPr>
      <w:r>
        <w:t>**Stochastique** : Le %K et le %D sont identiques à **40,476**, traduisant une absence de croisement et un momentum neutre. La décision **Neutre** confirme l'absence de signal directionnel fort à court terme.</w:t>
      </w:r>
    </w:p>
    <w:p>
      <w:pPr>
        <w:spacing w:after="120" w:line="276" w:lineRule="auto"/>
      </w:pPr>
      <w:r>
        <w:t>**Conclusion technique** : Les indicateurs sont **majoritairement baissiers à neutres** (MACD en vente, cours sous les MM, RSI faible), avec un seul signal d'achat (MM) et deux neutres (Bollinger, Stochastique). Le titre évolue en zone de consolidation basse, sans catalyseur technique clair de rebond ; la prudence domine tant que le cours ne repasse pas au-dessus de la MM20 (2 073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FTSC a réalisé un **chiffre d'affaires de 32 109 MFCFA** (contre 30 695 MFCFA en 2024, soit +4,6%), mais son **résultat net s'est effondré à 465,98 MFCFA** contre 18 595 MFCFA en 2024 (-97,5%), principalement en raison de l'absence des produits exceptionnels (HAO de 381,64 MFCFA contre 18 862 MFCFA en 2024) et de la chute des produits financiers. La **marge nette tombe à 1,45%** (contre 60,6% en 2024, niveau artificiel), le **ROE à 2,97%** (très loin du seuil de 15% d'excellence) et le **ROA à 1,19%**, confirmant une rentabilité structurellement faible. En tant qu'entreprise industrielle, les **délais clients (213,72 jours)** et **durée de stockage (214,65 jours)** sont très élevés, générant un **BFR de 11 529 MFCFA** et une **trésorerie nette de -11 528 MFCFA** — un risque de liquidité majeur. L'**autonomie financière (40,11%)** reste saine (&gt;30%), mais le **ratio d'endettement (97,6%)** et la **capacité de remboursement (11,49 ans)** pèsent sur la structure.</w:t>
      </w:r>
    </w:p>
    <w:p>
      <w:pPr>
        <w:spacing w:after="120" w:line="276" w:lineRule="auto"/>
      </w:pPr>
      <w:r>
        <w:t>**Estimations basées sur les rapports trimestriels** : Le **rapport T1 2026 (publié le 08/07/2026)** fait état d'un **CA de 8 901 MFCFA (+55%)** porté par la demande cacao, avec un **résultat d'exploitation redevenu positif (75 MFCFA)** mais un **résultat net toujours négatif (-154 MFCFA)**. Le **rapport annuel 2025** confirme l'absence de dividende (taux de distribution 0%) et la chute des capitaux propres de 43,4 à 15,7 Mds FCFA. Le **communiqué du 08/07/2026** rassure sur la continuité d'activité malgré l'arrêt de la filature (interdiction d'exportation de jute par le Bangladesh), avec une solution alternative d'importation de fil. On estime donc que **l'exercice 2026 devrait bénéficier d'un rebond du CA (+30-50% sur l'année si la campagne cacao se maintient)**, mais la **rentabilité nette restera fragile** tant que les charges financières et logistiques ne se détendent pas.</w:t>
      </w:r>
    </w:p>
    <w:p>
      <w:pPr>
        <w:spacing w:after="120" w:line="276" w:lineRule="auto"/>
      </w:pPr>
      <w:r>
        <w:t>**Recommandation fondamentale** : La société présente un **profil de retournement opérationnel non confirmé** — croissance du CA et amélioration du résultat d'exploitation, mais perte nette persistante, trésorerie négative et absence de dividende. La solidité financière est **moyenne** (autonomie correcte mais endettement élevé), les risques **élevés** (dépendance cacao, matières premières, fret, géopolitique). Position **CONSERVER** justifiée, avec surveillance stricte du BFR et de la rentabilité nette.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préoccupante** entre les signaux. **Valorisation (Partie 0)** : le PER de 60,4x et l'EV/EBITDA de 36,6x indiquent une **surévaluation manifeste** au regard des bénéfices actuels, bien que le P/B de 1,79x reste raisonnable. **Comportement du cours (Partie 1)** : la tendance baissière (-9,32%) et la volatilité élevée (33,2%) sont défavorables, mais la distribution symétrique (skewness +0,388) et l'absence de pics extrêmes (kurtosis -0,731) limitent le risque de krach brutal. **Signaux techniques (Partie 2)** : la majorité des indicateurs (MACD en vente, cours sous MM20/MM50, RSI faible) convergent vers une **poursuite de la consolidation baissière**, sans signal d'achat fort. **Fondamentaux (Partie 3)** : la croissance du CA (+55% au T1 2026) et le retour à un résultat d'exploitation positif sont encourageants, mais la perte nette (-154 MFCFA au T1 2026) et la trésorerie négative (-11,5 Mds FCFA) maintiennent un **risque élevé**. **Prédictions IA (J+1 à J+10)** : la trajectoire projetée (1 979 → 1 927 FCFA) **confirme la tendance baissière** à court terme, en ligne avec le MACD et les MM.</w:t>
      </w:r>
    </w:p>
    <w:p>
      <w:pPr>
        <w:spacing w:after="120" w:line="276" w:lineRule="auto"/>
      </w:pPr>
      <w:r>
        <w:t>**Recommandation finale : CONSERVER** — Justification : la convergence des signaux techniques baissiers et de la prédiction IA à la baisse contraste avec le potentiel de redressement opérationnel (T1 2026) et la valorisation raisonnable du P/B. Une vente serait précipitée compte tenu du retournement en cours, mais un achat est prématuré tant que la rentabilité nette n'est pas rétablie. **Niveau de confiance : Moyen** (les données trimestrielles sont encourageantes mais la visibilité reste limitée). **Niveau de risque global : Élevé** (trésorerie négative, dépendance sectorielle, volatilité 33,2%). **Horizon d'investissement optimal : Moyen terme (3-12 mois)**, en attendant la confirmation de deux trimestres consécutifs de résultat net positif et une clarification de la politique de dividende.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19.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78.00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4,756 titres</w:t>
            </w:r>
          </w:p>
        </w:tc>
        <w:tc>
          <w:tcPr>
            <w:tcW w:type="dxa" w:w="2268"/>
            <w:shd w:fill="FFF2CC" w:val="clear"/>
          </w:tcPr>
          <w:p>
            <w:r>
              <w:rPr>
                <w:b/>
                <w:color w:val="503200"/>
                <w:sz w:val="16"/>
              </w:rPr>
              <w:t xml:space="preserve">Cours actuel : </w:t>
            </w:r>
            <w:r>
              <w:rPr>
                <w:color w:val="000000"/>
                <w:sz w:val="17"/>
              </w:rPr>
              <w:t>3,900 FCFA</w:t>
            </w:r>
          </w:p>
          <w:p>
            <w:r>
              <w:rPr>
                <w:b/>
                <w:color w:val="503200"/>
                <w:sz w:val="16"/>
              </w:rPr>
              <w:t xml:space="preserve">Var. 100 jours : </w:t>
            </w:r>
            <w:r>
              <w:rPr>
                <w:b/>
                <w:color w:val="B40000"/>
                <w:sz w:val="17"/>
              </w:rPr>
              <w:t>-1.27%</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4.71% (Faible) — μ=4,075 FCFA, σ=192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β=0.7165 (Défensif) — Cov=0.000049, Var(idx)=0.000069, ρ=0.226,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2026-09-30</w:t>
            </w:r>
          </w:p>
        </w:tc>
        <w:tc>
          <w:tcPr>
            <w:tcW w:type="dxa" w:w="1440"/>
            <w:shd w:fill="C6EFCE" w:val="clear"/>
          </w:tcPr>
          <w:p>
            <w:r>
              <w:rPr>
                <w:sz w:val="17"/>
              </w:rPr>
              <w:t>3,869</w:t>
            </w:r>
          </w:p>
        </w:tc>
        <w:tc>
          <w:tcPr>
            <w:tcW w:type="dxa" w:w="1440"/>
            <w:shd w:fill="C6EFCE" w:val="clear"/>
          </w:tcPr>
          <w:p>
            <w:r>
              <w:rPr>
                <w:b/>
                <w:sz w:val="17"/>
              </w:rPr>
              <w:t>4,042</w:t>
            </w:r>
          </w:p>
        </w:tc>
        <w:tc>
          <w:tcPr>
            <w:tcW w:type="dxa" w:w="1440"/>
            <w:shd w:fill="C6EFCE" w:val="clear"/>
          </w:tcPr>
          <w:p>
            <w:r>
              <w:rPr>
                <w:sz w:val="17"/>
              </w:rPr>
              <w:t>4,215</w:t>
            </w:r>
          </w:p>
        </w:tc>
        <w:tc>
          <w:tcPr>
            <w:tcW w:type="dxa" w:w="1440"/>
            <w:shd w:fill="C6EFCE" w:val="clear"/>
          </w:tcPr>
          <w:p>
            <w:r>
              <w:rPr>
                <w:b/>
                <w:color w:val="008000"/>
                <w:sz w:val="17"/>
              </w:rPr>
              <w:t>+3.6%</w:t>
            </w:r>
          </w:p>
        </w:tc>
      </w:tr>
      <w:tr>
        <w:tc>
          <w:tcPr>
            <w:tcW w:type="dxa" w:w="1440"/>
            <w:shd w:fill="C6EFCE" w:val="clear"/>
          </w:tcPr>
          <w:p>
            <w:r>
              <w:rPr>
                <w:sz w:val="17"/>
              </w:rPr>
              <w:t>J+2  Moyenne</w:t>
            </w:r>
          </w:p>
        </w:tc>
        <w:tc>
          <w:tcPr>
            <w:tcW w:type="dxa" w:w="1440"/>
            <w:shd w:fill="C6EFCE" w:val="clear"/>
          </w:tcPr>
          <w:p>
            <w:r>
              <w:rPr>
                <w:sz w:val="17"/>
              </w:rPr>
              <w:t>2026-10-01</w:t>
            </w:r>
          </w:p>
        </w:tc>
        <w:tc>
          <w:tcPr>
            <w:tcW w:type="dxa" w:w="1440"/>
            <w:shd w:fill="C6EFCE" w:val="clear"/>
          </w:tcPr>
          <w:p>
            <w:r>
              <w:rPr>
                <w:sz w:val="17"/>
              </w:rPr>
              <w:t>3,801</w:t>
            </w:r>
          </w:p>
        </w:tc>
        <w:tc>
          <w:tcPr>
            <w:tcW w:type="dxa" w:w="1440"/>
            <w:shd w:fill="C6EFCE" w:val="clear"/>
          </w:tcPr>
          <w:p>
            <w:r>
              <w:rPr>
                <w:b/>
                <w:sz w:val="17"/>
              </w:rPr>
              <w:t>4,045</w:t>
            </w:r>
          </w:p>
        </w:tc>
        <w:tc>
          <w:tcPr>
            <w:tcW w:type="dxa" w:w="1440"/>
            <w:shd w:fill="C6EFCE" w:val="clear"/>
          </w:tcPr>
          <w:p>
            <w:r>
              <w:rPr>
                <w:sz w:val="17"/>
              </w:rPr>
              <w:t>4,290</w:t>
            </w:r>
          </w:p>
        </w:tc>
        <w:tc>
          <w:tcPr>
            <w:tcW w:type="dxa" w:w="1440"/>
            <w:shd w:fill="C6EFCE" w:val="clear"/>
          </w:tcPr>
          <w:p>
            <w:r>
              <w:rPr>
                <w:b/>
                <w:color w:val="008000"/>
                <w:sz w:val="17"/>
              </w:rPr>
              <w:t>+3.7%</w:t>
            </w:r>
          </w:p>
        </w:tc>
      </w:tr>
      <w:tr>
        <w:tc>
          <w:tcPr>
            <w:tcW w:type="dxa" w:w="1440"/>
            <w:shd w:fill="C6EFCE" w:val="clear"/>
          </w:tcPr>
          <w:p>
            <w:r>
              <w:rPr>
                <w:sz w:val="17"/>
              </w:rPr>
              <w:t>J+3  Moyenne</w:t>
            </w:r>
          </w:p>
        </w:tc>
        <w:tc>
          <w:tcPr>
            <w:tcW w:type="dxa" w:w="1440"/>
            <w:shd w:fill="C6EFCE" w:val="clear"/>
          </w:tcPr>
          <w:p>
            <w:r>
              <w:rPr>
                <w:sz w:val="17"/>
              </w:rPr>
              <w:t>2026-10-02</w:t>
            </w:r>
          </w:p>
        </w:tc>
        <w:tc>
          <w:tcPr>
            <w:tcW w:type="dxa" w:w="1440"/>
            <w:shd w:fill="C6EFCE" w:val="clear"/>
          </w:tcPr>
          <w:p>
            <w:r>
              <w:rPr>
                <w:sz w:val="17"/>
              </w:rPr>
              <w:t>3,751</w:t>
            </w:r>
          </w:p>
        </w:tc>
        <w:tc>
          <w:tcPr>
            <w:tcW w:type="dxa" w:w="1440"/>
            <w:shd w:fill="C6EFCE" w:val="clear"/>
          </w:tcPr>
          <w:p>
            <w:r>
              <w:rPr>
                <w:b/>
                <w:sz w:val="17"/>
              </w:rPr>
              <w:t>4,051</w:t>
            </w:r>
          </w:p>
        </w:tc>
        <w:tc>
          <w:tcPr>
            <w:tcW w:type="dxa" w:w="1440"/>
            <w:shd w:fill="C6EFCE" w:val="clear"/>
          </w:tcPr>
          <w:p>
            <w:r>
              <w:rPr>
                <w:sz w:val="17"/>
              </w:rPr>
              <w:t>4,351</w:t>
            </w:r>
          </w:p>
        </w:tc>
        <w:tc>
          <w:tcPr>
            <w:tcW w:type="dxa" w:w="1440"/>
            <w:shd w:fill="C6EFCE" w:val="clear"/>
          </w:tcPr>
          <w:p>
            <w:r>
              <w:rPr>
                <w:b/>
                <w:color w:val="008000"/>
                <w:sz w:val="17"/>
              </w:rPr>
              <w:t>+3.9%</w:t>
            </w:r>
          </w:p>
        </w:tc>
      </w:tr>
      <w:tr>
        <w:tc>
          <w:tcPr>
            <w:tcW w:type="dxa" w:w="1440"/>
            <w:shd w:fill="C6EFCE" w:val="clear"/>
          </w:tcPr>
          <w:p>
            <w:r>
              <w:rPr>
                <w:sz w:val="17"/>
              </w:rPr>
              <w:t>J+4  ⭐</w:t>
            </w:r>
          </w:p>
        </w:tc>
        <w:tc>
          <w:tcPr>
            <w:tcW w:type="dxa" w:w="1440"/>
            <w:shd w:fill="C6EFCE" w:val="clear"/>
          </w:tcPr>
          <w:p>
            <w:r>
              <w:rPr>
                <w:sz w:val="17"/>
              </w:rPr>
              <w:t>2026-10-05</w:t>
            </w:r>
          </w:p>
        </w:tc>
        <w:tc>
          <w:tcPr>
            <w:tcW w:type="dxa" w:w="1440"/>
            <w:shd w:fill="C6EFCE" w:val="clear"/>
          </w:tcPr>
          <w:p>
            <w:r>
              <w:rPr>
                <w:sz w:val="17"/>
              </w:rPr>
              <w:t>3,736</w:t>
            </w:r>
          </w:p>
        </w:tc>
        <w:tc>
          <w:tcPr>
            <w:tcW w:type="dxa" w:w="1440"/>
            <w:shd w:fill="C6EFCE" w:val="clear"/>
          </w:tcPr>
          <w:p>
            <w:r>
              <w:rPr>
                <w:b/>
                <w:sz w:val="17"/>
              </w:rPr>
              <w:t>4,085</w:t>
            </w:r>
          </w:p>
        </w:tc>
        <w:tc>
          <w:tcPr>
            <w:tcW w:type="dxa" w:w="1440"/>
            <w:shd w:fill="C6EFCE" w:val="clear"/>
          </w:tcPr>
          <w:p>
            <w:r>
              <w:rPr>
                <w:sz w:val="17"/>
              </w:rPr>
              <w:t>4,434</w:t>
            </w:r>
          </w:p>
        </w:tc>
        <w:tc>
          <w:tcPr>
            <w:tcW w:type="dxa" w:w="1440"/>
            <w:shd w:fill="C6EFCE" w:val="clear"/>
          </w:tcPr>
          <w:p>
            <w:r>
              <w:rPr>
                <w:b/>
                <w:color w:val="008000"/>
                <w:sz w:val="17"/>
              </w:rPr>
              <w:t>+4.7%</w:t>
            </w:r>
          </w:p>
        </w:tc>
      </w:tr>
      <w:tr>
        <w:tc>
          <w:tcPr>
            <w:tcW w:type="dxa" w:w="1440"/>
            <w:shd w:fill="C6EFCE" w:val="clear"/>
          </w:tcPr>
          <w:p>
            <w:r>
              <w:rPr>
                <w:sz w:val="17"/>
              </w:rPr>
              <w:t>J+5  ⭐</w:t>
            </w:r>
          </w:p>
        </w:tc>
        <w:tc>
          <w:tcPr>
            <w:tcW w:type="dxa" w:w="1440"/>
            <w:shd w:fill="C6EFCE" w:val="clear"/>
          </w:tcPr>
          <w:p>
            <w:r>
              <w:rPr>
                <w:sz w:val="17"/>
              </w:rPr>
              <w:t>2026-10-06</w:t>
            </w:r>
          </w:p>
        </w:tc>
        <w:tc>
          <w:tcPr>
            <w:tcW w:type="dxa" w:w="1440"/>
            <w:shd w:fill="C6EFCE" w:val="clear"/>
          </w:tcPr>
          <w:p>
            <w:r>
              <w:rPr>
                <w:sz w:val="17"/>
              </w:rPr>
              <w:t>3,724</w:t>
            </w:r>
          </w:p>
        </w:tc>
        <w:tc>
          <w:tcPr>
            <w:tcW w:type="dxa" w:w="1440"/>
            <w:shd w:fill="C6EFCE" w:val="clear"/>
          </w:tcPr>
          <w:p>
            <w:r>
              <w:rPr>
                <w:b/>
                <w:sz w:val="17"/>
              </w:rPr>
              <w:t>4,118</w:t>
            </w:r>
          </w:p>
        </w:tc>
        <w:tc>
          <w:tcPr>
            <w:tcW w:type="dxa" w:w="1440"/>
            <w:shd w:fill="C6EFCE" w:val="clear"/>
          </w:tcPr>
          <w:p>
            <w:r>
              <w:rPr>
                <w:sz w:val="17"/>
              </w:rPr>
              <w:t>4,512</w:t>
            </w:r>
          </w:p>
        </w:tc>
        <w:tc>
          <w:tcPr>
            <w:tcW w:type="dxa" w:w="1440"/>
            <w:shd w:fill="C6EFCE" w:val="clear"/>
          </w:tcPr>
          <w:p>
            <w:r>
              <w:rPr>
                <w:b/>
                <w:color w:val="008000"/>
                <w:sz w:val="17"/>
              </w:rPr>
              <w:t>+5.6%</w:t>
            </w:r>
          </w:p>
        </w:tc>
      </w:tr>
      <w:tr>
        <w:tc>
          <w:tcPr>
            <w:tcW w:type="dxa" w:w="1440"/>
            <w:shd w:fill="C6EFCE" w:val="clear"/>
          </w:tcPr>
          <w:p>
            <w:r>
              <w:rPr>
                <w:sz w:val="17"/>
              </w:rPr>
              <w:t>J+6  ⭐</w:t>
            </w:r>
          </w:p>
        </w:tc>
        <w:tc>
          <w:tcPr>
            <w:tcW w:type="dxa" w:w="1440"/>
            <w:shd w:fill="C6EFCE" w:val="clear"/>
          </w:tcPr>
          <w:p>
            <w:r>
              <w:rPr>
                <w:sz w:val="17"/>
              </w:rPr>
              <w:t>2026-10-07</w:t>
            </w:r>
          </w:p>
        </w:tc>
        <w:tc>
          <w:tcPr>
            <w:tcW w:type="dxa" w:w="1440"/>
            <w:shd w:fill="C6EFCE" w:val="clear"/>
          </w:tcPr>
          <w:p>
            <w:r>
              <w:rPr>
                <w:sz w:val="17"/>
              </w:rPr>
              <w:t>3,692</w:t>
            </w:r>
          </w:p>
        </w:tc>
        <w:tc>
          <w:tcPr>
            <w:tcW w:type="dxa" w:w="1440"/>
            <w:shd w:fill="C6EFCE" w:val="clear"/>
          </w:tcPr>
          <w:p>
            <w:r>
              <w:rPr>
                <w:b/>
                <w:sz w:val="17"/>
              </w:rPr>
              <w:t>4,124</w:t>
            </w:r>
          </w:p>
        </w:tc>
        <w:tc>
          <w:tcPr>
            <w:tcW w:type="dxa" w:w="1440"/>
            <w:shd w:fill="C6EFCE" w:val="clear"/>
          </w:tcPr>
          <w:p>
            <w:r>
              <w:rPr>
                <w:sz w:val="17"/>
              </w:rPr>
              <w:t>4,556</w:t>
            </w:r>
          </w:p>
        </w:tc>
        <w:tc>
          <w:tcPr>
            <w:tcW w:type="dxa" w:w="1440"/>
            <w:shd w:fill="C6EFCE" w:val="clear"/>
          </w:tcPr>
          <w:p>
            <w:r>
              <w:rPr>
                <w:b/>
                <w:color w:val="008000"/>
                <w:sz w:val="17"/>
              </w:rPr>
              <w:t>+5.7%</w:t>
            </w:r>
          </w:p>
        </w:tc>
      </w:tr>
      <w:tr>
        <w:tc>
          <w:tcPr>
            <w:tcW w:type="dxa" w:w="1440"/>
            <w:shd w:fill="C6EFCE" w:val="clear"/>
          </w:tcPr>
          <w:p>
            <w:r>
              <w:rPr>
                <w:sz w:val="17"/>
              </w:rPr>
              <w:t>J+7  ⭐</w:t>
            </w:r>
          </w:p>
        </w:tc>
        <w:tc>
          <w:tcPr>
            <w:tcW w:type="dxa" w:w="1440"/>
            <w:shd w:fill="C6EFCE" w:val="clear"/>
          </w:tcPr>
          <w:p>
            <w:r>
              <w:rPr>
                <w:sz w:val="17"/>
              </w:rPr>
              <w:t>2026-10-08</w:t>
            </w:r>
          </w:p>
        </w:tc>
        <w:tc>
          <w:tcPr>
            <w:tcW w:type="dxa" w:w="1440"/>
            <w:shd w:fill="C6EFCE" w:val="clear"/>
          </w:tcPr>
          <w:p>
            <w:r>
              <w:rPr>
                <w:sz w:val="17"/>
              </w:rPr>
              <w:t>3,665</w:t>
            </w:r>
          </w:p>
        </w:tc>
        <w:tc>
          <w:tcPr>
            <w:tcW w:type="dxa" w:w="1440"/>
            <w:shd w:fill="C6EFCE" w:val="clear"/>
          </w:tcPr>
          <w:p>
            <w:r>
              <w:rPr>
                <w:b/>
                <w:sz w:val="17"/>
              </w:rPr>
              <w:t>4,133</w:t>
            </w:r>
          </w:p>
        </w:tc>
        <w:tc>
          <w:tcPr>
            <w:tcW w:type="dxa" w:w="1440"/>
            <w:shd w:fill="C6EFCE" w:val="clear"/>
          </w:tcPr>
          <w:p>
            <w:r>
              <w:rPr>
                <w:sz w:val="17"/>
              </w:rPr>
              <w:t>4,600</w:t>
            </w:r>
          </w:p>
        </w:tc>
        <w:tc>
          <w:tcPr>
            <w:tcW w:type="dxa" w:w="1440"/>
            <w:shd w:fill="C6EFCE" w:val="clear"/>
          </w:tcPr>
          <w:p>
            <w:r>
              <w:rPr>
                <w:b/>
                <w:color w:val="008000"/>
                <w:sz w:val="17"/>
              </w:rPr>
              <w:t>+6.0%</w:t>
            </w:r>
          </w:p>
        </w:tc>
      </w:tr>
      <w:tr>
        <w:tc>
          <w:tcPr>
            <w:tcW w:type="dxa" w:w="1440"/>
            <w:shd w:fill="C6EFCE" w:val="clear"/>
          </w:tcPr>
          <w:p>
            <w:r>
              <w:rPr>
                <w:sz w:val="17"/>
              </w:rPr>
              <w:t>J+8  ⭐</w:t>
            </w:r>
          </w:p>
        </w:tc>
        <w:tc>
          <w:tcPr>
            <w:tcW w:type="dxa" w:w="1440"/>
            <w:shd w:fill="C6EFCE" w:val="clear"/>
          </w:tcPr>
          <w:p>
            <w:r>
              <w:rPr>
                <w:sz w:val="17"/>
              </w:rPr>
              <w:t>2026-10-09</w:t>
            </w:r>
          </w:p>
        </w:tc>
        <w:tc>
          <w:tcPr>
            <w:tcW w:type="dxa" w:w="1440"/>
            <w:shd w:fill="C6EFCE" w:val="clear"/>
          </w:tcPr>
          <w:p>
            <w:r>
              <w:rPr>
                <w:sz w:val="17"/>
              </w:rPr>
              <w:t>3,637</w:t>
            </w:r>
          </w:p>
        </w:tc>
        <w:tc>
          <w:tcPr>
            <w:tcW w:type="dxa" w:w="1440"/>
            <w:shd w:fill="C6EFCE" w:val="clear"/>
          </w:tcPr>
          <w:p>
            <w:r>
              <w:rPr>
                <w:b/>
                <w:sz w:val="17"/>
              </w:rPr>
              <w:t>4,138</w:t>
            </w:r>
          </w:p>
        </w:tc>
        <w:tc>
          <w:tcPr>
            <w:tcW w:type="dxa" w:w="1440"/>
            <w:shd w:fill="C6EFCE" w:val="clear"/>
          </w:tcPr>
          <w:p>
            <w:r>
              <w:rPr>
                <w:sz w:val="17"/>
              </w:rPr>
              <w:t>4,638</w:t>
            </w:r>
          </w:p>
        </w:tc>
        <w:tc>
          <w:tcPr>
            <w:tcW w:type="dxa" w:w="1440"/>
            <w:shd w:fill="C6EFCE" w:val="clear"/>
          </w:tcPr>
          <w:p>
            <w:r>
              <w:rPr>
                <w:b/>
                <w:color w:val="008000"/>
                <w:sz w:val="17"/>
              </w:rPr>
              <w:t>+6.1%</w:t>
            </w:r>
          </w:p>
        </w:tc>
      </w:tr>
      <w:tr>
        <w:tc>
          <w:tcPr>
            <w:tcW w:type="dxa" w:w="1440"/>
            <w:shd w:fill="C6EFCE" w:val="clear"/>
          </w:tcPr>
          <w:p>
            <w:r>
              <w:rPr>
                <w:sz w:val="17"/>
              </w:rPr>
              <w:t>J+9  ⭐</w:t>
            </w:r>
          </w:p>
        </w:tc>
        <w:tc>
          <w:tcPr>
            <w:tcW w:type="dxa" w:w="1440"/>
            <w:shd w:fill="C6EFCE" w:val="clear"/>
          </w:tcPr>
          <w:p>
            <w:r>
              <w:rPr>
                <w:sz w:val="17"/>
              </w:rPr>
              <w:t>2026-10-12</w:t>
            </w:r>
          </w:p>
        </w:tc>
        <w:tc>
          <w:tcPr>
            <w:tcW w:type="dxa" w:w="1440"/>
            <w:shd w:fill="C6EFCE" w:val="clear"/>
          </w:tcPr>
          <w:p>
            <w:r>
              <w:rPr>
                <w:sz w:val="17"/>
              </w:rPr>
              <w:t>3,610</w:t>
            </w:r>
          </w:p>
        </w:tc>
        <w:tc>
          <w:tcPr>
            <w:tcW w:type="dxa" w:w="1440"/>
            <w:shd w:fill="C6EFCE" w:val="clear"/>
          </w:tcPr>
          <w:p>
            <w:r>
              <w:rPr>
                <w:b/>
                <w:sz w:val="17"/>
              </w:rPr>
              <w:t>4,141</w:t>
            </w:r>
          </w:p>
        </w:tc>
        <w:tc>
          <w:tcPr>
            <w:tcW w:type="dxa" w:w="1440"/>
            <w:shd w:fill="C6EFCE" w:val="clear"/>
          </w:tcPr>
          <w:p>
            <w:r>
              <w:rPr>
                <w:sz w:val="17"/>
              </w:rPr>
              <w:t>4,672</w:t>
            </w:r>
          </w:p>
        </w:tc>
        <w:tc>
          <w:tcPr>
            <w:tcW w:type="dxa" w:w="1440"/>
            <w:shd w:fill="C6EFCE" w:val="clear"/>
          </w:tcPr>
          <w:p>
            <w:r>
              <w:rPr>
                <w:b/>
                <w:color w:val="008000"/>
                <w:sz w:val="17"/>
              </w:rPr>
              <w:t>+6.2%</w:t>
            </w:r>
          </w:p>
        </w:tc>
      </w:tr>
      <w:tr>
        <w:tc>
          <w:tcPr>
            <w:tcW w:type="dxa" w:w="1440"/>
            <w:shd w:fill="C6EFCE" w:val="clear"/>
          </w:tcPr>
          <w:p>
            <w:r>
              <w:rPr>
                <w:sz w:val="17"/>
              </w:rPr>
              <w:t>J+10  ⭐</w:t>
            </w:r>
          </w:p>
        </w:tc>
        <w:tc>
          <w:tcPr>
            <w:tcW w:type="dxa" w:w="1440"/>
            <w:shd w:fill="C6EFCE" w:val="clear"/>
          </w:tcPr>
          <w:p>
            <w:r>
              <w:rPr>
                <w:sz w:val="17"/>
              </w:rPr>
              <w:t>2026-10-13</w:t>
            </w:r>
          </w:p>
        </w:tc>
        <w:tc>
          <w:tcPr>
            <w:tcW w:type="dxa" w:w="1440"/>
            <w:shd w:fill="C6EFCE" w:val="clear"/>
          </w:tcPr>
          <w:p>
            <w:r>
              <w:rPr>
                <w:sz w:val="17"/>
              </w:rPr>
              <w:t>3,581</w:t>
            </w:r>
          </w:p>
        </w:tc>
        <w:tc>
          <w:tcPr>
            <w:tcW w:type="dxa" w:w="1440"/>
            <w:shd w:fill="C6EFCE" w:val="clear"/>
          </w:tcPr>
          <w:p>
            <w:r>
              <w:rPr>
                <w:b/>
                <w:sz w:val="17"/>
              </w:rPr>
              <w:t>4,141</w:t>
            </w:r>
          </w:p>
        </w:tc>
        <w:tc>
          <w:tcPr>
            <w:tcW w:type="dxa" w:w="1440"/>
            <w:shd w:fill="C6EFCE" w:val="clear"/>
          </w:tcPr>
          <w:p>
            <w:r>
              <w:rPr>
                <w:sz w:val="17"/>
              </w:rPr>
              <w:t>4,701</w:t>
            </w:r>
          </w:p>
        </w:tc>
        <w:tc>
          <w:tcPr>
            <w:tcW w:type="dxa" w:w="1440"/>
            <w:shd w:fill="C6EFCE" w:val="clear"/>
          </w:tcPr>
          <w:p>
            <w:r>
              <w:rPr>
                <w:b/>
                <w:color w:val="008000"/>
                <w:sz w:val="17"/>
              </w:rPr>
              <w:t>+6.2%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 RAPPORT D'ANALYSE FINANCIÈRE — LNBB (Loterie Nationale du Bénin SA)</w:t>
        <w:br/>
        <w:t>**Bourse Régionale des Valeurs Mobilières (BRVM) — Secteur : Entreprise non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78,00 Mds FCFA, LNBB se positionne comme une valeur de taille moyenne sur le compartiment des sociétés non bancaires de la BRVM, ce qui lui confère une liquidité limitée mais un profil de valeur de rendement. Le BPA de 231 FCFA/action signifie que chaque titre génère près de 231 FCFA de bénéfice net, ce qui, rapporté au cours actuel de 3 900 FCFA, donne un PER de 16,9x — nettement supérieur à la moyenne du marché BRVM (8-12x), traduisant une prime de qualité et de rendement que les investisseurs acceptent de payer. Le P/B de 3,55x indique que le marché valorise la société à plus de trois fois sa valeur comptable, une prime de croissance justifiée par un ROE de 21,05% et une structure financière très saine. Enfin, l'EV/EBITDA de 9,9x situe la valeur d'entreprise à environ dix fois la capacité opérationnelle de génération de cash, un niveau raisonnable qui n'incorpore pas de surchauffe spéculative.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LNBB affiche une variation totale de -1,27%, avec une légère reprise de +0,13% lors de la dernière séance (J-1), signalant une tentative de stabilisation après une phase de correction. Le cours actuel de 3 900 FCFA se situe dans la partie basse du range de trading, le plus haut ayant atteint 4 560 FCFA et le plus bas 3 700 FCFA, soit un écart de 860 FCFA (23% du cours bas) qui témoigne d'une amplitude notable. La tendance générale est baissière sur la période, le titre ayant perdu du terrain depuis les sommets, mais la proximité du support des 3 700 FCFA et le rebond marginal de J-1 suggèrent une possible zone d'accumulation. Les statistiques descriptives révèlent une moyenne de 4 075 FCFA légèrement supérieure à la médiane de 4 050 FCFA, avec un mode à 4 000 FCFA, indiquant une distribution quasi-symétrique (skewness de 0,449) sans biais marqué vers les extrêmes. L'écart-type de 193 FCFA et le coefficient de variation de 4,7% traduisent une dispersion modérée du cours autour de sa moyenne, tandis que le kurtosis de -0,778 (mésokurtique) indique une distribution proche de la normale, sans risque excessif de pics extrêmes. La volatilité annualisée de 41,5% classe le titre dans la catégorie des valeurs à volatilité élevée (&gt;30%), ce qui implique un risque de marché significatif mais aussi des opportunités de trading pour les investisseurs avertis.</w:t>
      </w:r>
    </w:p>
    <w:p>
      <w:pPr>
        <w:spacing w:after="120" w:line="276" w:lineRule="auto"/>
      </w:pPr>
      <w:r>
        <w:t>---</w:t>
      </w:r>
    </w:p>
    <w:p>
      <w:pPr>
        <w:spacing w:after="120" w:line="276" w:lineRule="auto"/>
      </w:pPr>
      <w:r>
        <w:t>## PARTIE 2 : ANALYSE TECHNIQUE DÉTAILLÉE</w:t>
      </w:r>
    </w:p>
    <w:p>
      <w:pPr>
        <w:spacing w:after="120" w:line="276" w:lineRule="auto"/>
      </w:pPr>
      <w:r>
        <w:t>**Moyennes Mobiles** : La MM20 (3 985,5 FCFA) et la MM50 (4 112,8 FCFA) se situent toutes deux au-dessus du cours actuel (3 900 FCFA), confirmant une configuration baissière où le titre évolue sous ses moyennes de référence. La MM20 étant inférieure à la MM50, on observe un croisement baissier (death cross) qui renforce le signal de vente émis par le système. La décision technique est donc **Vente**, le cours devant repasser au-dessus de la MM20 pour envisager un retournement.</w:t>
      </w:r>
    </w:p>
    <w:p>
      <w:pPr>
        <w:spacing w:after="120" w:line="276" w:lineRule="auto"/>
      </w:pPr>
      <w:r>
        <w:t>**Bandes de Bollinger** : Le cours actuel (3 900 FCFA) se situe dans la partie inférieure de la bande de Bollinger, entre la borne inférieure (3 796,21 FCFA) et la borne supérieure (4 174,79 FCFA), sans en avoir franchi les limites. Cette position neutre indique l'absence de signal de surachat ou de survente, la volatilité restant contenue dans les bandes. La décision est **Neutre**, le marché attendant un catalyseur pour choisir une direction.</w:t>
      </w:r>
    </w:p>
    <w:p>
      <w:pPr>
        <w:spacing w:after="120" w:line="276" w:lineRule="auto"/>
      </w:pPr>
      <w:r>
        <w:t>**MACD** : La valeur du MACD (-51,241) est inférieure à son signal (-47,355), avec un histogramme négatif qui traduit un momentum baissier persistant. La divergence entre les deux lignes reste modérée mais orientée à la baisse, sans signe de retournement imminent. La décision est **Vente**, le MACD devant croiser son signal à la hausse pour inverser la tendance.</w:t>
      </w:r>
    </w:p>
    <w:p>
      <w:pPr>
        <w:spacing w:after="120" w:line="276" w:lineRule="auto"/>
      </w:pPr>
      <w:r>
        <w:t>**RSI** : Le RSI s'établit à 43,534, dans la zone neutre (30-70), sans atteindre les seuils de survente (&lt;30) ou de surachat (&gt;70). Cette position médiane indique un équilibre entre acheteurs et vendeurs, sans pression directionnelle forte. La décision est **Neutre**, le RSI laissant la porte ouverte à une reprise comme à une poursuite de la baisse.</w:t>
      </w:r>
    </w:p>
    <w:p>
      <w:pPr>
        <w:spacing w:after="120" w:line="276" w:lineRule="auto"/>
      </w:pPr>
      <w:r>
        <w:t>**Stochastique** : Le %K (50,0) est légèrement inférieur au %D (56,25), avec un croisement baissier en zone neutre qui suggère une perte de momentum haussier. Les deux lignes évoluent autour de la zone médiane, sans signal extrême, ce qui confirme l'absence de pression acheteuse dominante. La décision est **Neutre**, le stochastique devant sortir de la zone 20-80 pour générer un signal fiable.</w:t>
      </w:r>
    </w:p>
    <w:p>
      <w:pPr>
        <w:spacing w:after="120" w:line="276" w:lineRule="auto"/>
      </w:pPr>
      <w:r>
        <w:t>**Conclusion technique** : Les indicateurs techniques sont majoritairement baissiers (MM et MACD en Vente) ou neutres (Bollinger, RSI, Stochastique), sans convergence haussière. Le titre évolue sous ses moyennes mobiles avec un momentum négatif, mais la proximité de la borne inférieure de Bollinger et le RSI neutre limitent le potentiel de baisse immédiat. Une cassure du support des 3 700 FCFA confirmerait la tendance baissière, tandis qu'un rebond au-dessus de 3 985 FCFA (MM20) serait le premier signe de retournement.</w:t>
      </w:r>
    </w:p>
    <w:p>
      <w:pPr>
        <w:spacing w:after="120" w:line="276" w:lineRule="auto"/>
      </w:pPr>
      <w:r>
        <w:t>---</w:t>
      </w:r>
    </w:p>
    <w:p>
      <w:pPr>
        <w:spacing w:after="120" w:line="276" w:lineRule="auto"/>
      </w:pPr>
      <w:r>
        <w:t>## PARTIE 3 : ANALYSE FONDAMENTALE</w:t>
      </w:r>
    </w:p>
    <w:p>
      <w:pPr>
        <w:spacing w:after="120" w:line="276" w:lineRule="auto"/>
      </w:pPr>
      <w:r>
        <w:t>En 2025, LNBB a réalisé un chiffre d'affaires de 98,598 Mds FCFA, en baisse de -3,85% par rapport à 2024 (102,544 Mds FCFA), sous l'effet d'une concurrence illégale accrue et d'un recul des ventes physiques. Le résultat net s'établit à 4,622 Mds FCFA, en chute de -35,6% (vs 7,176 Mds FCFA en 2024), principalement en raison de l'absence de produits exceptionnels (3,1 Mds FCFA en 2024) et de la pression sur les marges. Malgré cette dégradation, les fondamentaux opérationnels restent solides : la valeur ajoutée progresse de +22% à 10,548 Mds FCFA, l'EBE augmente de +34% à 7,164 Mds FCFA, et le ROE atteint 21,05% (excellent, &gt;15%), tandis que le ROA de 14,17% confirme une bonne rentabilité des actifs. La structure financière est très saine avec une autonomie financière de 67,32%, un ratio d'endettement de seulement 2,57%, et une trésorerie nette positive de 7,979 Mds FCFA. Le BFR est quasi nul (217,45 M FCFA), et les délais clients (4,82 jours) et fournisseurs (20,41 jours) sont bien maîtrisés, tandis que la rotation des stocks (1,56 jour) est excellente. Les rapports trimestriels de 2026 confirment une reprise : le S1 2026 (rapport du 30 juin 2026) affiche un CA de 49,937 Mds FCFA (+4%) et un résultat net en hausse de +60%, porté par la maîtrise des charges et les revenus de partenariats B2B. Le T1 2026 (rapport du 31 mars 2026) montrait déjà un CA de 25,521 Mds FCFA (+6%) mais un résultat net en baisse de -46% à 848 M FCFA, en raison d'un mix produit défavorable (pari sportif à 95% de taux de retour). On estime donc que l'exercice 2026 devrait enregistrer une croissance modérée du CA (+4% à +6%) et une amélioration significative du résultat net (+30% à +60%), sous réserve de la stabilisation du Produit Brut des Jeux et de la pérennité des revenus de partenariats. La recommandation fondamentale est **CONSERVER**, la société présentant une solidité financière remarquable et des perspectives de redressement, mais des risques persistants liés à la concurrence illégale et à la dépendance croissante au pari sportif à faible marge.</w:t>
      </w:r>
    </w:p>
    <w:p>
      <w:pPr>
        <w:spacing w:after="120" w:line="276" w:lineRule="auto"/>
      </w:pPr>
      <w:r>
        <w:t>---</w:t>
      </w:r>
    </w:p>
    <w:p>
      <w:pPr>
        <w:spacing w:after="120" w:line="276" w:lineRule="auto"/>
      </w:pPr>
      <w:r>
        <w:t>## PARTIE 4 : CONCLUSION D'INVESTISSEMENT</w:t>
      </w:r>
    </w:p>
    <w:p>
      <w:pPr>
        <w:spacing w:after="120" w:line="276" w:lineRule="auto"/>
      </w:pPr>
      <w:r>
        <w:t>La valorisation de LNBB (PER 16,9x, P/B 3,55x, EV/EBITDA 9,9x) indique une prime de qualité justifiée par un ROE de 21,05% et une structure financière très saine, mais le titre n'apparaît pas sous-évalué au regard des standards du marché BRVM. Le comportement du cours sur 100 jours (-1,27%) révèle une tendance baissière modérée, avec une volatilité élevée (41,5%) et une distribution quasi-normale (kurtosis -0,778, skewness 0,449), sans risque excessif de pics extrêmes. Les signaux techniques sont majoritairement baissiers (MM en Vente, MACD en Vente) ou neutres (Bollinger, RSI, Stochastique), sans convergence haussière à court terme. Les fondamentaux, bien que dégradés en 2025 (CA -3,85%, RN -35,6%), montrent des signes de reprise au S1 2026 (RN +60%) et une solidité financière exceptionnelle (autonomie financière 67,32%, trésorerie nette 7,979 Mds FCFA). Les prédictions IA (J+1 à J+10) anticipent une trajectoire haussière modérée, avec un cours cible de 4 118 FCFA à J+10 (vs 3 900 FCFA actuellement), soit un potentiel de +5,6% qui contredit partiellement les signaux techniques baissiers. Sur la base de cette synthèse, la recommandation finale est **CONSERVER**, avec un niveau de confiance **Moyen** et un risque global **Moyen**. La convergence entre la valorisation raisonnable, les fondamentaux solides et les prédictions haussières est tempérée par les signaux techniques baissiers et les risques sectoriels (concurrence illégale, pression sur les marges). L'horizon d'investissement optimal est le **moyen terme (3-12 mois)**, en attendant la confirmation de la reprise au S2 2026 et la stabilisation du Produit Brut des Jeux. Un renforcement serait justifié si le titre casse la résistance des 3 985 FCFA (MM20) avec un volume significatif, tandis qu'une vente serait envisageable en cas de cassure du support des 3 700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20.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29.36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2,759 titres</w:t>
            </w:r>
          </w:p>
        </w:tc>
        <w:tc>
          <w:tcPr>
            <w:tcW w:type="dxa" w:w="2268"/>
            <w:shd w:fill="FFF2CC" w:val="clear"/>
          </w:tcPr>
          <w:p>
            <w:r>
              <w:rPr>
                <w:b/>
                <w:color w:val="503200"/>
                <w:sz w:val="16"/>
              </w:rPr>
              <w:t xml:space="preserve">Cours actuel : </w:t>
            </w:r>
            <w:r>
              <w:rPr>
                <w:color w:val="000000"/>
                <w:sz w:val="17"/>
              </w:rPr>
              <w:t>2,300 FCFA</w:t>
            </w:r>
          </w:p>
          <w:p>
            <w:r>
              <w:rPr>
                <w:b/>
                <w:color w:val="503200"/>
                <w:sz w:val="16"/>
              </w:rPr>
              <w:t xml:space="preserve">Var. 100 jours : </w:t>
            </w:r>
            <w:r>
              <w:rPr>
                <w:b/>
                <w:color w:val="007800"/>
                <w:sz w:val="17"/>
              </w:rPr>
              <w:t>+34.11%</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1,715 FCFA</w:t>
            </w:r>
          </w:p>
          <w:p>
            <w:r>
              <w:rPr>
                <w:b/>
                <w:color w:val="503200"/>
                <w:sz w:val="16"/>
              </w:rPr>
              <w:t xml:space="preserve">Volatilité ann. : </w:t>
            </w:r>
            <w:r>
              <w:rPr>
                <w:color w:val="000000"/>
                <w:sz w:val="17"/>
              </w:rPr>
              <w:t>54.1%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13.49% (Moyenne) — μ=2,288 FCFA, σ=309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β=0.0515 (Défensif) — Cov=0.000004, Var(idx)=0.000069, ρ=0.013,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2,759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σ_j=3.41%/j (Modérée) — Vol. annualisée≈54.1%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2026-09-30</w:t>
            </w:r>
          </w:p>
        </w:tc>
        <w:tc>
          <w:tcPr>
            <w:tcW w:type="dxa" w:w="1440"/>
            <w:shd w:fill="FAFAFA" w:val="clear"/>
          </w:tcPr>
          <w:p>
            <w:r>
              <w:rPr>
                <w:sz w:val="17"/>
              </w:rPr>
              <w:t>2,161</w:t>
            </w:r>
          </w:p>
        </w:tc>
        <w:tc>
          <w:tcPr>
            <w:tcW w:type="dxa" w:w="1440"/>
            <w:shd w:fill="FAFAFA" w:val="clear"/>
          </w:tcPr>
          <w:p>
            <w:r>
              <w:rPr>
                <w:b/>
                <w:sz w:val="17"/>
              </w:rPr>
              <w:t>2,314</w:t>
            </w:r>
          </w:p>
        </w:tc>
        <w:tc>
          <w:tcPr>
            <w:tcW w:type="dxa" w:w="1440"/>
            <w:shd w:fill="FAFAFA" w:val="clear"/>
          </w:tcPr>
          <w:p>
            <w:r>
              <w:rPr>
                <w:sz w:val="17"/>
              </w:rPr>
              <w:t>2,468</w:t>
            </w:r>
          </w:p>
        </w:tc>
        <w:tc>
          <w:tcPr>
            <w:tcW w:type="dxa" w:w="1440"/>
            <w:shd w:fill="FAFAFA" w:val="clear"/>
          </w:tcPr>
          <w:p>
            <w:r>
              <w:rPr>
                <w:b/>
                <w:color w:val="008000"/>
                <w:sz w:val="17"/>
              </w:rPr>
              <w:t>+0.6%</w:t>
            </w:r>
          </w:p>
        </w:tc>
      </w:tr>
      <w:tr>
        <w:tc>
          <w:tcPr>
            <w:tcW w:type="dxa" w:w="1440"/>
            <w:shd w:fill="FAFAFA" w:val="clear"/>
          </w:tcPr>
          <w:p>
            <w:r>
              <w:rPr>
                <w:sz w:val="17"/>
              </w:rPr>
              <w:t>J+2  Moyenne</w:t>
            </w:r>
          </w:p>
        </w:tc>
        <w:tc>
          <w:tcPr>
            <w:tcW w:type="dxa" w:w="1440"/>
            <w:shd w:fill="FAFAFA" w:val="clear"/>
          </w:tcPr>
          <w:p>
            <w:r>
              <w:rPr>
                <w:sz w:val="17"/>
              </w:rPr>
              <w:t>2026-10-01</w:t>
            </w:r>
          </w:p>
        </w:tc>
        <w:tc>
          <w:tcPr>
            <w:tcW w:type="dxa" w:w="1440"/>
            <w:shd w:fill="FAFAFA" w:val="clear"/>
          </w:tcPr>
          <w:p>
            <w:r>
              <w:rPr>
                <w:sz w:val="17"/>
              </w:rPr>
              <w:t>2,090</w:t>
            </w:r>
          </w:p>
        </w:tc>
        <w:tc>
          <w:tcPr>
            <w:tcW w:type="dxa" w:w="1440"/>
            <w:shd w:fill="FAFAFA" w:val="clear"/>
          </w:tcPr>
          <w:p>
            <w:r>
              <w:rPr>
                <w:b/>
                <w:sz w:val="17"/>
              </w:rPr>
              <w:t>2,306</w:t>
            </w:r>
          </w:p>
        </w:tc>
        <w:tc>
          <w:tcPr>
            <w:tcW w:type="dxa" w:w="1440"/>
            <w:shd w:fill="FAFAFA" w:val="clear"/>
          </w:tcPr>
          <w:p>
            <w:r>
              <w:rPr>
                <w:sz w:val="17"/>
              </w:rPr>
              <w:t>2,522</w:t>
            </w:r>
          </w:p>
        </w:tc>
        <w:tc>
          <w:tcPr>
            <w:tcW w:type="dxa" w:w="1440"/>
            <w:shd w:fill="FAFAFA" w:val="clear"/>
          </w:tcPr>
          <w:p>
            <w:r>
              <w:rPr>
                <w:b/>
                <w:color w:val="008000"/>
                <w:sz w:val="17"/>
              </w:rPr>
              <w:t>+0.3%</w:t>
            </w:r>
          </w:p>
        </w:tc>
      </w:tr>
      <w:tr>
        <w:tc>
          <w:tcPr>
            <w:tcW w:type="dxa" w:w="1440"/>
            <w:shd w:fill="FAFAFA" w:val="clear"/>
          </w:tcPr>
          <w:p>
            <w:r>
              <w:rPr>
                <w:sz w:val="17"/>
              </w:rPr>
              <w:t>J+3  Moyenne</w:t>
            </w:r>
          </w:p>
        </w:tc>
        <w:tc>
          <w:tcPr>
            <w:tcW w:type="dxa" w:w="1440"/>
            <w:shd w:fill="FAFAFA" w:val="clear"/>
          </w:tcPr>
          <w:p>
            <w:r>
              <w:rPr>
                <w:sz w:val="17"/>
              </w:rPr>
              <w:t>2026-10-02</w:t>
            </w:r>
          </w:p>
        </w:tc>
        <w:tc>
          <w:tcPr>
            <w:tcW w:type="dxa" w:w="1440"/>
            <w:shd w:fill="FAFAFA" w:val="clear"/>
          </w:tcPr>
          <w:p>
            <w:r>
              <w:rPr>
                <w:sz w:val="17"/>
              </w:rPr>
              <w:t>2,040</w:t>
            </w:r>
          </w:p>
        </w:tc>
        <w:tc>
          <w:tcPr>
            <w:tcW w:type="dxa" w:w="1440"/>
            <w:shd w:fill="FAFAFA" w:val="clear"/>
          </w:tcPr>
          <w:p>
            <w:r>
              <w:rPr>
                <w:b/>
                <w:sz w:val="17"/>
              </w:rPr>
              <w:t>2,304</w:t>
            </w:r>
          </w:p>
        </w:tc>
        <w:tc>
          <w:tcPr>
            <w:tcW w:type="dxa" w:w="1440"/>
            <w:shd w:fill="FAFAFA" w:val="clear"/>
          </w:tcPr>
          <w:p>
            <w:r>
              <w:rPr>
                <w:sz w:val="17"/>
              </w:rPr>
              <w:t>2,569</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2026-10-05</w:t>
            </w:r>
          </w:p>
        </w:tc>
        <w:tc>
          <w:tcPr>
            <w:tcW w:type="dxa" w:w="1440"/>
            <w:shd w:fill="FAFAFA" w:val="clear"/>
          </w:tcPr>
          <w:p>
            <w:r>
              <w:rPr>
                <w:sz w:val="17"/>
              </w:rPr>
              <w:t>1,997</w:t>
            </w:r>
          </w:p>
        </w:tc>
        <w:tc>
          <w:tcPr>
            <w:tcW w:type="dxa" w:w="1440"/>
            <w:shd w:fill="FAFAFA" w:val="clear"/>
          </w:tcPr>
          <w:p>
            <w:r>
              <w:rPr>
                <w:b/>
                <w:sz w:val="17"/>
              </w:rPr>
              <w:t>2,302</w:t>
            </w:r>
          </w:p>
        </w:tc>
        <w:tc>
          <w:tcPr>
            <w:tcW w:type="dxa" w:w="1440"/>
            <w:shd w:fill="FAFAFA" w:val="clear"/>
          </w:tcPr>
          <w:p>
            <w:r>
              <w:rPr>
                <w:sz w:val="17"/>
              </w:rPr>
              <w:t>2,606</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2026-10-06</w:t>
            </w:r>
          </w:p>
        </w:tc>
        <w:tc>
          <w:tcPr>
            <w:tcW w:type="dxa" w:w="1440"/>
            <w:shd w:fill="FAFAFA" w:val="clear"/>
          </w:tcPr>
          <w:p>
            <w:r>
              <w:rPr>
                <w:sz w:val="17"/>
              </w:rPr>
              <w:t>1,957</w:t>
            </w:r>
          </w:p>
        </w:tc>
        <w:tc>
          <w:tcPr>
            <w:tcW w:type="dxa" w:w="1440"/>
            <w:shd w:fill="FAFAFA" w:val="clear"/>
          </w:tcPr>
          <w:p>
            <w:r>
              <w:rPr>
                <w:b/>
                <w:sz w:val="17"/>
              </w:rPr>
              <w:t>2,298</w:t>
            </w:r>
          </w:p>
        </w:tc>
        <w:tc>
          <w:tcPr>
            <w:tcW w:type="dxa" w:w="1440"/>
            <w:shd w:fill="FAFAFA" w:val="clear"/>
          </w:tcPr>
          <w:p>
            <w:r>
              <w:rPr>
                <w:sz w:val="17"/>
              </w:rPr>
              <w:t>2,638</w:t>
            </w:r>
          </w:p>
        </w:tc>
        <w:tc>
          <w:tcPr>
            <w:tcW w:type="dxa" w:w="1440"/>
            <w:shd w:fill="FAFAFA" w:val="clear"/>
          </w:tcPr>
          <w:p>
            <w:r>
              <w:rPr>
                <w:b/>
                <w:color w:val="C00000"/>
                <w:sz w:val="17"/>
              </w:rPr>
              <w:t>-0.1%</w:t>
            </w:r>
          </w:p>
        </w:tc>
      </w:tr>
      <w:tr>
        <w:tc>
          <w:tcPr>
            <w:tcW w:type="dxa" w:w="1440"/>
            <w:shd w:fill="FAFAFA" w:val="clear"/>
          </w:tcPr>
          <w:p>
            <w:r>
              <w:rPr>
                <w:sz w:val="17"/>
              </w:rPr>
              <w:t>J+6  ⭐</w:t>
            </w:r>
          </w:p>
        </w:tc>
        <w:tc>
          <w:tcPr>
            <w:tcW w:type="dxa" w:w="1440"/>
            <w:shd w:fill="FAFAFA" w:val="clear"/>
          </w:tcPr>
          <w:p>
            <w:r>
              <w:rPr>
                <w:sz w:val="17"/>
              </w:rPr>
              <w:t>2026-10-07</w:t>
            </w:r>
          </w:p>
        </w:tc>
        <w:tc>
          <w:tcPr>
            <w:tcW w:type="dxa" w:w="1440"/>
            <w:shd w:fill="FAFAFA" w:val="clear"/>
          </w:tcPr>
          <w:p>
            <w:r>
              <w:rPr>
                <w:sz w:val="17"/>
              </w:rPr>
              <w:t>1,921</w:t>
            </w:r>
          </w:p>
        </w:tc>
        <w:tc>
          <w:tcPr>
            <w:tcW w:type="dxa" w:w="1440"/>
            <w:shd w:fill="FAFAFA" w:val="clear"/>
          </w:tcPr>
          <w:p>
            <w:r>
              <w:rPr>
                <w:b/>
                <w:sz w:val="17"/>
              </w:rPr>
              <w:t>2,293</w:t>
            </w:r>
          </w:p>
        </w:tc>
        <w:tc>
          <w:tcPr>
            <w:tcW w:type="dxa" w:w="1440"/>
            <w:shd w:fill="FAFAFA" w:val="clear"/>
          </w:tcPr>
          <w:p>
            <w:r>
              <w:rPr>
                <w:sz w:val="17"/>
              </w:rPr>
              <w:t>2,665</w:t>
            </w:r>
          </w:p>
        </w:tc>
        <w:tc>
          <w:tcPr>
            <w:tcW w:type="dxa" w:w="1440"/>
            <w:shd w:fill="FAFAFA" w:val="clear"/>
          </w:tcPr>
          <w:p>
            <w:r>
              <w:rPr>
                <w:b/>
                <w:color w:val="C00000"/>
                <w:sz w:val="17"/>
              </w:rPr>
              <w:t>-0.3%</w:t>
            </w:r>
          </w:p>
        </w:tc>
      </w:tr>
      <w:tr>
        <w:tc>
          <w:tcPr>
            <w:tcW w:type="dxa" w:w="1440"/>
            <w:shd w:fill="FAFAFA" w:val="clear"/>
          </w:tcPr>
          <w:p>
            <w:r>
              <w:rPr>
                <w:sz w:val="17"/>
              </w:rPr>
              <w:t>J+7  ⭐</w:t>
            </w:r>
          </w:p>
        </w:tc>
        <w:tc>
          <w:tcPr>
            <w:tcW w:type="dxa" w:w="1440"/>
            <w:shd w:fill="FAFAFA" w:val="clear"/>
          </w:tcPr>
          <w:p>
            <w:r>
              <w:rPr>
                <w:sz w:val="17"/>
              </w:rPr>
              <w:t>2026-10-08</w:t>
            </w:r>
          </w:p>
        </w:tc>
        <w:tc>
          <w:tcPr>
            <w:tcW w:type="dxa" w:w="1440"/>
            <w:shd w:fill="FAFAFA" w:val="clear"/>
          </w:tcPr>
          <w:p>
            <w:r>
              <w:rPr>
                <w:sz w:val="17"/>
              </w:rPr>
              <w:t>1,888</w:t>
            </w:r>
          </w:p>
        </w:tc>
        <w:tc>
          <w:tcPr>
            <w:tcW w:type="dxa" w:w="1440"/>
            <w:shd w:fill="FAFAFA" w:val="clear"/>
          </w:tcPr>
          <w:p>
            <w:r>
              <w:rPr>
                <w:b/>
                <w:sz w:val="17"/>
              </w:rPr>
              <w:t>2,288</w:t>
            </w:r>
          </w:p>
        </w:tc>
        <w:tc>
          <w:tcPr>
            <w:tcW w:type="dxa" w:w="1440"/>
            <w:shd w:fill="FAFAFA" w:val="clear"/>
          </w:tcPr>
          <w:p>
            <w:r>
              <w:rPr>
                <w:sz w:val="17"/>
              </w:rPr>
              <w:t>2,689</w:t>
            </w:r>
          </w:p>
        </w:tc>
        <w:tc>
          <w:tcPr>
            <w:tcW w:type="dxa" w:w="1440"/>
            <w:shd w:fill="FAFAFA" w:val="clear"/>
          </w:tcPr>
          <w:p>
            <w:r>
              <w:rPr>
                <w:b/>
                <w:color w:val="C00000"/>
                <w:sz w:val="17"/>
              </w:rPr>
              <w:t>-0.5%</w:t>
            </w:r>
          </w:p>
        </w:tc>
      </w:tr>
      <w:tr>
        <w:tc>
          <w:tcPr>
            <w:tcW w:type="dxa" w:w="1440"/>
            <w:shd w:fill="FAFAFA" w:val="clear"/>
          </w:tcPr>
          <w:p>
            <w:r>
              <w:rPr>
                <w:sz w:val="17"/>
              </w:rPr>
              <w:t>J+8  ⭐</w:t>
            </w:r>
          </w:p>
        </w:tc>
        <w:tc>
          <w:tcPr>
            <w:tcW w:type="dxa" w:w="1440"/>
            <w:shd w:fill="FAFAFA" w:val="clear"/>
          </w:tcPr>
          <w:p>
            <w:r>
              <w:rPr>
                <w:sz w:val="17"/>
              </w:rPr>
              <w:t>2026-10-09</w:t>
            </w:r>
          </w:p>
        </w:tc>
        <w:tc>
          <w:tcPr>
            <w:tcW w:type="dxa" w:w="1440"/>
            <w:shd w:fill="FAFAFA" w:val="clear"/>
          </w:tcPr>
          <w:p>
            <w:r>
              <w:rPr>
                <w:sz w:val="17"/>
              </w:rPr>
              <w:t>1,856</w:t>
            </w:r>
          </w:p>
        </w:tc>
        <w:tc>
          <w:tcPr>
            <w:tcW w:type="dxa" w:w="1440"/>
            <w:shd w:fill="FAFAFA" w:val="clear"/>
          </w:tcPr>
          <w:p>
            <w:r>
              <w:rPr>
                <w:b/>
                <w:sz w:val="17"/>
              </w:rPr>
              <w:t>2,284</w:t>
            </w:r>
          </w:p>
        </w:tc>
        <w:tc>
          <w:tcPr>
            <w:tcW w:type="dxa" w:w="1440"/>
            <w:shd w:fill="FAFAFA" w:val="clear"/>
          </w:tcPr>
          <w:p>
            <w:r>
              <w:rPr>
                <w:sz w:val="17"/>
              </w:rPr>
              <w:t>2,711</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2026-10-12</w:t>
            </w:r>
          </w:p>
        </w:tc>
        <w:tc>
          <w:tcPr>
            <w:tcW w:type="dxa" w:w="1440"/>
            <w:shd w:fill="FAFAFA" w:val="clear"/>
          </w:tcPr>
          <w:p>
            <w:r>
              <w:rPr>
                <w:sz w:val="17"/>
              </w:rPr>
              <w:t>1,827</w:t>
            </w:r>
          </w:p>
        </w:tc>
        <w:tc>
          <w:tcPr>
            <w:tcW w:type="dxa" w:w="1440"/>
            <w:shd w:fill="FAFAFA" w:val="clear"/>
          </w:tcPr>
          <w:p>
            <w:r>
              <w:rPr>
                <w:b/>
                <w:sz w:val="17"/>
              </w:rPr>
              <w:t>2,279</w:t>
            </w:r>
          </w:p>
        </w:tc>
        <w:tc>
          <w:tcPr>
            <w:tcW w:type="dxa" w:w="1440"/>
            <w:shd w:fill="FAFAFA" w:val="clear"/>
          </w:tcPr>
          <w:p>
            <w:r>
              <w:rPr>
                <w:sz w:val="17"/>
              </w:rPr>
              <w:t>2,732</w:t>
            </w:r>
          </w:p>
        </w:tc>
        <w:tc>
          <w:tcPr>
            <w:tcW w:type="dxa" w:w="1440"/>
            <w:shd w:fill="FAFAFA" w:val="clear"/>
          </w:tcPr>
          <w:p>
            <w:r>
              <w:rPr>
                <w:b/>
                <w:color w:val="C00000"/>
                <w:sz w:val="17"/>
              </w:rPr>
              <w:t>-0.9%</w:t>
            </w:r>
          </w:p>
        </w:tc>
      </w:tr>
      <w:tr>
        <w:tc>
          <w:tcPr>
            <w:tcW w:type="dxa" w:w="1440"/>
            <w:shd w:fill="FAFAFA" w:val="clear"/>
          </w:tcPr>
          <w:p>
            <w:r>
              <w:rPr>
                <w:sz w:val="17"/>
              </w:rPr>
              <w:t>J+10  ⭐</w:t>
            </w:r>
          </w:p>
        </w:tc>
        <w:tc>
          <w:tcPr>
            <w:tcW w:type="dxa" w:w="1440"/>
            <w:shd w:fill="FAFAFA" w:val="clear"/>
          </w:tcPr>
          <w:p>
            <w:r>
              <w:rPr>
                <w:sz w:val="17"/>
              </w:rPr>
              <w:t>2026-10-13</w:t>
            </w:r>
          </w:p>
        </w:tc>
        <w:tc>
          <w:tcPr>
            <w:tcW w:type="dxa" w:w="1440"/>
            <w:shd w:fill="FAFAFA" w:val="clear"/>
          </w:tcPr>
          <w:p>
            <w:r>
              <w:rPr>
                <w:sz w:val="17"/>
              </w:rPr>
              <w:t>1,799</w:t>
            </w:r>
          </w:p>
        </w:tc>
        <w:tc>
          <w:tcPr>
            <w:tcW w:type="dxa" w:w="1440"/>
            <w:shd w:fill="FAFAFA" w:val="clear"/>
          </w:tcPr>
          <w:p>
            <w:r>
              <w:rPr>
                <w:b/>
                <w:sz w:val="17"/>
              </w:rPr>
              <w:t>2,275</w:t>
            </w:r>
          </w:p>
        </w:tc>
        <w:tc>
          <w:tcPr>
            <w:tcW w:type="dxa" w:w="1440"/>
            <w:shd w:fill="FAFAFA" w:val="clear"/>
          </w:tcPr>
          <w:p>
            <w:r>
              <w:rPr>
                <w:sz w:val="17"/>
              </w:rPr>
              <w:t>2,751</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 CI)**</w:t>
        <w:br/>
        <w:t>*Bourse Régionale des Valeurs Mobilières (BRVM) — Secteur : Édition &amp; Diffusion*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29,36 Mds FCFA, NEIC se positionne comme une petite capitalisation sur le marché BRVM, ce qui implique une liquidité limitée et une sensibilité accrue aux mouvements de portefeuille. Le BPA de 160 FCFA/action indique que chaque titre génère 160 FCFA de bénéfice net, un niveau correct pour une valeur de 2 300 FCFA. Le PER de 14,4x se situe au-dessus de la moyenne BRVM (~8-12x), signalant que les investisseurs paient une prime modérée pour les bénéfices, justifiée en partie par la forte croissance récente du résultat net (+169% en 2025). Le P/B de 5,10x traduit une valorisation très supérieure à la valeur comptable (prime &gt;4x), ce qui est exigeant et suppose que le marché anticipe une rentabilité durable élevée. Enfin, l'EV/EBITDA de 21,4x (&gt;15x) confirme une valorisation tendue par rapport à la capacité opérationnelle, cohérente avec un ROE exceptionnel de 35,4% mais laissant peu de marge d'erreur en cas de dégradation des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NEIC affiche une performance remarquable de +34,11%, malgré un repli de -3,97% lors de la dernière séance (J-1), traduisant une prise de profit après un rally haussier soutenu. Le cours actuel de 2 300 FCFA évolue dans un range large entre un plus bas de 1 715 FCFA et un plus haut de 3 000 FCFA, soit une amplitude de 75%, caractéristique d'une tendance haussière volatile. La moyenne (2 288 FCFA) est légèrement supérieure à la médiane (2 270 FCFA), avec un mode à 1 990 FCFA, ce qui indique une distribution asymétrique où le cours a passé plus de temps dans la zone basse avant de s'envoler. L'écart-type de 310 FCFA (CV=13,6%) révèle une dispersion modérée autour de la moyenne, tandis que le kurtosis de 0,156 (mésokurtique) suggère une distribution proche de la normale, sans risque extrême de pics. Le skewness positif de 0,733 confirme cette asymétrie : davantage de journées sous la moyenne, mais des hausses ponctuelles fortes. La volatilité annualisée de 54,1% classe le titre dans la catégorie **élevée** (&gt;30%), ce qui est cohérent avec une petite capitalisation en phase de redressement.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(2 651,25 FCFA) et la MM50 (2 477,10 FCFA) sont toutes deux supérieures au cours actuel (2 300 FCFA), ce qui place le titre en position baissière à court terme. Cependant, la MM20 &gt; MM50 indique une structure haussière de fond, justifiant la décision "Achat" sur ce signal (croisement haussier antérieur).</w:t>
      </w:r>
    </w:p>
    <w:p>
      <w:pPr>
        <w:spacing w:after="120" w:line="276" w:lineRule="auto"/>
      </w:pPr>
      <w:r>
        <w:t>**Bandes de Bollinger** : Le cours (2 300 FCFA) se situe dans la moitié inférieure de la bande (borne supérieure 3 152,76 FCFA, borne inférieure 2 149,74 FCFA), proche de la borne basse. La décision "Neutre" reflète l'absence de signal clair : ni surachat, ni survente, mais une pression baissière récente.</w:t>
      </w:r>
    </w:p>
    <w:p>
      <w:pPr>
        <w:spacing w:after="120" w:line="276" w:lineRule="auto"/>
      </w:pPr>
      <w:r>
        <w:t>**MACD** : La valeur du MACD (-62,701) est nettement inférieure à son signal (-6,265), avec un histogramme négatif, confirmant un momentum baissier. La décision "Vente" est cohérente avec cette divergence négative qui persiste.</w:t>
      </w:r>
    </w:p>
    <w:p>
      <w:pPr>
        <w:spacing w:after="120" w:line="276" w:lineRule="auto"/>
      </w:pPr>
      <w:r>
        <w:t>**RSI** : À 35,398, le RSI se situe dans la zone neutre basse (30-70), sans atteindre la survente (&lt;30). La décision "Neutre" suggère que le titre n'est pas encore survendu, mais la pression vendeuse reste présente.</w:t>
      </w:r>
    </w:p>
    <w:p>
      <w:pPr>
        <w:spacing w:after="120" w:line="276" w:lineRule="auto"/>
      </w:pPr>
      <w:r>
        <w:t>**Stochastique** : Le %K à 0,0 et le %D à 11,315 indiquent une position extrême en zone de survente, avec un croisement potentiel à venir. La décision "Achat" anticipe un rebond technique imminent, le %K étant au plancher.</w:t>
      </w:r>
    </w:p>
    <w:p>
      <w:pPr>
        <w:spacing w:after="120" w:line="276" w:lineRule="auto"/>
      </w:pPr>
      <w:r>
        <w:t>**Conclusion technique** : Les indicateurs sont divergents : les MM et le MACD sont baissiers, tandis que le stochastique et les MM (structure) suggèrent un achat. Le RSI et les Bollinger sont neutres. Cette configuration indique une phase de consolidation baissière à court terme, mais un potentiel de rebond technique se dessine grâce au stochastique en survente extrême. La prudence est de mise avant un signal de retournement confirmé.</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NEIC affiche un chiffre d'affaires de 5,139 Mds FCFA, un résultat net de 2,037 Mds FCFA, un ROE exceptionnel de 35,39% et un ROA de 27,25%. La marge nette atteint 39,63%, portée par un résultat avant impôt de 2,467 Mds FCFA. La structure financière est très saine : autonomie financière de 77,01%, liquidité générale de 448,86% et trésorerie nette de 4,196 Mds FCFA. Le BFR de 1,498 Mds FCFA (positif) et le délai client élevé de 154,72 jours constituent un point de vigilance sur la trésorerie, bien que la trésorerie actuelle reste confortable. Le taux de croissance du CA est négatif (-23,80%), ce qui contraste avec la performance nette.</w:t>
      </w:r>
    </w:p>
    <w:p>
      <w:pPr>
        <w:spacing w:after="120" w:line="276" w:lineRule="auto"/>
      </w:pPr>
      <w:r>
        <w:t>**Adaptation au secteur (entreprise)** : Le délai fournisseurs de 69,56 jours est favorable à la trésorerie, mais le délai client de 154,72 jours expose l'entreprise à un risque de recouvrement. La rotation des actifs de 68,77% indique une utilisation modérée des actifs pour générer du CA. Le flux opérationnel négatif (-527,07 M FCFA) et le Free Cash Flow négatif (-565,91 M FCFA) sont préoccupants, mais compensés par une CAF solide de 2,088 Mds FCFA.</w:t>
      </w:r>
    </w:p>
    <w:p>
      <w:pPr>
        <w:spacing w:after="120" w:line="276" w:lineRule="auto"/>
      </w:pPr>
      <w:r>
        <w:t>**Estimations basées sur les rapports trimestriels** : Le rapport T1 2026 (publié en 2026) indique un CA de 115,1 M FCFA (+137% vs T1 2025) et une perte nette réduite à -168,9 M FCFA (vs -189,9 M FCFA). Le rapport T3 2025 (daté du 30/09/2025) mentionne un CA de 3 406 M FCFA (-35% vs T3 2024) et un résultat net exceptionnel de 1 596 M FCFA (+125%) dû à une reprise de provision. Le rapport annuel 2025 (publié en 2026) confirme un résultat net de 2,04 Mds FCFA (+169%) et un dividende de 2,04 Mds FCFA (100% du résultat). On estime que l'exercice 2026 devrait bénéficier de la dynamique du T1 (+137% de CA) mais la rentabilité opérationnelle reste fragile (résultat d'exploitation négatif de -271,5 M FCFA au T1 2026).</w:t>
      </w:r>
    </w:p>
    <w:p>
      <w:pPr>
        <w:spacing w:after="120" w:line="276" w:lineRule="auto"/>
      </w:pPr>
      <w:r>
        <w:t>**Évolution pluriannuelle** : Les rapports antérieurs (2024, 2021, 2020) montrent une grande volatilité : perte de -759 M FCFA en 2024, bénéfice de 800,8 M FCFA en 2020, et résultat exceptionnel de 1,201 Mds FCFA au T3 2021. Cette instabilité reflète la dépendance aux marchés publics et aux éléments non récurrents.</w:t>
      </w:r>
    </w:p>
    <w:p>
      <w:pPr>
        <w:spacing w:after="120" w:line="276" w:lineRule="auto"/>
      </w:pPr>
      <w:r>
        <w:t>**Recommandation fondamentale** : La solidité financière (trésorerie, autonomie) et la rentabilité (ROE &gt;35%) sont excellentes, mais la qualité des bénéfices est questionnable (reprise de provision en 2025, perte opérationnelle en 2024). Le risque principal réside dans la durabilité de la performance et la dépendance aux contrats exceptionnels.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**Valorisation (Partie 0)** : Le PER de 14,4x et le P/B de 5,10x indiquent une valorisation exigeante, voire surévaluée par rapport aux moyennes du marché BRVM, ce qui limite le potentiel de hausse à court terme. **Comportement du cours (Partie 1)** : La tendance haussière (+34,11%) est impressionnante mais la volatilité élevée (54,1%) et le skewness positif (0,733) suggèrent des corrections brutales possibles, comme le -3,97% de la dernière séance. **Signaux techniques (Partie 2)** : Les indicateurs sont divergents — MACD baissier, stochastique en survente — ce qui plaide pour une consolidation avant un rebond. **Fondamentaux (Partie 3)** : La société affiche une rentabilité exceptionnelle (ROE 35,4%) et une trésorerie solide, mais la croissance du CA est négative (-23,8%) et les flux opérationnels sont négatifs, ce qui tempère l'optimisme. **Prédictions IA (J+1 à J+10)** : La trajectoire prévue (2 314 → 2 298 FCFA) est légèrement baissière, confirmant la pression court terme mais sans effondrement.</w:t>
      </w:r>
    </w:p>
    <w:p>
      <w:pPr>
        <w:spacing w:after="120" w:line="276" w:lineRule="auto"/>
      </w:pPr>
      <w:r>
        <w:t>**Synthèse globale** : La convergence entre valorisation tendue, technique mitigée, fondamentaux solides mais fragiles, et prédictions baissières modérées conduit à une recommandation de **CONSERVER**. Le titre offre un potentiel de rebond technique (stochastique en survente) mais le risque de correction reste élevé après la forte hausse. **Niveau de confiance : Moyen** (divergence des signaux). **Niveau de risque : Élevé** (volatilité 54,1%, petite capitalisation). **Horizon d'investissement : Moyen terme (3-12 mois)** , en attendant la confirmation d'une reprise durable du CA et de la rentabilité opérationnelle.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21.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531.79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2,833 titres</w:t>
            </w:r>
          </w:p>
        </w:tc>
        <w:tc>
          <w:tcPr>
            <w:tcW w:type="dxa" w:w="2268"/>
            <w:shd w:fill="FFF2CC" w:val="clear"/>
          </w:tcPr>
          <w:p>
            <w:r>
              <w:rPr>
                <w:b/>
                <w:color w:val="503200"/>
                <w:sz w:val="16"/>
              </w:rPr>
              <w:t xml:space="preserve">Cours actuel : </w:t>
            </w:r>
            <w:r>
              <w:rPr>
                <w:color w:val="000000"/>
                <w:sz w:val="17"/>
              </w:rPr>
              <w:t>21,500 FCFA</w:t>
            </w:r>
          </w:p>
          <w:p>
            <w:r>
              <w:rPr>
                <w:b/>
                <w:color w:val="503200"/>
                <w:sz w:val="16"/>
              </w:rPr>
              <w:t xml:space="preserve">Var. 100 jours : </w:t>
            </w:r>
            <w:r>
              <w:rPr>
                <w:b/>
                <w:color w:val="007800"/>
                <w:sz w:val="17"/>
              </w:rPr>
              <w:t>+53.46%</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41.5%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13.59% (Moyenne) — μ=20,997 FCFA, σ=2,853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β=1.5020 (Agressif) — Cov=0.000103, Var(idx)=0.000069, ρ=0.479,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2,833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8627"/>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2026-09-30</w:t>
            </w:r>
          </w:p>
        </w:tc>
        <w:tc>
          <w:tcPr>
            <w:tcW w:type="dxa" w:w="1440"/>
            <w:shd w:fill="FAFAFA" w:val="clear"/>
          </w:tcPr>
          <w:p>
            <w:r>
              <w:rPr>
                <w:sz w:val="17"/>
              </w:rPr>
              <w:t>20,806</w:t>
            </w:r>
          </w:p>
        </w:tc>
        <w:tc>
          <w:tcPr>
            <w:tcW w:type="dxa" w:w="1440"/>
            <w:shd w:fill="FAFAFA" w:val="clear"/>
          </w:tcPr>
          <w:p>
            <w:r>
              <w:rPr>
                <w:b/>
                <w:sz w:val="17"/>
              </w:rPr>
              <w:t>21,769</w:t>
            </w:r>
          </w:p>
        </w:tc>
        <w:tc>
          <w:tcPr>
            <w:tcW w:type="dxa" w:w="1440"/>
            <w:shd w:fill="FAFAFA" w:val="clear"/>
          </w:tcPr>
          <w:p>
            <w:r>
              <w:rPr>
                <w:sz w:val="17"/>
              </w:rPr>
              <w:t>22,732</w:t>
            </w:r>
          </w:p>
        </w:tc>
        <w:tc>
          <w:tcPr>
            <w:tcW w:type="dxa" w:w="1440"/>
            <w:shd w:fill="FAFAFA" w:val="clear"/>
          </w:tcPr>
          <w:p>
            <w:r>
              <w:rPr>
                <w:b/>
                <w:color w:val="008000"/>
                <w:sz w:val="17"/>
              </w:rPr>
              <w:t>+1.3%</w:t>
            </w:r>
          </w:p>
        </w:tc>
      </w:tr>
      <w:tr>
        <w:tc>
          <w:tcPr>
            <w:tcW w:type="dxa" w:w="1440"/>
            <w:shd w:fill="FAFAFA" w:val="clear"/>
          </w:tcPr>
          <w:p>
            <w:r>
              <w:rPr>
                <w:sz w:val="17"/>
              </w:rPr>
              <w:t>J+2  Moyenne</w:t>
            </w:r>
          </w:p>
        </w:tc>
        <w:tc>
          <w:tcPr>
            <w:tcW w:type="dxa" w:w="1440"/>
            <w:shd w:fill="FAFAFA" w:val="clear"/>
          </w:tcPr>
          <w:p>
            <w:r>
              <w:rPr>
                <w:sz w:val="17"/>
              </w:rPr>
              <w:t>2026-10-01</w:t>
            </w:r>
          </w:p>
        </w:tc>
        <w:tc>
          <w:tcPr>
            <w:tcW w:type="dxa" w:w="1440"/>
            <w:shd w:fill="FAFAFA" w:val="clear"/>
          </w:tcPr>
          <w:p>
            <w:r>
              <w:rPr>
                <w:sz w:val="17"/>
              </w:rPr>
              <w:t>20,455</w:t>
            </w:r>
          </w:p>
        </w:tc>
        <w:tc>
          <w:tcPr>
            <w:tcW w:type="dxa" w:w="1440"/>
            <w:shd w:fill="FAFAFA" w:val="clear"/>
          </w:tcPr>
          <w:p>
            <w:r>
              <w:rPr>
                <w:b/>
                <w:sz w:val="17"/>
              </w:rPr>
              <w:t>21,820</w:t>
            </w:r>
          </w:p>
        </w:tc>
        <w:tc>
          <w:tcPr>
            <w:tcW w:type="dxa" w:w="1440"/>
            <w:shd w:fill="FAFAFA" w:val="clear"/>
          </w:tcPr>
          <w:p>
            <w:r>
              <w:rPr>
                <w:sz w:val="17"/>
              </w:rPr>
              <w:t>23,184</w:t>
            </w:r>
          </w:p>
        </w:tc>
        <w:tc>
          <w:tcPr>
            <w:tcW w:type="dxa" w:w="1440"/>
            <w:shd w:fill="FAFAFA" w:val="clear"/>
          </w:tcPr>
          <w:p>
            <w:r>
              <w:rPr>
                <w:b/>
                <w:color w:val="008000"/>
                <w:sz w:val="17"/>
              </w:rPr>
              <w:t>+1.5%</w:t>
            </w:r>
          </w:p>
        </w:tc>
      </w:tr>
      <w:tr>
        <w:tc>
          <w:tcPr>
            <w:tcW w:type="dxa" w:w="1440"/>
            <w:shd w:fill="FAFAFA" w:val="clear"/>
          </w:tcPr>
          <w:p>
            <w:r>
              <w:rPr>
                <w:sz w:val="17"/>
              </w:rPr>
              <w:t>J+3  Moyenne</w:t>
            </w:r>
          </w:p>
        </w:tc>
        <w:tc>
          <w:tcPr>
            <w:tcW w:type="dxa" w:w="1440"/>
            <w:shd w:fill="FAFAFA" w:val="clear"/>
          </w:tcPr>
          <w:p>
            <w:r>
              <w:rPr>
                <w:sz w:val="17"/>
              </w:rPr>
              <w:t>2026-10-02</w:t>
            </w:r>
          </w:p>
        </w:tc>
        <w:tc>
          <w:tcPr>
            <w:tcW w:type="dxa" w:w="1440"/>
            <w:shd w:fill="FAFAFA" w:val="clear"/>
          </w:tcPr>
          <w:p>
            <w:r>
              <w:rPr>
                <w:sz w:val="17"/>
              </w:rPr>
              <w:t>20,186</w:t>
            </w:r>
          </w:p>
        </w:tc>
        <w:tc>
          <w:tcPr>
            <w:tcW w:type="dxa" w:w="1440"/>
            <w:shd w:fill="FAFAFA" w:val="clear"/>
          </w:tcPr>
          <w:p>
            <w:r>
              <w:rPr>
                <w:b/>
                <w:sz w:val="17"/>
              </w:rPr>
              <w:t>21,860</w:t>
            </w:r>
          </w:p>
        </w:tc>
        <w:tc>
          <w:tcPr>
            <w:tcW w:type="dxa" w:w="1440"/>
            <w:shd w:fill="FAFAFA" w:val="clear"/>
          </w:tcPr>
          <w:p>
            <w:r>
              <w:rPr>
                <w:sz w:val="17"/>
              </w:rPr>
              <w:t>23,535</w:t>
            </w:r>
          </w:p>
        </w:tc>
        <w:tc>
          <w:tcPr>
            <w:tcW w:type="dxa" w:w="1440"/>
            <w:shd w:fill="FAFAFA" w:val="clear"/>
          </w:tcPr>
          <w:p>
            <w:r>
              <w:rPr>
                <w:b/>
                <w:color w:val="008000"/>
                <w:sz w:val="17"/>
              </w:rPr>
              <w:t>+1.7%</w:t>
            </w:r>
          </w:p>
        </w:tc>
      </w:tr>
      <w:tr>
        <w:tc>
          <w:tcPr>
            <w:tcW w:type="dxa" w:w="1440"/>
            <w:shd w:fill="FAFAFA" w:val="clear"/>
          </w:tcPr>
          <w:p>
            <w:r>
              <w:rPr>
                <w:sz w:val="17"/>
              </w:rPr>
              <w:t>J+4  ⭐</w:t>
            </w:r>
          </w:p>
        </w:tc>
        <w:tc>
          <w:tcPr>
            <w:tcW w:type="dxa" w:w="1440"/>
            <w:shd w:fill="FAFAFA" w:val="clear"/>
          </w:tcPr>
          <w:p>
            <w:r>
              <w:rPr>
                <w:sz w:val="17"/>
              </w:rPr>
              <w:t>2026-10-05</w:t>
            </w:r>
          </w:p>
        </w:tc>
        <w:tc>
          <w:tcPr>
            <w:tcW w:type="dxa" w:w="1440"/>
            <w:shd w:fill="FAFAFA" w:val="clear"/>
          </w:tcPr>
          <w:p>
            <w:r>
              <w:rPr>
                <w:sz w:val="17"/>
              </w:rPr>
              <w:t>19,946</w:t>
            </w:r>
          </w:p>
        </w:tc>
        <w:tc>
          <w:tcPr>
            <w:tcW w:type="dxa" w:w="1440"/>
            <w:shd w:fill="FAFAFA" w:val="clear"/>
          </w:tcPr>
          <w:p>
            <w:r>
              <w:rPr>
                <w:b/>
                <w:sz w:val="17"/>
              </w:rPr>
              <w:t>21,881</w:t>
            </w:r>
          </w:p>
        </w:tc>
        <w:tc>
          <w:tcPr>
            <w:tcW w:type="dxa" w:w="1440"/>
            <w:shd w:fill="FAFAFA" w:val="clear"/>
          </w:tcPr>
          <w:p>
            <w:r>
              <w:rPr>
                <w:sz w:val="17"/>
              </w:rPr>
              <w:t>23,817</w:t>
            </w:r>
          </w:p>
        </w:tc>
        <w:tc>
          <w:tcPr>
            <w:tcW w:type="dxa" w:w="1440"/>
            <w:shd w:fill="FAFAFA" w:val="clear"/>
          </w:tcPr>
          <w:p>
            <w:r>
              <w:rPr>
                <w:b/>
                <w:color w:val="008000"/>
                <w:sz w:val="17"/>
              </w:rPr>
              <w:t>+1.8%</w:t>
            </w:r>
          </w:p>
        </w:tc>
      </w:tr>
      <w:tr>
        <w:tc>
          <w:tcPr>
            <w:tcW w:type="dxa" w:w="1440"/>
            <w:shd w:fill="FAFAFA" w:val="clear"/>
          </w:tcPr>
          <w:p>
            <w:r>
              <w:rPr>
                <w:sz w:val="17"/>
              </w:rPr>
              <w:t>J+5  ⭐</w:t>
            </w:r>
          </w:p>
        </w:tc>
        <w:tc>
          <w:tcPr>
            <w:tcW w:type="dxa" w:w="1440"/>
            <w:shd w:fill="FAFAFA" w:val="clear"/>
          </w:tcPr>
          <w:p>
            <w:r>
              <w:rPr>
                <w:sz w:val="17"/>
              </w:rPr>
              <w:t>2026-10-06</w:t>
            </w:r>
          </w:p>
        </w:tc>
        <w:tc>
          <w:tcPr>
            <w:tcW w:type="dxa" w:w="1440"/>
            <w:shd w:fill="FAFAFA" w:val="clear"/>
          </w:tcPr>
          <w:p>
            <w:r>
              <w:rPr>
                <w:sz w:val="17"/>
              </w:rPr>
              <w:t>19,732</w:t>
            </w:r>
          </w:p>
        </w:tc>
        <w:tc>
          <w:tcPr>
            <w:tcW w:type="dxa" w:w="1440"/>
            <w:shd w:fill="FAFAFA" w:val="clear"/>
          </w:tcPr>
          <w:p>
            <w:r>
              <w:rPr>
                <w:b/>
                <w:sz w:val="17"/>
              </w:rPr>
              <w:t>21,898</w:t>
            </w:r>
          </w:p>
        </w:tc>
        <w:tc>
          <w:tcPr>
            <w:tcW w:type="dxa" w:w="1440"/>
            <w:shd w:fill="FAFAFA" w:val="clear"/>
          </w:tcPr>
          <w:p>
            <w:r>
              <w:rPr>
                <w:sz w:val="17"/>
              </w:rPr>
              <w:t>24,063</w:t>
            </w:r>
          </w:p>
        </w:tc>
        <w:tc>
          <w:tcPr>
            <w:tcW w:type="dxa" w:w="1440"/>
            <w:shd w:fill="FAFAFA" w:val="clear"/>
          </w:tcPr>
          <w:p>
            <w:r>
              <w:rPr>
                <w:b/>
                <w:color w:val="008000"/>
                <w:sz w:val="17"/>
              </w:rPr>
              <w:t>+1.9%</w:t>
            </w:r>
          </w:p>
        </w:tc>
      </w:tr>
      <w:tr>
        <w:tc>
          <w:tcPr>
            <w:tcW w:type="dxa" w:w="1440"/>
            <w:shd w:fill="FAFAFA" w:val="clear"/>
          </w:tcPr>
          <w:p>
            <w:r>
              <w:rPr>
                <w:sz w:val="17"/>
              </w:rPr>
              <w:t>J+6  ⭐</w:t>
            </w:r>
          </w:p>
        </w:tc>
        <w:tc>
          <w:tcPr>
            <w:tcW w:type="dxa" w:w="1440"/>
            <w:shd w:fill="FAFAFA" w:val="clear"/>
          </w:tcPr>
          <w:p>
            <w:r>
              <w:rPr>
                <w:sz w:val="17"/>
              </w:rPr>
              <w:t>2026-10-07</w:t>
            </w:r>
          </w:p>
        </w:tc>
        <w:tc>
          <w:tcPr>
            <w:tcW w:type="dxa" w:w="1440"/>
            <w:shd w:fill="FAFAFA" w:val="clear"/>
          </w:tcPr>
          <w:p>
            <w:r>
              <w:rPr>
                <w:sz w:val="17"/>
              </w:rPr>
              <w:t>19,538</w:t>
            </w:r>
          </w:p>
        </w:tc>
        <w:tc>
          <w:tcPr>
            <w:tcW w:type="dxa" w:w="1440"/>
            <w:shd w:fill="FAFAFA" w:val="clear"/>
          </w:tcPr>
          <w:p>
            <w:r>
              <w:rPr>
                <w:b/>
                <w:sz w:val="17"/>
              </w:rPr>
              <w:t>21,912</w:t>
            </w:r>
          </w:p>
        </w:tc>
        <w:tc>
          <w:tcPr>
            <w:tcW w:type="dxa" w:w="1440"/>
            <w:shd w:fill="FAFAFA" w:val="clear"/>
          </w:tcPr>
          <w:p>
            <w:r>
              <w:rPr>
                <w:sz w:val="17"/>
              </w:rPr>
              <w:t>24,286</w:t>
            </w:r>
          </w:p>
        </w:tc>
        <w:tc>
          <w:tcPr>
            <w:tcW w:type="dxa" w:w="1440"/>
            <w:shd w:fill="FAFAFA" w:val="clear"/>
          </w:tcPr>
          <w:p>
            <w:r>
              <w:rPr>
                <w:b/>
                <w:color w:val="008000"/>
                <w:sz w:val="17"/>
              </w:rPr>
              <w:t>+1.9%</w:t>
            </w:r>
          </w:p>
        </w:tc>
      </w:tr>
      <w:tr>
        <w:tc>
          <w:tcPr>
            <w:tcW w:type="dxa" w:w="1440"/>
            <w:shd w:fill="FAFAFA" w:val="clear"/>
          </w:tcPr>
          <w:p>
            <w:r>
              <w:rPr>
                <w:sz w:val="17"/>
              </w:rPr>
              <w:t>J+7  ⭐</w:t>
            </w:r>
          </w:p>
        </w:tc>
        <w:tc>
          <w:tcPr>
            <w:tcW w:type="dxa" w:w="1440"/>
            <w:shd w:fill="FAFAFA" w:val="clear"/>
          </w:tcPr>
          <w:p>
            <w:r>
              <w:rPr>
                <w:sz w:val="17"/>
              </w:rPr>
              <w:t>2026-10-08</w:t>
            </w:r>
          </w:p>
        </w:tc>
        <w:tc>
          <w:tcPr>
            <w:tcW w:type="dxa" w:w="1440"/>
            <w:shd w:fill="FAFAFA" w:val="clear"/>
          </w:tcPr>
          <w:p>
            <w:r>
              <w:rPr>
                <w:sz w:val="17"/>
              </w:rPr>
              <w:t>19,359</w:t>
            </w:r>
          </w:p>
        </w:tc>
        <w:tc>
          <w:tcPr>
            <w:tcW w:type="dxa" w:w="1440"/>
            <w:shd w:fill="FAFAFA" w:val="clear"/>
          </w:tcPr>
          <w:p>
            <w:r>
              <w:rPr>
                <w:b/>
                <w:sz w:val="17"/>
              </w:rPr>
              <w:t>21,924</w:t>
            </w:r>
          </w:p>
        </w:tc>
        <w:tc>
          <w:tcPr>
            <w:tcW w:type="dxa" w:w="1440"/>
            <w:shd w:fill="FAFAFA" w:val="clear"/>
          </w:tcPr>
          <w:p>
            <w:r>
              <w:rPr>
                <w:sz w:val="17"/>
              </w:rPr>
              <w:t>24,489</w:t>
            </w:r>
          </w:p>
        </w:tc>
        <w:tc>
          <w:tcPr>
            <w:tcW w:type="dxa" w:w="1440"/>
            <w:shd w:fill="FAFAFA" w:val="clear"/>
          </w:tcPr>
          <w:p>
            <w:r>
              <w:rPr>
                <w:b/>
                <w:color w:val="008000"/>
                <w:sz w:val="17"/>
              </w:rPr>
              <w:t>+2.0%</w:t>
            </w:r>
          </w:p>
        </w:tc>
      </w:tr>
      <w:tr>
        <w:tc>
          <w:tcPr>
            <w:tcW w:type="dxa" w:w="1440"/>
            <w:shd w:fill="C6EFCE" w:val="clear"/>
          </w:tcPr>
          <w:p>
            <w:r>
              <w:rPr>
                <w:sz w:val="17"/>
              </w:rPr>
              <w:t>J+8  ⭐</w:t>
            </w:r>
          </w:p>
        </w:tc>
        <w:tc>
          <w:tcPr>
            <w:tcW w:type="dxa" w:w="1440"/>
            <w:shd w:fill="C6EFCE" w:val="clear"/>
          </w:tcPr>
          <w:p>
            <w:r>
              <w:rPr>
                <w:sz w:val="17"/>
              </w:rPr>
              <w:t>2026-10-09</w:t>
            </w:r>
          </w:p>
        </w:tc>
        <w:tc>
          <w:tcPr>
            <w:tcW w:type="dxa" w:w="1440"/>
            <w:shd w:fill="C6EFCE" w:val="clear"/>
          </w:tcPr>
          <w:p>
            <w:r>
              <w:rPr>
                <w:sz w:val="17"/>
              </w:rPr>
              <w:t>19,191</w:t>
            </w:r>
          </w:p>
        </w:tc>
        <w:tc>
          <w:tcPr>
            <w:tcW w:type="dxa" w:w="1440"/>
            <w:shd w:fill="C6EFCE" w:val="clear"/>
          </w:tcPr>
          <w:p>
            <w:r>
              <w:rPr>
                <w:b/>
                <w:sz w:val="17"/>
              </w:rPr>
              <w:t>21,935</w:t>
            </w:r>
          </w:p>
        </w:tc>
        <w:tc>
          <w:tcPr>
            <w:tcW w:type="dxa" w:w="1440"/>
            <w:shd w:fill="C6EFCE" w:val="clear"/>
          </w:tcPr>
          <w:p>
            <w:r>
              <w:rPr>
                <w:sz w:val="17"/>
              </w:rPr>
              <w:t>24,679</w:t>
            </w:r>
          </w:p>
        </w:tc>
        <w:tc>
          <w:tcPr>
            <w:tcW w:type="dxa" w:w="1440"/>
            <w:shd w:fill="C6EFCE" w:val="clear"/>
          </w:tcPr>
          <w:p>
            <w:r>
              <w:rPr>
                <w:b/>
                <w:color w:val="008000"/>
                <w:sz w:val="17"/>
              </w:rPr>
              <w:t>+2.0%</w:t>
            </w:r>
          </w:p>
        </w:tc>
      </w:tr>
      <w:tr>
        <w:tc>
          <w:tcPr>
            <w:tcW w:type="dxa" w:w="1440"/>
            <w:shd w:fill="C6EFCE" w:val="clear"/>
          </w:tcPr>
          <w:p>
            <w:r>
              <w:rPr>
                <w:sz w:val="17"/>
              </w:rPr>
              <w:t>J+9  ⭐</w:t>
            </w:r>
          </w:p>
        </w:tc>
        <w:tc>
          <w:tcPr>
            <w:tcW w:type="dxa" w:w="1440"/>
            <w:shd w:fill="C6EFCE" w:val="clear"/>
          </w:tcPr>
          <w:p>
            <w:r>
              <w:rPr>
                <w:sz w:val="17"/>
              </w:rPr>
              <w:t>2026-10-12</w:t>
            </w:r>
          </w:p>
        </w:tc>
        <w:tc>
          <w:tcPr>
            <w:tcW w:type="dxa" w:w="1440"/>
            <w:shd w:fill="C6EFCE" w:val="clear"/>
          </w:tcPr>
          <w:p>
            <w:r>
              <w:rPr>
                <w:sz w:val="17"/>
              </w:rPr>
              <w:t>19,034</w:t>
            </w:r>
          </w:p>
        </w:tc>
        <w:tc>
          <w:tcPr>
            <w:tcW w:type="dxa" w:w="1440"/>
            <w:shd w:fill="C6EFCE" w:val="clear"/>
          </w:tcPr>
          <w:p>
            <w:r>
              <w:rPr>
                <w:b/>
                <w:sz w:val="17"/>
              </w:rPr>
              <w:t>21,945</w:t>
            </w:r>
          </w:p>
        </w:tc>
        <w:tc>
          <w:tcPr>
            <w:tcW w:type="dxa" w:w="1440"/>
            <w:shd w:fill="C6EFCE" w:val="clear"/>
          </w:tcPr>
          <w:p>
            <w:r>
              <w:rPr>
                <w:sz w:val="17"/>
              </w:rPr>
              <w:t>24,857</w:t>
            </w:r>
          </w:p>
        </w:tc>
        <w:tc>
          <w:tcPr>
            <w:tcW w:type="dxa" w:w="1440"/>
            <w:shd w:fill="C6EFCE" w:val="clear"/>
          </w:tcPr>
          <w:p>
            <w:r>
              <w:rPr>
                <w:b/>
                <w:color w:val="008000"/>
                <w:sz w:val="17"/>
              </w:rPr>
              <w:t>+2.1%</w:t>
            </w:r>
          </w:p>
        </w:tc>
      </w:tr>
      <w:tr>
        <w:tc>
          <w:tcPr>
            <w:tcW w:type="dxa" w:w="1440"/>
            <w:shd w:fill="C6EFCE" w:val="clear"/>
          </w:tcPr>
          <w:p>
            <w:r>
              <w:rPr>
                <w:sz w:val="17"/>
              </w:rPr>
              <w:t>J+10  ⭐</w:t>
            </w:r>
          </w:p>
        </w:tc>
        <w:tc>
          <w:tcPr>
            <w:tcW w:type="dxa" w:w="1440"/>
            <w:shd w:fill="C6EFCE" w:val="clear"/>
          </w:tcPr>
          <w:p>
            <w:r>
              <w:rPr>
                <w:sz w:val="17"/>
              </w:rPr>
              <w:t>2026-10-13</w:t>
            </w:r>
          </w:p>
        </w:tc>
        <w:tc>
          <w:tcPr>
            <w:tcW w:type="dxa" w:w="1440"/>
            <w:shd w:fill="C6EFCE" w:val="clear"/>
          </w:tcPr>
          <w:p>
            <w:r>
              <w:rPr>
                <w:sz w:val="17"/>
              </w:rPr>
              <w:t>18,885</w:t>
            </w:r>
          </w:p>
        </w:tc>
        <w:tc>
          <w:tcPr>
            <w:tcW w:type="dxa" w:w="1440"/>
            <w:shd w:fill="C6EFCE" w:val="clear"/>
          </w:tcPr>
          <w:p>
            <w:r>
              <w:rPr>
                <w:b/>
                <w:sz w:val="17"/>
              </w:rPr>
              <w:t>21,955</w:t>
            </w:r>
          </w:p>
        </w:tc>
        <w:tc>
          <w:tcPr>
            <w:tcW w:type="dxa" w:w="1440"/>
            <w:shd w:fill="C6EFCE" w:val="clear"/>
          </w:tcPr>
          <w:p>
            <w:r>
              <w:rPr>
                <w:sz w:val="17"/>
              </w:rPr>
              <w:t>25,026</w:t>
            </w:r>
          </w:p>
        </w:tc>
        <w:tc>
          <w:tcPr>
            <w:tcW w:type="dxa" w:w="1440"/>
            <w:shd w:fill="C6EFCE" w:val="clear"/>
          </w:tcPr>
          <w:p>
            <w:r>
              <w:rPr>
                <w:b/>
                <w:color w:val="008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 RAPPORT D'ANALYSE FINANCIÈRE — NSIA BANQUE CÔTE D'IVOIRE (NSBC)</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531,79 milliards FCFA, NSBC s'impose comme l'une des valeurs bancaires les plus significatives de la cote BRVM, reflétant la solidité et la taille de l'établissement dans l'UEMOA. Le BPA de 1 646 FCFA/action signifie que chaque titre génère près de 1 646 FCFA de bénéfice net, un niveau élevé qui traduit la forte rentabilité de la banque. Le PER de 13,1x se situe légèrement au-dessus de la moyenne sectorielle BRVM (8-12x), indiquant que les investisseurs paient une prime modérée pour cette valeur de qualité, sans surévaluation excessive. Le P/B de 2,28x montre que le marché valorise la banque à plus du double de sa valeur comptable, ce qui est cohérent avec un ROE élevé (17,45%) et des perspectives de croissance attractives. Enfin, l'EV/EBITDA de 20,7x apparaît très exigeant (&gt;15x), signalant que la valeur d'entreprise intègre déjà une bonne part des anticipations de croissance future — un point de vigilance pour les nouveaux entrants.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NSBC a enregistré une progression spectaculaire de **+53,46%**, passant d'un plus bas de 13 810 FCFA à un plus haut de 24 885 FCFA, avant de clôturer à 21 500 FCFA, soit un repli de **-4,06%** lors de la dernière séance. Ce range de trading de plus de 11 000 FCFA témoigne d'une dynamique nettement haussière, bien que la correction récente suggère une prise de profit après le rallye. La moyenne (20 997 FCFA) étant inférieure à la médiane (21 950 FCFA), la distribution des cours est asymétrique vers la gauche, confirmée par un skewness de -0,876 : cela signifie que le titre a passé davantage de journées au-dessus de sa moyenne, avec quelques journées de forte baisse qui tirent la moyenne vers le bas. L'écart-type de 2 868 FCFA (CV = 13,7%) indique une dispersion modérée du cours autour de sa tendance, tandis que le kurtosis de 0,074 (mésokurtique) suggère une distribution proche de la normale, sans risque excessif de pics extrêmes. La volatilité annualisée de 41,5% classe ce titre dans la catégorie **élevée** (&gt;30%), ce qui est typique des valeurs bancaires africaines en phase de forte appréciation, mais implique un risque de correction significatif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(23 432,5 FCFA) et la MM50 (23 255,0 FCFA) se situent toutes deux au-dessus du cours actuel (21 500 FCFA), ce qui place le titre en position baissière à court terme. Cependant, la MM20 étant légèrement supérieure à la MM50, la configuration reste haussière sur le moyen terme, justifiant la décision **Achat** — le cours pourrait rebondir vers ces niveaux de référence.</w:t>
      </w:r>
    </w:p>
    <w:p>
      <w:pPr>
        <w:spacing w:after="120" w:line="276" w:lineRule="auto"/>
      </w:pPr>
      <w:r>
        <w:t>**Bandes de Bollinger** : Le cours actuel (21 500 FCFA) se situe juste au-dessus de la borne inférieure (21 049 FCFA) et loin de la borne supérieure (25 816 FCFA), indiquant une pression baissière récente mais un potentiel de rebond technique. La décision **Neutre** reflète cette position ambiguë, entre survente relative et absence de signal directionnel fort.</w:t>
      </w:r>
    </w:p>
    <w:p>
      <w:pPr>
        <w:spacing w:after="120" w:line="276" w:lineRule="auto"/>
      </w:pPr>
      <w:r>
        <w:t>**MACD** : La valeur du MACD (-325,097) est nettement inférieure à son signal (-26,189), confirmant un momentum baissier prononcé et une divergence négative. La décision **Vente** est justifiée par cette configuration, qui suggère que la pression vendeuse pourrait persister à court terme avant un retournement.</w:t>
      </w:r>
    </w:p>
    <w:p>
      <w:pPr>
        <w:spacing w:after="120" w:line="276" w:lineRule="auto"/>
      </w:pPr>
      <w:r>
        <w:t>**RSI** : À 30,918, le RSI se situe juste au-dessus du seuil de survente (30), indiquant que le titre n'est pas encore techniquement survendu mais s'en approche. La décision **Neutre** est appropriée, car un RSI proche de 30 peut annoncer un rebond imminent ou une poursuite de la baisse.</w:t>
      </w:r>
    </w:p>
    <w:p>
      <w:pPr>
        <w:spacing w:after="120" w:line="276" w:lineRule="auto"/>
      </w:pPr>
      <w:r>
        <w:t>**Stochastique** : Le %K (18,564) est nettement inférieur au %D (35,818), et les deux se situent en zone de survente (&lt;20 pour %K). Cette configuration suggère un possible croisement haussier à venir, justifiant la décision **Achat** — les vendeurs semblent s'épuiser.</w:t>
      </w:r>
    </w:p>
    <w:p>
      <w:pPr>
        <w:spacing w:after="120" w:line="276" w:lineRule="auto"/>
      </w:pPr>
      <w:r>
        <w:t>**Conclusion technique** : Les indicateurs sont mitigés, avec une majorité de signaux baissiers à court terme (MACD, position sous les MM) mais des signaux de rebond potentiel (Stochastique, RSI proche de la survente, Bandes de Bollinger). La convergence des signaux suggère une phase de consolidation avant une reprise éventuelle, avec un support clé à 21 049 FCFA (borne inférieure de Bollinger) et une résistance à 23 432 FCFA (MM20).</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NSIA Banque CI a réalisé un Produit Net Bancaire (PNB) de **112,928 milliards FCFA**, en croissance de **+15,45%** par rapport à 2024, portée par une marge d'intérêt en hausse de 26% (79,8 milliards FCFA). Le résultat net s'établit à **40,712 milliards FCFA**, en progression de **+7%**, avec une marge nette de **36,05%** — un niveau exceptionnel qui témoigne d'une excellente maîtrise des charges. Le ROE atteint **17,45%** (&gt;15% = excellent), confirmant la forte rentabilité des fonds propres, tandis que le ROA de **1,32%** reste solide pour une banque. Le coefficient d'exploitation de **54,59%** (&lt;60%) indique une bonne efficacité opérationnelle, bien qu'en légère dégradation par rapport à 2024 (49,5%). Le coût du risque, à **7,54%** des charges financières, s'est fortement dégradé (provisions de -8,5 milliards FCFA en 2025 contre une reprise de +0,6 milliard en 2024), signalant une détérioration de la qualité du portefeuille de crédits — un point de vigilance majeur. La structure financière reste solide avec un ratio de solvabilité générale de **108,22%** (&gt;1 = solvable), mais l'autonomie financière de **7,59%** est faible, typique des banques (effet de levier élevé).</w:t>
      </w:r>
    </w:p>
    <w:p>
      <w:pPr>
        <w:spacing w:after="120" w:line="276" w:lineRule="auto"/>
      </w:pPr>
      <w:r>
        <w:t>**Estimations basées sur les rapports trimestriels** : Le rapport du **T1 2026 (publié le 31/03/2026)** révèle une accélération spectaculaire avec un PNB de **28,615 milliards FCFA** (+28% sur un an) et un résultat net de **10,912 milliards FCFA** (+53%), porté par l'activité titres et une maîtrise du coût du risque. Sur cette base, on estime que l'exercice 2026 pourrait générer un résultat net annuel de l'ordre de **45-48 milliards FCFA** (+10-18% vs 2025), avec un PNB dépassant **125 milliards FCFA**. Le rapport du **T3 2025 (30/09/2025)** confirmait déjà cette dynamique avec un PNB de 77,4 milliards FCFA (+7%) et un résultat net de 25,0 milliards FCFA (+6%). Les rapports antérieurs (S1 2025, T1 2025) montrent une trajectoire de croissance régulière, avec une amélioration continue du coefficient d'exploitation (56,9% au S1 2025 vs 59,9% en 2024).</w:t>
      </w:r>
    </w:p>
    <w:p>
      <w:pPr>
        <w:spacing w:after="120" w:line="276" w:lineRule="auto"/>
      </w:pPr>
      <w:r>
        <w:t>**Recommandation fondamentale** : NSBC affiche des fondamentaux solides (ROE &gt;17%, marge nette &gt;36%, croissance du PNB &gt;15%), mais la dégradation du coût du risque en 2025 et la dépendance croissante aux revenus de l'activité titres (volatile) constituent des risques à surveiller. La dynamique du T1 2026 est très encourageante et suggère que la banque pourrait surperformer ses objectifs annuels, mais la prudence reste de mise tant que la qualité du portefeuille de crédits n'est pas confirmée.</w:t>
      </w:r>
    </w:p>
    <w:p>
      <w:pPr>
        <w:spacing w:after="120" w:line="276" w:lineRule="auto"/>
      </w:pPr>
      <w:r>
        <w:t>---</w:t>
      </w:r>
    </w:p>
    <w:p>
      <w:pPr>
        <w:spacing w:after="120" w:line="276" w:lineRule="auto"/>
      </w:pPr>
      <w:r>
        <w:t>## PARTIE 4 : CONCLUSION D'INVESTISSEMENT</w:t>
      </w:r>
    </w:p>
    <w:p>
      <w:pPr>
        <w:spacing w:after="120" w:line="276" w:lineRule="auto"/>
      </w:pPr>
      <w:r>
        <w:t>La valorisation de NSBC (PER 13,1x, P/B 2,28x, EV/EBITDA 20,7x) indique une **juste valorisation** avec une légère prime de croissance, sans surévaluation excessive mais sans décote évidente. Le comportement du cours sur 100 jours (+53,46%) est exceptionnel, mais la correction récente (-4,06% en J-1) et la volatilité élevée (41,5%) suggèrent une phase de consolidation, avec un skewness négatif (-0,876) qui indique que le titre a tendance à surréagir à la baisse après les pics. Les signaux techniques sont **mitigés** : le MACD est baissier, le cours est sous les MM20/MM50, mais le Stochastique et le RSI proche de la survente annoncent un rebond potentiel. Les fondamentaux sont **solides** (ROE 17,45%, marge nette 36%, PNB +15,45% en 2025), et les rapports trimestriels (T1 2026 : résultat net +53%) confirment une accélération en 2026, bien que le coût du risque reste un point de vigilance. Les prédictions IA (J+1 à J+10 : 21 769 → 21 898 FCFA) anticipent une **légère reprise** (+1,85% sur 10 jours), ce qui confirme les signaux de rebond technique mais contredit le momentum baissier à court terme.</w:t>
      </w:r>
    </w:p>
    <w:p>
      <w:pPr>
        <w:spacing w:after="120" w:line="276" w:lineRule="auto"/>
      </w:pPr>
      <w:r>
        <w:t>**Recommandation finale** : **CONSERVER** (avec biais haussier pour les investisseurs existants). La convergence entre valorisation raisonnable, fondamentaux solides et prédictions IA légèrement positives soutient cette recommandation, mais la divergence entre signaux techniques baissiers (MACD, MM) et fondamentaux haussiers (T1 2026) incite à la prudence. **Niveau de confiance : Moyen** — les données fondamentales sont robustes, mais l'incertitude sur la qualité du crédit et la volatilité du titre limitent la visibilité. **Niveau de risque : Moyen à Élevé** — la volatilité annualisée de 41,5% et la dépendance aux revenus titres augmentent le risque. **Horizon d'investissement optimal : Moyen terme (3-12 mois)** — le temps de confirmer la tendance du T1 2026 et la stabilisation du coût du risque avant d'envisager un renforcement. Les investisseurs à court terme devraient attendre un signal technique plus clair (croisement MACD haussier, retour au-dessus de la MM20) avant d'acheter.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22.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339.88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1,287 titres</w:t>
            </w:r>
          </w:p>
        </w:tc>
        <w:tc>
          <w:tcPr>
            <w:tcW w:type="dxa" w:w="2268"/>
            <w:shd w:fill="FFF2CC" w:val="clear"/>
          </w:tcPr>
          <w:p>
            <w:r>
              <w:rPr>
                <w:b/>
                <w:color w:val="503200"/>
                <w:sz w:val="16"/>
              </w:rPr>
              <w:t xml:space="preserve">Cours actuel : </w:t>
            </w:r>
            <w:r>
              <w:rPr>
                <w:color w:val="000000"/>
                <w:sz w:val="17"/>
              </w:rPr>
              <w:t>15,400 FCFA</w:t>
            </w:r>
          </w:p>
          <w:p>
            <w:r>
              <w:rPr>
                <w:b/>
                <w:color w:val="503200"/>
                <w:sz w:val="16"/>
              </w:rPr>
              <w:t xml:space="preserve">Var. 100 jours : </w:t>
            </w:r>
            <w:r>
              <w:rPr>
                <w:b/>
                <w:color w:val="007800"/>
                <w:sz w:val="17"/>
              </w:rPr>
              <w:t>+29.41%</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11.30% (Moyenne) — μ=15,352 FCFA, σ=1,734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β=0.5799 (Défensif) — Cov=0.000040, Var(idx)=0.000069, ρ=0.204,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98627"/>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2026-09-30</w:t>
            </w:r>
          </w:p>
        </w:tc>
        <w:tc>
          <w:tcPr>
            <w:tcW w:type="dxa" w:w="1440"/>
            <w:shd w:fill="FAFAFA" w:val="clear"/>
          </w:tcPr>
          <w:p>
            <w:r>
              <w:rPr>
                <w:sz w:val="17"/>
              </w:rPr>
              <w:t>14,583</w:t>
            </w:r>
          </w:p>
        </w:tc>
        <w:tc>
          <w:tcPr>
            <w:tcW w:type="dxa" w:w="1440"/>
            <w:shd w:fill="FAFAFA" w:val="clear"/>
          </w:tcPr>
          <w:p>
            <w:r>
              <w:rPr>
                <w:b/>
                <w:sz w:val="17"/>
              </w:rPr>
              <w:t>15,314</w:t>
            </w:r>
          </w:p>
        </w:tc>
        <w:tc>
          <w:tcPr>
            <w:tcW w:type="dxa" w:w="1440"/>
            <w:shd w:fill="FAFAFA" w:val="clear"/>
          </w:tcPr>
          <w:p>
            <w:r>
              <w:rPr>
                <w:sz w:val="17"/>
              </w:rPr>
              <w:t>16,046</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2026-10-01</w:t>
            </w:r>
          </w:p>
        </w:tc>
        <w:tc>
          <w:tcPr>
            <w:tcW w:type="dxa" w:w="1440"/>
            <w:shd w:fill="FAFAFA" w:val="clear"/>
          </w:tcPr>
          <w:p>
            <w:r>
              <w:rPr>
                <w:sz w:val="17"/>
              </w:rPr>
              <w:t>14,314</w:t>
            </w:r>
          </w:p>
        </w:tc>
        <w:tc>
          <w:tcPr>
            <w:tcW w:type="dxa" w:w="1440"/>
            <w:shd w:fill="FAFAFA" w:val="clear"/>
          </w:tcPr>
          <w:p>
            <w:r>
              <w:rPr>
                <w:b/>
                <w:sz w:val="17"/>
              </w:rPr>
              <w:t>15,351</w:t>
            </w:r>
          </w:p>
        </w:tc>
        <w:tc>
          <w:tcPr>
            <w:tcW w:type="dxa" w:w="1440"/>
            <w:shd w:fill="FAFAFA" w:val="clear"/>
          </w:tcPr>
          <w:p>
            <w:r>
              <w:rPr>
                <w:sz w:val="17"/>
              </w:rPr>
              <w:t>16,388</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2026-10-02</w:t>
            </w:r>
          </w:p>
        </w:tc>
        <w:tc>
          <w:tcPr>
            <w:tcW w:type="dxa" w:w="1440"/>
            <w:shd w:fill="FAFAFA" w:val="clear"/>
          </w:tcPr>
          <w:p>
            <w:r>
              <w:rPr>
                <w:sz w:val="17"/>
              </w:rPr>
              <w:t>14,102</w:t>
            </w:r>
          </w:p>
        </w:tc>
        <w:tc>
          <w:tcPr>
            <w:tcW w:type="dxa" w:w="1440"/>
            <w:shd w:fill="FAFAFA" w:val="clear"/>
          </w:tcPr>
          <w:p>
            <w:r>
              <w:rPr>
                <w:b/>
                <w:sz w:val="17"/>
              </w:rPr>
              <w:t>15,374</w:t>
            </w:r>
          </w:p>
        </w:tc>
        <w:tc>
          <w:tcPr>
            <w:tcW w:type="dxa" w:w="1440"/>
            <w:shd w:fill="FAFAFA" w:val="clear"/>
          </w:tcPr>
          <w:p>
            <w:r>
              <w:rPr>
                <w:sz w:val="17"/>
              </w:rPr>
              <w:t>16,647</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2026-10-05</w:t>
            </w:r>
          </w:p>
        </w:tc>
        <w:tc>
          <w:tcPr>
            <w:tcW w:type="dxa" w:w="1440"/>
            <w:shd w:fill="FAFAFA" w:val="clear"/>
          </w:tcPr>
          <w:p>
            <w:r>
              <w:rPr>
                <w:sz w:val="17"/>
              </w:rPr>
              <w:t>13,922</w:t>
            </w:r>
          </w:p>
        </w:tc>
        <w:tc>
          <w:tcPr>
            <w:tcW w:type="dxa" w:w="1440"/>
            <w:shd w:fill="FAFAFA" w:val="clear"/>
          </w:tcPr>
          <w:p>
            <w:r>
              <w:rPr>
                <w:b/>
                <w:sz w:val="17"/>
              </w:rPr>
              <w:t>15,393</w:t>
            </w:r>
          </w:p>
        </w:tc>
        <w:tc>
          <w:tcPr>
            <w:tcW w:type="dxa" w:w="1440"/>
            <w:shd w:fill="FAFAFA" w:val="clear"/>
          </w:tcPr>
          <w:p>
            <w:r>
              <w:rPr>
                <w:sz w:val="17"/>
              </w:rPr>
              <w:t>16,863</w:t>
            </w:r>
          </w:p>
        </w:tc>
        <w:tc>
          <w:tcPr>
            <w:tcW w:type="dxa" w:w="1440"/>
            <w:shd w:fill="FAFAFA" w:val="clear"/>
          </w:tcPr>
          <w:p>
            <w:r>
              <w:rPr>
                <w:b/>
                <w:color w:val="C00000"/>
                <w:sz w:val="17"/>
              </w:rPr>
              <w:t>-0.0%</w:t>
            </w:r>
          </w:p>
        </w:tc>
      </w:tr>
      <w:tr>
        <w:tc>
          <w:tcPr>
            <w:tcW w:type="dxa" w:w="1440"/>
            <w:shd w:fill="FAFAFA" w:val="clear"/>
          </w:tcPr>
          <w:p>
            <w:r>
              <w:rPr>
                <w:sz w:val="17"/>
              </w:rPr>
              <w:t>J+5  ⭐</w:t>
            </w:r>
          </w:p>
        </w:tc>
        <w:tc>
          <w:tcPr>
            <w:tcW w:type="dxa" w:w="1440"/>
            <w:shd w:fill="FAFAFA" w:val="clear"/>
          </w:tcPr>
          <w:p>
            <w:r>
              <w:rPr>
                <w:sz w:val="17"/>
              </w:rPr>
              <w:t>2026-10-06</w:t>
            </w:r>
          </w:p>
        </w:tc>
        <w:tc>
          <w:tcPr>
            <w:tcW w:type="dxa" w:w="1440"/>
            <w:shd w:fill="FAFAFA" w:val="clear"/>
          </w:tcPr>
          <w:p>
            <w:r>
              <w:rPr>
                <w:sz w:val="17"/>
              </w:rPr>
              <w:t>13,762</w:t>
            </w:r>
          </w:p>
        </w:tc>
        <w:tc>
          <w:tcPr>
            <w:tcW w:type="dxa" w:w="1440"/>
            <w:shd w:fill="FAFAFA" w:val="clear"/>
          </w:tcPr>
          <w:p>
            <w:r>
              <w:rPr>
                <w:b/>
                <w:sz w:val="17"/>
              </w:rPr>
              <w:t>15,408</w:t>
            </w:r>
          </w:p>
        </w:tc>
        <w:tc>
          <w:tcPr>
            <w:tcW w:type="dxa" w:w="1440"/>
            <w:shd w:fill="FAFAFA" w:val="clear"/>
          </w:tcPr>
          <w:p>
            <w:r>
              <w:rPr>
                <w:sz w:val="17"/>
              </w:rPr>
              <w:t>17,054</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2026-10-07</w:t>
            </w:r>
          </w:p>
        </w:tc>
        <w:tc>
          <w:tcPr>
            <w:tcW w:type="dxa" w:w="1440"/>
            <w:shd w:fill="FAFAFA" w:val="clear"/>
          </w:tcPr>
          <w:p>
            <w:r>
              <w:rPr>
                <w:sz w:val="17"/>
              </w:rPr>
              <w:t>13,619</w:t>
            </w:r>
          </w:p>
        </w:tc>
        <w:tc>
          <w:tcPr>
            <w:tcW w:type="dxa" w:w="1440"/>
            <w:shd w:fill="FAFAFA" w:val="clear"/>
          </w:tcPr>
          <w:p>
            <w:r>
              <w:rPr>
                <w:b/>
                <w:sz w:val="17"/>
              </w:rPr>
              <w:t>15,424</w:t>
            </w:r>
          </w:p>
        </w:tc>
        <w:tc>
          <w:tcPr>
            <w:tcW w:type="dxa" w:w="1440"/>
            <w:shd w:fill="FAFAFA" w:val="clear"/>
          </w:tcPr>
          <w:p>
            <w:r>
              <w:rPr>
                <w:sz w:val="17"/>
              </w:rPr>
              <w:t>17,229</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2026-10-08</w:t>
            </w:r>
          </w:p>
        </w:tc>
        <w:tc>
          <w:tcPr>
            <w:tcW w:type="dxa" w:w="1440"/>
            <w:shd w:fill="FAFAFA" w:val="clear"/>
          </w:tcPr>
          <w:p>
            <w:r>
              <w:rPr>
                <w:sz w:val="17"/>
              </w:rPr>
              <w:t>13,487</w:t>
            </w:r>
          </w:p>
        </w:tc>
        <w:tc>
          <w:tcPr>
            <w:tcW w:type="dxa" w:w="1440"/>
            <w:shd w:fill="FAFAFA" w:val="clear"/>
          </w:tcPr>
          <w:p>
            <w:r>
              <w:rPr>
                <w:b/>
                <w:sz w:val="17"/>
              </w:rPr>
              <w:t>15,439</w:t>
            </w:r>
          </w:p>
        </w:tc>
        <w:tc>
          <w:tcPr>
            <w:tcW w:type="dxa" w:w="1440"/>
            <w:shd w:fill="FAFAFA" w:val="clear"/>
          </w:tcPr>
          <w:p>
            <w:r>
              <w:rPr>
                <w:sz w:val="17"/>
              </w:rPr>
              <w:t>17,390</w:t>
            </w:r>
          </w:p>
        </w:tc>
        <w:tc>
          <w:tcPr>
            <w:tcW w:type="dxa" w:w="1440"/>
            <w:shd w:fill="FAFAFA" w:val="clear"/>
          </w:tcPr>
          <w:p>
            <w:r>
              <w:rPr>
                <w:b/>
                <w:color w:val="008000"/>
                <w:sz w:val="17"/>
              </w:rPr>
              <w:t>+0.3%</w:t>
            </w:r>
          </w:p>
        </w:tc>
      </w:tr>
      <w:tr>
        <w:tc>
          <w:tcPr>
            <w:tcW w:type="dxa" w:w="1440"/>
            <w:shd w:fill="FAFAFA" w:val="clear"/>
          </w:tcPr>
          <w:p>
            <w:r>
              <w:rPr>
                <w:sz w:val="17"/>
              </w:rPr>
              <w:t>J+8  ⭐</w:t>
            </w:r>
          </w:p>
        </w:tc>
        <w:tc>
          <w:tcPr>
            <w:tcW w:type="dxa" w:w="1440"/>
            <w:shd w:fill="FAFAFA" w:val="clear"/>
          </w:tcPr>
          <w:p>
            <w:r>
              <w:rPr>
                <w:sz w:val="17"/>
              </w:rPr>
              <w:t>2026-10-09</w:t>
            </w:r>
          </w:p>
        </w:tc>
        <w:tc>
          <w:tcPr>
            <w:tcW w:type="dxa" w:w="1440"/>
            <w:shd w:fill="FAFAFA" w:val="clear"/>
          </w:tcPr>
          <w:p>
            <w:r>
              <w:rPr>
                <w:sz w:val="17"/>
              </w:rPr>
              <w:t>13,365</w:t>
            </w:r>
          </w:p>
        </w:tc>
        <w:tc>
          <w:tcPr>
            <w:tcW w:type="dxa" w:w="1440"/>
            <w:shd w:fill="FAFAFA" w:val="clear"/>
          </w:tcPr>
          <w:p>
            <w:r>
              <w:rPr>
                <w:b/>
                <w:sz w:val="17"/>
              </w:rPr>
              <w:t>15,453</w:t>
            </w:r>
          </w:p>
        </w:tc>
        <w:tc>
          <w:tcPr>
            <w:tcW w:type="dxa" w:w="1440"/>
            <w:shd w:fill="FAFAFA" w:val="clear"/>
          </w:tcPr>
          <w:p>
            <w:r>
              <w:rPr>
                <w:sz w:val="17"/>
              </w:rPr>
              <w:t>17,541</w:t>
            </w:r>
          </w:p>
        </w:tc>
        <w:tc>
          <w:tcPr>
            <w:tcW w:type="dxa" w:w="1440"/>
            <w:shd w:fill="FAFAFA" w:val="clear"/>
          </w:tcPr>
          <w:p>
            <w:r>
              <w:rPr>
                <w:b/>
                <w:color w:val="008000"/>
                <w:sz w:val="17"/>
              </w:rPr>
              <w:t>+0.3%</w:t>
            </w:r>
          </w:p>
        </w:tc>
      </w:tr>
      <w:tr>
        <w:tc>
          <w:tcPr>
            <w:tcW w:type="dxa" w:w="1440"/>
            <w:shd w:fill="FAFAFA" w:val="clear"/>
          </w:tcPr>
          <w:p>
            <w:r>
              <w:rPr>
                <w:sz w:val="17"/>
              </w:rPr>
              <w:t>J+9  ⭐</w:t>
            </w:r>
          </w:p>
        </w:tc>
        <w:tc>
          <w:tcPr>
            <w:tcW w:type="dxa" w:w="1440"/>
            <w:shd w:fill="FAFAFA" w:val="clear"/>
          </w:tcPr>
          <w:p>
            <w:r>
              <w:rPr>
                <w:sz w:val="17"/>
              </w:rPr>
              <w:t>2026-10-12</w:t>
            </w:r>
          </w:p>
        </w:tc>
        <w:tc>
          <w:tcPr>
            <w:tcW w:type="dxa" w:w="1440"/>
            <w:shd w:fill="FAFAFA" w:val="clear"/>
          </w:tcPr>
          <w:p>
            <w:r>
              <w:rPr>
                <w:sz w:val="17"/>
              </w:rPr>
              <w:t>13,251</w:t>
            </w:r>
          </w:p>
        </w:tc>
        <w:tc>
          <w:tcPr>
            <w:tcW w:type="dxa" w:w="1440"/>
            <w:shd w:fill="FAFAFA" w:val="clear"/>
          </w:tcPr>
          <w:p>
            <w:r>
              <w:rPr>
                <w:b/>
                <w:sz w:val="17"/>
              </w:rPr>
              <w:t>15,467</w:t>
            </w:r>
          </w:p>
        </w:tc>
        <w:tc>
          <w:tcPr>
            <w:tcW w:type="dxa" w:w="1440"/>
            <w:shd w:fill="FAFAFA" w:val="clear"/>
          </w:tcPr>
          <w:p>
            <w:r>
              <w:rPr>
                <w:sz w:val="17"/>
              </w:rPr>
              <w:t>17,684</w:t>
            </w:r>
          </w:p>
        </w:tc>
        <w:tc>
          <w:tcPr>
            <w:tcW w:type="dxa" w:w="1440"/>
            <w:shd w:fill="FAFAFA" w:val="clear"/>
          </w:tcPr>
          <w:p>
            <w:r>
              <w:rPr>
                <w:b/>
                <w:color w:val="008000"/>
                <w:sz w:val="17"/>
              </w:rPr>
              <w:t>+0.4%</w:t>
            </w:r>
          </w:p>
        </w:tc>
      </w:tr>
      <w:tr>
        <w:tc>
          <w:tcPr>
            <w:tcW w:type="dxa" w:w="1440"/>
            <w:shd w:fill="FAFAFA" w:val="clear"/>
          </w:tcPr>
          <w:p>
            <w:r>
              <w:rPr>
                <w:sz w:val="17"/>
              </w:rPr>
              <w:t>J+10  ⭐</w:t>
            </w:r>
          </w:p>
        </w:tc>
        <w:tc>
          <w:tcPr>
            <w:tcW w:type="dxa" w:w="1440"/>
            <w:shd w:fill="FAFAFA" w:val="clear"/>
          </w:tcPr>
          <w:p>
            <w:r>
              <w:rPr>
                <w:sz w:val="17"/>
              </w:rPr>
              <w:t>2026-10-13</w:t>
            </w:r>
          </w:p>
        </w:tc>
        <w:tc>
          <w:tcPr>
            <w:tcW w:type="dxa" w:w="1440"/>
            <w:shd w:fill="FAFAFA" w:val="clear"/>
          </w:tcPr>
          <w:p>
            <w:r>
              <w:rPr>
                <w:sz w:val="17"/>
              </w:rPr>
              <w:t>13,143</w:t>
            </w:r>
          </w:p>
        </w:tc>
        <w:tc>
          <w:tcPr>
            <w:tcW w:type="dxa" w:w="1440"/>
            <w:shd w:fill="FAFAFA" w:val="clear"/>
          </w:tcPr>
          <w:p>
            <w:r>
              <w:rPr>
                <w:b/>
                <w:sz w:val="17"/>
              </w:rPr>
              <w:t>15,482</w:t>
            </w:r>
          </w:p>
        </w:tc>
        <w:tc>
          <w:tcPr>
            <w:tcW w:type="dxa" w:w="1440"/>
            <w:shd w:fill="FAFAFA" w:val="clear"/>
          </w:tcPr>
          <w:p>
            <w:r>
              <w:rPr>
                <w:sz w:val="17"/>
              </w:rPr>
              <w:t>17,820</w:t>
            </w:r>
          </w:p>
        </w:tc>
        <w:tc>
          <w:tcPr>
            <w:tcW w:type="dxa" w:w="1440"/>
            <w:shd w:fill="FAFAFA" w:val="clear"/>
          </w:tcPr>
          <w:p>
            <w:r>
              <w:rPr>
                <w:b/>
                <w:color w:val="008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 RAPPORT D'ANALYSE FINANCIÈRE — NESTLÉ CÔTE D'IVOIRE (NTLC)</w:t>
        <w:br/>
        <w:t>**Bourse Régionale des Valeurs Mobilières (BRVM) — Secteur : Biens de Consommation**</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Nestlé Côte d'Ivoire affiche une capitalisation boursière de 339,88 milliards FCFA, ce qui en fait l'une des plus importantes valorisations de la cote BRVM, positionnant le titre parmi les valeurs phares du compartiment « Biens de consommation ». Avec un BPA de 835 FCFA par action, chaque titre génère un bénéfice net substantiel, reflet de la solidité opérationnelle de l'entreprise. Le PER de 18,4x se situe nettement au-dessus de la moyenne du marché BRVM (estimée entre 8 et 12x), traduisant une prime de qualité que les investisseurs sont prêts à consentir pour cette valeur defensive. Le P/B de 11,49x, très supérieur au seuil de 4x, indique que le marché valorise l'entreprise bien au-delà de sa valeur comptable — une situation justifiée par un ROE exceptionnel de 62,28% qui compense largement cette prime. Enfin, l'EV/EBITDA de 9,2x, dans la fourchette raisonnable de 5-10x, suggère que la valeur totale de l'entreprise (incluant la dette) reste cohérente avec sa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NTLC a enregistré une progression remarquable de +29,41%, avec une dernière séance en hausse de +0,65% à 15 400 FCFA, confirmant un momentum haussier de court terme. Le range de trading s'établit entre un plus bas de 11 150 FCFA et un plus haut de 18 000 FCFA, soit une amplitude de 61,4% qui témoigne d'une volatilité significative sur la période. La tendance générale est donc clairement haussière, portée par des fondamentaux solides et un intérêt croissant des investisseurs pour les valeurs de consommation. Les statistiques descriptives révèlent une moyenne de 15 352 FCFA légèrement inférieure à la médiane de 15 995 FCFA, avec un mode à 16 900 FCFA — cet écart indique une distribution asymétrique où les journées de forte hausse tirent la médiane vers le haut. L'écart-type de 1 743 FCFA (CV = 11,4%) traduit une dispersion modérée du cours autour de sa moyenne, tandis que le kurtosis de -0,288 (mésokurtique) suggère une distribution proche de la normale, sans risque excessif de pics extrêmes. Le skewness de -0,940 (asymétrie négative) indique davantage de journées au-dessus de la moyenne, ce qui est cohérent avec la tendance haussière observée. Enfin, la volatilité annualisée de 37,0% positionne le titre dans la catégorie des valeurs à volatilité élevée (&gt;30%), ce qui implique un risque de marché non négligeable mais compensé par le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16 184 FCFA et la MM50 à 16 500,9 FCFA, toutes deux nettement supérieures au cours actuel de 15 400 FCFA. Cette configuration baissière — où le prix évolue sous ses moyennes mobiles — justifie la décision technique de « Vente » émise par le système. Le croisement potentiel de la MM20 sous la MM50 (death cross) renforcerait ce signal négatif si la pression vendeuse persiste.</w:t>
      </w:r>
    </w:p>
    <w:p>
      <w:pPr>
        <w:spacing w:after="120" w:line="276" w:lineRule="auto"/>
      </w:pPr>
      <w:r>
        <w:t>**Bandes de Bollinger** : Le cours actuel de 15 400 FCFA se situe dans la partie inférieure de la bande, entre la borne inférieure de 14 367,281 FCFA et la borne supérieure de 18 000,719 FCFA. Cette position proche de la borne basse indique une pression vendeuse récente, mais la décision « Neutre » suggère que le titre n'est pas encore en zone de survente extrême. La largeur des bandes (3 633 FCFA) reflète une volatilité élevée, cohérente avec l'écart-type observé.</w:t>
      </w:r>
    </w:p>
    <w:p>
      <w:pPr>
        <w:spacing w:after="120" w:line="276" w:lineRule="auto"/>
      </w:pPr>
      <w:r>
        <w:t>**MACD** : La valeur du MACD (-435,078) est inférieure à son signal (-308,607), confirmant un momentum baissier de court terme. La divergence négative entre ces deux lignes justifie la décision « Vente » et suggère que la pression baissière pourrait se poursuivre à court terme, bien que l'amplitude de l'écart reste modérée.</w:t>
      </w:r>
    </w:p>
    <w:p>
      <w:pPr>
        <w:spacing w:after="120" w:line="276" w:lineRule="auto"/>
      </w:pPr>
      <w:r>
        <w:t>**RSI** : Avec une valeur de 29,81, le RSI se situe juste en dessous du seuil de survente (30), déclenchant une décision « Achat » selon l'indicateur. Cette configuration indique que le titre pourrait être survendu et qu'un rebond technique est envisageable à court terme, offrant potentiellement une opportunité d'entrée pour les investisseurs contrarians.</w:t>
      </w:r>
    </w:p>
    <w:p>
      <w:pPr>
        <w:spacing w:after="120" w:line="276" w:lineRule="auto"/>
      </w:pPr>
      <w:r>
        <w:t>**Stochastique** : Le %K (37,5) est légèrement supérieur au %D (34,722), sans croisement significatif, et les deux valeurs se situent dans une zone neutre (entre 20 et 80). La décision « Neutre » reflète l'absence de signal directionnel clair, le titre n'étant ni en zone de surachat ni de survente selon cet indicateur.</w:t>
      </w:r>
    </w:p>
    <w:p>
      <w:pPr>
        <w:spacing w:after="120" w:line="276" w:lineRule="auto"/>
      </w:pPr>
      <w:r>
        <w:t>**Conclusion technique** : Les indicateurs techniques présentent une divergence notable : les moyennes mobiles et le MACD émettent des signaux baissiers, tandis que le RSI suggère une opportunité d'achat en zone de survente. Les Bandes de Bollinger et le Stochastique restent neutres. Cette configuration contrastée indique que le titre se trouve dans une phase de consolidation baissière de court terme, mais que la survente du RSI pourrait favoriser un rebond technique. La prudence est de mise, car la tendance de fond reste fragile tant que le cours n'aura pas reconquis ses moyennes mobiles.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Nestlé Côte d'Ivoire a réalisé un chiffre d'affaires de 233,261 milliards FCFA, en croissance de 5,97% par rapport à 2024. Le résultat net s'établit à 18,427 milliards FCFA, en légère hausse de 1,53%, avec une marge nette de 7,90% (contre 8,25% en 2024). Le ROE exceptionnel de 62,28% témoigne d'une rentabilité des fonds propres remarquable, bien que le ROA de 9,70% reflète la structure capitalistique de l'entreprise. La marge opérationnelle de 16,16% et l'EBE de 46,171 milliards FCFA confirment la solidité opérationnelle. Cependant, l'analyse du bilan révèle des points de vigilance : un BFR de 22,625 milliards FCFA (positif, donc défavorable), un fonds de roulement négatif de -24,206 milliards FCFA et une trésorerie nette de -46,831 milliards FCFA. Les délais clients (74,30 jours) et de stockage (59,39 jours) sont élevés, indiquant un risque de trésorerie. L'autonomie financière de 15,58% est faible (&lt;30%), avec un ratio d'endettement de 135,85% et une liquidité générale de 79,86% (&lt;1), signalant une structure financière tendue.</w:t>
      </w:r>
    </w:p>
    <w:p>
      <w:pPr>
        <w:spacing w:after="120" w:line="276" w:lineRule="auto"/>
      </w:pPr>
      <w:r>
        <w:t>**Estimations basées sur les rapports trimestriels** : Le rapport du T1 2026 (publié en 2026) révèle une accélération spectaculaire avec un CA de 70,822 milliards FCFA (+31% vs T1 2025) et un résultat net de 7,526 milliards FCFA (+37%), avec une marge nette améliorée à 10,6%. Sur cette base, on estime que l'exercice 2026 pourrait enregistrer une croissance du CA de l'ordre de 15-20%, avec un résultat net potentiellement supérieur à 22 milliards FCFA si la dynamique se maintient. Le rapport annuel 2025 (publié en 2026) confirme la stratégie de réinvestissement avec une réduction du dividende à 9,270 milliards FCFA (payout de 50,3% contre 99,7% en 2024), et une mise en réserve de 9,22 milliards FCFA pour financer la croissance. Le rapport du T3 2025 (daté du 30 septembre 2025) avait montré une contraction du résultat net de -21,3% sur 9 mois, mais le T1 2026 marque un net redressement.</w:t>
      </w:r>
    </w:p>
    <w:p>
      <w:pPr>
        <w:spacing w:after="120" w:line="276" w:lineRule="auto"/>
      </w:pPr>
      <w:r>
        <w:t>**Recommandation fondamentale** : Nestlé CI présente un profil de croissance solide porté par une marque leader et une demande résiliente, mais les risques liés à l'endettement élevé, à la trésorerie négative et à la pression sur les marges (notamment au T3 2025) incitent à la prudence. La stratégie de réinvestissement adoptée en 2025 pourrait générer une croissance future, mais elle réduit le rendement immédiat pour les actionnaires. La recommandation fondamentale est de **CONSERVER** le titre, avec une surveillance accrue de l'évolution des marges et de la structure financière.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le plan de la valorisation (Partie 0)** , le PER de 18,4x et le P/B de 11,49x indiquent une surévaluation relative par rapport au marché BRVM, mais cette prime est justifiée par un ROE exceptionnel de 62,28% et une position de leader. **Le comportement du cours (Partie 1)** montre une tendance haussière sur 100 jours (+29,41%) avec une volatilité élevée (37%), mais les statistiques (skewness négatif, kurtosis normal) suggèrent un risque de pics modéré. **Les signaux techniques (Partie 2)** sont divergents : baissiers pour les MM et le MACD, mais haussiers pour le RSI en zone de survente, créant une incertitude directionnelle à court terme. **Les fondamentaux (Partie 3)** sont solides avec un CA de 233,261 milliards FCFA en 2025 et une accélération au T1 2026 (+31% de CA, +37% de résultat net), mais les risques financiers (endettement, trésorerie négative) et la réduction du dividende tempèrent l'optimisme. **Les prédictions IA (J+1 à J+10)** anticipent une légère reprise progressive de 15 314 FCFA à 15 408 FCFA, confirmant un rebond technique modéré mais sans rupture haussière majeure.</w:t>
      </w:r>
    </w:p>
    <w:p>
      <w:pPr>
        <w:spacing w:after="120" w:line="276" w:lineRule="auto"/>
      </w:pPr>
      <w:r>
        <w:t>**Recommandation finale : CONSERVER**</w:t>
        <w:br/>
        <w:t>**Justification** : La convergence entre une valorisation exigeante, des signaux techniques mitigés et des fondamentaux solides mais risqués plaide pour une position d'attente. Le titre offre un potentiel de revalorisation à moyen terme grâce à la dynamique du T1 2026, mais le manque de rendement immédiat (dividende réduit) et les risques financiers limitent l'attrait à court terme.</w:t>
        <w:br/>
        <w:t>**Niveau de confiance** : Moyen — les indicateurs sont divergents et les prédictions IA n'apportent pas de signal fort.</w:t>
        <w:br/>
        <w:t>**Niveau de risque global** : Moyen à Élevé — volatilité de 37%, endettement élevé et trésorerie négative.</w:t>
        <w:br/>
        <w:t>**Horizon d'investissement optimal** : Moyen terme (3-12 mois) — pour capter la revalorisation potentielle liée aux investissements et à l'amélioration des marges, tout en surveillant les prochaines publications trimestrielles.</w:t>
      </w:r>
    </w:p>
    <w:p>
      <w:pPr>
        <w:spacing w:after="120" w:line="276" w:lineRule="auto"/>
      </w:pPr>
      <w:r>
        <w:t>---</w:t>
      </w:r>
    </w:p>
    <w:p>
      <w:pPr>
        <w:spacing w:after="120" w:line="276" w:lineRule="auto"/>
      </w:pPr>
      <w:r>
        <w:t>*Rapport généré sur la base des données officielles BRVM, des états financiers 2025 et des rapports trimestriels disponibles. Les estimations sont indicatives et ne constituent pas une garantie de performance future.*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23.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200.60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5,422 titres</w:t>
            </w:r>
          </w:p>
        </w:tc>
        <w:tc>
          <w:tcPr>
            <w:tcW w:type="dxa" w:w="2268"/>
            <w:shd w:fill="FFF2CC" w:val="clear"/>
          </w:tcPr>
          <w:p>
            <w:r>
              <w:rPr>
                <w:b/>
                <w:color w:val="503200"/>
                <w:sz w:val="16"/>
              </w:rPr>
              <w:t xml:space="preserve">Cours actuel : </w:t>
            </w:r>
            <w:r>
              <w:rPr>
                <w:color w:val="000000"/>
                <w:sz w:val="17"/>
              </w:rPr>
              <w:t>2,950 FCFA</w:t>
            </w:r>
          </w:p>
          <w:p>
            <w:r>
              <w:rPr>
                <w:b/>
                <w:color w:val="503200"/>
                <w:sz w:val="16"/>
              </w:rPr>
              <w:t xml:space="preserve">Var. 100 jours : </w:t>
            </w:r>
            <w:r>
              <w:rPr>
                <w:b/>
                <w:color w:val="007800"/>
                <w:sz w:val="17"/>
              </w:rPr>
              <w:t>+8.86%</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2.86% (Faible) — μ=2,845 FCFA, σ=81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β=0.5112 (Défensif) — Cov=0.000035, Var(idx)=0.000069, ρ=0.205,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σ_j=2.04%/j (Stable) — Vol. annualisée≈32.5%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2026-09-30</w:t>
            </w:r>
          </w:p>
        </w:tc>
        <w:tc>
          <w:tcPr>
            <w:tcW w:type="dxa" w:w="1440"/>
            <w:shd w:fill="FAFAFA" w:val="clear"/>
          </w:tcPr>
          <w:p>
            <w:r>
              <w:rPr>
                <w:sz w:val="17"/>
              </w:rPr>
              <w:t>2,831</w:t>
            </w:r>
          </w:p>
        </w:tc>
        <w:tc>
          <w:tcPr>
            <w:tcW w:type="dxa" w:w="1440"/>
            <w:shd w:fill="FAFAFA" w:val="clear"/>
          </w:tcPr>
          <w:p>
            <w:r>
              <w:rPr>
                <w:b/>
                <w:sz w:val="17"/>
              </w:rPr>
              <w:t>2,933</w:t>
            </w:r>
          </w:p>
        </w:tc>
        <w:tc>
          <w:tcPr>
            <w:tcW w:type="dxa" w:w="1440"/>
            <w:shd w:fill="FAFAFA" w:val="clear"/>
          </w:tcPr>
          <w:p>
            <w:r>
              <w:rPr>
                <w:sz w:val="17"/>
              </w:rPr>
              <w:t>3,035</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2026-10-01</w:t>
            </w:r>
          </w:p>
        </w:tc>
        <w:tc>
          <w:tcPr>
            <w:tcW w:type="dxa" w:w="1440"/>
            <w:shd w:fill="FAFAFA" w:val="clear"/>
          </w:tcPr>
          <w:p>
            <w:r>
              <w:rPr>
                <w:sz w:val="17"/>
              </w:rPr>
              <w:t>2,784</w:t>
            </w:r>
          </w:p>
        </w:tc>
        <w:tc>
          <w:tcPr>
            <w:tcW w:type="dxa" w:w="1440"/>
            <w:shd w:fill="FAFAFA" w:val="clear"/>
          </w:tcPr>
          <w:p>
            <w:r>
              <w:rPr>
                <w:b/>
                <w:sz w:val="17"/>
              </w:rPr>
              <w:t>2,928</w:t>
            </w:r>
          </w:p>
        </w:tc>
        <w:tc>
          <w:tcPr>
            <w:tcW w:type="dxa" w:w="1440"/>
            <w:shd w:fill="FAFAFA" w:val="clear"/>
          </w:tcPr>
          <w:p>
            <w:r>
              <w:rPr>
                <w:sz w:val="17"/>
              </w:rPr>
              <w:t>3,071</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2026-10-02</w:t>
            </w:r>
          </w:p>
        </w:tc>
        <w:tc>
          <w:tcPr>
            <w:tcW w:type="dxa" w:w="1440"/>
            <w:shd w:fill="FAFAFA" w:val="clear"/>
          </w:tcPr>
          <w:p>
            <w:r>
              <w:rPr>
                <w:sz w:val="17"/>
              </w:rPr>
              <w:t>2,744</w:t>
            </w:r>
          </w:p>
        </w:tc>
        <w:tc>
          <w:tcPr>
            <w:tcW w:type="dxa" w:w="1440"/>
            <w:shd w:fill="FAFAFA" w:val="clear"/>
          </w:tcPr>
          <w:p>
            <w:r>
              <w:rPr>
                <w:b/>
                <w:sz w:val="17"/>
              </w:rPr>
              <w:t>2,920</w:t>
            </w:r>
          </w:p>
        </w:tc>
        <w:tc>
          <w:tcPr>
            <w:tcW w:type="dxa" w:w="1440"/>
            <w:shd w:fill="FAFAFA" w:val="clear"/>
          </w:tcPr>
          <w:p>
            <w:r>
              <w:rPr>
                <w:sz w:val="17"/>
              </w:rPr>
              <w:t>3,096</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2026-10-05</w:t>
            </w:r>
          </w:p>
        </w:tc>
        <w:tc>
          <w:tcPr>
            <w:tcW w:type="dxa" w:w="1440"/>
            <w:shd w:fill="FAFAFA" w:val="clear"/>
          </w:tcPr>
          <w:p>
            <w:r>
              <w:rPr>
                <w:sz w:val="17"/>
              </w:rPr>
              <w:t>2,710</w:t>
            </w:r>
          </w:p>
        </w:tc>
        <w:tc>
          <w:tcPr>
            <w:tcW w:type="dxa" w:w="1440"/>
            <w:shd w:fill="FAFAFA" w:val="clear"/>
          </w:tcPr>
          <w:p>
            <w:r>
              <w:rPr>
                <w:b/>
                <w:sz w:val="17"/>
              </w:rPr>
              <w:t>2,912</w:t>
            </w:r>
          </w:p>
        </w:tc>
        <w:tc>
          <w:tcPr>
            <w:tcW w:type="dxa" w:w="1440"/>
            <w:shd w:fill="FAFAFA" w:val="clear"/>
          </w:tcPr>
          <w:p>
            <w:r>
              <w:rPr>
                <w:sz w:val="17"/>
              </w:rPr>
              <w:t>3,115</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2026-10-06</w:t>
            </w:r>
          </w:p>
        </w:tc>
        <w:tc>
          <w:tcPr>
            <w:tcW w:type="dxa" w:w="1440"/>
            <w:shd w:fill="FAFAFA" w:val="clear"/>
          </w:tcPr>
          <w:p>
            <w:r>
              <w:rPr>
                <w:sz w:val="17"/>
              </w:rPr>
              <w:t>2,679</w:t>
            </w:r>
          </w:p>
        </w:tc>
        <w:tc>
          <w:tcPr>
            <w:tcW w:type="dxa" w:w="1440"/>
            <w:shd w:fill="FAFAFA" w:val="clear"/>
          </w:tcPr>
          <w:p>
            <w:r>
              <w:rPr>
                <w:b/>
                <w:sz w:val="17"/>
              </w:rPr>
              <w:t>2,905</w:t>
            </w:r>
          </w:p>
        </w:tc>
        <w:tc>
          <w:tcPr>
            <w:tcW w:type="dxa" w:w="1440"/>
            <w:shd w:fill="FAFAFA" w:val="clear"/>
          </w:tcPr>
          <w:p>
            <w:r>
              <w:rPr>
                <w:sz w:val="17"/>
              </w:rPr>
              <w:t>3,131</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2026-10-07</w:t>
            </w:r>
          </w:p>
        </w:tc>
        <w:tc>
          <w:tcPr>
            <w:tcW w:type="dxa" w:w="1440"/>
            <w:shd w:fill="FAFAFA" w:val="clear"/>
          </w:tcPr>
          <w:p>
            <w:r>
              <w:rPr>
                <w:sz w:val="17"/>
              </w:rPr>
              <w:t>2,651</w:t>
            </w:r>
          </w:p>
        </w:tc>
        <w:tc>
          <w:tcPr>
            <w:tcW w:type="dxa" w:w="1440"/>
            <w:shd w:fill="FAFAFA" w:val="clear"/>
          </w:tcPr>
          <w:p>
            <w:r>
              <w:rPr>
                <w:b/>
                <w:sz w:val="17"/>
              </w:rPr>
              <w:t>2,898</w:t>
            </w:r>
          </w:p>
        </w:tc>
        <w:tc>
          <w:tcPr>
            <w:tcW w:type="dxa" w:w="1440"/>
            <w:shd w:fill="FAFAFA" w:val="clear"/>
          </w:tcPr>
          <w:p>
            <w:r>
              <w:rPr>
                <w:sz w:val="17"/>
              </w:rPr>
              <w:t>3,144</w:t>
            </w:r>
          </w:p>
        </w:tc>
        <w:tc>
          <w:tcPr>
            <w:tcW w:type="dxa" w:w="1440"/>
            <w:shd w:fill="FAFAFA" w:val="clear"/>
          </w:tcPr>
          <w:p>
            <w:r>
              <w:rPr>
                <w:b/>
                <w:color w:val="C00000"/>
                <w:sz w:val="17"/>
              </w:rPr>
              <w:t>-1.8%</w:t>
            </w:r>
          </w:p>
        </w:tc>
      </w:tr>
      <w:tr>
        <w:tc>
          <w:tcPr>
            <w:tcW w:type="dxa" w:w="1440"/>
            <w:shd w:fill="FFDCE0" w:val="clear"/>
          </w:tcPr>
          <w:p>
            <w:r>
              <w:rPr>
                <w:sz w:val="17"/>
              </w:rPr>
              <w:t>J+7  ⭐</w:t>
            </w:r>
          </w:p>
        </w:tc>
        <w:tc>
          <w:tcPr>
            <w:tcW w:type="dxa" w:w="1440"/>
            <w:shd w:fill="FFDCE0" w:val="clear"/>
          </w:tcPr>
          <w:p>
            <w:r>
              <w:rPr>
                <w:sz w:val="17"/>
              </w:rPr>
              <w:t>2026-10-08</w:t>
            </w:r>
          </w:p>
        </w:tc>
        <w:tc>
          <w:tcPr>
            <w:tcW w:type="dxa" w:w="1440"/>
            <w:shd w:fill="FFDCE0" w:val="clear"/>
          </w:tcPr>
          <w:p>
            <w:r>
              <w:rPr>
                <w:sz w:val="17"/>
              </w:rPr>
              <w:t>2,625</w:t>
            </w:r>
          </w:p>
        </w:tc>
        <w:tc>
          <w:tcPr>
            <w:tcW w:type="dxa" w:w="1440"/>
            <w:shd w:fill="FFDCE0" w:val="clear"/>
          </w:tcPr>
          <w:p>
            <w:r>
              <w:rPr>
                <w:b/>
                <w:sz w:val="17"/>
              </w:rPr>
              <w:t>2,890</w:t>
            </w:r>
          </w:p>
        </w:tc>
        <w:tc>
          <w:tcPr>
            <w:tcW w:type="dxa" w:w="1440"/>
            <w:shd w:fill="FFDCE0" w:val="clear"/>
          </w:tcPr>
          <w:p>
            <w:r>
              <w:rPr>
                <w:sz w:val="17"/>
              </w:rPr>
              <w:t>3,156</w:t>
            </w:r>
          </w:p>
        </w:tc>
        <w:tc>
          <w:tcPr>
            <w:tcW w:type="dxa" w:w="1440"/>
            <w:shd w:fill="FFDCE0"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2026-10-09</w:t>
            </w:r>
          </w:p>
        </w:tc>
        <w:tc>
          <w:tcPr>
            <w:tcW w:type="dxa" w:w="1440"/>
            <w:shd w:fill="FFDCE0" w:val="clear"/>
          </w:tcPr>
          <w:p>
            <w:r>
              <w:rPr>
                <w:sz w:val="17"/>
              </w:rPr>
              <w:t>2,600</w:t>
            </w:r>
          </w:p>
        </w:tc>
        <w:tc>
          <w:tcPr>
            <w:tcW w:type="dxa" w:w="1440"/>
            <w:shd w:fill="FFDCE0" w:val="clear"/>
          </w:tcPr>
          <w:p>
            <w:r>
              <w:rPr>
                <w:b/>
                <w:sz w:val="17"/>
              </w:rPr>
              <w:t>2,883</w:t>
            </w:r>
          </w:p>
        </w:tc>
        <w:tc>
          <w:tcPr>
            <w:tcW w:type="dxa" w:w="1440"/>
            <w:shd w:fill="FFDCE0" w:val="clear"/>
          </w:tcPr>
          <w:p>
            <w:r>
              <w:rPr>
                <w:sz w:val="17"/>
              </w:rPr>
              <w:t>3,166</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2026-10-12</w:t>
            </w:r>
          </w:p>
        </w:tc>
        <w:tc>
          <w:tcPr>
            <w:tcW w:type="dxa" w:w="1440"/>
            <w:shd w:fill="FFDCE0" w:val="clear"/>
          </w:tcPr>
          <w:p>
            <w:r>
              <w:rPr>
                <w:sz w:val="17"/>
              </w:rPr>
              <w:t>2,576</w:t>
            </w:r>
          </w:p>
        </w:tc>
        <w:tc>
          <w:tcPr>
            <w:tcW w:type="dxa" w:w="1440"/>
            <w:shd w:fill="FFDCE0" w:val="clear"/>
          </w:tcPr>
          <w:p>
            <w:r>
              <w:rPr>
                <w:b/>
                <w:sz w:val="17"/>
              </w:rPr>
              <w:t>2,876</w:t>
            </w:r>
          </w:p>
        </w:tc>
        <w:tc>
          <w:tcPr>
            <w:tcW w:type="dxa" w:w="1440"/>
            <w:shd w:fill="FFDCE0" w:val="clear"/>
          </w:tcPr>
          <w:p>
            <w:r>
              <w:rPr>
                <w:sz w:val="17"/>
              </w:rPr>
              <w:t>3,176</w:t>
            </w:r>
          </w:p>
        </w:tc>
        <w:tc>
          <w:tcPr>
            <w:tcW w:type="dxa" w:w="1440"/>
            <w:shd w:fill="FFDCE0" w:val="clear"/>
          </w:tcPr>
          <w:p>
            <w:r>
              <w:rPr>
                <w:b/>
                <w:color w:val="C00000"/>
                <w:sz w:val="17"/>
              </w:rPr>
              <w:t>-2.5%</w:t>
            </w:r>
          </w:p>
        </w:tc>
      </w:tr>
      <w:tr>
        <w:tc>
          <w:tcPr>
            <w:tcW w:type="dxa" w:w="1440"/>
            <w:shd w:fill="FFDCE0" w:val="clear"/>
          </w:tcPr>
          <w:p>
            <w:r>
              <w:rPr>
                <w:sz w:val="17"/>
              </w:rPr>
              <w:t>J+10  ⭐</w:t>
            </w:r>
          </w:p>
        </w:tc>
        <w:tc>
          <w:tcPr>
            <w:tcW w:type="dxa" w:w="1440"/>
            <w:shd w:fill="FFDCE0" w:val="clear"/>
          </w:tcPr>
          <w:p>
            <w:r>
              <w:rPr>
                <w:sz w:val="17"/>
              </w:rPr>
              <w:t>2026-10-13</w:t>
            </w:r>
          </w:p>
        </w:tc>
        <w:tc>
          <w:tcPr>
            <w:tcW w:type="dxa" w:w="1440"/>
            <w:shd w:fill="FFDCE0" w:val="clear"/>
          </w:tcPr>
          <w:p>
            <w:r>
              <w:rPr>
                <w:sz w:val="17"/>
              </w:rPr>
              <w:t>2,554</w:t>
            </w:r>
          </w:p>
        </w:tc>
        <w:tc>
          <w:tcPr>
            <w:tcW w:type="dxa" w:w="1440"/>
            <w:shd w:fill="FFDCE0" w:val="clear"/>
          </w:tcPr>
          <w:p>
            <w:r>
              <w:rPr>
                <w:b/>
                <w:sz w:val="17"/>
              </w:rPr>
              <w:t>2,869</w:t>
            </w:r>
          </w:p>
        </w:tc>
        <w:tc>
          <w:tcPr>
            <w:tcW w:type="dxa" w:w="1440"/>
            <w:shd w:fill="FFDCE0" w:val="clear"/>
          </w:tcPr>
          <w:p>
            <w:r>
              <w:rPr>
                <w:sz w:val="17"/>
              </w:rPr>
              <w:t>3,184</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 Burkina Faso)**</w:t>
        <w:br/>
        <w:t>*Analyste : Marché BRVM | Date de l'analyse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200,60 milliards FCFA pour un cours de 2 950 FCFA, ONTBF figure parmi les valeurs moyennes-capitalisations de la cote BRVM, loin derrière Sonatel mais devant la majorité des titres de la place. Le BPA de 234 FCFA/action signifie que chaque titre génère près de 234 FCFA de bénéfice net, ce qui, rapporté au cours actuel, donne un PER de 12,6x — légèrement supérieur à la moyenne BRVM (8-12x), traduisant une prime modérée pour la qualité de l'émetteur mais aussi une certaine cherté relative après la correction des bénéfices. Le P/B de 3,49x indique que le marché valorise ONTBF à plus de trois fois ses fonds propres comptables (57,54 Mds FCFA), une prime de croissance justifiée par un ROE exceptionnel de 27,6%. Enfin, l'EV/EBITDA de 5,2x situe la valeur totale (capitalisation + dette nette) à un niveau raisonnable face à la capacité opérationnelle dégagée (EBE de 56,73 Mds FCFA), suggérant que le marché n'intègre pas de surévaluation manifeste malgré le repli des marges.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ONTBF affiche une progression totale de +8,86%, avec un cours actuel de 2 950 FCFA et une variation nulle sur la dernière séance (J-1 : +0,00%), signe d'une stabilisation après la récente poussée haussière. Le range de trading s'étend de 2 675 FCFA (plus bas) à 3 070 FCFA (plus haut), soit une amplitude de 395 FCFA (~14,8%), reflétant une tendance globalement haussière mais ponctuée de corrections. La moyenne (2 845 FCFA) et la médiane (2 850 FCFA) sont quasi identiques, confirmant une distribution symétrique du cours sur la période, sans biais directionnel marqué. L'écart-type de 82 FCFA avec un coefficient de variation de 2,9% indique une dispersion très faible autour de la moyenne, caractéristique d'un titre peu agité en séance. Le kurtosis de -0,270 (mésokurtique) et le skewness de 0,006 (distribution symétrique) suggèrent l'absence de pics extrêmes ou d'asymétrie notable — un comportement de cours « normal » et prévisible. La volatilité annualisée de 32,5% classe toutefois ONTBF dans la catégorie des titres à volatilité élevée (&gt;30%), ce qui contraste avec la stabilité intra-période et traduit des mouvements directionnels amples sur des horizons plus longs.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(2 883,75 FCFA) et la MM50 (2 875,10 FCFA) se situent toutes deux sous le cours actuel (2 950 FCFA), avec une MM20 légèrement au-dessus de la MM50 — configuration haussière classique (croisement doré récent). Le cours évoluant au-dessus de ses deux moyennes, la dynamique de court et moyen terme est positive, ce qui justifie la décision technique « Achat ».</w:t>
      </w:r>
    </w:p>
    <w:p>
      <w:pPr>
        <w:spacing w:after="120" w:line="276" w:lineRule="auto"/>
      </w:pPr>
      <w:r>
        <w:t>**Bandes de Bollinger** : Le cours (2 950 FCFA) se situe dans la moitié supérieure de la bande, entre la borne inférieure (2 767,63 FCFA) et la borne supérieure (2 999,87 FCFA), sans la franchir. Cette position proche de la borne haute, combinée à un écart-type de 82 FCFA, indique une volatilité contenue et un potentiel de résistance autour de 3 000 FCFA. La décision « Neutre » reflète l'absence de signal de surachat ou de survente.</w:t>
      </w:r>
    </w:p>
    <w:p>
      <w:pPr>
        <w:spacing w:after="120" w:line="276" w:lineRule="auto"/>
      </w:pPr>
      <w:r>
        <w:t>**MACD** : La ligne MACD (10,981) est nettement au-dessus de sa ligne de signal (4,898), avec un histogramme positif et croissant — signal haussier confirmé. Ce différentiel traduit un momentum acheteur soutenu, justifiant la décision « Achat ».</w:t>
      </w:r>
    </w:p>
    <w:p>
      <w:pPr>
        <w:spacing w:after="120" w:line="276" w:lineRule="auto"/>
      </w:pPr>
      <w:r>
        <w:t>**RSI** : À 56,061, le RSI se situe en zone neutre (30-70), sans approcher la zone de surachat (&gt;70) ni de survente (&lt;30). Cela indique que le titre dispose encore d'un potentiel de hausse sans être techniquement « tendu », d'où la décision « Neutre » qui n'invalide pas la tendance haussière.</w:t>
      </w:r>
    </w:p>
    <w:p>
      <w:pPr>
        <w:spacing w:after="120" w:line="276" w:lineRule="auto"/>
      </w:pPr>
      <w:r>
        <w:t>**Stochastique** : Le %K (79,167) et le %D (80,556) évoluent en zone haute, proche du seuil de surachat (80), avec un %K légèrement sous le %D — configuration de quasi-croisement baissier qui appelle à la prudence. La décision « Neutre » signale un essoufflement possible du momentum à court terme.</w:t>
      </w:r>
    </w:p>
    <w:p>
      <w:pPr>
        <w:spacing w:after="120" w:line="276" w:lineRule="auto"/>
      </w:pPr>
      <w:r>
        <w:t>**Conclusion technique** : Les indicateurs convergent majoritairement vers un biais haussier (MM, MACD) mais avec des signaux de tempérance (Bollinger, RSI, Stochastique) suggérant une consolidation imminente. Le titre est techniquement bien orienté mais approche une zone de résistance (3 000 FCFA) où la prudence s'impose. Un repli vers 2 880-2 900 FCFA constituerait un point d'entrée plus favorable.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ONTBF (secteur télécoms, traité ici avec les métriques adaptées) a réalisé un chiffre d'affaires de 146,177 Mds FCFA, en hausse de 3,06% sur un an, porté par le FTTH (+33% de parc), l'Internet mobile (+5%) et le Mobile Money (+14%). Le résultat net s'établit à 15,887 Mds FCFA, en chute de 26% par rapport aux 21,471 Mds FCFA de 2024, sous l'effet d'une compression des marges (marge nette de 10,87% contre 15,1% en 2024) et d'une hausse des charges opérationnelles (énergie, maintenance en zones sécuritaires, indemnités de fin d'engagement, sanction ARCEP de 1,543 Md FCFA). Le ROE reste néanmoins excellent à 27,61% (contre 34,3% en 2024), et le ROA s'établit à 4,89%, confirmant la forte rentabilité des fonds propres malgré la dégradation. La structure bilancielle révèle une autonomie financière faible (17,71% de capitaux propres/total bilan) et un ratio d'endettement élevé (186,99%), typique d'un opérateur télécom en phase d'investissement lourd (CAPEX de 45,2 Mds FCFA en 2025). La trésorerie nette reste positive à 10,649 Mds FCFA, et la CAF de 46,952 Mds FCFA couvre largement le service de la dette (capacité de remboursement de 2,29 années). Les rapports trimestriels 2026 confirment la tendance : au T1 2026 (rapport du 30 avril 2026), le CA progresse de 2,7% à 37,1 Mds FCFA avec un taux de marge EBITDA maintenu à 41,3% et un résultat net de 3,577 Mds FCFA (marge nette de 9,6%), tandis que le parc clients atteint 12,65 millions (+3,3%). Sur la base de ce T1 2026, on peut estimer que l'exercice 2026 devrait enregistrer une croissance du CA de l'ordre de 2,5-3%, avec un résultat net potentiellement stabilisé autour de 15-16 Mds FCFA si les efforts d'optimisation des coûts annoncés portent leurs fruits. La politique de dividende reste généreuse (166,0816 FCFA/action, soit un rendement de ~5,6% au cours actuel), mais son taux de distribution de 70% apparaît tendu au regard de la baisse des bénéfices. En synthèse, ONTBF demeure un actif défensif solide (leader télécom, cash-flows robustes, notation GCR A+(WU)), mais la dégradation continue de la rentabilité et les risques réglementaires/sécuritaires limitent le potentiel de revalorisation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raisonnable mais non décotée : PER de 12,6x légèrement supérieur à la moyenne BRVM, P/B de 3,49x traduisant une prime de qualité, et EV/EBITDA de 5,2x sans excès — le marché intègre déjà la solidité de l'émetteur mais pas de surévaluation flagrante. Le comportement du cours (Partie 1) est favorable (+8,86% sur 100 jours, distribution symétrique, faible dispersion) mais la volatilité annualisée de 32,5% et la proximité de la résistance des 3 000 FCFA invitent à la prudence. Les signaux techniques (Partie 2) sont majoritairement haussiers (MM20 &gt; MM50, MACD positif) mais tempérés par un RSI neutre et un stochastique proche du surachat, plaidant pour une consolidation avant toute nouvelle poussée. Les fondamentaux (Partie 3) révèlent un contraste : croissance du CA (+3,1% en 2025, +2,7% au T1 2026) et rentabilité des fonds propres excellente (ROE 27,6%), mais effondrement du résultat net (-26% en 2025) et endettement élevé (186,99%). Les prédictions IA (J+1 à J+10) anticipent une légère érosion du cours de 2 933 FCFA à 2 905 FCFA, confirmant la thèse d'une consolidation à court terme sans rupture baissière majeure. **Recommandation finale : CONSERVER.** La convergence entre une valorisation correcte, des fondamentaux solides mais en dégradation, et des signaux techniques haussiers mais essoufflés ne justifie ni un achat agressif (compte tenu de la baisse des bénéfices et des risques réglementaires), ni une vente (la génération de cash et le dividende attractif protègent le titre). Le niveau de confiance est **Moyen** (incertitude sur la capacité à restaurer les marges), et le risque global est **Moyen** (endettement élevé, contexte sécuritaire, pression concurrentielle). L'horizon d'investissement optimal est le **moyen terme (3-12 mois)**, en attendant les preuves tangibles d'amélioration de la rentabilité opérationnelle et la confirmation de la stratégie de reconquête du leadership annoncée pour 2026.</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24.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3285.04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3,447 titres</w:t>
            </w:r>
          </w:p>
        </w:tc>
        <w:tc>
          <w:tcPr>
            <w:tcW w:type="dxa" w:w="2268"/>
            <w:shd w:fill="FFF2CC" w:val="clear"/>
          </w:tcPr>
          <w:p>
            <w:r>
              <w:rPr>
                <w:b/>
                <w:color w:val="503200"/>
                <w:sz w:val="16"/>
              </w:rPr>
              <w:t xml:space="preserve">Cours actuel : </w:t>
            </w:r>
            <w:r>
              <w:rPr>
                <w:color w:val="000000"/>
                <w:sz w:val="17"/>
              </w:rPr>
              <w:t>21,805 FCFA</w:t>
            </w:r>
          </w:p>
          <w:p>
            <w:r>
              <w:rPr>
                <w:b/>
                <w:color w:val="503200"/>
                <w:sz w:val="16"/>
              </w:rPr>
              <w:t xml:space="preserve">Var. 100 jours : </w:t>
            </w:r>
            <w:r>
              <w:rPr>
                <w:b/>
                <w:color w:val="007800"/>
                <w:sz w:val="17"/>
              </w:rPr>
              <w:t>+43.45%</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14,900 FCFA</w:t>
            </w:r>
          </w:p>
          <w:p>
            <w:r>
              <w:rPr>
                <w:b/>
                <w:color w:val="503200"/>
                <w:sz w:val="16"/>
              </w:rPr>
              <w:t xml:space="preserve">Volatilité ann. : </w:t>
            </w:r>
            <w:r>
              <w:rPr>
                <w:color w:val="000000"/>
                <w:sz w:val="17"/>
              </w:rPr>
              <w:t>30.5%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13.73% (Moyenne) — μ=17,782 FCFA, σ=2,441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β=1.2045 (Agressif) — Cov=0.000083, Var(idx)=0.000069, ρ=0.515,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3,447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σ_j=1.92%/j (Stable) — Vol. annualisée≈30.5%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8627"/>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2026-09-30</w:t>
            </w:r>
          </w:p>
        </w:tc>
        <w:tc>
          <w:tcPr>
            <w:tcW w:type="dxa" w:w="1440"/>
            <w:shd w:fill="FAFAFA" w:val="clear"/>
          </w:tcPr>
          <w:p>
            <w:r>
              <w:rPr>
                <w:sz w:val="17"/>
              </w:rPr>
              <w:t>20,674</w:t>
            </w:r>
          </w:p>
        </w:tc>
        <w:tc>
          <w:tcPr>
            <w:tcW w:type="dxa" w:w="1440"/>
            <w:shd w:fill="FAFAFA" w:val="clear"/>
          </w:tcPr>
          <w:p>
            <w:r>
              <w:rPr>
                <w:b/>
                <w:sz w:val="17"/>
              </w:rPr>
              <w:t>21,483</w:t>
            </w:r>
          </w:p>
        </w:tc>
        <w:tc>
          <w:tcPr>
            <w:tcW w:type="dxa" w:w="1440"/>
            <w:shd w:fill="FAFAFA" w:val="clear"/>
          </w:tcPr>
          <w:p>
            <w:r>
              <w:rPr>
                <w:sz w:val="17"/>
              </w:rPr>
              <w:t>22,293</w:t>
            </w:r>
          </w:p>
        </w:tc>
        <w:tc>
          <w:tcPr>
            <w:tcW w:type="dxa" w:w="1440"/>
            <w:shd w:fill="FAFAFA" w:val="clear"/>
          </w:tcPr>
          <w:p>
            <w:r>
              <w:rPr>
                <w:b/>
                <w:color w:val="C00000"/>
                <w:sz w:val="17"/>
              </w:rPr>
              <w:t>-1.5%</w:t>
            </w:r>
          </w:p>
        </w:tc>
      </w:tr>
      <w:tr>
        <w:tc>
          <w:tcPr>
            <w:tcW w:type="dxa" w:w="1440"/>
            <w:shd w:fill="FAFAFA" w:val="clear"/>
          </w:tcPr>
          <w:p>
            <w:r>
              <w:rPr>
                <w:sz w:val="17"/>
              </w:rPr>
              <w:t>J+2  ⭐</w:t>
            </w:r>
          </w:p>
        </w:tc>
        <w:tc>
          <w:tcPr>
            <w:tcW w:type="dxa" w:w="1440"/>
            <w:shd w:fill="FAFAFA" w:val="clear"/>
          </w:tcPr>
          <w:p>
            <w:r>
              <w:rPr>
                <w:sz w:val="17"/>
              </w:rPr>
              <w:t>2026-10-01</w:t>
            </w:r>
          </w:p>
        </w:tc>
        <w:tc>
          <w:tcPr>
            <w:tcW w:type="dxa" w:w="1440"/>
            <w:shd w:fill="FAFAFA" w:val="clear"/>
          </w:tcPr>
          <w:p>
            <w:r>
              <w:rPr>
                <w:sz w:val="17"/>
              </w:rPr>
              <w:t>20,372</w:t>
            </w:r>
          </w:p>
        </w:tc>
        <w:tc>
          <w:tcPr>
            <w:tcW w:type="dxa" w:w="1440"/>
            <w:shd w:fill="FAFAFA" w:val="clear"/>
          </w:tcPr>
          <w:p>
            <w:r>
              <w:rPr>
                <w:b/>
                <w:sz w:val="17"/>
              </w:rPr>
              <w:t>21,518</w:t>
            </w:r>
          </w:p>
        </w:tc>
        <w:tc>
          <w:tcPr>
            <w:tcW w:type="dxa" w:w="1440"/>
            <w:shd w:fill="FAFAFA" w:val="clear"/>
          </w:tcPr>
          <w:p>
            <w:r>
              <w:rPr>
                <w:sz w:val="17"/>
              </w:rPr>
              <w:t>22,665</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2026-10-02</w:t>
            </w:r>
          </w:p>
        </w:tc>
        <w:tc>
          <w:tcPr>
            <w:tcW w:type="dxa" w:w="1440"/>
            <w:shd w:fill="FAFAFA" w:val="clear"/>
          </w:tcPr>
          <w:p>
            <w:r>
              <w:rPr>
                <w:sz w:val="17"/>
              </w:rPr>
              <w:t>20,118</w:t>
            </w:r>
          </w:p>
        </w:tc>
        <w:tc>
          <w:tcPr>
            <w:tcW w:type="dxa" w:w="1440"/>
            <w:shd w:fill="FAFAFA" w:val="clear"/>
          </w:tcPr>
          <w:p>
            <w:r>
              <w:rPr>
                <w:b/>
                <w:sz w:val="17"/>
              </w:rPr>
              <w:t>21,522</w:t>
            </w:r>
          </w:p>
        </w:tc>
        <w:tc>
          <w:tcPr>
            <w:tcW w:type="dxa" w:w="1440"/>
            <w:shd w:fill="FAFAFA" w:val="clear"/>
          </w:tcPr>
          <w:p>
            <w:r>
              <w:rPr>
                <w:sz w:val="17"/>
              </w:rPr>
              <w:t>22,927</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2026-10-05</w:t>
            </w:r>
          </w:p>
        </w:tc>
        <w:tc>
          <w:tcPr>
            <w:tcW w:type="dxa" w:w="1440"/>
            <w:shd w:fill="FAFAFA" w:val="clear"/>
          </w:tcPr>
          <w:p>
            <w:r>
              <w:rPr>
                <w:sz w:val="17"/>
              </w:rPr>
              <w:t>19,900</w:t>
            </w:r>
          </w:p>
        </w:tc>
        <w:tc>
          <w:tcPr>
            <w:tcW w:type="dxa" w:w="1440"/>
            <w:shd w:fill="FAFAFA" w:val="clear"/>
          </w:tcPr>
          <w:p>
            <w:r>
              <w:rPr>
                <w:b/>
                <w:sz w:val="17"/>
              </w:rPr>
              <w:t>21,522</w:t>
            </w:r>
          </w:p>
        </w:tc>
        <w:tc>
          <w:tcPr>
            <w:tcW w:type="dxa" w:w="1440"/>
            <w:shd w:fill="FAFAFA" w:val="clear"/>
          </w:tcPr>
          <w:p>
            <w:r>
              <w:rPr>
                <w:sz w:val="17"/>
              </w:rPr>
              <w:t>23,144</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2026-10-06</w:t>
            </w:r>
          </w:p>
        </w:tc>
        <w:tc>
          <w:tcPr>
            <w:tcW w:type="dxa" w:w="1440"/>
            <w:shd w:fill="FAFAFA" w:val="clear"/>
          </w:tcPr>
          <w:p>
            <w:r>
              <w:rPr>
                <w:sz w:val="17"/>
              </w:rPr>
              <w:t>19,709</w:t>
            </w:r>
          </w:p>
        </w:tc>
        <w:tc>
          <w:tcPr>
            <w:tcW w:type="dxa" w:w="1440"/>
            <w:shd w:fill="FAFAFA" w:val="clear"/>
          </w:tcPr>
          <w:p>
            <w:r>
              <w:rPr>
                <w:b/>
                <w:sz w:val="17"/>
              </w:rPr>
              <w:t>21,522</w:t>
            </w:r>
          </w:p>
        </w:tc>
        <w:tc>
          <w:tcPr>
            <w:tcW w:type="dxa" w:w="1440"/>
            <w:shd w:fill="FAFAFA" w:val="clear"/>
          </w:tcPr>
          <w:p>
            <w:r>
              <w:rPr>
                <w:sz w:val="17"/>
              </w:rPr>
              <w:t>23,335</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2026-10-07</w:t>
            </w:r>
          </w:p>
        </w:tc>
        <w:tc>
          <w:tcPr>
            <w:tcW w:type="dxa" w:w="1440"/>
            <w:shd w:fill="FAFAFA" w:val="clear"/>
          </w:tcPr>
          <w:p>
            <w:r>
              <w:rPr>
                <w:sz w:val="17"/>
              </w:rPr>
              <w:t>19,535</w:t>
            </w:r>
          </w:p>
        </w:tc>
        <w:tc>
          <w:tcPr>
            <w:tcW w:type="dxa" w:w="1440"/>
            <w:shd w:fill="FAFAFA" w:val="clear"/>
          </w:tcPr>
          <w:p>
            <w:r>
              <w:rPr>
                <w:b/>
                <w:sz w:val="17"/>
              </w:rPr>
              <w:t>21,522</w:t>
            </w:r>
          </w:p>
        </w:tc>
        <w:tc>
          <w:tcPr>
            <w:tcW w:type="dxa" w:w="1440"/>
            <w:shd w:fill="FAFAFA" w:val="clear"/>
          </w:tcPr>
          <w:p>
            <w:r>
              <w:rPr>
                <w:sz w:val="17"/>
              </w:rPr>
              <w:t>23,508</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2026-10-08</w:t>
            </w:r>
          </w:p>
        </w:tc>
        <w:tc>
          <w:tcPr>
            <w:tcW w:type="dxa" w:w="1440"/>
            <w:shd w:fill="FAFAFA" w:val="clear"/>
          </w:tcPr>
          <w:p>
            <w:r>
              <w:rPr>
                <w:sz w:val="17"/>
              </w:rPr>
              <w:t>19,376</w:t>
            </w:r>
          </w:p>
        </w:tc>
        <w:tc>
          <w:tcPr>
            <w:tcW w:type="dxa" w:w="1440"/>
            <w:shd w:fill="FAFAFA" w:val="clear"/>
          </w:tcPr>
          <w:p>
            <w:r>
              <w:rPr>
                <w:b/>
                <w:sz w:val="17"/>
              </w:rPr>
              <w:t>21,521</w:t>
            </w:r>
          </w:p>
        </w:tc>
        <w:tc>
          <w:tcPr>
            <w:tcW w:type="dxa" w:w="1440"/>
            <w:shd w:fill="FAFAFA" w:val="clear"/>
          </w:tcPr>
          <w:p>
            <w:r>
              <w:rPr>
                <w:sz w:val="17"/>
              </w:rPr>
              <w:t>23,667</w:t>
            </w:r>
          </w:p>
        </w:tc>
        <w:tc>
          <w:tcPr>
            <w:tcW w:type="dxa" w:w="1440"/>
            <w:shd w:fill="FAFAFA" w:val="clear"/>
          </w:tcPr>
          <w:p>
            <w:r>
              <w:rPr>
                <w:b/>
                <w:color w:val="C00000"/>
                <w:sz w:val="17"/>
              </w:rPr>
              <w:t>-1.3%</w:t>
            </w:r>
          </w:p>
        </w:tc>
      </w:tr>
      <w:tr>
        <w:tc>
          <w:tcPr>
            <w:tcW w:type="dxa" w:w="1440"/>
            <w:shd w:fill="FAFAFA" w:val="clear"/>
          </w:tcPr>
          <w:p>
            <w:r>
              <w:rPr>
                <w:sz w:val="17"/>
              </w:rPr>
              <w:t>J+8  ⭐</w:t>
            </w:r>
          </w:p>
        </w:tc>
        <w:tc>
          <w:tcPr>
            <w:tcW w:type="dxa" w:w="1440"/>
            <w:shd w:fill="FAFAFA" w:val="clear"/>
          </w:tcPr>
          <w:p>
            <w:r>
              <w:rPr>
                <w:sz w:val="17"/>
              </w:rPr>
              <w:t>2026-10-09</w:t>
            </w:r>
          </w:p>
        </w:tc>
        <w:tc>
          <w:tcPr>
            <w:tcW w:type="dxa" w:w="1440"/>
            <w:shd w:fill="FAFAFA" w:val="clear"/>
          </w:tcPr>
          <w:p>
            <w:r>
              <w:rPr>
                <w:sz w:val="17"/>
              </w:rPr>
              <w:t>19,228</w:t>
            </w:r>
          </w:p>
        </w:tc>
        <w:tc>
          <w:tcPr>
            <w:tcW w:type="dxa" w:w="1440"/>
            <w:shd w:fill="FAFAFA" w:val="clear"/>
          </w:tcPr>
          <w:p>
            <w:r>
              <w:rPr>
                <w:b/>
                <w:sz w:val="17"/>
              </w:rPr>
              <w:t>21,521</w:t>
            </w:r>
          </w:p>
        </w:tc>
        <w:tc>
          <w:tcPr>
            <w:tcW w:type="dxa" w:w="1440"/>
            <w:shd w:fill="FAFAFA" w:val="clear"/>
          </w:tcPr>
          <w:p>
            <w:r>
              <w:rPr>
                <w:sz w:val="17"/>
              </w:rPr>
              <w:t>23,815</w:t>
            </w:r>
          </w:p>
        </w:tc>
        <w:tc>
          <w:tcPr>
            <w:tcW w:type="dxa" w:w="1440"/>
            <w:shd w:fill="FAFAFA" w:val="clear"/>
          </w:tcPr>
          <w:p>
            <w:r>
              <w:rPr>
                <w:b/>
                <w:color w:val="C00000"/>
                <w:sz w:val="17"/>
              </w:rPr>
              <w:t>-1.3%</w:t>
            </w:r>
          </w:p>
        </w:tc>
      </w:tr>
      <w:tr>
        <w:tc>
          <w:tcPr>
            <w:tcW w:type="dxa" w:w="1440"/>
            <w:shd w:fill="FAFAFA" w:val="clear"/>
          </w:tcPr>
          <w:p>
            <w:r>
              <w:rPr>
                <w:sz w:val="17"/>
              </w:rPr>
              <w:t>J+9  ⭐</w:t>
            </w:r>
          </w:p>
        </w:tc>
        <w:tc>
          <w:tcPr>
            <w:tcW w:type="dxa" w:w="1440"/>
            <w:shd w:fill="FAFAFA" w:val="clear"/>
          </w:tcPr>
          <w:p>
            <w:r>
              <w:rPr>
                <w:sz w:val="17"/>
              </w:rPr>
              <w:t>2026-10-12</w:t>
            </w:r>
          </w:p>
        </w:tc>
        <w:tc>
          <w:tcPr>
            <w:tcW w:type="dxa" w:w="1440"/>
            <w:shd w:fill="FAFAFA" w:val="clear"/>
          </w:tcPr>
          <w:p>
            <w:r>
              <w:rPr>
                <w:sz w:val="17"/>
              </w:rPr>
              <w:t>19,088</w:t>
            </w:r>
          </w:p>
        </w:tc>
        <w:tc>
          <w:tcPr>
            <w:tcW w:type="dxa" w:w="1440"/>
            <w:shd w:fill="FAFAFA" w:val="clear"/>
          </w:tcPr>
          <w:p>
            <w:r>
              <w:rPr>
                <w:b/>
                <w:sz w:val="17"/>
              </w:rPr>
              <w:t>21,521</w:t>
            </w:r>
          </w:p>
        </w:tc>
        <w:tc>
          <w:tcPr>
            <w:tcW w:type="dxa" w:w="1440"/>
            <w:shd w:fill="FAFAFA" w:val="clear"/>
          </w:tcPr>
          <w:p>
            <w:r>
              <w:rPr>
                <w:sz w:val="17"/>
              </w:rPr>
              <w:t>23,953</w:t>
            </w:r>
          </w:p>
        </w:tc>
        <w:tc>
          <w:tcPr>
            <w:tcW w:type="dxa" w:w="1440"/>
            <w:shd w:fill="FAFAFA" w:val="clear"/>
          </w:tcPr>
          <w:p>
            <w:r>
              <w:rPr>
                <w:b/>
                <w:color w:val="C00000"/>
                <w:sz w:val="17"/>
              </w:rPr>
              <w:t>-1.3%</w:t>
            </w:r>
          </w:p>
        </w:tc>
      </w:tr>
      <w:tr>
        <w:tc>
          <w:tcPr>
            <w:tcW w:type="dxa" w:w="1440"/>
            <w:shd w:fill="FAFAFA" w:val="clear"/>
          </w:tcPr>
          <w:p>
            <w:r>
              <w:rPr>
                <w:sz w:val="17"/>
              </w:rPr>
              <w:t>J+10  ⭐</w:t>
            </w:r>
          </w:p>
        </w:tc>
        <w:tc>
          <w:tcPr>
            <w:tcW w:type="dxa" w:w="1440"/>
            <w:shd w:fill="FAFAFA" w:val="clear"/>
          </w:tcPr>
          <w:p>
            <w:r>
              <w:rPr>
                <w:sz w:val="17"/>
              </w:rPr>
              <w:t>2026-10-13</w:t>
            </w:r>
          </w:p>
        </w:tc>
        <w:tc>
          <w:tcPr>
            <w:tcW w:type="dxa" w:w="1440"/>
            <w:shd w:fill="FAFAFA" w:val="clear"/>
          </w:tcPr>
          <w:p>
            <w:r>
              <w:rPr>
                <w:sz w:val="17"/>
              </w:rPr>
              <w:t>18,957</w:t>
            </w:r>
          </w:p>
        </w:tc>
        <w:tc>
          <w:tcPr>
            <w:tcW w:type="dxa" w:w="1440"/>
            <w:shd w:fill="FAFAFA" w:val="clear"/>
          </w:tcPr>
          <w:p>
            <w:r>
              <w:rPr>
                <w:b/>
                <w:sz w:val="17"/>
              </w:rPr>
              <w:t>21,521</w:t>
            </w:r>
          </w:p>
        </w:tc>
        <w:tc>
          <w:tcPr>
            <w:tcW w:type="dxa" w:w="1440"/>
            <w:shd w:fill="FAFAFA" w:val="clear"/>
          </w:tcPr>
          <w:p>
            <w:r>
              <w:rPr>
                <w:sz w:val="17"/>
              </w:rPr>
              <w:t>24,085</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 RAPPORT D'ANALYSE FINANCIÈRE — ORANGE CÔTE D'IVOIRE (ORAC)</w:t>
        <w:br/>
        <w:t>**Bourse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3 285,04 milliards FCFA, ORAC s'impose comme l'une des toutes premières capitalisations de la BRVM, représentant à elle seule une part significative de la capitalisation totale du marché régional. Le BPA de 1 114 FCFA/action signifie que chaque titre génère un bénéfice net de 1 114 FCFA, ce qui, rapporté au cours actuel de 21 805 FCFA, donne un PER de 19,6x — nettement supérieur à la moyenne du marché BRVM (8-12x), traduisant une prime de qualité que les investisseurs acceptent de payer pour un leader télécoms à croissance régulière. Le P/B de 4,64x confirme cette valorisation exigeante : le marché valorise ORAC à plus de 4 fois sa valeur comptable, ce qui est cohérent avec la forte rentabilité des fonds propres (ROE de 23,7%) mais laisse peu de marge de sécurité en cas de déception. Enfin, l'EV/EBITDA de 7,8x, situé dans la fourchette raisonnable de 5-10x, indique que la valeur totale de l'entreprise (dette incluse) reste cohérente avec sa capacité opérationnelle à générer des liquidités, ce qui nuance le caractère exigeant du PER et du P/B.</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ORAC a enregistré une progression spectaculaire de +43,45%, avec une dernière séance en hausse de +1,42%, confirmant une dynamique haussière toujours intacte. Le titre a évolué dans un range large de 14 900 FCFA (plus bas) à 22 500 FCFA (plus haut), le cours actuel de 21 805 FCFA se situant à seulement 3,1% de son sommet, ce qui témoigne de la vigueur du mouvement acheteur. La tendance générale est donc clairement haussière, portée par des fondamentaux solides et un intérêt croissant des investisseurs pour les valeurs télécoms de la zone UEMOA. Les statistiques descriptives révèlent une distribution asymétrique : la moyenne (17 782 FCFA) est supérieure à la médiane (16 700 FCFA), avec un skewness positif de 0,789 indiquant davantage de journées sous la moyenne — le titre a passé plus de temps dans la partie basse de son range avant de s'envoler récemment. L'écart-type de 2 453 FCFA (CV=13,8%) traduit une dispersion modérée du cours, tandis que le kurtosis de -1,012 (distribution platykurtique) signale une faible concentration des rendements et un risque de pics limité. La volatilité annualisée de 30,5% positionne ORAC dans la catégorie des titres à volatilité modérée à élevée (seuil &gt;30%), ce qui est cohérent avec un titre en forte tendance haussière mais soumis à des prises de bénéfices régulières.</w:t>
      </w:r>
    </w:p>
    <w:p>
      <w:pPr>
        <w:spacing w:after="120" w:line="276" w:lineRule="auto"/>
      </w:pPr>
      <w:r>
        <w:t>---</w:t>
      </w:r>
    </w:p>
    <w:p>
      <w:pPr>
        <w:spacing w:after="120" w:line="276" w:lineRule="auto"/>
      </w:pPr>
      <w:r>
        <w:t>## PARTIE 2 : ANALYSE TECHNIQUE DÉTAILLÉE</w:t>
      </w:r>
    </w:p>
    <w:p>
      <w:pPr>
        <w:spacing w:after="120" w:line="276" w:lineRule="auto"/>
      </w:pPr>
      <w:r>
        <w:t>**Moyennes Mobiles** : La MM20 (21 649 FCFA) et la MM50 (19 583 FCFA) sont toutes deux inférieures au cours actuel (21 805 FCFA), et la MM20 est au-dessus de la MM50, configurant un croisement haussier classique. Le cours évolue au-dessus de ses deux moyennes, ce qui confirme la tendance haussière de fond et justifie la décision d'**Achat** fournie par le système.</w:t>
      </w:r>
    </w:p>
    <w:p>
      <w:pPr>
        <w:spacing w:after="120" w:line="276" w:lineRule="auto"/>
      </w:pPr>
      <w:r>
        <w:t>**Bandes de Bollinger** : Le cours (21 805 FCFA) se situe à l'intérieur des bandes, entre la borne inférieure (20 328 FCFA) et la borne supérieure (22 970 FCFA), mais plus proche de la borne haute. Cette position médiane-haute indique une volatilité contenue et l'absence de signal extrême (ni surachat ni survente), justifiant la décision **Neutre** — le titre est en zone de consolidation après sa forte hausse.</w:t>
      </w:r>
    </w:p>
    <w:p>
      <w:pPr>
        <w:spacing w:after="120" w:line="276" w:lineRule="auto"/>
      </w:pPr>
      <w:r>
        <w:t>**MACD** : La valeur du MACD (426,55) est inférieure à son signal (622,94), ce qui génère un croisement baissier et une divergence négative. Ce signal indique un essoufflement du momentum haussier à court terme, bien que le MACD reste en territoire positif, justifiant la décision de **Vente** à court terme — les acheteurs perdent de leur vigueur.</w:t>
      </w:r>
    </w:p>
    <w:p>
      <w:pPr>
        <w:spacing w:after="120" w:line="276" w:lineRule="auto"/>
      </w:pPr>
      <w:r>
        <w:t>**RSI** : À 48,92, le RSI se situe parfaitement dans la zone neutre (30-70), sans signal de surachat (&gt;70) ni de survente (&lt;30). Cette valeur médiane indique un équilibre entre acheteurs et vendeurs, justifiant la décision **Neutre** — le titre n'est ni surévalué ni sous-évalué techniquement à court terme.</w:t>
      </w:r>
    </w:p>
    <w:p>
      <w:pPr>
        <w:spacing w:after="120" w:line="276" w:lineRule="auto"/>
      </w:pPr>
      <w:r>
        <w:t>**Stochastique** : Le %K (66,91) est supérieur au %D (53,97), avec un croisement haussier récent, mais les deux lignes restent en zone neutre-haute sans atteindre la zone de surachat (&gt;80). Cette configuration suggère une reprise possible du momentum haussier, mais la décision reste **Neutre** car le signal n'est pas encore confirmé par une sortie de la zone médiane.</w:t>
      </w:r>
    </w:p>
    <w:p>
      <w:pPr>
        <w:spacing w:after="120" w:line="276" w:lineRule="auto"/>
      </w:pPr>
      <w:r>
        <w:t>**Conclusion technique** : Les indicateurs techniques présentent un tableau mitigé. Les moyennes mobiles confirment la tendance haussière de fond (Achat), mais le MACD signale un essoufflement du momentum (Vente), tandis que le RSI, les Bandes de Bollinger et le Stochastique restent neutres. Cette divergence suggère que le titre est en phase de consolidation après sa forte hausse de +43% sur 100 jours, avec un potentiel de reprise si le MACD se retourne à la hausse, mais un risque de correction si la pression vendeuse s'intensifie. La prudence est de mise à court terme, en attendant une confirmation directionnelle.</w:t>
      </w:r>
    </w:p>
    <w:p>
      <w:pPr>
        <w:spacing w:after="120" w:line="276" w:lineRule="auto"/>
      </w:pPr>
      <w:r>
        <w:t>---</w:t>
      </w:r>
    </w:p>
    <w:p>
      <w:pPr>
        <w:spacing w:after="120" w:line="276" w:lineRule="auto"/>
      </w:pPr>
      <w:r>
        <w:t>## PARTIE 3 : ANALYSE FONDAMENTALE</w:t>
      </w:r>
    </w:p>
    <w:p>
      <w:pPr>
        <w:spacing w:after="120" w:line="276" w:lineRule="auto"/>
      </w:pPr>
      <w:r>
        <w:t>**Données structurées (états financiers annuels 2025)** : En 2025, Orange Côte d'Ivoire a réalisé un chiffre d'affaires consolidé de 1 197,1 milliards FCFA, en croissance de +10,4% par rapport à 2024 (1 084,1 milliards FCFA), confirmant la robustesse de sa dynamique commerciale. Le résultat net consolidé s'établit à 167,8 milliards FCFA (+6,1%), tandis que le résultat net part du groupe atteint 129,1 milliards FCFA (+14,5%). La rentabilité reste excellente avec un ROE de 23,7% (largement supérieur au seuil de 15% considéré comme excellent) et un ROA de 6,57%. La marge nette de 14,0% et la marge opérationnelle de 24,0% témoignent d'une gestion rigoureuse, bien qu'en léger retrait par rapport à 2024 (14,6% et 24,3% respectivement). En tant qu'entreprise non bancaire, ORAC affiche un BFR négatif de -198,0 milliards FCFA (favorable, car financé par les fournisseurs), un délai clients de 52,26 jours (modéré, sans risque majeur de trésorerie) et un délai fournisseurs élevé de 210,87 jours (excellent pour la trésorerie). L'endettement est maîtrisé avec une autonomie financière de 27,7% (proche du seuil sain de 30%) et une capacité de remboursement de 0,99 an (dette financière/CAF), ce qui est très confortable. La trésorerie nette de 113,9 milliards FCFA et le free cash flow de 156,2 milliards FCFA confirment la solidité financière.</w:t>
      </w:r>
    </w:p>
    <w:p>
      <w:pPr>
        <w:spacing w:after="120" w:line="276" w:lineRule="auto"/>
      </w:pPr>
      <w:r>
        <w:t>**Estimations basées sur les rapports trimestriels** : Le rapport T1 2026 (publié en 2026) révèle une accélération spectaculaire avec un CA de 325,6 milliards FCFA (+14,8%) et un résultat net de 48,3 milliards FCFA (+25,2%), dépassant largement les tendances annuelles 2025. Sur la base de ce T1 2026, on peut estimer que l'exercice 2026 devrait afficher une croissance du CA supérieure à 12% (vs +10,4% en 2025) et une progression du résultat net de l'ordre de 15-20%, portée par l'effet de levier opérationnel (EBITDAaL +15,7% au T1 2026). Le rapport annuel 2025 (publié en 2025) confirme la stratégie d'investissement massif (184,2 milliards FCFA, soit 15,4% du CA) dans la fibre et la 4G/5G, qui devrait soutenir la croissance future. Le dividende proposé de 800 FCFA/action (rendement de 3,7% au cours actuel) marque un recentrage de la politique de distribution (vs 1 278 FCFA en 2024), la société privilégiant l'autofinancement des investissements.</w:t>
      </w:r>
    </w:p>
    <w:p>
      <w:pPr>
        <w:spacing w:after="120" w:line="276" w:lineRule="auto"/>
      </w:pPr>
      <w:r>
        <w:t>**Recommandation fondamentale** : ORAC présente des fondamentaux exceptionnels — croissance à deux chiffres, rentabilité élevée (ROE &gt;23%), structure financière saine et génération de cash-flow robuste. Les risques identifiés (pression fiscale et réglementaire, concurrence accrue, exposition au Burkina Faso et au Liberia) sont réels mais compensés par la position de leader incontesté et la diversification des revenus (mobile, fibre, Orange Money). La dynamique du T1 2026 (+25,2% de résultat net) est un signal très positif qui pourrait entraîner une révision à la hausse des estimations annuelles. **Recommandation fondamentale : ACHAT**, avec un potentiel de revalorisation du titre à moyen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mais globalement favorable. **Sur le plan de la valorisation (Partie 0)**, les ratios PER (19,6x) et P/B (4,64x) indiquent une surévaluation relative par rapport à la moyenne du marché BRVM, mais l'EV/EBITDA (7,8x) reste raisonnable, suggérant que la prime de qualité est justifiée par la solidité des fondamentaux. **Le comportement du cours (Partie 1)** est nettement haussier (+43,45% sur 100 jours), avec une volatilité modérée (30,5%) et une distribution asymétrique positive (skewness de 0,789) qui indique un potentiel de continuation haussière, bien que le kurtosis négatif (-1,012) signale un risque de pics limité. **Les signaux techniques (Partie 2)** sont mitigés : les moyennes mobiles confirment la tendance haussière (Achat), mais le MACD génère un signal de vente à court terme, tandis que le RSI, les Bandes de Bollinger et le Stochastique restent neutres — le titre est en phase de consolidation. **Les fondamentaux (Partie 3)** sont excellents : croissance du CA de +10,4% en 2025, ROE de 23,7%, et surtout une accélération au T1 2026 (+14,8% de CA, +25,2% de résultat net) qui pourrait tirer l'exercice 2026 vers le haut. **Les prédictions IA (J+1 à J+10)** anticipent une légère baisse du cours de 21 805 FCFA à 21 522 FCFA (soit -1,3%), suivie d'une stabilisation autour de 21 500 FCFA, ce qui confirme la phase de consolidation technique et contredit partiellement le signal haussier des moyennes mobiles à court terme.</w:t>
      </w:r>
    </w:p>
    <w:p>
      <w:pPr>
        <w:spacing w:after="120" w:line="276" w:lineRule="auto"/>
      </w:pPr>
      <w:r>
        <w:t>**Recommandation finale : CONSERVER** — La convergence entre une valorisation exigeante (PER et P/B élevés), des signaux techniques mitigés (MACD baissier, RSI neutre) et des prédictions IA légèrement baissières à court terme incite à la prudence à court terme. Cependant, les fondamentaux exceptionnels (croissance accélérée au T1 2026, ROE &gt;23%, dividende attractif) et la position de leader incontesté d'ORAC sur le marché ouest-africain justifient de conserver le titre en portefeuille pour capter la croissance à moyen et long terme. **Niveau de confiance : Moyen** (les signaux contradictoires entre technique et fondamental créent une incertitude à court terme). **Niveau de risque global : Moyen** (volatilité modérée à élevée, valorisation exigeante, mais fondamentaux solides). **Horizon d'investissement optimal : Moyen à long terme (6-18 mois)**, en attendant que la consolidation technique se termine et que les résultats 2026 confirment l'accélération de la croissance. Un repli vers 20 000-21 000 FCFA constituerait une opportunité d'achat pour les investisseurs à long terme.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25.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208.25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5,259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+0.84%</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8.52% (Moyenne) — μ=2,887 FCFA, σ=246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β=0.7140 (Défensif) — Cov=0.000049, Var(idx)=0.000069, ρ=0.224,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5,259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σ_j=2.62%/j (Stable) — Vol. annualisée≈41.6%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2026-09-30</w:t>
            </w:r>
          </w:p>
        </w:tc>
        <w:tc>
          <w:tcPr>
            <w:tcW w:type="dxa" w:w="1440"/>
            <w:shd w:fill="FAFAFA" w:val="clear"/>
          </w:tcPr>
          <w:p>
            <w:r>
              <w:rPr>
                <w:sz w:val="17"/>
              </w:rPr>
              <w:t>2,889</w:t>
            </w:r>
          </w:p>
        </w:tc>
        <w:tc>
          <w:tcPr>
            <w:tcW w:type="dxa" w:w="1440"/>
            <w:shd w:fill="FAFAFA" w:val="clear"/>
          </w:tcPr>
          <w:p>
            <w:r>
              <w:rPr>
                <w:b/>
                <w:sz w:val="17"/>
              </w:rPr>
              <w:t>3,011</w:t>
            </w:r>
          </w:p>
        </w:tc>
        <w:tc>
          <w:tcPr>
            <w:tcW w:type="dxa" w:w="1440"/>
            <w:shd w:fill="FAFAFA" w:val="clear"/>
          </w:tcPr>
          <w:p>
            <w:r>
              <w:rPr>
                <w:sz w:val="17"/>
              </w:rPr>
              <w:t>3,134</w:t>
            </w:r>
          </w:p>
        </w:tc>
        <w:tc>
          <w:tcPr>
            <w:tcW w:type="dxa" w:w="1440"/>
            <w:shd w:fill="FAFAFA" w:val="clear"/>
          </w:tcPr>
          <w:p>
            <w:r>
              <w:rPr>
                <w:b/>
                <w:color w:val="008000"/>
                <w:sz w:val="17"/>
              </w:rPr>
              <w:t>+0.4%</w:t>
            </w:r>
          </w:p>
        </w:tc>
      </w:tr>
      <w:tr>
        <w:tc>
          <w:tcPr>
            <w:tcW w:type="dxa" w:w="1440"/>
            <w:shd w:fill="FAFAFA" w:val="clear"/>
          </w:tcPr>
          <w:p>
            <w:r>
              <w:rPr>
                <w:sz w:val="17"/>
              </w:rPr>
              <w:t>J+2  Moyenne</w:t>
            </w:r>
          </w:p>
        </w:tc>
        <w:tc>
          <w:tcPr>
            <w:tcW w:type="dxa" w:w="1440"/>
            <w:shd w:fill="FAFAFA" w:val="clear"/>
          </w:tcPr>
          <w:p>
            <w:r>
              <w:rPr>
                <w:sz w:val="17"/>
              </w:rPr>
              <w:t>2026-10-01</w:t>
            </w:r>
          </w:p>
        </w:tc>
        <w:tc>
          <w:tcPr>
            <w:tcW w:type="dxa" w:w="1440"/>
            <w:shd w:fill="FAFAFA" w:val="clear"/>
          </w:tcPr>
          <w:p>
            <w:r>
              <w:rPr>
                <w:sz w:val="17"/>
              </w:rPr>
              <w:t>2,842</w:t>
            </w:r>
          </w:p>
        </w:tc>
        <w:tc>
          <w:tcPr>
            <w:tcW w:type="dxa" w:w="1440"/>
            <w:shd w:fill="FAFAFA" w:val="clear"/>
          </w:tcPr>
          <w:p>
            <w:r>
              <w:rPr>
                <w:b/>
                <w:sz w:val="17"/>
              </w:rPr>
              <w:t>3,015</w:t>
            </w:r>
          </w:p>
        </w:tc>
        <w:tc>
          <w:tcPr>
            <w:tcW w:type="dxa" w:w="1440"/>
            <w:shd w:fill="FAFAFA" w:val="clear"/>
          </w:tcPr>
          <w:p>
            <w:r>
              <w:rPr>
                <w:sz w:val="17"/>
              </w:rPr>
              <w:t>3,189</w:t>
            </w:r>
          </w:p>
        </w:tc>
        <w:tc>
          <w:tcPr>
            <w:tcW w:type="dxa" w:w="1440"/>
            <w:shd w:fill="FAFAFA" w:val="clear"/>
          </w:tcPr>
          <w:p>
            <w:r>
              <w:rPr>
                <w:b/>
                <w:color w:val="008000"/>
                <w:sz w:val="17"/>
              </w:rPr>
              <w:t>+0.5%</w:t>
            </w:r>
          </w:p>
        </w:tc>
      </w:tr>
      <w:tr>
        <w:tc>
          <w:tcPr>
            <w:tcW w:type="dxa" w:w="1440"/>
            <w:shd w:fill="FAFAFA" w:val="clear"/>
          </w:tcPr>
          <w:p>
            <w:r>
              <w:rPr>
                <w:sz w:val="17"/>
              </w:rPr>
              <w:t>J+3  Moyenne</w:t>
            </w:r>
          </w:p>
        </w:tc>
        <w:tc>
          <w:tcPr>
            <w:tcW w:type="dxa" w:w="1440"/>
            <w:shd w:fill="FAFAFA" w:val="clear"/>
          </w:tcPr>
          <w:p>
            <w:r>
              <w:rPr>
                <w:sz w:val="17"/>
              </w:rPr>
              <w:t>2026-10-02</w:t>
            </w:r>
          </w:p>
        </w:tc>
        <w:tc>
          <w:tcPr>
            <w:tcW w:type="dxa" w:w="1440"/>
            <w:shd w:fill="FAFAFA" w:val="clear"/>
          </w:tcPr>
          <w:p>
            <w:r>
              <w:rPr>
                <w:sz w:val="17"/>
              </w:rPr>
              <w:t>2,807</w:t>
            </w:r>
          </w:p>
        </w:tc>
        <w:tc>
          <w:tcPr>
            <w:tcW w:type="dxa" w:w="1440"/>
            <w:shd w:fill="FAFAFA" w:val="clear"/>
          </w:tcPr>
          <w:p>
            <w:r>
              <w:rPr>
                <w:b/>
                <w:sz w:val="17"/>
              </w:rPr>
              <w:t>3,020</w:t>
            </w:r>
          </w:p>
        </w:tc>
        <w:tc>
          <w:tcPr>
            <w:tcW w:type="dxa" w:w="1440"/>
            <w:shd w:fill="FAFAFA" w:val="clear"/>
          </w:tcPr>
          <w:p>
            <w:r>
              <w:rPr>
                <w:sz w:val="17"/>
              </w:rPr>
              <w:t>3,233</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2026-10-05</w:t>
            </w:r>
          </w:p>
        </w:tc>
        <w:tc>
          <w:tcPr>
            <w:tcW w:type="dxa" w:w="1440"/>
            <w:shd w:fill="FAFAFA" w:val="clear"/>
          </w:tcPr>
          <w:p>
            <w:r>
              <w:rPr>
                <w:sz w:val="17"/>
              </w:rPr>
              <w:t>2,778</w:t>
            </w:r>
          </w:p>
        </w:tc>
        <w:tc>
          <w:tcPr>
            <w:tcW w:type="dxa" w:w="1440"/>
            <w:shd w:fill="FAFAFA" w:val="clear"/>
          </w:tcPr>
          <w:p>
            <w:r>
              <w:rPr>
                <w:b/>
                <w:sz w:val="17"/>
              </w:rPr>
              <w:t>3,025</w:t>
            </w:r>
          </w:p>
        </w:tc>
        <w:tc>
          <w:tcPr>
            <w:tcW w:type="dxa" w:w="1440"/>
            <w:shd w:fill="FAFAFA" w:val="clear"/>
          </w:tcPr>
          <w:p>
            <w:r>
              <w:rPr>
                <w:sz w:val="17"/>
              </w:rPr>
              <w:t>3,271</w:t>
            </w:r>
          </w:p>
        </w:tc>
        <w:tc>
          <w:tcPr>
            <w:tcW w:type="dxa" w:w="1440"/>
            <w:shd w:fill="FAFAFA" w:val="clear"/>
          </w:tcPr>
          <w:p>
            <w:r>
              <w:rPr>
                <w:b/>
                <w:color w:val="008000"/>
                <w:sz w:val="17"/>
              </w:rPr>
              <w:t>+0.8%</w:t>
            </w:r>
          </w:p>
        </w:tc>
      </w:tr>
      <w:tr>
        <w:tc>
          <w:tcPr>
            <w:tcW w:type="dxa" w:w="1440"/>
            <w:shd w:fill="FAFAFA" w:val="clear"/>
          </w:tcPr>
          <w:p>
            <w:r>
              <w:rPr>
                <w:sz w:val="17"/>
              </w:rPr>
              <w:t>J+5  ⭐</w:t>
            </w:r>
          </w:p>
        </w:tc>
        <w:tc>
          <w:tcPr>
            <w:tcW w:type="dxa" w:w="1440"/>
            <w:shd w:fill="FAFAFA" w:val="clear"/>
          </w:tcPr>
          <w:p>
            <w:r>
              <w:rPr>
                <w:sz w:val="17"/>
              </w:rPr>
              <w:t>2026-10-06</w:t>
            </w:r>
          </w:p>
        </w:tc>
        <w:tc>
          <w:tcPr>
            <w:tcW w:type="dxa" w:w="1440"/>
            <w:shd w:fill="FAFAFA" w:val="clear"/>
          </w:tcPr>
          <w:p>
            <w:r>
              <w:rPr>
                <w:sz w:val="17"/>
              </w:rPr>
              <w:t>2,753</w:t>
            </w:r>
          </w:p>
        </w:tc>
        <w:tc>
          <w:tcPr>
            <w:tcW w:type="dxa" w:w="1440"/>
            <w:shd w:fill="FAFAFA" w:val="clear"/>
          </w:tcPr>
          <w:p>
            <w:r>
              <w:rPr>
                <w:b/>
                <w:sz w:val="17"/>
              </w:rPr>
              <w:t>3,029</w:t>
            </w:r>
          </w:p>
        </w:tc>
        <w:tc>
          <w:tcPr>
            <w:tcW w:type="dxa" w:w="1440"/>
            <w:shd w:fill="FAFAFA" w:val="clear"/>
          </w:tcPr>
          <w:p>
            <w:r>
              <w:rPr>
                <w:sz w:val="17"/>
              </w:rPr>
              <w:t>3,305</w:t>
            </w:r>
          </w:p>
        </w:tc>
        <w:tc>
          <w:tcPr>
            <w:tcW w:type="dxa" w:w="1440"/>
            <w:shd w:fill="FAFAFA" w:val="clear"/>
          </w:tcPr>
          <w:p>
            <w:r>
              <w:rPr>
                <w:b/>
                <w:color w:val="008000"/>
                <w:sz w:val="17"/>
              </w:rPr>
              <w:t>+1.0%</w:t>
            </w:r>
          </w:p>
        </w:tc>
      </w:tr>
      <w:tr>
        <w:tc>
          <w:tcPr>
            <w:tcW w:type="dxa" w:w="1440"/>
            <w:shd w:fill="FAFAFA" w:val="clear"/>
          </w:tcPr>
          <w:p>
            <w:r>
              <w:rPr>
                <w:sz w:val="17"/>
              </w:rPr>
              <w:t>J+6  ⭐</w:t>
            </w:r>
          </w:p>
        </w:tc>
        <w:tc>
          <w:tcPr>
            <w:tcW w:type="dxa" w:w="1440"/>
            <w:shd w:fill="FAFAFA" w:val="clear"/>
          </w:tcPr>
          <w:p>
            <w:r>
              <w:rPr>
                <w:sz w:val="17"/>
              </w:rPr>
              <w:t>2026-10-07</w:t>
            </w:r>
          </w:p>
        </w:tc>
        <w:tc>
          <w:tcPr>
            <w:tcW w:type="dxa" w:w="1440"/>
            <w:shd w:fill="FAFAFA" w:val="clear"/>
          </w:tcPr>
          <w:p>
            <w:r>
              <w:rPr>
                <w:sz w:val="17"/>
              </w:rPr>
              <w:t>2,731</w:t>
            </w:r>
          </w:p>
        </w:tc>
        <w:tc>
          <w:tcPr>
            <w:tcW w:type="dxa" w:w="1440"/>
            <w:shd w:fill="FAFAFA" w:val="clear"/>
          </w:tcPr>
          <w:p>
            <w:r>
              <w:rPr>
                <w:b/>
                <w:sz w:val="17"/>
              </w:rPr>
              <w:t>3,034</w:t>
            </w:r>
          </w:p>
        </w:tc>
        <w:tc>
          <w:tcPr>
            <w:tcW w:type="dxa" w:w="1440"/>
            <w:shd w:fill="FAFAFA" w:val="clear"/>
          </w:tcPr>
          <w:p>
            <w:r>
              <w:rPr>
                <w:sz w:val="17"/>
              </w:rPr>
              <w:t>3,336</w:t>
            </w:r>
          </w:p>
        </w:tc>
        <w:tc>
          <w:tcPr>
            <w:tcW w:type="dxa" w:w="1440"/>
            <w:shd w:fill="FAFAFA" w:val="clear"/>
          </w:tcPr>
          <w:p>
            <w:r>
              <w:rPr>
                <w:b/>
                <w:color w:val="008000"/>
                <w:sz w:val="17"/>
              </w:rPr>
              <w:t>+1.1%</w:t>
            </w:r>
          </w:p>
        </w:tc>
      </w:tr>
      <w:tr>
        <w:tc>
          <w:tcPr>
            <w:tcW w:type="dxa" w:w="1440"/>
            <w:shd w:fill="FAFAFA" w:val="clear"/>
          </w:tcPr>
          <w:p>
            <w:r>
              <w:rPr>
                <w:sz w:val="17"/>
              </w:rPr>
              <w:t>J+7  ⭐</w:t>
            </w:r>
          </w:p>
        </w:tc>
        <w:tc>
          <w:tcPr>
            <w:tcW w:type="dxa" w:w="1440"/>
            <w:shd w:fill="FAFAFA" w:val="clear"/>
          </w:tcPr>
          <w:p>
            <w:r>
              <w:rPr>
                <w:sz w:val="17"/>
              </w:rPr>
              <w:t>2026-10-08</w:t>
            </w:r>
          </w:p>
        </w:tc>
        <w:tc>
          <w:tcPr>
            <w:tcW w:type="dxa" w:w="1440"/>
            <w:shd w:fill="FAFAFA" w:val="clear"/>
          </w:tcPr>
          <w:p>
            <w:r>
              <w:rPr>
                <w:sz w:val="17"/>
              </w:rPr>
              <w:t>2,711</w:t>
            </w:r>
          </w:p>
        </w:tc>
        <w:tc>
          <w:tcPr>
            <w:tcW w:type="dxa" w:w="1440"/>
            <w:shd w:fill="FAFAFA" w:val="clear"/>
          </w:tcPr>
          <w:p>
            <w:r>
              <w:rPr>
                <w:b/>
                <w:sz w:val="17"/>
              </w:rPr>
              <w:t>3,038</w:t>
            </w:r>
          </w:p>
        </w:tc>
        <w:tc>
          <w:tcPr>
            <w:tcW w:type="dxa" w:w="1440"/>
            <w:shd w:fill="FAFAFA" w:val="clear"/>
          </w:tcPr>
          <w:p>
            <w:r>
              <w:rPr>
                <w:sz w:val="17"/>
              </w:rPr>
              <w:t>3,366</w:t>
            </w:r>
          </w:p>
        </w:tc>
        <w:tc>
          <w:tcPr>
            <w:tcW w:type="dxa" w:w="1440"/>
            <w:shd w:fill="FAFAFA" w:val="clear"/>
          </w:tcPr>
          <w:p>
            <w:r>
              <w:rPr>
                <w:b/>
                <w:color w:val="008000"/>
                <w:sz w:val="17"/>
              </w:rPr>
              <w:t>+1.3%</w:t>
            </w:r>
          </w:p>
        </w:tc>
      </w:tr>
      <w:tr>
        <w:tc>
          <w:tcPr>
            <w:tcW w:type="dxa" w:w="1440"/>
            <w:shd w:fill="FAFAFA" w:val="clear"/>
          </w:tcPr>
          <w:p>
            <w:r>
              <w:rPr>
                <w:sz w:val="17"/>
              </w:rPr>
              <w:t>J+8  ⭐</w:t>
            </w:r>
          </w:p>
        </w:tc>
        <w:tc>
          <w:tcPr>
            <w:tcW w:type="dxa" w:w="1440"/>
            <w:shd w:fill="FAFAFA" w:val="clear"/>
          </w:tcPr>
          <w:p>
            <w:r>
              <w:rPr>
                <w:sz w:val="17"/>
              </w:rPr>
              <w:t>2026-10-09</w:t>
            </w:r>
          </w:p>
        </w:tc>
        <w:tc>
          <w:tcPr>
            <w:tcW w:type="dxa" w:w="1440"/>
            <w:shd w:fill="FAFAFA" w:val="clear"/>
          </w:tcPr>
          <w:p>
            <w:r>
              <w:rPr>
                <w:sz w:val="17"/>
              </w:rPr>
              <w:t>2,692</w:t>
            </w:r>
          </w:p>
        </w:tc>
        <w:tc>
          <w:tcPr>
            <w:tcW w:type="dxa" w:w="1440"/>
            <w:shd w:fill="FAFAFA" w:val="clear"/>
          </w:tcPr>
          <w:p>
            <w:r>
              <w:rPr>
                <w:b/>
                <w:sz w:val="17"/>
              </w:rPr>
              <w:t>3,042</w:t>
            </w:r>
          </w:p>
        </w:tc>
        <w:tc>
          <w:tcPr>
            <w:tcW w:type="dxa" w:w="1440"/>
            <w:shd w:fill="FAFAFA" w:val="clear"/>
          </w:tcPr>
          <w:p>
            <w:r>
              <w:rPr>
                <w:sz w:val="17"/>
              </w:rPr>
              <w:t>3,393</w:t>
            </w:r>
          </w:p>
        </w:tc>
        <w:tc>
          <w:tcPr>
            <w:tcW w:type="dxa" w:w="1440"/>
            <w:shd w:fill="FAFAFA" w:val="clear"/>
          </w:tcPr>
          <w:p>
            <w:r>
              <w:rPr>
                <w:b/>
                <w:color w:val="008000"/>
                <w:sz w:val="17"/>
              </w:rPr>
              <w:t>+1.4%</w:t>
            </w:r>
          </w:p>
        </w:tc>
      </w:tr>
      <w:tr>
        <w:tc>
          <w:tcPr>
            <w:tcW w:type="dxa" w:w="1440"/>
            <w:shd w:fill="FAFAFA" w:val="clear"/>
          </w:tcPr>
          <w:p>
            <w:r>
              <w:rPr>
                <w:sz w:val="17"/>
              </w:rPr>
              <w:t>J+9  ⭐</w:t>
            </w:r>
          </w:p>
        </w:tc>
        <w:tc>
          <w:tcPr>
            <w:tcW w:type="dxa" w:w="1440"/>
            <w:shd w:fill="FAFAFA" w:val="clear"/>
          </w:tcPr>
          <w:p>
            <w:r>
              <w:rPr>
                <w:sz w:val="17"/>
              </w:rPr>
              <w:t>2026-10-12</w:t>
            </w:r>
          </w:p>
        </w:tc>
        <w:tc>
          <w:tcPr>
            <w:tcW w:type="dxa" w:w="1440"/>
            <w:shd w:fill="FAFAFA" w:val="clear"/>
          </w:tcPr>
          <w:p>
            <w:r>
              <w:rPr>
                <w:sz w:val="17"/>
              </w:rPr>
              <w:t>2,674</w:t>
            </w:r>
          </w:p>
        </w:tc>
        <w:tc>
          <w:tcPr>
            <w:tcW w:type="dxa" w:w="1440"/>
            <w:shd w:fill="FAFAFA" w:val="clear"/>
          </w:tcPr>
          <w:p>
            <w:r>
              <w:rPr>
                <w:b/>
                <w:sz w:val="17"/>
              </w:rPr>
              <w:t>3,047</w:t>
            </w:r>
          </w:p>
        </w:tc>
        <w:tc>
          <w:tcPr>
            <w:tcW w:type="dxa" w:w="1440"/>
            <w:shd w:fill="FAFAFA" w:val="clear"/>
          </w:tcPr>
          <w:p>
            <w:r>
              <w:rPr>
                <w:sz w:val="17"/>
              </w:rPr>
              <w:t>3,419</w:t>
            </w:r>
          </w:p>
        </w:tc>
        <w:tc>
          <w:tcPr>
            <w:tcW w:type="dxa" w:w="1440"/>
            <w:shd w:fill="FAFAFA" w:val="clear"/>
          </w:tcPr>
          <w:p>
            <w:r>
              <w:rPr>
                <w:b/>
                <w:color w:val="008000"/>
                <w:sz w:val="17"/>
              </w:rPr>
              <w:t>+1.6%</w:t>
            </w:r>
          </w:p>
        </w:tc>
      </w:tr>
      <w:tr>
        <w:tc>
          <w:tcPr>
            <w:tcW w:type="dxa" w:w="1440"/>
            <w:shd w:fill="FAFAFA" w:val="clear"/>
          </w:tcPr>
          <w:p>
            <w:r>
              <w:rPr>
                <w:sz w:val="17"/>
              </w:rPr>
              <w:t>J+10  ⭐</w:t>
            </w:r>
          </w:p>
        </w:tc>
        <w:tc>
          <w:tcPr>
            <w:tcW w:type="dxa" w:w="1440"/>
            <w:shd w:fill="FAFAFA" w:val="clear"/>
          </w:tcPr>
          <w:p>
            <w:r>
              <w:rPr>
                <w:sz w:val="17"/>
              </w:rPr>
              <w:t>2026-10-13</w:t>
            </w:r>
          </w:p>
        </w:tc>
        <w:tc>
          <w:tcPr>
            <w:tcW w:type="dxa" w:w="1440"/>
            <w:shd w:fill="FAFAFA" w:val="clear"/>
          </w:tcPr>
          <w:p>
            <w:r>
              <w:rPr>
                <w:sz w:val="17"/>
              </w:rPr>
              <w:t>2,658</w:t>
            </w:r>
          </w:p>
        </w:tc>
        <w:tc>
          <w:tcPr>
            <w:tcW w:type="dxa" w:w="1440"/>
            <w:shd w:fill="FAFAFA" w:val="clear"/>
          </w:tcPr>
          <w:p>
            <w:r>
              <w:rPr>
                <w:b/>
                <w:sz w:val="17"/>
              </w:rPr>
              <w:t>3,051</w:t>
            </w:r>
          </w:p>
        </w:tc>
        <w:tc>
          <w:tcPr>
            <w:tcW w:type="dxa" w:w="1440"/>
            <w:shd w:fill="FAFAFA" w:val="clear"/>
          </w:tcPr>
          <w:p>
            <w:r>
              <w:rPr>
                <w:sz w:val="17"/>
              </w:rPr>
              <w:t>3,444</w:t>
            </w:r>
          </w:p>
        </w:tc>
        <w:tc>
          <w:tcPr>
            <w:tcW w:type="dxa" w:w="1440"/>
            <w:shd w:fill="FAFAFA" w:val="clear"/>
          </w:tcPr>
          <w:p>
            <w:r>
              <w:rPr>
                <w:b/>
                <w:color w:val="008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RAPPORT D'ANALYSE FINANCIÈRE — ORAGROUP (ORGT)</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208,25 milliards FCFA, ORGT se positionne comme une valeur de premier plan de la cote BRVM, représentant un pilier du compartiment bancaire régional. Le BPA de 312 FCFA/action signifie que chaque titre génère près de 312 FCFA de bénéfice net, ce qui, rapporté au cours actuel de 3 000 FCFA, donne un PER de 9,6x — un niveau modéré et légèrement inférieur à la moyenne BRVM (8-12x), suggérant une valorisation raisonnable voire une légère sous-évaluation au regard des bénéfices. Le P/B de 1,84x indique que le marché valorise l'action à près du double de sa valeur comptable, ce qui reste dans une fourchette acceptable (1-2x) pour une banque affichant un ROE de 19,1%. En revanche, l'EV/EBITDA de 19,7x apparaît très exigeant (&gt;15x), traduisant une valeur d'entreprise élevée relativement à la capacité opérationnelle — un signal de prudence, bien que cet indicateur soit moins pertinent pour une banque dont le bilan est structurellement composé de dettes de dépôts.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d'ORGT affiche une variation totale quasi stable de +0,84%, avec une dernière séance (J-1) inchangée à +0,00%, traduisant une phase de consolidation sans direction marquée. Le titre a évolué dans un range significatif entre un plus bas de 2 435 FCFA et un plus haut de 3 400 FCFA, soit une amplitude de près de 40%, avant de se stabiliser autour du cours actuel de 3 000 FCFA. La tendance générale apparaît donc latérale à légèrement haussière, le cours se maintenant au-dessus de sa moyenne sur la période. Les statistiques descriptives révèlent une moyenne de 2 887 FCFA supérieure à la médiane de 2 780 FCFA, avec un mode à 2 680 FCFA : cet écart entre moyenne et médiane, couplé à un skewness positif de 0,318 (distribution symétrique selon l'interprétation fournie), indique une légère asymétrie vers les valeurs hautes, le cours ayant tendance à évoluer davantage au-dessus de sa médiane. L'écart-type de 247 FCFA (CV = 8,6%) traduit une dispersion modérée du cours, tandis que le kurtosis négatif de -1,208 (distribution platykurtique) signale une faible concentration des valeurs autour de la moyenne et un risque de pics de volatilité moins prononcé qu'une distribution normale. La volatilité annualisée de 41,6% classe ce titre dans la catégorie des valeurs à volatilité élevée (&gt;30%), ce qui implique un risque de fluctuation important et justifie une approche prudente en matière de gestion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3 170,75 FCFA et la MM50 à 3 080,20 FCFA, toutes deux supérieures au cours actuel de 3 000 FCFA, ce qui place le titre en position baissière à court terme par rapport à ses moyennes. Cependant, la MM20 étant au-dessus de la MM50, la configuration reste haussière sur le moyen terme (croisement doré), ce qui justifie la décision technique d'**Achat** malgré la pression baissière immédiate.</w:t>
      </w:r>
    </w:p>
    <w:p>
      <w:pPr>
        <w:spacing w:after="120" w:line="276" w:lineRule="auto"/>
      </w:pPr>
      <w:r>
        <w:t>**Bandes de Bollinger** : Le cours actuel de 3 000 FCFA se situe entre la borne inférieure (2 839,575 FCFA) et la borne supérieure (3 501,925 FCFA), plus proche de la borne basse, ce qui indique une pression vendeuse récente. La largeur des bandes reflète une volatilité élevée, et la position du cours dans la partie basse de l'intervalle suggère un potentiel de rebond technique. La décision est **Neutre**, le cours n'étant ni en zone de survente extrême ni en zone de surachat.</w:t>
      </w:r>
    </w:p>
    <w:p>
      <w:pPr>
        <w:spacing w:after="120" w:line="276" w:lineRule="auto"/>
      </w:pPr>
      <w:r>
        <w:t>**MACD** : La valeur du MACD (-39,769) est nettement inférieure à son signal (-2,604), générant un histogramme négatif et un momentum baissier prononcé. Cette divergence négative indique que la pression vendeuse domine actuellement, ce qui justifie la décision de **Vente** à court terme, bien que la convergence progressive des deux lignes puisse annoncer un retournement prochain.</w:t>
      </w:r>
    </w:p>
    <w:p>
      <w:pPr>
        <w:spacing w:after="120" w:line="276" w:lineRule="auto"/>
      </w:pPr>
      <w:r>
        <w:t>**RSI** : À 35,294, le RSI se situe dans la zone neutre basse (30-70), sans atteindre le seuil de survente (&lt;30), ce qui suggère que le titre n'est pas encore techniquement survendu mais s'en approche. La décision est **Neutre**, le potentiel de rebond existant mais non confirmé.</w:t>
      </w:r>
    </w:p>
    <w:p>
      <w:pPr>
        <w:spacing w:after="120" w:line="276" w:lineRule="auto"/>
      </w:pPr>
      <w:r>
        <w:t>**Stochastique** : Le %K (40,0) est légèrement inférieur au %D (40,672), sans croisement net, ce qui indique une absence de signal directionnel fort. La décision est **Neutre**, le marché étant en phase d'indécision.</w:t>
      </w:r>
    </w:p>
    <w:p>
      <w:pPr>
        <w:spacing w:after="120" w:line="276" w:lineRule="auto"/>
      </w:pPr>
      <w:r>
        <w:t>**Conclusion technique** : Les indicateurs techniques présentent un tableau mitigé. Les moyennes mobiles restent haussières sur le moyen terme (MM20 &gt; MM50) mais le cours évolue en dessous des deux, tandis que le MACD est franchement baissier et le RSI proche de la survente. Les Bandes de Bollinger et le Stochastique confirment une phase de consolidation neutre. La convergence de ces signaux suggère une **période de transition** : le titre pourrait connaître un rebond technique à court terme (RSI bas, cours proche de la borne inférieure de Bollinger) mais la prudence reste de mise tant que le MACD n'aura pas amorcé de retournement haussier.</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annuels 2025)** : En 2025, ORGT affiche un Produit Net Bancaire (PNB, équivalent du chiffre d'affaires pour une banque) de 186,609 milliards FCFA, en recul de -4,52% par rapport à 2024 (195,436 milliards FCFA), reflétant une contraction volontaire de l'activité de crédit (-12% du portefeuille). Le résultat net consolidé s'établit à 21,643 milliards FCFA, marquant un redressement spectaculaire après la perte de -44,363 milliards FCFA en 2024 (+149%). Cette performance est portée par une réduction drastique du coût net du risque (-90%, passant de -69,056 à -6,971 milliards FCFA) et une baisse des frais généraux de -12%. Les ratios de rentabilité sont solides : ROE de 19,13% (&gt;15% = excellent), ROA de 0,54%, marge nette de 11,60%, et un coefficient d'exploitation de 42,85% (&lt;60% = banque efficace, &lt;50% = excellente), confirmant une gestion opérationnelle rigoureuse. Le coût du risque/charges financières de 3,74% reste modéré, témoignant d'un portefeuille de crédit assaini. La structure bilancielle montre des dépôts clientèle de 3 088,698 milliards FCFA (principale ressource) contre des créances clientèle de 1 523,765 milliards FCFA, soit un ratio de transformation (crédits/dépôts) de 49,3%, indiquant une marge de manœuvre pour développer l'activité de crédit. Les capitaux propres se renforcent à 113,165 milliards FCFA (+17%), et le ratio de solvabilité générale (102,90%) confirme la solvabilité de l'établissement.</w:t>
      </w:r>
    </w:p>
    <w:p>
      <w:pPr>
        <w:spacing w:after="120" w:line="276" w:lineRule="auto"/>
      </w:pPr>
      <w:r>
        <w:t>**Estimations basées sur les rapports trimestriels** : Le rapport T1 2026 (publié en 2026) indique un PNB de 50,124 milliards FCFA (-2% sur un an) et un résultat net de 6,555 milliards FCFA (+37%), avec une amélioration du coût du risque (-10%) et une progression des dépôts clientèle de +14% à 3 343,025 milliards FCFA. Sur la base de ce premier trimestre, on peut estimer que l'exercice 2026 devrait confirmer la trajectoire de redressement, avec un PNB annuel projeté autour de 200-205 milliards FCFA (si la tendance se stabilise) et un résultat net potentiellement supérieur à 25 milliards FCFA si la maîtrise des coûts et du risque se poursuit. Le rapport T3 2025 (daté du 30 septembre 2025) confirmait déjà cette dynamique avec un résultat net de 19,6 milliards FCFA (+248%) et une marge nette de 12,8%.</w:t>
      </w:r>
    </w:p>
    <w:p>
      <w:pPr>
        <w:spacing w:after="120" w:line="276" w:lineRule="auto"/>
      </w:pPr>
      <w:r>
        <w:t>**Évolution et recommandation fondamentale** : L'évolution sur deux ans est remarquable : passage d'une perte abyssale en 2024 à une profitabilité robuste en 2025, avec des fondamentaux assainis (coût du risque normalisé, capitaux propres renforcés, dépôts en croissance). Les risques principaux résident dans la baisse du PNB (-4,5% en 2025, -2% au T1 2026) qui traduit une difficulté à relancer la croissance commerciale, et dans la dépendance à la poursuite de la baisse du coût du risque. La recommandation fondamentale est **CONSERVER** : la solidité financière et le redressement spectaculaire justifient une position, mais l'absence de dividende (confirmée par l'AG mixte du 23 juillet 2026) et la contraction du PNB incitent à la prudence en attendant une reprise durable de l'activité.</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profil d'investissement contrasté. **Valorisation (Partie 0)** : le PER de 9,6x et le P/B de 1,84x indiquent une valorisation raisonnable, voire légèrement sous-évaluée par rapport aux bénéfices, bien que l'EV/EBITDA de 19,7x tempère cet optimisme. **Comportement du cours (Partie 1)** : la stabilité sur 100 jours (+0,84%), la volatilité élevée (41,6%) et la distribution platykurtique (kurtosis -1,208) suggèrent un titre sans tendance directionnelle forte mais sujet à des fluctuations importantes, avec un skewness positif (0,318) légèrement favorable. **Signaux techniques (Partie 2)** : divergence entre des moyennes mobiles haussières sur le moyen terme et un MACD baissier à court terme, avec un RSI proche de la survente (35,29) — configuration de transition pouvant précéder un rebond. **Fondamentaux (Partie 3)** : redressement spectaculaire en 2025 (résultat net de 21,643 milliards FCFA, ROE de 19,13%, coefficient d'exploitation de 42,85%), confirmé par le T1 2026 (résultat net +37%), mais fragilisé par la baisse du PNB et l'absence de dividende. **Prédictions IA (J+1 à J+10)** : la trajectoire projetée (3 011 → 3 029 FCFA, soit +0,97% sur 10 jours) est légèrement haussière et confirme la possibilité d'un rebond technique modéré, en ligne avec le RSI bas et la position du cours dans les bandes de Bollinger.</w:t>
      </w:r>
    </w:p>
    <w:p>
      <w:pPr>
        <w:spacing w:after="120" w:line="276" w:lineRule="auto"/>
      </w:pPr>
      <w:r>
        <w:t>**Recommandation finale : CONSERVER**</w:t>
      </w:r>
    </w:p>
    <w:p>
      <w:pPr>
        <w:spacing w:after="120" w:line="276" w:lineRule="auto"/>
      </w:pPr>
      <w:r>
        <w:t>Cette recommandation reflète la convergence entre une valorisation attractive (PER &lt; moyenne BRVM), des fondamentaux en net redressement (ROE &gt;15%, coefficient d'exploitation excellent) et des signaux techniques mitigés (MACD baissier mais RSI proche de la survente). La prédiction IA d'une légère hausse à court terme conforte l'idée d'une stabilisation, mais l'absence de dividende et la contraction du PNB empêchent de recommander un ACHAT franc. Le **niveau de confiance est Moyen** : les fondamentaux sont solides mais la dynamique commerciale reste incertaine. Le **niveau de risque global est Élevé** en raison de la volatilité annualisée de 41,6% et de l'exposition aux risques macroéconomiques régionaux. L'**horizon d'investissement optimal est le moyen terme (3-12 mois)**, le temps que la reprise du PNB se confirme et que le titre consolide sa trajectoire haussière au-dessus de ses moyennes mobiles.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26.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127.54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4,015 titres</w:t>
            </w:r>
          </w:p>
        </w:tc>
        <w:tc>
          <w:tcPr>
            <w:tcW w:type="dxa" w:w="2268"/>
            <w:shd w:fill="FFF2CC" w:val="clear"/>
          </w:tcPr>
          <w:p>
            <w:r>
              <w:rPr>
                <w:b/>
                <w:color w:val="503200"/>
                <w:sz w:val="16"/>
              </w:rPr>
              <w:t xml:space="preserve">Cours actuel : </w:t>
            </w:r>
            <w:r>
              <w:rPr>
                <w:color w:val="000000"/>
                <w:sz w:val="17"/>
              </w:rPr>
              <w:t>8,250 FCFA</w:t>
            </w:r>
          </w:p>
          <w:p>
            <w:r>
              <w:rPr>
                <w:b/>
                <w:color w:val="503200"/>
                <w:sz w:val="16"/>
              </w:rPr>
              <w:t xml:space="preserve">Var. 100 jours : </w:t>
            </w:r>
            <w:r>
              <w:rPr>
                <w:b/>
                <w:color w:val="007800"/>
                <w:sz w:val="17"/>
              </w:rPr>
              <w:t>+5.77%</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7,680 FCFA</w:t>
            </w:r>
          </w:p>
          <w:p>
            <w:r>
              <w:rPr>
                <w:b/>
                <w:color w:val="503200"/>
                <w:sz w:val="16"/>
              </w:rPr>
              <w:t xml:space="preserve">Volatilité ann. : </w:t>
            </w:r>
            <w:r>
              <w:rPr>
                <w:color w:val="000000"/>
                <w:sz w:val="17"/>
              </w:rPr>
              <w:t>32.1%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5.74% (Moyenne) — μ=8,604 FCFA, σ=494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β=0.0422 (Défensif) — Cov=0.000003, Var(idx)=0.000069, ρ=0.017,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4,015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σ_j=2.02%/j (Stable) — Vol. annualisée≈32.1%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16976"/>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2026-09-30</w:t>
            </w:r>
          </w:p>
        </w:tc>
        <w:tc>
          <w:tcPr>
            <w:tcW w:type="dxa" w:w="1440"/>
            <w:shd w:fill="FAFAFA" w:val="clear"/>
          </w:tcPr>
          <w:p>
            <w:r>
              <w:rPr>
                <w:sz w:val="17"/>
              </w:rPr>
              <w:t>7,964</w:t>
            </w:r>
          </w:p>
        </w:tc>
        <w:tc>
          <w:tcPr>
            <w:tcW w:type="dxa" w:w="1440"/>
            <w:shd w:fill="FAFAFA" w:val="clear"/>
          </w:tcPr>
          <w:p>
            <w:r>
              <w:rPr>
                <w:b/>
                <w:sz w:val="17"/>
              </w:rPr>
              <w:t>8,192</w:t>
            </w:r>
          </w:p>
        </w:tc>
        <w:tc>
          <w:tcPr>
            <w:tcW w:type="dxa" w:w="1440"/>
            <w:shd w:fill="FAFAFA" w:val="clear"/>
          </w:tcPr>
          <w:p>
            <w:r>
              <w:rPr>
                <w:sz w:val="17"/>
              </w:rPr>
              <w:t>8,419</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2026-10-01</w:t>
            </w:r>
          </w:p>
        </w:tc>
        <w:tc>
          <w:tcPr>
            <w:tcW w:type="dxa" w:w="1440"/>
            <w:shd w:fill="FAFAFA" w:val="clear"/>
          </w:tcPr>
          <w:p>
            <w:r>
              <w:rPr>
                <w:sz w:val="17"/>
              </w:rPr>
              <w:t>7,869</w:t>
            </w:r>
          </w:p>
        </w:tc>
        <w:tc>
          <w:tcPr>
            <w:tcW w:type="dxa" w:w="1440"/>
            <w:shd w:fill="FAFAFA" w:val="clear"/>
          </w:tcPr>
          <w:p>
            <w:r>
              <w:rPr>
                <w:b/>
                <w:sz w:val="17"/>
              </w:rPr>
              <w:t>8,191</w:t>
            </w:r>
          </w:p>
        </w:tc>
        <w:tc>
          <w:tcPr>
            <w:tcW w:type="dxa" w:w="1440"/>
            <w:shd w:fill="FAFAFA" w:val="clear"/>
          </w:tcPr>
          <w:p>
            <w:r>
              <w:rPr>
                <w:sz w:val="17"/>
              </w:rPr>
              <w:t>8,513</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2026-10-02</w:t>
            </w:r>
          </w:p>
        </w:tc>
        <w:tc>
          <w:tcPr>
            <w:tcW w:type="dxa" w:w="1440"/>
            <w:shd w:fill="FAFAFA" w:val="clear"/>
          </w:tcPr>
          <w:p>
            <w:r>
              <w:rPr>
                <w:sz w:val="17"/>
              </w:rPr>
              <w:t>7,787</w:t>
            </w:r>
          </w:p>
        </w:tc>
        <w:tc>
          <w:tcPr>
            <w:tcW w:type="dxa" w:w="1440"/>
            <w:shd w:fill="FAFAFA" w:val="clear"/>
          </w:tcPr>
          <w:p>
            <w:r>
              <w:rPr>
                <w:b/>
                <w:sz w:val="17"/>
              </w:rPr>
              <w:t>8,181</w:t>
            </w:r>
          </w:p>
        </w:tc>
        <w:tc>
          <w:tcPr>
            <w:tcW w:type="dxa" w:w="1440"/>
            <w:shd w:fill="FAFAFA" w:val="clear"/>
          </w:tcPr>
          <w:p>
            <w:r>
              <w:rPr>
                <w:sz w:val="17"/>
              </w:rPr>
              <w:t>8,575</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2026-10-05</w:t>
            </w:r>
          </w:p>
        </w:tc>
        <w:tc>
          <w:tcPr>
            <w:tcW w:type="dxa" w:w="1440"/>
            <w:shd w:fill="FAFAFA" w:val="clear"/>
          </w:tcPr>
          <w:p>
            <w:r>
              <w:rPr>
                <w:sz w:val="17"/>
              </w:rPr>
              <w:t>7,717</w:t>
            </w:r>
          </w:p>
        </w:tc>
        <w:tc>
          <w:tcPr>
            <w:tcW w:type="dxa" w:w="1440"/>
            <w:shd w:fill="FAFAFA" w:val="clear"/>
          </w:tcPr>
          <w:p>
            <w:r>
              <w:rPr>
                <w:b/>
                <w:sz w:val="17"/>
              </w:rPr>
              <w:t>8,171</w:t>
            </w:r>
          </w:p>
        </w:tc>
        <w:tc>
          <w:tcPr>
            <w:tcW w:type="dxa" w:w="1440"/>
            <w:shd w:fill="FAFAFA" w:val="clear"/>
          </w:tcPr>
          <w:p>
            <w:r>
              <w:rPr>
                <w:sz w:val="17"/>
              </w:rPr>
              <w:t>8,625</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2026-10-06</w:t>
            </w:r>
          </w:p>
        </w:tc>
        <w:tc>
          <w:tcPr>
            <w:tcW w:type="dxa" w:w="1440"/>
            <w:shd w:fill="FAFAFA" w:val="clear"/>
          </w:tcPr>
          <w:p>
            <w:r>
              <w:rPr>
                <w:sz w:val="17"/>
              </w:rPr>
              <w:t>7,655</w:t>
            </w:r>
          </w:p>
        </w:tc>
        <w:tc>
          <w:tcPr>
            <w:tcW w:type="dxa" w:w="1440"/>
            <w:shd w:fill="FAFAFA" w:val="clear"/>
          </w:tcPr>
          <w:p>
            <w:r>
              <w:rPr>
                <w:b/>
                <w:sz w:val="17"/>
              </w:rPr>
              <w:t>8,162</w:t>
            </w:r>
          </w:p>
        </w:tc>
        <w:tc>
          <w:tcPr>
            <w:tcW w:type="dxa" w:w="1440"/>
            <w:shd w:fill="FAFAFA" w:val="clear"/>
          </w:tcPr>
          <w:p>
            <w:r>
              <w:rPr>
                <w:sz w:val="17"/>
              </w:rPr>
              <w:t>8,669</w:t>
            </w:r>
          </w:p>
        </w:tc>
        <w:tc>
          <w:tcPr>
            <w:tcW w:type="dxa" w:w="1440"/>
            <w:shd w:fill="FAFAFA" w:val="clear"/>
          </w:tcPr>
          <w:p>
            <w:r>
              <w:rPr>
                <w:b/>
                <w:color w:val="C00000"/>
                <w:sz w:val="17"/>
              </w:rPr>
              <w:t>-1.1%</w:t>
            </w:r>
          </w:p>
        </w:tc>
      </w:tr>
      <w:tr>
        <w:tc>
          <w:tcPr>
            <w:tcW w:type="dxa" w:w="1440"/>
            <w:shd w:fill="FAFAFA" w:val="clear"/>
          </w:tcPr>
          <w:p>
            <w:r>
              <w:rPr>
                <w:sz w:val="17"/>
              </w:rPr>
              <w:t>J+6  Moyenne</w:t>
            </w:r>
          </w:p>
        </w:tc>
        <w:tc>
          <w:tcPr>
            <w:tcW w:type="dxa" w:w="1440"/>
            <w:shd w:fill="FAFAFA" w:val="clear"/>
          </w:tcPr>
          <w:p>
            <w:r>
              <w:rPr>
                <w:sz w:val="17"/>
              </w:rPr>
              <w:t>2026-10-07</w:t>
            </w:r>
          </w:p>
        </w:tc>
        <w:tc>
          <w:tcPr>
            <w:tcW w:type="dxa" w:w="1440"/>
            <w:shd w:fill="FAFAFA" w:val="clear"/>
          </w:tcPr>
          <w:p>
            <w:r>
              <w:rPr>
                <w:sz w:val="17"/>
              </w:rPr>
              <w:t>7,598</w:t>
            </w:r>
          </w:p>
        </w:tc>
        <w:tc>
          <w:tcPr>
            <w:tcW w:type="dxa" w:w="1440"/>
            <w:shd w:fill="FAFAFA" w:val="clear"/>
          </w:tcPr>
          <w:p>
            <w:r>
              <w:rPr>
                <w:b/>
                <w:sz w:val="17"/>
              </w:rPr>
              <w:t>8,153</w:t>
            </w:r>
          </w:p>
        </w:tc>
        <w:tc>
          <w:tcPr>
            <w:tcW w:type="dxa" w:w="1440"/>
            <w:shd w:fill="FAFAFA" w:val="clear"/>
          </w:tcPr>
          <w:p>
            <w:r>
              <w:rPr>
                <w:sz w:val="17"/>
              </w:rPr>
              <w:t>8,708</w:t>
            </w:r>
          </w:p>
        </w:tc>
        <w:tc>
          <w:tcPr>
            <w:tcW w:type="dxa" w:w="1440"/>
            <w:shd w:fill="FAFAFA" w:val="clear"/>
          </w:tcPr>
          <w:p>
            <w:r>
              <w:rPr>
                <w:b/>
                <w:color w:val="C00000"/>
                <w:sz w:val="17"/>
              </w:rPr>
              <w:t>-1.2%</w:t>
            </w:r>
          </w:p>
        </w:tc>
      </w:tr>
      <w:tr>
        <w:tc>
          <w:tcPr>
            <w:tcW w:type="dxa" w:w="1440"/>
            <w:shd w:fill="FAFAFA" w:val="clear"/>
          </w:tcPr>
          <w:p>
            <w:r>
              <w:rPr>
                <w:sz w:val="17"/>
              </w:rPr>
              <w:t>J+7  Moyenne</w:t>
            </w:r>
          </w:p>
        </w:tc>
        <w:tc>
          <w:tcPr>
            <w:tcW w:type="dxa" w:w="1440"/>
            <w:shd w:fill="FAFAFA" w:val="clear"/>
          </w:tcPr>
          <w:p>
            <w:r>
              <w:rPr>
                <w:sz w:val="17"/>
              </w:rPr>
              <w:t>2026-10-08</w:t>
            </w:r>
          </w:p>
        </w:tc>
        <w:tc>
          <w:tcPr>
            <w:tcW w:type="dxa" w:w="1440"/>
            <w:shd w:fill="FAFAFA" w:val="clear"/>
          </w:tcPr>
          <w:p>
            <w:r>
              <w:rPr>
                <w:sz w:val="17"/>
              </w:rPr>
              <w:t>7,546</w:t>
            </w:r>
          </w:p>
        </w:tc>
        <w:tc>
          <w:tcPr>
            <w:tcW w:type="dxa" w:w="1440"/>
            <w:shd w:fill="FAFAFA" w:val="clear"/>
          </w:tcPr>
          <w:p>
            <w:r>
              <w:rPr>
                <w:b/>
                <w:sz w:val="17"/>
              </w:rPr>
              <w:t>8,144</w:t>
            </w:r>
          </w:p>
        </w:tc>
        <w:tc>
          <w:tcPr>
            <w:tcW w:type="dxa" w:w="1440"/>
            <w:shd w:fill="FAFAFA" w:val="clear"/>
          </w:tcPr>
          <w:p>
            <w:r>
              <w:rPr>
                <w:sz w:val="17"/>
              </w:rPr>
              <w:t>8,743</w:t>
            </w:r>
          </w:p>
        </w:tc>
        <w:tc>
          <w:tcPr>
            <w:tcW w:type="dxa" w:w="1440"/>
            <w:shd w:fill="FAFAFA" w:val="clear"/>
          </w:tcPr>
          <w:p>
            <w:r>
              <w:rPr>
                <w:b/>
                <w:color w:val="C00000"/>
                <w:sz w:val="17"/>
              </w:rPr>
              <w:t>-1.3%</w:t>
            </w:r>
          </w:p>
        </w:tc>
      </w:tr>
      <w:tr>
        <w:tc>
          <w:tcPr>
            <w:tcW w:type="dxa" w:w="1440"/>
            <w:shd w:fill="FAFAFA" w:val="clear"/>
          </w:tcPr>
          <w:p>
            <w:r>
              <w:rPr>
                <w:sz w:val="17"/>
              </w:rPr>
              <w:t>J+8  Moyenne</w:t>
            </w:r>
          </w:p>
        </w:tc>
        <w:tc>
          <w:tcPr>
            <w:tcW w:type="dxa" w:w="1440"/>
            <w:shd w:fill="FAFAFA" w:val="clear"/>
          </w:tcPr>
          <w:p>
            <w:r>
              <w:rPr>
                <w:sz w:val="17"/>
              </w:rPr>
              <w:t>2026-10-09</w:t>
            </w:r>
          </w:p>
        </w:tc>
        <w:tc>
          <w:tcPr>
            <w:tcW w:type="dxa" w:w="1440"/>
            <w:shd w:fill="FAFAFA" w:val="clear"/>
          </w:tcPr>
          <w:p>
            <w:r>
              <w:rPr>
                <w:sz w:val="17"/>
              </w:rPr>
              <w:t>7,496</w:t>
            </w:r>
          </w:p>
        </w:tc>
        <w:tc>
          <w:tcPr>
            <w:tcW w:type="dxa" w:w="1440"/>
            <w:shd w:fill="FAFAFA" w:val="clear"/>
          </w:tcPr>
          <w:p>
            <w:r>
              <w:rPr>
                <w:b/>
                <w:sz w:val="17"/>
              </w:rPr>
              <w:t>8,136</w:t>
            </w:r>
          </w:p>
        </w:tc>
        <w:tc>
          <w:tcPr>
            <w:tcW w:type="dxa" w:w="1440"/>
            <w:shd w:fill="FAFAFA" w:val="clear"/>
          </w:tcPr>
          <w:p>
            <w:r>
              <w:rPr>
                <w:sz w:val="17"/>
              </w:rPr>
              <w:t>8,775</w:t>
            </w:r>
          </w:p>
        </w:tc>
        <w:tc>
          <w:tcPr>
            <w:tcW w:type="dxa" w:w="1440"/>
            <w:shd w:fill="FAFAFA" w:val="clear"/>
          </w:tcPr>
          <w:p>
            <w:r>
              <w:rPr>
                <w:b/>
                <w:color w:val="C00000"/>
                <w:sz w:val="17"/>
              </w:rPr>
              <w:t>-1.4%</w:t>
            </w:r>
          </w:p>
        </w:tc>
      </w:tr>
      <w:tr>
        <w:tc>
          <w:tcPr>
            <w:tcW w:type="dxa" w:w="1440"/>
            <w:shd w:fill="FAFAFA" w:val="clear"/>
          </w:tcPr>
          <w:p>
            <w:r>
              <w:rPr>
                <w:sz w:val="17"/>
              </w:rPr>
              <w:t>J+9  Moyenne</w:t>
            </w:r>
          </w:p>
        </w:tc>
        <w:tc>
          <w:tcPr>
            <w:tcW w:type="dxa" w:w="1440"/>
            <w:shd w:fill="FAFAFA" w:val="clear"/>
          </w:tcPr>
          <w:p>
            <w:r>
              <w:rPr>
                <w:sz w:val="17"/>
              </w:rPr>
              <w:t>2026-10-12</w:t>
            </w:r>
          </w:p>
        </w:tc>
        <w:tc>
          <w:tcPr>
            <w:tcW w:type="dxa" w:w="1440"/>
            <w:shd w:fill="FAFAFA" w:val="clear"/>
          </w:tcPr>
          <w:p>
            <w:r>
              <w:rPr>
                <w:sz w:val="17"/>
              </w:rPr>
              <w:t>7,450</w:t>
            </w:r>
          </w:p>
        </w:tc>
        <w:tc>
          <w:tcPr>
            <w:tcW w:type="dxa" w:w="1440"/>
            <w:shd w:fill="FAFAFA" w:val="clear"/>
          </w:tcPr>
          <w:p>
            <w:r>
              <w:rPr>
                <w:b/>
                <w:sz w:val="17"/>
              </w:rPr>
              <w:t>8,128</w:t>
            </w:r>
          </w:p>
        </w:tc>
        <w:tc>
          <w:tcPr>
            <w:tcW w:type="dxa" w:w="1440"/>
            <w:shd w:fill="FAFAFA" w:val="clear"/>
          </w:tcPr>
          <w:p>
            <w:r>
              <w:rPr>
                <w:sz w:val="17"/>
              </w:rPr>
              <w:t>8,805</w:t>
            </w:r>
          </w:p>
        </w:tc>
        <w:tc>
          <w:tcPr>
            <w:tcW w:type="dxa" w:w="1440"/>
            <w:shd w:fill="FAFAFA" w:val="clear"/>
          </w:tcPr>
          <w:p>
            <w:r>
              <w:rPr>
                <w:b/>
                <w:color w:val="C00000"/>
                <w:sz w:val="17"/>
              </w:rPr>
              <w:t>-1.5%</w:t>
            </w:r>
          </w:p>
        </w:tc>
      </w:tr>
      <w:tr>
        <w:tc>
          <w:tcPr>
            <w:tcW w:type="dxa" w:w="1440"/>
            <w:shd w:fill="FAFAFA" w:val="clear"/>
          </w:tcPr>
          <w:p>
            <w:r>
              <w:rPr>
                <w:sz w:val="17"/>
              </w:rPr>
              <w:t>J+10  Moyenne</w:t>
            </w:r>
          </w:p>
        </w:tc>
        <w:tc>
          <w:tcPr>
            <w:tcW w:type="dxa" w:w="1440"/>
            <w:shd w:fill="FAFAFA" w:val="clear"/>
          </w:tcPr>
          <w:p>
            <w:r>
              <w:rPr>
                <w:sz w:val="17"/>
              </w:rPr>
              <w:t>2026-10-13</w:t>
            </w:r>
          </w:p>
        </w:tc>
        <w:tc>
          <w:tcPr>
            <w:tcW w:type="dxa" w:w="1440"/>
            <w:shd w:fill="FAFAFA" w:val="clear"/>
          </w:tcPr>
          <w:p>
            <w:r>
              <w:rPr>
                <w:sz w:val="17"/>
              </w:rPr>
              <w:t>7,406</w:t>
            </w:r>
          </w:p>
        </w:tc>
        <w:tc>
          <w:tcPr>
            <w:tcW w:type="dxa" w:w="1440"/>
            <w:shd w:fill="FAFAFA" w:val="clear"/>
          </w:tcPr>
          <w:p>
            <w:r>
              <w:rPr>
                <w:b/>
                <w:sz w:val="17"/>
              </w:rPr>
              <w:t>8,120</w:t>
            </w:r>
          </w:p>
        </w:tc>
        <w:tc>
          <w:tcPr>
            <w:tcW w:type="dxa" w:w="1440"/>
            <w:shd w:fill="FAFAFA" w:val="clear"/>
          </w:tcPr>
          <w:p>
            <w:r>
              <w:rPr>
                <w:sz w:val="17"/>
              </w:rPr>
              <w:t>8,833</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Secteur Agro-industriel**</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127,54 milliards FCFA, PALC se positionne comme une valeur de premier plan de la cote BRVM, représentant un acteur agro-industriel majeur de la zone UEMOA. Le BPA de 1 003 FCFA/action signifie que chaque titre génère un bénéfice net d'environ mille francs CFA, ce qui, rapporté au cours actuel de 8 250 FCFA, confère au titre un PER de 8,2x — un niveau inférieur à la moyenne BRVM (8-12x) qui suggère une sous-évaluation relative, d'autant que le rendement implicite (BPA/Cours) ressort à 12,2%. Le P/B de 0,89x indique que le marché valorise PALC en dessous de sa valeur comptable (capitaux propres de 142,6 Mds FCFA pour une capitalisation de 127,5 Mds FCFA), une situation atypique pour une entreprise rentable qui constitue une opportunité potentielle de revalorisation. Enfin, l'EV/EBITDA de 4,0x, très inférieur au seuil de 5x, traduit une valorisation d'entreprise particulièrement bon marché au regard de sa capacité opérationnelle (EBE de 33,0 Mds FCFA), ce qui renforce le diagnostic de sous-évaluation globale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PALC affiche une variation totale positive de +5,77%, avec une dernière séance en hausse de +0,61%, portant le cours à 8 250 FCFA. Le titre a évolué dans un range de 1 960 FCFA, entre un plus bas de 7 680 FCFA et un plus haut de 9 640 FCFA, ce qui témoigne d'une tendance globalement haussière mais avec une correction récente depuis les sommets. Les statistiques descriptives révèlent une moyenne de 8 604 FCFA légèrement supérieure à la médiane de 8 690 FCFA — écart modeste qui, combiné à un skewness de -0,222 (distribution symétrique), indique un comportement équilibré du cours sans biais directionnel marqué. L'écart-type de 497 FCFA et le coefficient de variation de 5,8% traduisent une dispersion modérée autour de la moyenne, tandis que le kurtosis de -0,525 (mésokurtique) suggère une distribution proche de la normale, sans risque excessif de pics extrêmes. La volatilité annualisée de 32,1% classe PALC dans la catégorie des titres à volatilité élevée (&gt;30%), ce qui implique un risque de marché supérieur à la moyenne et justifie une approche prudente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(8 250 FCFA) se situe en dessous de la MM20 (8 474,5 FCFA) et de la MM50 (8 840,8 FCFA), confirmant une configuration baissière de court et moyen terme. La MM20 étant elle-même inférieure à la MM50, le croisement baissier est établi, ce qui justifie la décision technique de **Vente**.</w:t>
      </w:r>
    </w:p>
    <w:p>
      <w:pPr>
        <w:spacing w:after="120" w:line="276" w:lineRule="auto"/>
      </w:pPr>
      <w:r>
        <w:t>**Bandes de Bollinger** : Le cours (8 250 FCFA) évolue dans la partie basse du canal, entre la borne inférieure (7 829,15 FCFA) et la borne supérieure (9 119,85 FCFA), sans franchissement des limites. Cette position médiane-basse, dans un canal relativement étroit, traduit une volatilité contenue et une absence de signal directionnel fort, d'où la décision **Neutre**.</w:t>
      </w:r>
    </w:p>
    <w:p>
      <w:pPr>
        <w:spacing w:after="120" w:line="276" w:lineRule="auto"/>
      </w:pPr>
      <w:r>
        <w:t>**MACD** : La valeur du MACD (-225,058) est inférieure à son signal (-203,905), avec un histogramme négatif qui indique un momentum baissier persistant. Cette divergence négative confirme la pression vendeuse et justifie la décision de **Vente**.</w:t>
      </w:r>
    </w:p>
    <w:p>
      <w:pPr>
        <w:spacing w:after="120" w:line="276" w:lineRule="auto"/>
      </w:pPr>
      <w:r>
        <w:t>**RSI** : À 41,597, le RSI se situe dans la zone neutre (30-70), sans atteindre la zone de survente (&lt;30) ni de surachat (&gt;70). Cette position médiane-basse reflète une faiblesse relative sans excès, d'où la décision **Neutre**.</w:t>
      </w:r>
    </w:p>
    <w:p>
      <w:pPr>
        <w:spacing w:after="120" w:line="276" w:lineRule="auto"/>
      </w:pPr>
      <w:r>
        <w:t>**Stochastique** : Le %K (35,78) est supérieur au %D (23,547), avec un croisement récent à la hausse depuis la zone de survente, ce qui pourrait annoncer un rebond technique de court terme. Cependant, les deux lignes restent en territoire bas, justifiant une décision **Neutre** en attendant confirmation.</w:t>
      </w:r>
    </w:p>
    <w:p>
      <w:pPr>
        <w:spacing w:after="120" w:line="276" w:lineRule="auto"/>
      </w:pPr>
      <w:r>
        <w:t>**Conclusion technique** : Les indicateurs convergent majoritairement vers un signal baissier (MM et MACD en Vente), tandis que le RSI, les Bollinger et le Stochastique restent neutres. Le titre se trouve dans une phase de correction au sein d'une tendance haussière de fond, avec un potentiel de rebond technique à surveiller autour de 7 829 FCFA (borne inférieure de Bollinger), mais la configuration actuelle ne plaide pas pour un achat immédiat.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PALC (PALMCI S.A.) affiche un chiffre d'affaires de 197,63 milliards FCFA, en croissance de +14,78% sur un an, porté par la hausse des volumes et des prix de l'huile de palme brute. Le résultat net s'établit à 15,509 milliards FCFA, en léger recul de -2,2% par rapport à 2024 (15,9 Mds FCFA), avec une marge nette de 7,85% — en retrait par rapport aux 9,2% de 2024 — sous l'effet de la pression sur les coûts (charges de personnel +4,0%, services extérieurs +30,3%). Le ROE de 10,87% et le ROA de 7,79% demeurent corrects mais en deçà du seuil d'excellence de 15%, reflétant une rentabilité modérée des fonds propres (142,64 Mds FCFA) et des actifs (199,12 Mds FCFA). La structure financière est remarquablement solide : autonomie financière de 71,64%, ratio d'endettement de 0,56%, dettes financières réduites à 796,56 millions FCFA, et couverture des intérêts de 1 415,66% — autant d'indicateurs d'une santé financière irréprochable. Le BFR de 44,62 Mds FCFA et le délai client de 142,58 jours constituent toutefois un point de vigilance, ce délai élevé immobilisant la trésorerie et expliquant la trésorerie nette négative de -4,559 Mds FCFA. Les rapports trimestriels confirment la dynamique : le T1 2025 (publié le 31/03/2025) affichait un CA de 67,5 Mds FCFA (+32%) et un résultat net de 11,6 Mds FCFA (+65%), tandis que le S1 2025 (publié le 30/06/2025) enregistrait un CA de 134,8 Mds FCFA (+25%) et un résultat net de 22,9 Mds FCFA (+37%). Cependant, le T3 2025 (publié le 30/09/2025) marque un ralentissement avec un CA cumulé de 168,9 Mds FCFA (+18%) et un résultat net de 18,0 Mds FCFA (+11%), la marge nette chutant à 10,7% contre 17,0% au S1. Plus préoccupant, le rapport T1 2026 (publié en 2026) révèle un effondrement du CA à 49,4 Mds FCFA (-27%) et du résultat net à 1,6 Mds FCFA (-86%), que la direction attribue à un décalage temporel des ventes. Sur la base de ces éléments, on estime que l'exercice 2026 pourrait être nettement inférieur à 2025 si le redressement attendu au T2 ne se matérialise pas. La recommandation fondamentale est de **Conserver** le titre, en surveillant attentivement l'écoulement des stocks et la reprise des ventes à l'export.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PALC présente des signaux clairement favorables : PER de 8,2x (sous la moyenne BRVM), P/B de 0,89x (sous la valeur comptable) et EV/EBITDA de 4,0x (très bon marché) plaident pour une sous-évaluation manifeste. Cependant, le comportement du cours sur 100 jours (+5,77%) masque une correction récente depuis le plus haut de 9 640 FCFA, avec une volatilité élevée (32,1%) et des statistiques descriptives (kurtosis -0,525, skewness -0,222) qui ne signalent pas de risque extrême mais confirment une phase de consolidation. Les signaux techniques sont majoritairement baissiers (MM20 &lt; MM50, MACD négatif), bien que le RSI et le Stochastique suggèrent un potentiel de rebond technique à court terme. Les fondamentaux révèlent une dualité : solidité financière exceptionnelle (autonomie de 71,64%, endettement quasi nul) et croissance du CA en 2025 (+14,78%), mais rentabilité sous pression (marge nette de 7,85%) et surtout un T1 2026 catastrophique (-86% de résultat net) qui pèse lourdement sur les perspectives. Les prédictions IA (8 192 FCFA à J+1, 8 162 FCFA à J+10) confirment une légère tendance baissière de court terme, en ligne avec les signaux techniques. **Recommandation finale : CONSERVER**, avec un niveau de confiance **Moyen** et un risque global **Moyen**. La convergence entre valorisation attractive et fondamentaux dégradés à court terme justifie une position attentiste : les investisseurs déjà présents peuvent conserver en attendant la confirmation du redressement des ventes au T2 2026, tandis que les nouveaux entrants devraient attendre un signal technique haussier (franchissement de la MM20) et une clarification sur la trajectoire bénéficiaire. L'horizon d'investissement optimal est le **moyen terme (3-12 mois)**, le temps que la société démontre sa capacité à absorber le décalage temporel des ventes et à restaurer ses marges.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27.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39.94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1,146 titres</w:t>
            </w:r>
          </w:p>
        </w:tc>
        <w:tc>
          <w:tcPr>
            <w:tcW w:type="dxa" w:w="2268"/>
            <w:shd w:fill="FFF2CC" w:val="clear"/>
          </w:tcPr>
          <w:p>
            <w:r>
              <w:rPr>
                <w:b/>
                <w:color w:val="503200"/>
                <w:sz w:val="16"/>
              </w:rPr>
              <w:t xml:space="preserve">Cours actuel : </w:t>
            </w:r>
            <w:r>
              <w:rPr>
                <w:color w:val="000000"/>
                <w:sz w:val="17"/>
              </w:rPr>
              <w:t>3,900 FCFA</w:t>
            </w:r>
          </w:p>
          <w:p>
            <w:r>
              <w:rPr>
                <w:b/>
                <w:color w:val="503200"/>
                <w:sz w:val="16"/>
              </w:rPr>
              <w:t xml:space="preserve">Var. 100 jours : </w:t>
            </w:r>
            <w:r>
              <w:rPr>
                <w:b/>
                <w:color w:val="007800"/>
                <w:sz w:val="17"/>
              </w:rPr>
              <w:t>+5.41%</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6.25% (Moyenne) — μ=4,340 FCFA, σ=271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β=-0.2855 (Contre-cyclique) — Cov=-0.000020, Var(idx)=0.000069, ρ=-0.109,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σ_j=2.24%/j (Stable) — Vol. annualisée≈35.6%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16976"/>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2026-09-30</w:t>
            </w:r>
          </w:p>
        </w:tc>
        <w:tc>
          <w:tcPr>
            <w:tcW w:type="dxa" w:w="1440"/>
            <w:shd w:fill="C6EFCE" w:val="clear"/>
          </w:tcPr>
          <w:p>
            <w:r>
              <w:rPr>
                <w:sz w:val="17"/>
              </w:rPr>
              <w:t>3,889</w:t>
            </w:r>
          </w:p>
        </w:tc>
        <w:tc>
          <w:tcPr>
            <w:tcW w:type="dxa" w:w="1440"/>
            <w:shd w:fill="C6EFCE" w:val="clear"/>
          </w:tcPr>
          <w:p>
            <w:r>
              <w:rPr>
                <w:b/>
                <w:sz w:val="17"/>
              </w:rPr>
              <w:t>4,012</w:t>
            </w:r>
          </w:p>
        </w:tc>
        <w:tc>
          <w:tcPr>
            <w:tcW w:type="dxa" w:w="1440"/>
            <w:shd w:fill="C6EFCE" w:val="clear"/>
          </w:tcPr>
          <w:p>
            <w:r>
              <w:rPr>
                <w:sz w:val="17"/>
              </w:rPr>
              <w:t>4,135</w:t>
            </w:r>
          </w:p>
        </w:tc>
        <w:tc>
          <w:tcPr>
            <w:tcW w:type="dxa" w:w="1440"/>
            <w:shd w:fill="C6EFCE" w:val="clear"/>
          </w:tcPr>
          <w:p>
            <w:r>
              <w:rPr>
                <w:b/>
                <w:color w:val="008000"/>
                <w:sz w:val="17"/>
              </w:rPr>
              <w:t>+2.9%</w:t>
            </w:r>
          </w:p>
        </w:tc>
      </w:tr>
      <w:tr>
        <w:tc>
          <w:tcPr>
            <w:tcW w:type="dxa" w:w="1440"/>
            <w:shd w:fill="C6EFCE" w:val="clear"/>
          </w:tcPr>
          <w:p>
            <w:r>
              <w:rPr>
                <w:sz w:val="17"/>
              </w:rPr>
              <w:t>J+2  ⭐⭐⭐</w:t>
            </w:r>
          </w:p>
        </w:tc>
        <w:tc>
          <w:tcPr>
            <w:tcW w:type="dxa" w:w="1440"/>
            <w:shd w:fill="C6EFCE" w:val="clear"/>
          </w:tcPr>
          <w:p>
            <w:r>
              <w:rPr>
                <w:sz w:val="17"/>
              </w:rPr>
              <w:t>2026-10-01</w:t>
            </w:r>
          </w:p>
        </w:tc>
        <w:tc>
          <w:tcPr>
            <w:tcW w:type="dxa" w:w="1440"/>
            <w:shd w:fill="C6EFCE" w:val="clear"/>
          </w:tcPr>
          <w:p>
            <w:r>
              <w:rPr>
                <w:sz w:val="17"/>
              </w:rPr>
              <w:t>3,816</w:t>
            </w:r>
          </w:p>
        </w:tc>
        <w:tc>
          <w:tcPr>
            <w:tcW w:type="dxa" w:w="1440"/>
            <w:shd w:fill="C6EFCE" w:val="clear"/>
          </w:tcPr>
          <w:p>
            <w:r>
              <w:rPr>
                <w:b/>
                <w:sz w:val="17"/>
              </w:rPr>
              <w:t>3,989</w:t>
            </w:r>
          </w:p>
        </w:tc>
        <w:tc>
          <w:tcPr>
            <w:tcW w:type="dxa" w:w="1440"/>
            <w:shd w:fill="C6EFCE" w:val="clear"/>
          </w:tcPr>
          <w:p>
            <w:r>
              <w:rPr>
                <w:sz w:val="17"/>
              </w:rPr>
              <w:t>4,162</w:t>
            </w:r>
          </w:p>
        </w:tc>
        <w:tc>
          <w:tcPr>
            <w:tcW w:type="dxa" w:w="1440"/>
            <w:shd w:fill="C6EFCE" w:val="clear"/>
          </w:tcPr>
          <w:p>
            <w:r>
              <w:rPr>
                <w:b/>
                <w:color w:val="008000"/>
                <w:sz w:val="17"/>
              </w:rPr>
              <w:t>+2.3%</w:t>
            </w:r>
          </w:p>
        </w:tc>
      </w:tr>
      <w:tr>
        <w:tc>
          <w:tcPr>
            <w:tcW w:type="dxa" w:w="1440"/>
            <w:shd w:fill="C6EFCE" w:val="clear"/>
          </w:tcPr>
          <w:p>
            <w:r>
              <w:rPr>
                <w:sz w:val="17"/>
              </w:rPr>
              <w:t>J+3  ⭐⭐⭐</w:t>
            </w:r>
          </w:p>
        </w:tc>
        <w:tc>
          <w:tcPr>
            <w:tcW w:type="dxa" w:w="1440"/>
            <w:shd w:fill="C6EFCE" w:val="clear"/>
          </w:tcPr>
          <w:p>
            <w:r>
              <w:rPr>
                <w:sz w:val="17"/>
              </w:rPr>
              <w:t>2026-10-02</w:t>
            </w:r>
          </w:p>
        </w:tc>
        <w:tc>
          <w:tcPr>
            <w:tcW w:type="dxa" w:w="1440"/>
            <w:shd w:fill="C6EFCE" w:val="clear"/>
          </w:tcPr>
          <w:p>
            <w:r>
              <w:rPr>
                <w:sz w:val="17"/>
              </w:rPr>
              <w:t>3,776</w:t>
            </w:r>
          </w:p>
        </w:tc>
        <w:tc>
          <w:tcPr>
            <w:tcW w:type="dxa" w:w="1440"/>
            <w:shd w:fill="C6EFCE" w:val="clear"/>
          </w:tcPr>
          <w:p>
            <w:r>
              <w:rPr>
                <w:b/>
                <w:sz w:val="17"/>
              </w:rPr>
              <w:t>3,988</w:t>
            </w:r>
          </w:p>
        </w:tc>
        <w:tc>
          <w:tcPr>
            <w:tcW w:type="dxa" w:w="1440"/>
            <w:shd w:fill="C6EFCE" w:val="clear"/>
          </w:tcPr>
          <w:p>
            <w:r>
              <w:rPr>
                <w:sz w:val="17"/>
              </w:rPr>
              <w:t>4,200</w:t>
            </w:r>
          </w:p>
        </w:tc>
        <w:tc>
          <w:tcPr>
            <w:tcW w:type="dxa" w:w="1440"/>
            <w:shd w:fill="C6EFCE" w:val="clear"/>
          </w:tcPr>
          <w:p>
            <w:r>
              <w:rPr>
                <w:b/>
                <w:color w:val="008000"/>
                <w:sz w:val="17"/>
              </w:rPr>
              <w:t>+2.3%</w:t>
            </w:r>
          </w:p>
        </w:tc>
      </w:tr>
      <w:tr>
        <w:tc>
          <w:tcPr>
            <w:tcW w:type="dxa" w:w="1440"/>
            <w:shd w:fill="C6EFCE" w:val="clear"/>
          </w:tcPr>
          <w:p>
            <w:r>
              <w:rPr>
                <w:sz w:val="17"/>
              </w:rPr>
              <w:t>J+4  Moyenne</w:t>
            </w:r>
          </w:p>
        </w:tc>
        <w:tc>
          <w:tcPr>
            <w:tcW w:type="dxa" w:w="1440"/>
            <w:shd w:fill="C6EFCE" w:val="clear"/>
          </w:tcPr>
          <w:p>
            <w:r>
              <w:rPr>
                <w:sz w:val="17"/>
              </w:rPr>
              <w:t>2026-10-05</w:t>
            </w:r>
          </w:p>
        </w:tc>
        <w:tc>
          <w:tcPr>
            <w:tcW w:type="dxa" w:w="1440"/>
            <w:shd w:fill="C6EFCE" w:val="clear"/>
          </w:tcPr>
          <w:p>
            <w:r>
              <w:rPr>
                <w:sz w:val="17"/>
              </w:rPr>
              <w:t>3,745</w:t>
            </w:r>
          </w:p>
        </w:tc>
        <w:tc>
          <w:tcPr>
            <w:tcW w:type="dxa" w:w="1440"/>
            <w:shd w:fill="C6EFCE" w:val="clear"/>
          </w:tcPr>
          <w:p>
            <w:r>
              <w:rPr>
                <w:b/>
                <w:sz w:val="17"/>
              </w:rPr>
              <w:t>3,990</w:t>
            </w:r>
          </w:p>
        </w:tc>
        <w:tc>
          <w:tcPr>
            <w:tcW w:type="dxa" w:w="1440"/>
            <w:shd w:fill="C6EFCE" w:val="clear"/>
          </w:tcPr>
          <w:p>
            <w:r>
              <w:rPr>
                <w:sz w:val="17"/>
              </w:rPr>
              <w:t>4,235</w:t>
            </w:r>
          </w:p>
        </w:tc>
        <w:tc>
          <w:tcPr>
            <w:tcW w:type="dxa" w:w="1440"/>
            <w:shd w:fill="C6EFCE" w:val="clear"/>
          </w:tcPr>
          <w:p>
            <w:r>
              <w:rPr>
                <w:b/>
                <w:color w:val="008000"/>
                <w:sz w:val="17"/>
              </w:rPr>
              <w:t>+2.3%</w:t>
            </w:r>
          </w:p>
        </w:tc>
      </w:tr>
      <w:tr>
        <w:tc>
          <w:tcPr>
            <w:tcW w:type="dxa" w:w="1440"/>
            <w:shd w:fill="C6EFCE" w:val="clear"/>
          </w:tcPr>
          <w:p>
            <w:r>
              <w:rPr>
                <w:sz w:val="17"/>
              </w:rPr>
              <w:t>J+5  Moyenne</w:t>
            </w:r>
          </w:p>
        </w:tc>
        <w:tc>
          <w:tcPr>
            <w:tcW w:type="dxa" w:w="1440"/>
            <w:shd w:fill="C6EFCE" w:val="clear"/>
          </w:tcPr>
          <w:p>
            <w:r>
              <w:rPr>
                <w:sz w:val="17"/>
              </w:rPr>
              <w:t>2026-10-06</w:t>
            </w:r>
          </w:p>
        </w:tc>
        <w:tc>
          <w:tcPr>
            <w:tcW w:type="dxa" w:w="1440"/>
            <w:shd w:fill="C6EFCE" w:val="clear"/>
          </w:tcPr>
          <w:p>
            <w:r>
              <w:rPr>
                <w:sz w:val="17"/>
              </w:rPr>
              <w:t>3,716</w:t>
            </w:r>
          </w:p>
        </w:tc>
        <w:tc>
          <w:tcPr>
            <w:tcW w:type="dxa" w:w="1440"/>
            <w:shd w:fill="C6EFCE" w:val="clear"/>
          </w:tcPr>
          <w:p>
            <w:r>
              <w:rPr>
                <w:b/>
                <w:sz w:val="17"/>
              </w:rPr>
              <w:t>3,990</w:t>
            </w:r>
          </w:p>
        </w:tc>
        <w:tc>
          <w:tcPr>
            <w:tcW w:type="dxa" w:w="1440"/>
            <w:shd w:fill="C6EFCE" w:val="clear"/>
          </w:tcPr>
          <w:p>
            <w:r>
              <w:rPr>
                <w:sz w:val="17"/>
              </w:rPr>
              <w:t>4,264</w:t>
            </w:r>
          </w:p>
        </w:tc>
        <w:tc>
          <w:tcPr>
            <w:tcW w:type="dxa" w:w="1440"/>
            <w:shd w:fill="C6EFCE" w:val="clear"/>
          </w:tcPr>
          <w:p>
            <w:r>
              <w:rPr>
                <w:b/>
                <w:color w:val="008000"/>
                <w:sz w:val="17"/>
              </w:rPr>
              <w:t>+2.3%</w:t>
            </w:r>
          </w:p>
        </w:tc>
      </w:tr>
      <w:tr>
        <w:tc>
          <w:tcPr>
            <w:tcW w:type="dxa" w:w="1440"/>
            <w:shd w:fill="C6EFCE" w:val="clear"/>
          </w:tcPr>
          <w:p>
            <w:r>
              <w:rPr>
                <w:sz w:val="17"/>
              </w:rPr>
              <w:t>J+6  Moyenne</w:t>
            </w:r>
          </w:p>
        </w:tc>
        <w:tc>
          <w:tcPr>
            <w:tcW w:type="dxa" w:w="1440"/>
            <w:shd w:fill="C6EFCE" w:val="clear"/>
          </w:tcPr>
          <w:p>
            <w:r>
              <w:rPr>
                <w:sz w:val="17"/>
              </w:rPr>
              <w:t>2026-10-07</w:t>
            </w:r>
          </w:p>
        </w:tc>
        <w:tc>
          <w:tcPr>
            <w:tcW w:type="dxa" w:w="1440"/>
            <w:shd w:fill="C6EFCE" w:val="clear"/>
          </w:tcPr>
          <w:p>
            <w:r>
              <w:rPr>
                <w:sz w:val="17"/>
              </w:rPr>
              <w:t>3,690</w:t>
            </w:r>
          </w:p>
        </w:tc>
        <w:tc>
          <w:tcPr>
            <w:tcW w:type="dxa" w:w="1440"/>
            <w:shd w:fill="C6EFCE" w:val="clear"/>
          </w:tcPr>
          <w:p>
            <w:r>
              <w:rPr>
                <w:b/>
                <w:sz w:val="17"/>
              </w:rPr>
              <w:t>3,990</w:t>
            </w:r>
          </w:p>
        </w:tc>
        <w:tc>
          <w:tcPr>
            <w:tcW w:type="dxa" w:w="1440"/>
            <w:shd w:fill="C6EFCE" w:val="clear"/>
          </w:tcPr>
          <w:p>
            <w:r>
              <w:rPr>
                <w:sz w:val="17"/>
              </w:rPr>
              <w:t>4,290</w:t>
            </w:r>
          </w:p>
        </w:tc>
        <w:tc>
          <w:tcPr>
            <w:tcW w:type="dxa" w:w="1440"/>
            <w:shd w:fill="C6EFCE" w:val="clear"/>
          </w:tcPr>
          <w:p>
            <w:r>
              <w:rPr>
                <w:b/>
                <w:color w:val="008000"/>
                <w:sz w:val="17"/>
              </w:rPr>
              <w:t>+2.3%</w:t>
            </w:r>
          </w:p>
        </w:tc>
      </w:tr>
      <w:tr>
        <w:tc>
          <w:tcPr>
            <w:tcW w:type="dxa" w:w="1440"/>
            <w:shd w:fill="C6EFCE" w:val="clear"/>
          </w:tcPr>
          <w:p>
            <w:r>
              <w:rPr>
                <w:sz w:val="17"/>
              </w:rPr>
              <w:t>J+7  Moyenne</w:t>
            </w:r>
          </w:p>
        </w:tc>
        <w:tc>
          <w:tcPr>
            <w:tcW w:type="dxa" w:w="1440"/>
            <w:shd w:fill="C6EFCE" w:val="clear"/>
          </w:tcPr>
          <w:p>
            <w:r>
              <w:rPr>
                <w:sz w:val="17"/>
              </w:rPr>
              <w:t>2026-10-08</w:t>
            </w:r>
          </w:p>
        </w:tc>
        <w:tc>
          <w:tcPr>
            <w:tcW w:type="dxa" w:w="1440"/>
            <w:shd w:fill="C6EFCE" w:val="clear"/>
          </w:tcPr>
          <w:p>
            <w:r>
              <w:rPr>
                <w:sz w:val="17"/>
              </w:rPr>
              <w:t>3,666</w:t>
            </w:r>
          </w:p>
        </w:tc>
        <w:tc>
          <w:tcPr>
            <w:tcW w:type="dxa" w:w="1440"/>
            <w:shd w:fill="C6EFCE" w:val="clear"/>
          </w:tcPr>
          <w:p>
            <w:r>
              <w:rPr>
                <w:b/>
                <w:sz w:val="17"/>
              </w:rPr>
              <w:t>3,990</w:t>
            </w:r>
          </w:p>
        </w:tc>
        <w:tc>
          <w:tcPr>
            <w:tcW w:type="dxa" w:w="1440"/>
            <w:shd w:fill="C6EFCE" w:val="clear"/>
          </w:tcPr>
          <w:p>
            <w:r>
              <w:rPr>
                <w:sz w:val="17"/>
              </w:rPr>
              <w:t>4,314</w:t>
            </w:r>
          </w:p>
        </w:tc>
        <w:tc>
          <w:tcPr>
            <w:tcW w:type="dxa" w:w="1440"/>
            <w:shd w:fill="C6EFCE" w:val="clear"/>
          </w:tcPr>
          <w:p>
            <w:r>
              <w:rPr>
                <w:b/>
                <w:color w:val="008000"/>
                <w:sz w:val="17"/>
              </w:rPr>
              <w:t>+2.3%</w:t>
            </w:r>
          </w:p>
        </w:tc>
      </w:tr>
      <w:tr>
        <w:tc>
          <w:tcPr>
            <w:tcW w:type="dxa" w:w="1440"/>
            <w:shd w:fill="C6EFCE" w:val="clear"/>
          </w:tcPr>
          <w:p>
            <w:r>
              <w:rPr>
                <w:sz w:val="17"/>
              </w:rPr>
              <w:t>J+8  Moyenne</w:t>
            </w:r>
          </w:p>
        </w:tc>
        <w:tc>
          <w:tcPr>
            <w:tcW w:type="dxa" w:w="1440"/>
            <w:shd w:fill="C6EFCE" w:val="clear"/>
          </w:tcPr>
          <w:p>
            <w:r>
              <w:rPr>
                <w:sz w:val="17"/>
              </w:rPr>
              <w:t>2026-10-09</w:t>
            </w:r>
          </w:p>
        </w:tc>
        <w:tc>
          <w:tcPr>
            <w:tcW w:type="dxa" w:w="1440"/>
            <w:shd w:fill="C6EFCE" w:val="clear"/>
          </w:tcPr>
          <w:p>
            <w:r>
              <w:rPr>
                <w:sz w:val="17"/>
              </w:rPr>
              <w:t>3,644</w:t>
            </w:r>
          </w:p>
        </w:tc>
        <w:tc>
          <w:tcPr>
            <w:tcW w:type="dxa" w:w="1440"/>
            <w:shd w:fill="C6EFCE" w:val="clear"/>
          </w:tcPr>
          <w:p>
            <w:r>
              <w:rPr>
                <w:b/>
                <w:sz w:val="17"/>
              </w:rPr>
              <w:t>3,990</w:t>
            </w:r>
          </w:p>
        </w:tc>
        <w:tc>
          <w:tcPr>
            <w:tcW w:type="dxa" w:w="1440"/>
            <w:shd w:fill="C6EFCE" w:val="clear"/>
          </w:tcPr>
          <w:p>
            <w:r>
              <w:rPr>
                <w:sz w:val="17"/>
              </w:rPr>
              <w:t>4,336</w:t>
            </w:r>
          </w:p>
        </w:tc>
        <w:tc>
          <w:tcPr>
            <w:tcW w:type="dxa" w:w="1440"/>
            <w:shd w:fill="C6EFCE" w:val="clear"/>
          </w:tcPr>
          <w:p>
            <w:r>
              <w:rPr>
                <w:b/>
                <w:color w:val="008000"/>
                <w:sz w:val="17"/>
              </w:rPr>
              <w:t>+2.3%</w:t>
            </w:r>
          </w:p>
        </w:tc>
      </w:tr>
      <w:tr>
        <w:tc>
          <w:tcPr>
            <w:tcW w:type="dxa" w:w="1440"/>
            <w:shd w:fill="C6EFCE" w:val="clear"/>
          </w:tcPr>
          <w:p>
            <w:r>
              <w:rPr>
                <w:sz w:val="17"/>
              </w:rPr>
              <w:t>J+9  Moyenne</w:t>
            </w:r>
          </w:p>
        </w:tc>
        <w:tc>
          <w:tcPr>
            <w:tcW w:type="dxa" w:w="1440"/>
            <w:shd w:fill="C6EFCE" w:val="clear"/>
          </w:tcPr>
          <w:p>
            <w:r>
              <w:rPr>
                <w:sz w:val="17"/>
              </w:rPr>
              <w:t>2026-10-12</w:t>
            </w:r>
          </w:p>
        </w:tc>
        <w:tc>
          <w:tcPr>
            <w:tcW w:type="dxa" w:w="1440"/>
            <w:shd w:fill="C6EFCE" w:val="clear"/>
          </w:tcPr>
          <w:p>
            <w:r>
              <w:rPr>
                <w:sz w:val="17"/>
              </w:rPr>
              <w:t>3,623</w:t>
            </w:r>
          </w:p>
        </w:tc>
        <w:tc>
          <w:tcPr>
            <w:tcW w:type="dxa" w:w="1440"/>
            <w:shd w:fill="C6EFCE" w:val="clear"/>
          </w:tcPr>
          <w:p>
            <w:r>
              <w:rPr>
                <w:b/>
                <w:sz w:val="17"/>
              </w:rPr>
              <w:t>3,990</w:t>
            </w:r>
          </w:p>
        </w:tc>
        <w:tc>
          <w:tcPr>
            <w:tcW w:type="dxa" w:w="1440"/>
            <w:shd w:fill="C6EFCE" w:val="clear"/>
          </w:tcPr>
          <w:p>
            <w:r>
              <w:rPr>
                <w:sz w:val="17"/>
              </w:rPr>
              <w:t>4,357</w:t>
            </w:r>
          </w:p>
        </w:tc>
        <w:tc>
          <w:tcPr>
            <w:tcW w:type="dxa" w:w="1440"/>
            <w:shd w:fill="C6EFCE" w:val="clear"/>
          </w:tcPr>
          <w:p>
            <w:r>
              <w:rPr>
                <w:b/>
                <w:color w:val="008000"/>
                <w:sz w:val="17"/>
              </w:rPr>
              <w:t>+2.3%</w:t>
            </w:r>
          </w:p>
        </w:tc>
      </w:tr>
      <w:tr>
        <w:tc>
          <w:tcPr>
            <w:tcW w:type="dxa" w:w="1440"/>
            <w:shd w:fill="C6EFCE" w:val="clear"/>
          </w:tcPr>
          <w:p>
            <w:r>
              <w:rPr>
                <w:sz w:val="17"/>
              </w:rPr>
              <w:t>J+10  Moyenne</w:t>
            </w:r>
          </w:p>
        </w:tc>
        <w:tc>
          <w:tcPr>
            <w:tcW w:type="dxa" w:w="1440"/>
            <w:shd w:fill="C6EFCE" w:val="clear"/>
          </w:tcPr>
          <w:p>
            <w:r>
              <w:rPr>
                <w:sz w:val="17"/>
              </w:rPr>
              <w:t>2026-10-13</w:t>
            </w:r>
          </w:p>
        </w:tc>
        <w:tc>
          <w:tcPr>
            <w:tcW w:type="dxa" w:w="1440"/>
            <w:shd w:fill="C6EFCE" w:val="clear"/>
          </w:tcPr>
          <w:p>
            <w:r>
              <w:rPr>
                <w:sz w:val="17"/>
              </w:rPr>
              <w:t>3,603</w:t>
            </w:r>
          </w:p>
        </w:tc>
        <w:tc>
          <w:tcPr>
            <w:tcW w:type="dxa" w:w="1440"/>
            <w:shd w:fill="C6EFCE" w:val="clear"/>
          </w:tcPr>
          <w:p>
            <w:r>
              <w:rPr>
                <w:b/>
                <w:sz w:val="17"/>
              </w:rPr>
              <w:t>3,990</w:t>
            </w:r>
          </w:p>
        </w:tc>
        <w:tc>
          <w:tcPr>
            <w:tcW w:type="dxa" w:w="1440"/>
            <w:shd w:fill="C6EFCE" w:val="clear"/>
          </w:tcPr>
          <w:p>
            <w:r>
              <w:rPr>
                <w:sz w:val="17"/>
              </w:rPr>
              <w:t>4,377</w:t>
            </w:r>
          </w:p>
        </w:tc>
        <w:tc>
          <w:tcPr>
            <w:tcW w:type="dxa" w:w="1440"/>
            <w:shd w:fill="C6EFCE" w:val="clear"/>
          </w:tcPr>
          <w:p>
            <w:r>
              <w:rPr>
                <w:b/>
                <w:color w:val="008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 RAPPORT D'ANALYSE FINANCIÈRE — PRSC (TRACTAFRIC MOTORS CÔTE D'IVOIRE)</w:t>
        <w:br/>
        <w:t>**Bourse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39,94 milliards FCFA, PRSC se positionne comme une valeur de taille intermédiaire sur le compartiment des sociétés non financières de la BRVM, représentant un poids modeste mais significatif dans l'indice sectoriel de la distribution automobile. Le BPA de 231 FCFA/action signifie que chaque titre génère près de 231 FCFA de bénéfice net, ce qui, rapporté au cours actuel de 3 900 FCFA, donne un PER de 16,9x — soit un niveau supérieur à la moyenne BRVM (8-12x), traduisant une prime de valorisation que le marché accorde à la régularité des résultats et à la politique de dividende. Le P/B de 3,46x indique que le marché valorise l'entreprise à plus de trois fois sa valeur comptable (11,53 Mds FCFA de capitaux propres), ce qui constitue une prime de croissance significative mais qui reste soutenable si la rentabilité des fonds propres (ROE de 20,5%) se maintient. Enfin, l'EV/EBITDA de 8,8x situe la valeur d'entreprise dans la fourchette raisonnable de 5-10x, suggérant que le marché ne surpaye pas la capacité opérationnelle de génération de cash-flows, offrant ainsi un point d'équilibre à cette valorisation globalement exigeante mais non déraisonnable.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affiche une variation totale positive de +5,41%, mais la dernière séance (J-1) a enregistré une chute brutale de -6,02%, ramenant le cours à 3 900 FCFA. Le range de trading s'établit entre un plus haut de 4 740 FCFA et un plus bas de 3 620 FCFA, soit une amplitude de 1 120 FCFA (30,9% du plus bas), ce qui témoigne d'une volatilité intra-période importante. La tendance générale reste haussière sur la période, mais le décrochage récent de -6,02% en une seule séance signale une pression vendeuse aiguë qui mérite une attention particulière. Les statistiques descriptives révèlent une moyenne de 4 340 FCFA contre une médiane de 4 402 FCFA, avec un mode à 4 400 FCFA : l'écart entre moyenne et médiane (62 FCFA) confirme une distribution légèrement asymétrique, le cours ayant passé plus de temps au-dessus de sa moyenne (skewness de -1,277), ce qui indique que les journées de baisse sont moins fréquentes mais plus violentes — cohérent avec la chute de -6,02% observée. L'écart-type de 272 FCFA avec un coefficient de variation de 6,3% traduit une dispersion modérée autour de la moyenne, tandis que le kurtosis de 0,939 (mésokurtique) suggère une distribution proche de la normale, sans risque extrême de pics exceptionnels. La volatilité annualisée de 35,6% classe le titre dans la catégorie des valeurs à volatilité élevée (&gt;30%), ce qui implique un risque de marché supérieur à la moyenne et justifie une approche prudente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4 312 FCFA et la MM50 à 4 423 FCFA, toutes deux nettement supérieures au cours actuel de 3 900 FCFA. Cette configuration baissière (cours sous les deux moyennes) avec une MM20 inférieure à la MM50 confirme une dynamique descendante de court terme, justifiant la décision technique de **Vente**. Le croisement potentiel des moyennes à la baisse renforcerait ce signal si le cours ne se redresse pas rapidement au-dessus de 4 312 FCFA.</w:t>
      </w:r>
    </w:p>
    <w:p>
      <w:pPr>
        <w:spacing w:after="120" w:line="276" w:lineRule="auto"/>
      </w:pPr>
      <w:r>
        <w:t>**Bandes de Bollinger** : La borne supérieure se situe à 4 610,87 FCFA et la borne inférieure à 4 013,14 FCFA, avec un cours actuel de 3 900 FCFA qui évolue **en dessous de la borne inférieure**. Cette position hors bande signale une survente technique extrême et une volatilité accrue, ce qui justifie la décision d'**Achat** par retour à la moyenne. Historiquement, une sortie par le bas des bandes de Bollinger précède souvent un rebond technique, mais la prudence reste de mise tant que le cours ne réintègre pas la bande.</w:t>
      </w:r>
    </w:p>
    <w:p>
      <w:pPr>
        <w:spacing w:after="120" w:line="276" w:lineRule="auto"/>
      </w:pPr>
      <w:r>
        <w:t>**MACD** : La valeur du MACD est de -100,524 contre un signal à -61,607, soit une divergence négative de -38,917 points. Le MACD évolue en territoire négatif et sous sa ligne de signal, confirmant un momentum baissier persistant et justifiant la décision de **Vente**. Aucun signe de retournement haussier (croisement positif) n'est visible à ce stade, ce qui plaide pour une poursuite de la pression baissière à court terme.</w:t>
      </w:r>
    </w:p>
    <w:p>
      <w:pPr>
        <w:spacing w:after="120" w:line="276" w:lineRule="auto"/>
      </w:pPr>
      <w:r>
        <w:t>**RSI** : Le RSI s'établit à 23,404, un niveau nettement inférieur au seuil de survente de 30. Cette lecture signale que le titre est **techniquement survendu** et qu'un rebond technique est probable, justifiant la décision d'**Achat**. Un RSI aussi bas après une chute de -6,02% en une séance suggère que la pression vendeuse pourrait s'épuiser à court terme, offrant une opportunité d'entrée pour les traders contrariants.</w:t>
      </w:r>
    </w:p>
    <w:p>
      <w:pPr>
        <w:spacing w:after="120" w:line="276" w:lineRule="auto"/>
      </w:pPr>
      <w:r>
        <w:t>**Stochastique** : Le %K est à 0,0 et le %D à 15,07, avec un %K au plus bas absolu de l'échelle. Cette configuration extrême indique une survente maximale et un possible épuisement de la tendance baissière, justifiant la décision d'**Achat**. Le croisement du %K au-dessus du %D serait le signal de confirmation d'un retournement haussier à surveiller dans les prochaines séances.</w:t>
      </w:r>
    </w:p>
    <w:p>
      <w:pPr>
        <w:spacing w:after="120" w:line="276" w:lineRule="auto"/>
      </w:pPr>
      <w:r>
        <w:t>**Conclusion technique** : Les indicateurs présentent une **divergence marquée** : les moyennes mobiles et le MACD confirment une tendance baissière de fond (décision Vente), tandis que le RSI, le stochastique et les bandes de Bollinger signalent une survente extrême propice à un rebond technique (décision Achat). Cette configuration contradictoire est typique d'un point de retournement potentiel : le titre est survendu à court terme mais la tendance de fond reste fragile. La prudence recommande d'attendre une confirmation de rebond (réintégration de la bande inférieure de Bollinger à 4 013 FCFA et croisement haussier du stochastique) avant d'initier une position acheteuse.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PRSC (Tractafric Motors Côte d'Ivoire) affiche un chiffre d'affaires de 81,127 milliards FCFA, en croissance de 8,64% par rapport à 2024 (74,45 milliards FCFA selon le rapport du 30/03/2026). Le résultat net s'établit à 2,367 milliards FCFA, en légère hausse par rapport aux 2,177 milliards de 2024 (+8,7%), avec une marge nette de 2,92%. La rentabilité des fonds propres (ROE) atteint 20,53%, un niveau excellent (&gt;15%), tandis que le ROA de 4,95% reflète la faible intensité capitalistique du modèle de distribution. La valeur ajoutée de 10,852 milliards FCFA et l'EBE de 5,787 milliards FCFA témoignent d'une capacité opérationnelle solide, mais la marge opérationnelle de 5,23% et le coefficient d'exploitation de 94,91% indiquent une pression persistante sur les coûts. Le BFR de 11,267 milliards FCFA (délai clients de 46 jours, délai fournisseurs de 103 jours, durée de stockage de 150,5 jours) constitue un point de vigilance : le délai de stockage élevé immobilise du capital, mais le délai fournisseurs supérieur au délai clients génère un BFR globalement maîtrisé. La structure financière reste équilibrée avec une autonomie financière de 24,1% (inférieure au seuil de 30% mais acceptable pour le secteur), une solvabilité générale de 131,8% et une liquidité générale de 120,9%. Le ratio d'endettement de 314,9% (dettes totales/capitaux propres) est élevé mais compensé par une capacité de remboursement de 1,83 année et une couverture des intérêts de 1 585%, traduisant une charge financière très faible (267,5 millions FCFA).</w:t>
      </w:r>
    </w:p>
    <w:p>
      <w:pPr>
        <w:spacing w:after="120" w:line="276" w:lineRule="auto"/>
      </w:pPr>
      <w:r>
        <w:t>**Estimations basées sur les rapports trimestriels** : Le rapport d'activité du 1er semestre 2025 (daté du 30/06/2025, analysé le 15/03/2026) révèle un CA de 39,968 milliards FCFA au S1 2025, en hausse de +15,1% par rapport au S1 2024, porté par les ventes de véhicules (+15,8% en volume) et les pneumatiques Michelin (+62,6%). Le résultat net semestriel a explosé à 1,436 milliard FCFA contre 50,6 millions au S1 2024 (multiplication par 28), avec une marge nette de 3,6% contre 0,15%. Sur la base de cette dynamique, on estime que l'exercice 2025 devrait confirmer cette tendance avec un résultat net annuel de 2,37 milliards FCFA (déjà réalisé) et une marge nette proche de 2,9%. Le rapport du 30/06/2025 (analysé le 15/03/2026) mentionne un taux de rendement de l'action de 7,31%, ce qui, rapporté au cours actuel de 3 900 FCFA, suggère un dividende attendu de 285 FCFA/action — mais l'avis de convocation à l'AG mixte du 30/06/2026 (document du 15/06/2026) confirme un dividende de 209 FCFA brut par action, soit un rendement de 5,36% au cours actuel. Ce dividende, en baisse par rapport aux 288 FCFA de 2022, reflète la politique prudente de la société qui privilégie la rétention des bénéfices pour financer sa croissance.</w:t>
      </w:r>
    </w:p>
    <w:p>
      <w:pPr>
        <w:spacing w:after="120" w:line="276" w:lineRule="auto"/>
      </w:pPr>
      <w:r>
        <w:t>**Évolution pluriannuelle** : Les rapports antérieurs (2022-2024) montrent une certaine volatilité des résultats : le résultat net est passé de 3,64 milliards FCFA en 2022 à 2,04 milliards en 2023 (-42,6%), puis à 2,18 milliards en 2024 (+6,5%), et enfin à 2,37 milliards en 2025 (+8,7%). Cette reprise progressive, portée par la croissance du marché automobile ivoirien et la diversification réussie (pneumatiques, services), est encourageante mais reste fragile face aux risques identifiés : dépendance aux créances clients (10,36 milliards FCFA), pression concurrentielle des véhicules low-cost, et incertitudes politiques liées au contexte électoral ivoirien.</w:t>
      </w:r>
    </w:p>
    <w:p>
      <w:pPr>
        <w:spacing w:after="120" w:line="276" w:lineRule="auto"/>
      </w:pPr>
      <w:r>
        <w:t>**Recommandation fondamentale** : PRSC présente un profil de **solidité financière correcte** avec un ROE excellent (20,5%), une croissance du CA soutenue (+8,6% en 2025) et un dividende attractif (5,36% de rendement). Cependant, la marge nette faible (2,9%), le BFR élevé (11,3 milliards FCFA) et la dépendance au marché automobile ivoirien constituent des risques à surveiller. La valorisation (PER 16,9x) intègre déjà une partie de ces bonnes perspectives, limitant le potentiel de revalorisation à court terme. La recommandation fondamentale est **CONSERVER** avec une vigilance accrue sur l'évolution du BFR et la pérennité du dividende.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notable** entre les signaux. Sur le plan de la **valorisation (Partie 0)**, les ratios PER (16,9x), P/B (3,46x) et EV/EBITDA (8,8x) indiquent une valorisation **légèrement surévaluée** par rapport à la moyenne BRVM, mais justifiée par la qualité des fondamentaux et le rendement du dividende. Le **comportement du cours (Partie 1)** est préoccupant à court terme : la chute de -6,02% en J-1, la volatilité élevée (35,6%) et la skewness négative (-1,277) signalent une pression vendeuse aiguë, bien que la tendance sur 100 jours reste positive (+5,41%). Les **signaux techniques (Partie 2)** sont contradictoires : les moyennes mobiles et le MACD confirment la tendance baissière, tandis que le RSI (23,4), le stochastique (%K=0) et les bandes de Bollinger (cours sous la borne inférieure) signalent une survente extrême propice à un rebond technique. Les **fondamentaux (Partie 3)** sont solides mais sans surprise : ROE de 20,5%, croissance du CA de +8,6% en 2025, dividende de 209 FCFA (rendement 5,36%), mais marge nette faible (2,9%) et BFR élevé. Les **prédictions IA (J+1 à J+10)** anticipent une stabilisation autour de 3 988-4 012 FCFA, soit un rebond modéré de +2,9% par rapport au cours actuel de 3 900 FCFA, ce qui **confirme partiellement** les signaux d'achat technique (RSI, stochastique) tout en invalidant la poursuite de la tendance baissière.</w:t>
      </w:r>
    </w:p>
    <w:p>
      <w:pPr>
        <w:spacing w:after="120" w:line="276" w:lineRule="auto"/>
      </w:pPr>
      <w:r>
        <w:t>**Recommandation finale : CONSERVER** (avec biais haussier à court terme)</w:t>
      </w:r>
    </w:p>
    <w:p>
      <w:pPr>
        <w:spacing w:after="120" w:line="276" w:lineRule="auto"/>
      </w:pPr>
      <w:r>
        <w:t>Cette recommandation s'appuie sur la **convergence partielle** entre la survente technique (RSI, stochastique, Bollinger) et les prédictions IA de rebond modéré, tempérée par la tendance baissière de fond (MM, MACD) et une valorisation exigeante (PER 16,9x). Le niveau de confiance est **Moyen** : les signaux d'achat technique sont forts mais la tendance de fond reste fragile, et les fondamentaux ne justifient pas une prime de valorisation supplémentaire. Le niveau de risque global est **Moyen à Élevé**, compte tenu de la volatilité annualisée de 35,6% et de la dépendance au marché automobile ivoirien. L'horizon d'investissement optimal est **court terme (1-3 mois)** pour profiter du rebond technique attendu vers 4 013 FCFA (borne inférieure de Bollinger), avec un stop-loss recommandé sous 3 800 FCFA. Pour les investisseurs de long terme, le titre offre un rendement de dividende attractif (5,36%) mais nécessite une surveillance étroite de l'évolution du BFR et de la marge nette avant d'envisager un renforcement de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28.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56.97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8,830 titres</w:t>
            </w:r>
          </w:p>
        </w:tc>
        <w:tc>
          <w:tcPr>
            <w:tcW w:type="dxa" w:w="2268"/>
            <w:shd w:fill="FFF2CC" w:val="clear"/>
          </w:tcPr>
          <w:p>
            <w:r>
              <w:rPr>
                <w:b/>
                <w:color w:val="503200"/>
                <w:sz w:val="16"/>
              </w:rPr>
              <w:t xml:space="preserve">Cours actuel : </w:t>
            </w:r>
            <w:r>
              <w:rPr>
                <w:color w:val="000000"/>
                <w:sz w:val="17"/>
              </w:rPr>
              <w:t>4,800 FCFA</w:t>
            </w:r>
          </w:p>
          <w:p>
            <w:r>
              <w:rPr>
                <w:b/>
                <w:color w:val="503200"/>
                <w:sz w:val="16"/>
              </w:rPr>
              <w:t xml:space="preserve">Var. 100 jours : </w:t>
            </w:r>
            <w:r>
              <w:rPr>
                <w:b/>
                <w:color w:val="007800"/>
                <w:sz w:val="17"/>
              </w:rPr>
              <w:t>+37.14%</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3,485 FCFA</w:t>
            </w:r>
          </w:p>
          <w:p>
            <w:r>
              <w:rPr>
                <w:b/>
                <w:color w:val="503200"/>
                <w:sz w:val="16"/>
              </w:rPr>
              <w:t xml:space="preserve">Volatilité ann. : </w:t>
            </w:r>
            <w:r>
              <w:rPr>
                <w:color w:val="000000"/>
                <w:sz w:val="17"/>
              </w:rPr>
              <w:t>61.0%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28.0/100 → Moyen</w:t>
      </w:r>
    </w:p>
    <w:p>
      <w:pPr>
        <w:spacing w:before="40" w:after="80"/>
      </w:pPr>
      <w:r>
        <w:rPr>
          <w:rFonts w:ascii="Courier New" w:hAnsi="Courier New"/>
          <w:color w:val="825A00"/>
          <w:sz w:val="18"/>
        </w:rPr>
        <w:t>█████░░░░░░░░░░░░░░░  28.0/100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16.25% (Élevée) — μ=4,630 FCFA, σ=752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β=1.1347 (Neutre (suit le marché)) — Cov=0.000078, Var(idx)=0.000069, ρ=0.248,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8,830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σ_j=3.84%/j (Modérée) — Vol. annualisée≈61.0%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16976"/>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2026-09-30</w:t>
            </w:r>
          </w:p>
        </w:tc>
        <w:tc>
          <w:tcPr>
            <w:tcW w:type="dxa" w:w="1440"/>
            <w:shd w:fill="C6EFCE" w:val="clear"/>
          </w:tcPr>
          <w:p>
            <w:r>
              <w:rPr>
                <w:sz w:val="17"/>
              </w:rPr>
              <w:t>4,568</w:t>
            </w:r>
          </w:p>
        </w:tc>
        <w:tc>
          <w:tcPr>
            <w:tcW w:type="dxa" w:w="1440"/>
            <w:shd w:fill="C6EFCE" w:val="clear"/>
          </w:tcPr>
          <w:p>
            <w:r>
              <w:rPr>
                <w:b/>
                <w:sz w:val="17"/>
              </w:rPr>
              <w:t>4,917</w:t>
            </w:r>
          </w:p>
        </w:tc>
        <w:tc>
          <w:tcPr>
            <w:tcW w:type="dxa" w:w="1440"/>
            <w:shd w:fill="C6EFCE" w:val="clear"/>
          </w:tcPr>
          <w:p>
            <w:r>
              <w:rPr>
                <w:sz w:val="17"/>
              </w:rPr>
              <w:t>5,266</w:t>
            </w:r>
          </w:p>
        </w:tc>
        <w:tc>
          <w:tcPr>
            <w:tcW w:type="dxa" w:w="1440"/>
            <w:shd w:fill="C6EFCE" w:val="clear"/>
          </w:tcPr>
          <w:p>
            <w:r>
              <w:rPr>
                <w:b/>
                <w:color w:val="008000"/>
                <w:sz w:val="17"/>
              </w:rPr>
              <w:t>+2.4%</w:t>
            </w:r>
          </w:p>
        </w:tc>
      </w:tr>
      <w:tr>
        <w:tc>
          <w:tcPr>
            <w:tcW w:type="dxa" w:w="1440"/>
            <w:shd w:fill="C6EFCE" w:val="clear"/>
          </w:tcPr>
          <w:p>
            <w:r>
              <w:rPr>
                <w:sz w:val="17"/>
              </w:rPr>
              <w:t>J+2  ⭐</w:t>
            </w:r>
          </w:p>
        </w:tc>
        <w:tc>
          <w:tcPr>
            <w:tcW w:type="dxa" w:w="1440"/>
            <w:shd w:fill="C6EFCE" w:val="clear"/>
          </w:tcPr>
          <w:p>
            <w:r>
              <w:rPr>
                <w:sz w:val="17"/>
              </w:rPr>
              <w:t>2026-10-01</w:t>
            </w:r>
          </w:p>
        </w:tc>
        <w:tc>
          <w:tcPr>
            <w:tcW w:type="dxa" w:w="1440"/>
            <w:shd w:fill="C6EFCE" w:val="clear"/>
          </w:tcPr>
          <w:p>
            <w:r>
              <w:rPr>
                <w:sz w:val="17"/>
              </w:rPr>
              <w:t>4,467</w:t>
            </w:r>
          </w:p>
        </w:tc>
        <w:tc>
          <w:tcPr>
            <w:tcW w:type="dxa" w:w="1440"/>
            <w:shd w:fill="C6EFCE" w:val="clear"/>
          </w:tcPr>
          <w:p>
            <w:r>
              <w:rPr>
                <w:b/>
                <w:sz w:val="17"/>
              </w:rPr>
              <w:t>4,966</w:t>
            </w:r>
          </w:p>
        </w:tc>
        <w:tc>
          <w:tcPr>
            <w:tcW w:type="dxa" w:w="1440"/>
            <w:shd w:fill="C6EFCE" w:val="clear"/>
          </w:tcPr>
          <w:p>
            <w:r>
              <w:rPr>
                <w:sz w:val="17"/>
              </w:rPr>
              <w:t>5,465</w:t>
            </w:r>
          </w:p>
        </w:tc>
        <w:tc>
          <w:tcPr>
            <w:tcW w:type="dxa" w:w="1440"/>
            <w:shd w:fill="C6EFCE" w:val="clear"/>
          </w:tcPr>
          <w:p>
            <w:r>
              <w:rPr>
                <w:b/>
                <w:color w:val="008000"/>
                <w:sz w:val="17"/>
              </w:rPr>
              <w:t>+3.5%</w:t>
            </w:r>
          </w:p>
        </w:tc>
      </w:tr>
      <w:tr>
        <w:tc>
          <w:tcPr>
            <w:tcW w:type="dxa" w:w="1440"/>
            <w:shd w:fill="C6EFCE" w:val="clear"/>
          </w:tcPr>
          <w:p>
            <w:r>
              <w:rPr>
                <w:sz w:val="17"/>
              </w:rPr>
              <w:t>J+3  ⭐</w:t>
            </w:r>
          </w:p>
        </w:tc>
        <w:tc>
          <w:tcPr>
            <w:tcW w:type="dxa" w:w="1440"/>
            <w:shd w:fill="C6EFCE" w:val="clear"/>
          </w:tcPr>
          <w:p>
            <w:r>
              <w:rPr>
                <w:sz w:val="17"/>
              </w:rPr>
              <w:t>2026-10-02</w:t>
            </w:r>
          </w:p>
        </w:tc>
        <w:tc>
          <w:tcPr>
            <w:tcW w:type="dxa" w:w="1440"/>
            <w:shd w:fill="C6EFCE" w:val="clear"/>
          </w:tcPr>
          <w:p>
            <w:r>
              <w:rPr>
                <w:sz w:val="17"/>
              </w:rPr>
              <w:t>4,381</w:t>
            </w:r>
          </w:p>
        </w:tc>
        <w:tc>
          <w:tcPr>
            <w:tcW w:type="dxa" w:w="1440"/>
            <w:shd w:fill="C6EFCE" w:val="clear"/>
          </w:tcPr>
          <w:p>
            <w:r>
              <w:rPr>
                <w:b/>
                <w:sz w:val="17"/>
              </w:rPr>
              <w:t>4,995</w:t>
            </w:r>
          </w:p>
        </w:tc>
        <w:tc>
          <w:tcPr>
            <w:tcW w:type="dxa" w:w="1440"/>
            <w:shd w:fill="C6EFCE" w:val="clear"/>
          </w:tcPr>
          <w:p>
            <w:r>
              <w:rPr>
                <w:sz w:val="17"/>
              </w:rPr>
              <w:t>5,609</w:t>
            </w:r>
          </w:p>
        </w:tc>
        <w:tc>
          <w:tcPr>
            <w:tcW w:type="dxa" w:w="1440"/>
            <w:shd w:fill="C6EFCE" w:val="clear"/>
          </w:tcPr>
          <w:p>
            <w:r>
              <w:rPr>
                <w:b/>
                <w:color w:val="008000"/>
                <w:sz w:val="17"/>
              </w:rPr>
              <w:t>+4.1%</w:t>
            </w:r>
          </w:p>
        </w:tc>
      </w:tr>
      <w:tr>
        <w:tc>
          <w:tcPr>
            <w:tcW w:type="dxa" w:w="1440"/>
            <w:shd w:fill="C6EFCE" w:val="clear"/>
          </w:tcPr>
          <w:p>
            <w:r>
              <w:rPr>
                <w:sz w:val="17"/>
              </w:rPr>
              <w:t>J+4  ⭐</w:t>
            </w:r>
          </w:p>
        </w:tc>
        <w:tc>
          <w:tcPr>
            <w:tcW w:type="dxa" w:w="1440"/>
            <w:shd w:fill="C6EFCE" w:val="clear"/>
          </w:tcPr>
          <w:p>
            <w:r>
              <w:rPr>
                <w:sz w:val="17"/>
              </w:rPr>
              <w:t>2026-10-05</w:t>
            </w:r>
          </w:p>
        </w:tc>
        <w:tc>
          <w:tcPr>
            <w:tcW w:type="dxa" w:w="1440"/>
            <w:shd w:fill="C6EFCE" w:val="clear"/>
          </w:tcPr>
          <w:p>
            <w:r>
              <w:rPr>
                <w:sz w:val="17"/>
              </w:rPr>
              <w:t>4,303</w:t>
            </w:r>
          </w:p>
        </w:tc>
        <w:tc>
          <w:tcPr>
            <w:tcW w:type="dxa" w:w="1440"/>
            <w:shd w:fill="C6EFCE" w:val="clear"/>
          </w:tcPr>
          <w:p>
            <w:r>
              <w:rPr>
                <w:b/>
                <w:sz w:val="17"/>
              </w:rPr>
              <w:t>5,015</w:t>
            </w:r>
          </w:p>
        </w:tc>
        <w:tc>
          <w:tcPr>
            <w:tcW w:type="dxa" w:w="1440"/>
            <w:shd w:fill="C6EFCE" w:val="clear"/>
          </w:tcPr>
          <w:p>
            <w:r>
              <w:rPr>
                <w:sz w:val="17"/>
              </w:rPr>
              <w:t>5,727</w:t>
            </w:r>
          </w:p>
        </w:tc>
        <w:tc>
          <w:tcPr>
            <w:tcW w:type="dxa" w:w="1440"/>
            <w:shd w:fill="C6EFCE" w:val="clear"/>
          </w:tcPr>
          <w:p>
            <w:r>
              <w:rPr>
                <w:b/>
                <w:color w:val="008000"/>
                <w:sz w:val="17"/>
              </w:rPr>
              <w:t>+4.5%</w:t>
            </w:r>
          </w:p>
        </w:tc>
      </w:tr>
      <w:tr>
        <w:tc>
          <w:tcPr>
            <w:tcW w:type="dxa" w:w="1440"/>
            <w:shd w:fill="C6EFCE" w:val="clear"/>
          </w:tcPr>
          <w:p>
            <w:r>
              <w:rPr>
                <w:sz w:val="17"/>
              </w:rPr>
              <w:t>J+5  ⭐</w:t>
            </w:r>
          </w:p>
        </w:tc>
        <w:tc>
          <w:tcPr>
            <w:tcW w:type="dxa" w:w="1440"/>
            <w:shd w:fill="C6EFCE" w:val="clear"/>
          </w:tcPr>
          <w:p>
            <w:r>
              <w:rPr>
                <w:sz w:val="17"/>
              </w:rPr>
              <w:t>2026-10-06</w:t>
            </w:r>
          </w:p>
        </w:tc>
        <w:tc>
          <w:tcPr>
            <w:tcW w:type="dxa" w:w="1440"/>
            <w:shd w:fill="C6EFCE" w:val="clear"/>
          </w:tcPr>
          <w:p>
            <w:r>
              <w:rPr>
                <w:sz w:val="17"/>
              </w:rPr>
              <w:t>4,232</w:t>
            </w:r>
          </w:p>
        </w:tc>
        <w:tc>
          <w:tcPr>
            <w:tcW w:type="dxa" w:w="1440"/>
            <w:shd w:fill="C6EFCE" w:val="clear"/>
          </w:tcPr>
          <w:p>
            <w:r>
              <w:rPr>
                <w:b/>
                <w:sz w:val="17"/>
              </w:rPr>
              <w:t>5,031</w:t>
            </w:r>
          </w:p>
        </w:tc>
        <w:tc>
          <w:tcPr>
            <w:tcW w:type="dxa" w:w="1440"/>
            <w:shd w:fill="C6EFCE" w:val="clear"/>
          </w:tcPr>
          <w:p>
            <w:r>
              <w:rPr>
                <w:sz w:val="17"/>
              </w:rPr>
              <w:t>5,830</w:t>
            </w:r>
          </w:p>
        </w:tc>
        <w:tc>
          <w:tcPr>
            <w:tcW w:type="dxa" w:w="1440"/>
            <w:shd w:fill="C6EFCE" w:val="clear"/>
          </w:tcPr>
          <w:p>
            <w:r>
              <w:rPr>
                <w:b/>
                <w:color w:val="008000"/>
                <w:sz w:val="17"/>
              </w:rPr>
              <w:t>+4.8%</w:t>
            </w:r>
          </w:p>
        </w:tc>
      </w:tr>
      <w:tr>
        <w:tc>
          <w:tcPr>
            <w:tcW w:type="dxa" w:w="1440"/>
            <w:shd w:fill="C6EFCE" w:val="clear"/>
          </w:tcPr>
          <w:p>
            <w:r>
              <w:rPr>
                <w:sz w:val="17"/>
              </w:rPr>
              <w:t>J+6  ⭐</w:t>
            </w:r>
          </w:p>
        </w:tc>
        <w:tc>
          <w:tcPr>
            <w:tcW w:type="dxa" w:w="1440"/>
            <w:shd w:fill="C6EFCE" w:val="clear"/>
          </w:tcPr>
          <w:p>
            <w:r>
              <w:rPr>
                <w:sz w:val="17"/>
              </w:rPr>
              <w:t>2026-10-07</w:t>
            </w:r>
          </w:p>
        </w:tc>
        <w:tc>
          <w:tcPr>
            <w:tcW w:type="dxa" w:w="1440"/>
            <w:shd w:fill="C6EFCE" w:val="clear"/>
          </w:tcPr>
          <w:p>
            <w:r>
              <w:rPr>
                <w:sz w:val="17"/>
              </w:rPr>
              <w:t>4,167</w:t>
            </w:r>
          </w:p>
        </w:tc>
        <w:tc>
          <w:tcPr>
            <w:tcW w:type="dxa" w:w="1440"/>
            <w:shd w:fill="C6EFCE" w:val="clear"/>
          </w:tcPr>
          <w:p>
            <w:r>
              <w:rPr>
                <w:b/>
                <w:sz w:val="17"/>
              </w:rPr>
              <w:t>5,045</w:t>
            </w:r>
          </w:p>
        </w:tc>
        <w:tc>
          <w:tcPr>
            <w:tcW w:type="dxa" w:w="1440"/>
            <w:shd w:fill="C6EFCE" w:val="clear"/>
          </w:tcPr>
          <w:p>
            <w:r>
              <w:rPr>
                <w:sz w:val="17"/>
              </w:rPr>
              <w:t>5,922</w:t>
            </w:r>
          </w:p>
        </w:tc>
        <w:tc>
          <w:tcPr>
            <w:tcW w:type="dxa" w:w="1440"/>
            <w:shd w:fill="C6EFCE" w:val="clear"/>
          </w:tcPr>
          <w:p>
            <w:r>
              <w:rPr>
                <w:b/>
                <w:color w:val="008000"/>
                <w:sz w:val="17"/>
              </w:rPr>
              <w:t>+5.1%</w:t>
            </w:r>
          </w:p>
        </w:tc>
      </w:tr>
      <w:tr>
        <w:tc>
          <w:tcPr>
            <w:tcW w:type="dxa" w:w="1440"/>
            <w:shd w:fill="C6EFCE" w:val="clear"/>
          </w:tcPr>
          <w:p>
            <w:r>
              <w:rPr>
                <w:sz w:val="17"/>
              </w:rPr>
              <w:t>J+7  ⭐</w:t>
            </w:r>
          </w:p>
        </w:tc>
        <w:tc>
          <w:tcPr>
            <w:tcW w:type="dxa" w:w="1440"/>
            <w:shd w:fill="C6EFCE" w:val="clear"/>
          </w:tcPr>
          <w:p>
            <w:r>
              <w:rPr>
                <w:sz w:val="17"/>
              </w:rPr>
              <w:t>2026-10-08</w:t>
            </w:r>
          </w:p>
        </w:tc>
        <w:tc>
          <w:tcPr>
            <w:tcW w:type="dxa" w:w="1440"/>
            <w:shd w:fill="C6EFCE" w:val="clear"/>
          </w:tcPr>
          <w:p>
            <w:r>
              <w:rPr>
                <w:sz w:val="17"/>
              </w:rPr>
              <w:t>4,107</w:t>
            </w:r>
          </w:p>
        </w:tc>
        <w:tc>
          <w:tcPr>
            <w:tcW w:type="dxa" w:w="1440"/>
            <w:shd w:fill="C6EFCE" w:val="clear"/>
          </w:tcPr>
          <w:p>
            <w:r>
              <w:rPr>
                <w:b/>
                <w:sz w:val="17"/>
              </w:rPr>
              <w:t>5,057</w:t>
            </w:r>
          </w:p>
        </w:tc>
        <w:tc>
          <w:tcPr>
            <w:tcW w:type="dxa" w:w="1440"/>
            <w:shd w:fill="C6EFCE" w:val="clear"/>
          </w:tcPr>
          <w:p>
            <w:r>
              <w:rPr>
                <w:sz w:val="17"/>
              </w:rPr>
              <w:t>6,006</w:t>
            </w:r>
          </w:p>
        </w:tc>
        <w:tc>
          <w:tcPr>
            <w:tcW w:type="dxa" w:w="1440"/>
            <w:shd w:fill="C6EFCE" w:val="clear"/>
          </w:tcPr>
          <w:p>
            <w:r>
              <w:rPr>
                <w:b/>
                <w:color w:val="008000"/>
                <w:sz w:val="17"/>
              </w:rPr>
              <w:t>+5.3%</w:t>
            </w:r>
          </w:p>
        </w:tc>
      </w:tr>
      <w:tr>
        <w:tc>
          <w:tcPr>
            <w:tcW w:type="dxa" w:w="1440"/>
            <w:shd w:fill="C6EFCE" w:val="clear"/>
          </w:tcPr>
          <w:p>
            <w:r>
              <w:rPr>
                <w:sz w:val="17"/>
              </w:rPr>
              <w:t>J+8  ⭐</w:t>
            </w:r>
          </w:p>
        </w:tc>
        <w:tc>
          <w:tcPr>
            <w:tcW w:type="dxa" w:w="1440"/>
            <w:shd w:fill="C6EFCE" w:val="clear"/>
          </w:tcPr>
          <w:p>
            <w:r>
              <w:rPr>
                <w:sz w:val="17"/>
              </w:rPr>
              <w:t>2026-10-09</w:t>
            </w:r>
          </w:p>
        </w:tc>
        <w:tc>
          <w:tcPr>
            <w:tcW w:type="dxa" w:w="1440"/>
            <w:shd w:fill="C6EFCE" w:val="clear"/>
          </w:tcPr>
          <w:p>
            <w:r>
              <w:rPr>
                <w:sz w:val="17"/>
              </w:rPr>
              <w:t>4,050</w:t>
            </w:r>
          </w:p>
        </w:tc>
        <w:tc>
          <w:tcPr>
            <w:tcW w:type="dxa" w:w="1440"/>
            <w:shd w:fill="C6EFCE" w:val="clear"/>
          </w:tcPr>
          <w:p>
            <w:r>
              <w:rPr>
                <w:b/>
                <w:sz w:val="17"/>
              </w:rPr>
              <w:t>5,067</w:t>
            </w:r>
          </w:p>
        </w:tc>
        <w:tc>
          <w:tcPr>
            <w:tcW w:type="dxa" w:w="1440"/>
            <w:shd w:fill="C6EFCE" w:val="clear"/>
          </w:tcPr>
          <w:p>
            <w:r>
              <w:rPr>
                <w:sz w:val="17"/>
              </w:rPr>
              <w:t>6,085</w:t>
            </w:r>
          </w:p>
        </w:tc>
        <w:tc>
          <w:tcPr>
            <w:tcW w:type="dxa" w:w="1440"/>
            <w:shd w:fill="C6EFCE" w:val="clear"/>
          </w:tcPr>
          <w:p>
            <w:r>
              <w:rPr>
                <w:b/>
                <w:color w:val="008000"/>
                <w:sz w:val="17"/>
              </w:rPr>
              <w:t>+5.6%</w:t>
            </w:r>
          </w:p>
        </w:tc>
      </w:tr>
      <w:tr>
        <w:tc>
          <w:tcPr>
            <w:tcW w:type="dxa" w:w="1440"/>
            <w:shd w:fill="C6EFCE" w:val="clear"/>
          </w:tcPr>
          <w:p>
            <w:r>
              <w:rPr>
                <w:sz w:val="17"/>
              </w:rPr>
              <w:t>J+9  ⭐</w:t>
            </w:r>
          </w:p>
        </w:tc>
        <w:tc>
          <w:tcPr>
            <w:tcW w:type="dxa" w:w="1440"/>
            <w:shd w:fill="C6EFCE" w:val="clear"/>
          </w:tcPr>
          <w:p>
            <w:r>
              <w:rPr>
                <w:sz w:val="17"/>
              </w:rPr>
              <w:t>2026-10-12</w:t>
            </w:r>
          </w:p>
        </w:tc>
        <w:tc>
          <w:tcPr>
            <w:tcW w:type="dxa" w:w="1440"/>
            <w:shd w:fill="C6EFCE" w:val="clear"/>
          </w:tcPr>
          <w:p>
            <w:r>
              <w:rPr>
                <w:sz w:val="17"/>
              </w:rPr>
              <w:t>3,996</w:t>
            </w:r>
          </w:p>
        </w:tc>
        <w:tc>
          <w:tcPr>
            <w:tcW w:type="dxa" w:w="1440"/>
            <w:shd w:fill="C6EFCE" w:val="clear"/>
          </w:tcPr>
          <w:p>
            <w:r>
              <w:rPr>
                <w:b/>
                <w:sz w:val="17"/>
              </w:rPr>
              <w:t>5,077</w:t>
            </w:r>
          </w:p>
        </w:tc>
        <w:tc>
          <w:tcPr>
            <w:tcW w:type="dxa" w:w="1440"/>
            <w:shd w:fill="C6EFCE" w:val="clear"/>
          </w:tcPr>
          <w:p>
            <w:r>
              <w:rPr>
                <w:sz w:val="17"/>
              </w:rPr>
              <w:t>6,158</w:t>
            </w:r>
          </w:p>
        </w:tc>
        <w:tc>
          <w:tcPr>
            <w:tcW w:type="dxa" w:w="1440"/>
            <w:shd w:fill="C6EFCE" w:val="clear"/>
          </w:tcPr>
          <w:p>
            <w:r>
              <w:rPr>
                <w:b/>
                <w:color w:val="008000"/>
                <w:sz w:val="17"/>
              </w:rPr>
              <w:t>+5.8%</w:t>
            </w:r>
          </w:p>
        </w:tc>
      </w:tr>
      <w:tr>
        <w:tc>
          <w:tcPr>
            <w:tcW w:type="dxa" w:w="1440"/>
            <w:shd w:fill="C6EFCE" w:val="clear"/>
          </w:tcPr>
          <w:p>
            <w:r>
              <w:rPr>
                <w:sz w:val="17"/>
              </w:rPr>
              <w:t>J+10  ⭐</w:t>
            </w:r>
          </w:p>
        </w:tc>
        <w:tc>
          <w:tcPr>
            <w:tcW w:type="dxa" w:w="1440"/>
            <w:shd w:fill="C6EFCE" w:val="clear"/>
          </w:tcPr>
          <w:p>
            <w:r>
              <w:rPr>
                <w:sz w:val="17"/>
              </w:rPr>
              <w:t>2026-10-13</w:t>
            </w:r>
          </w:p>
        </w:tc>
        <w:tc>
          <w:tcPr>
            <w:tcW w:type="dxa" w:w="1440"/>
            <w:shd w:fill="C6EFCE" w:val="clear"/>
          </w:tcPr>
          <w:p>
            <w:r>
              <w:rPr>
                <w:sz w:val="17"/>
              </w:rPr>
              <w:t>3,944</w:t>
            </w:r>
          </w:p>
        </w:tc>
        <w:tc>
          <w:tcPr>
            <w:tcW w:type="dxa" w:w="1440"/>
            <w:shd w:fill="C6EFCE" w:val="clear"/>
          </w:tcPr>
          <w:p>
            <w:r>
              <w:rPr>
                <w:b/>
                <w:sz w:val="17"/>
              </w:rPr>
              <w:t>5,085</w:t>
            </w:r>
          </w:p>
        </w:tc>
        <w:tc>
          <w:tcPr>
            <w:tcW w:type="dxa" w:w="1440"/>
            <w:shd w:fill="C6EFCE" w:val="clear"/>
          </w:tcPr>
          <w:p>
            <w:r>
              <w:rPr>
                <w:sz w:val="17"/>
              </w:rPr>
              <w:t>6,227</w:t>
            </w:r>
          </w:p>
        </w:tc>
        <w:tc>
          <w:tcPr>
            <w:tcW w:type="dxa" w:w="1440"/>
            <w:shd w:fill="C6EFCE" w:val="clear"/>
          </w:tcPr>
          <w:p>
            <w:r>
              <w:rPr>
                <w:b/>
                <w:color w:val="008000"/>
                <w:sz w:val="17"/>
              </w:rPr>
              <w:t>+5.9%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*Bourse Régionale des Valeurs Mobilières (BRVM) — Secteur : Banque / Financement spécialisé*</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56,97 milliards FCFA, SAFC se positionne comme une valeur de taille moyenne sur la cote BRVM, loin des poids lourds bancaires comme Sonatel ou Ecobank, mais suffisamment liquide pour intéresser les investisseurs institutionnels régionaux. Le BPA de 59 FCFA par action signifie que chaque titre détenu génère théoriquement 59 FCFA de bénéfice net, ce qui, rapporté au cours actuel de 4 800 FCFA, aboutit à un PER de 81,3x — un niveau extrêmement élevé comparé à la moyenne BRVM (8-12x), traduisant soit une anticipation massive de croissance future par le marché, soit une bulle spéculative sur le titre. Le P/B de 9,63x confirme cette prime exigeante : le marché valorise SAFC près de 10 fois sa valeur comptable, ce qui est difficilement justifiable pour une institution dont les capitaux propres restent modestes (5,9 Mds FCFA) et dont le report à nouveau est négatif. Enfin, l'EV/EBITDA de 87,6x (très supérieur au seuil de 15x généralement considéré comme raisonnable) signale que la valeur d'entreprise intègre une prime de rareté et de redressement spectaculaire, plutôt qu'une réalité opérationnelle immédiate — l'investisseur doit donc être conscient qu'il paie très cher la promesse d'un retournement durable.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SAFC affiche une performance remarquable de +37,14%, avec une dernière séance en hausse de +3,90%, confirmant un momentum haussier de court terme. Le titre a évolué dans un range très large, entre un plus bas de 3 485 FCFA et un plus haut de 6 200 FCFA, soit une amplitude de trading de près de 78% — ce qui témoigne d'une nervosité extrême et d'une forte spéculation sur la valeur. La tendance générale est donc nettement haussière, portée par le retour à la rentabilité en 2025 et l'entrée au capital de CREDAF Group, mais le repli depuis le sommet de 6 200 FCFA vers 4 800 FCFA suggère une prise de profit et une correction en cours. Les statistiques descriptives révèlent une moyenne de 4 630 FCFA légèrement supérieure à la médiane de 4 580 FCFA, avec un mode à 3 700 FCFA — cet écart modéré indique une distribution quasi symétrique, confirmée par un skewness de 0,301 (symétrie). L'écart-type de 756 FCFA et le coefficient de variation de 16,3% traduisent une dispersion modérée autour de la moyenne, tandis que le kurtosis de -0,977 (mésokurtique) suggère une distribution proche de la normale, sans pics extrêmes fréquents — un point rassurant pour la gestion du risque. Enfin, la volatilité annualisée de 61,0% classe clairement SAFC dans la catégorie des titres à volatilité élevée (&gt;30%), ce qui implique un risque de perte en capital significatif et justifie une approche prudente avec un stop-loss serré.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(5 058,25 FCFA) et la MM50 (5 194,30 FCFA) sont toutes deux supérieures au cours actuel de 4 800 FCFA, ce qui place le titre en position baissière de court et moyen terme. La MM20 étant elle-même inférieure à la MM50, on observe un croisement baissier (death cross) confirmant la pression vendeuse. La décision technique est donc logiquement **Vente**.</w:t>
      </w:r>
    </w:p>
    <w:p>
      <w:pPr>
        <w:spacing w:after="120" w:line="276" w:lineRule="auto"/>
      </w:pPr>
      <w:r>
        <w:t>**Bandes de Bollinger** : Le cours actuel (4 800 FCFA) se situe dans la partie basse de la bande, entre la borne inférieure (3 759,67 FCFA) et la borne supérieure (6 356,83 FCFA), mais plus proche du milieu inférieur. L'écart important entre les bornes (2 597 FCFA) reflète la forte volatilité récente. La décision est **Neutre**, le cours n'étant ni en surachat ni en survente extrême, mais la position basse suggère un potentiel de rebond technique.</w:t>
      </w:r>
    </w:p>
    <w:p>
      <w:pPr>
        <w:spacing w:after="120" w:line="276" w:lineRule="auto"/>
      </w:pPr>
      <w:r>
        <w:t>**MACD** : La valeur du MACD (-279,49) est inférieure à son signal (-218,68), et les deux sont en territoire négatif — configuration baissière classique indiquant un momentum négatif persistant. La divergence négative entre MACD et signal confirme la pression vendeuse. La décision est donc **Vente**.</w:t>
      </w:r>
    </w:p>
    <w:p>
      <w:pPr>
        <w:spacing w:after="120" w:line="276" w:lineRule="auto"/>
      </w:pPr>
      <w:r>
        <w:t>**RSI** : À 43,54, le RSI se situe en zone neutre (entre 30 et 70), sans signal de surachat ni de survente. Cela indique que le titre n'est ni épuisé à la baisse ni vulnérable à une correction immédiate. La décision est **Neutre**, le marché attendant un catalyseur directionnel.</w:t>
      </w:r>
    </w:p>
    <w:p>
      <w:pPr>
        <w:spacing w:after="120" w:line="276" w:lineRule="auto"/>
      </w:pPr>
      <w:r>
        <w:t>**Stochastique** : Le %K (54,31) est supérieur au %D (38,83), ce qui constitue un croisement haussier récent — signal positif de court terme. Cependant, les deux valeurs restent en zone médiane, sans surachat. La décision est **Neutre**, mais ce croisement pourrait annoncer un rebond technique.</w:t>
      </w:r>
    </w:p>
    <w:p>
      <w:pPr>
        <w:spacing w:after="120" w:line="276" w:lineRule="auto"/>
      </w:pPr>
      <w:r>
        <w:t>**Conclusion technique** : Les indicateurs sont majoritairement baissiers (MM, MACD) ou neutres (Bollinger, RSI, Stochastique), avec toutefois un signal haussier naissant du stochastique. La tendance de fond reste fragile, le titre évoluant sous ses moyennes mobiles, mais la position basse dans les bandes de Bollinger et le croisement stochastique suggèrent qu'un rebond technique n'est pas à exclure à court terme. La prudence reste de mise tant que le cours ne repasse pas au-dessus de la MM20 (5 058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SAFC (Alios Finance Côte d'Ivoire) a réalisé un Produit Net Bancaire (PNB, équivalent du chiffre d'affaires pour une banque) de 5 735 millions FCFA, en hausse spectaculaire de +44,1% par rapport aux 3 980 millions FCFA de 2024. Le résultat net s'établit à 701 millions FCFA, marquant un retournement historique après une perte de 165 millions FCFA en 2024 et huit années consécutives de déficit. La marge nette ressort à 12,22%, le ROE à 11,85% (en dessous du seuil d'excellence de 15%) et le ROA à seulement 0,88%, reflétant la faible rentabilité des actifs. Le coefficient d'exploitation, indicateur clé pour une banque, s'élève à 77,63% — bien au-dessus du seuil de 60% considéré comme efficace, ce qui signifie que les charges absorbent encore une part trop importante du PNB. Le coût du risque (provisions / charges financières) est de 6,57%, un niveau élevé qui traduit un portefeuille de crédits encore fragile, avec des créances sur la clientèle de 60 476 millions FCFA (+14,2%) et des dettes interbancaires de 35 747 millions FCFA (+45%), signe d'une dépendance croissante au refinancement de marché. Le ratio d'autonomie financière est très faible (7,44%), les capitaux propres (5 916 millions FCFA) ne représentant que 7,4% du total bilan (79 555 millions FCFA), et le report à nouveau reste négatif à -4 123 millions FCFA — la structure financière demeure donc précaire.</w:t>
      </w:r>
    </w:p>
    <w:p>
      <w:pPr>
        <w:spacing w:after="120" w:line="276" w:lineRule="auto"/>
      </w:pPr>
      <w:r>
        <w:t>**Estimations basées sur les rapports trimestriels** : Le rapport du T1 2026 (publié le 12 mai 2026) indique un PNB de 1 395 millions FCFA (+29% sur un an) et un résultat net de 151 millions FCFA (multiplié par 11,6), avec un coût du risque en baisse de 75% à -22 millions FCFA. Le rapport du S1 2026 (publié le 4 septembre 2026) confirme cette dynamique avec un PNB de 2 907 millions FCFA (+37%) et un résultat net de 731 millions FCFA (+231%), dépassant déjà le résultat net annuel 2025 dès le premier semestre. Sur cette base, on peut estimer que l'exercice 2026 devrait afficher un PNB supérieur à 6 milliards FCFA et un résultat net potentiellement compris entre 1,2 et 1,5 milliard FCFA, soit une croissance de 70 à 110% par rapport à 2025. Les capitaux propres ont été renforcés à 6 647 millions FCFA (+22%) et le ratio CET1 est passé de 9,65% à 11,49%, améliorant la solidité prudentielle. L'augmentation de capital de 1,5 milliard FCFA (avis BRVM du 14 avril 2026) avec émission de 3 750 000 actions nouvelles à 400 FCFA (6 nouvelles pour 13 anciennes) devrait encore renforcer les fonds propres et financer la croissance.</w:t>
      </w:r>
    </w:p>
    <w:p>
      <w:pPr>
        <w:spacing w:after="120" w:line="276" w:lineRule="auto"/>
      </w:pPr>
      <w:r>
        <w:t>**Recommandation fondamentale** : La dynamique de redressement est indéniable et spectaculaire, portée par CREDAF Group et une meilleure maîtrise du risque. Cependant, la valorisation boursière (PER 81x, P/B 9,6x) intègre déjà largement cette amélioration, et les risques structurels (faible autonomie financière, dépendance interbancaire, report à nouveau négatif, coefficient d'exploitation élevé) persistent. La solidité financière s'améliore mais reste fragile, et le titre est à considérer comme une valeur de croissance spéculative plutôt qu'un placement défensif.</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**Sur la valorisation (Partie 0)**, les ratios PER (81,3x), P/B (9,63x) et EV/EBITDA (87,6x) indiquent une surévaluation manifeste par rapport aux standards de la BRVM et au secteur bancaire, le marché ayant déjà intégré une grande partie du redressement futur. **Sur le comportement du cours (Partie 1)**, la tendance haussière de +37% sur 100 jours est impressionnante, mais la volatilité annualisée de 61% et le repli depuis le sommet de 6 200 FCFA signalent une correction en cours ; les statistiques (kurtosis -0,977, skewness 0,301) montrent une distribution normale sans excès de risque de queue, ce qui est rassurant. **Sur le plan technique (Partie 2)**, les signaux sont majoritairement baissiers (MM, MACD) ou neutres (Bollinger, RSI, Stochastique), avec un léger potentiel de rebond technique à court terme mais aucune confirmation de retournement durable. **Sur les fondamentaux (Partie 3)**, la trajectoire est excellente : PNB +44% en 2025, résultat net de 701 millions FCFA, et les rapports T1 2026 et S1 2026 (publiés respectivement les 12 mai et 4 septembre 2026) confirment une accélération avec un résultat net semestriel de 731 millions FCFA (+231%) et un CET1 renforcé à 11,49%. **Les prédictions IA (J+1 à J+10)** anticipent une hausse progressive de 4 917 FCFA à 5 031 FCFA, ce qui contredit les signaux techniques baissiers et suggère un rebond à court terme, mais cette trajectoire reste modérée (+4,8% sur 10 jours) et ne remet pas en cause la tendance de fond.</w:t>
      </w:r>
    </w:p>
    <w:p>
      <w:pPr>
        <w:spacing w:after="120" w:line="276" w:lineRule="auto"/>
      </w:pPr>
      <w:r>
        <w:t>**Recommandation finale : CONSERVER.** La convergence entre la valorisation exigeante, les signaux techniques mitigés et les fondamentaux en nette amélioration plaide pour une position attentiste. Le titre n'est plus un achat évident après sa forte hausse, mais la dynamique opérationnelle et les perspectives 2026 justifient de ne pas vendre. **Niveau de confiance : Moyen** — les fondamentaux sont solides mais la valorisation et les risques structurels limitent la visibilité. **Niveau de risque global : Élevé** — volatilité de 61%, dépendance interbancaire, capitaux propres encore faibles. **Horizon d'investissement optimal : Moyen terme (3-12 mois)**, en surveillant la confirmation des résultats annuels 2026 et la capacité de la société à maintenir son coefficient d'exploitation et à réduire sa dépendance au refinancement de marché. Un stop-loss autour de 4 200 FCFA (borne inférieure des bandes de Bollinger) est recommandé pour les investisseurs déjà positionnés.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29.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57.82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11,078 titres</w:t>
            </w:r>
          </w:p>
        </w:tc>
        <w:tc>
          <w:tcPr>
            <w:tcW w:type="dxa" w:w="2268"/>
            <w:shd w:fill="FFF2CC" w:val="clear"/>
          </w:tcPr>
          <w:p>
            <w:r>
              <w:rPr>
                <w:b/>
                <w:color w:val="503200"/>
                <w:sz w:val="16"/>
              </w:rPr>
              <w:t xml:space="preserve">Cours actuel : </w:t>
            </w:r>
            <w:r>
              <w:rPr>
                <w:color w:val="000000"/>
                <w:sz w:val="17"/>
              </w:rPr>
              <w:t>2,950 FCFA</w:t>
            </w:r>
          </w:p>
          <w:p>
            <w:r>
              <w:rPr>
                <w:b/>
                <w:color w:val="503200"/>
                <w:sz w:val="16"/>
              </w:rPr>
              <w:t xml:space="preserve">Var. 100 jours : </w:t>
            </w:r>
            <w:r>
              <w:rPr>
                <w:b/>
                <w:color w:val="007800"/>
                <w:sz w:val="17"/>
              </w:rPr>
              <w:t>+47.87%</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59.4%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15.55% (Élevée) — μ=3,156 FCFA, σ=491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β=1.4341 (Agressif) — Cov=0.000095, Var(idx)=0.000066, ρ=0.313,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11,078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σ_j=3.74%/j (Modérée) — Vol. annualisée≈59.4%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2026-09-30</w:t>
            </w:r>
          </w:p>
        </w:tc>
        <w:tc>
          <w:tcPr>
            <w:tcW w:type="dxa" w:w="1440"/>
            <w:shd w:fill="FAFAFA" w:val="clear"/>
          </w:tcPr>
          <w:p>
            <w:r>
              <w:rPr>
                <w:sz w:val="17"/>
              </w:rPr>
              <w:t>2,783</w:t>
            </w:r>
          </w:p>
        </w:tc>
        <w:tc>
          <w:tcPr>
            <w:tcW w:type="dxa" w:w="1440"/>
            <w:shd w:fill="FAFAFA" w:val="clear"/>
          </w:tcPr>
          <w:p>
            <w:r>
              <w:rPr>
                <w:b/>
                <w:sz w:val="17"/>
              </w:rPr>
              <w:t>2,949</w:t>
            </w:r>
          </w:p>
        </w:tc>
        <w:tc>
          <w:tcPr>
            <w:tcW w:type="dxa" w:w="1440"/>
            <w:shd w:fill="FAFAFA" w:val="clear"/>
          </w:tcPr>
          <w:p>
            <w:r>
              <w:rPr>
                <w:sz w:val="17"/>
              </w:rPr>
              <w:t>3,115</w:t>
            </w:r>
          </w:p>
        </w:tc>
        <w:tc>
          <w:tcPr>
            <w:tcW w:type="dxa" w:w="1440"/>
            <w:shd w:fill="FAFAFA" w:val="clear"/>
          </w:tcPr>
          <w:p>
            <w:r>
              <w:rPr>
                <w:b/>
                <w:color w:val="C00000"/>
                <w:sz w:val="17"/>
              </w:rPr>
              <w:t>-0.0%</w:t>
            </w:r>
          </w:p>
        </w:tc>
      </w:tr>
      <w:tr>
        <w:tc>
          <w:tcPr>
            <w:tcW w:type="dxa" w:w="1440"/>
            <w:shd w:fill="C6EFCE" w:val="clear"/>
          </w:tcPr>
          <w:p>
            <w:r>
              <w:rPr>
                <w:sz w:val="17"/>
              </w:rPr>
              <w:t>J+2  Moyenne</w:t>
            </w:r>
          </w:p>
        </w:tc>
        <w:tc>
          <w:tcPr>
            <w:tcW w:type="dxa" w:w="1440"/>
            <w:shd w:fill="C6EFCE" w:val="clear"/>
          </w:tcPr>
          <w:p>
            <w:r>
              <w:rPr>
                <w:sz w:val="17"/>
              </w:rPr>
              <w:t>2026-10-01</w:t>
            </w:r>
          </w:p>
        </w:tc>
        <w:tc>
          <w:tcPr>
            <w:tcW w:type="dxa" w:w="1440"/>
            <w:shd w:fill="C6EFCE" w:val="clear"/>
          </w:tcPr>
          <w:p>
            <w:r>
              <w:rPr>
                <w:sz w:val="17"/>
              </w:rPr>
              <w:t>2,785</w:t>
            </w:r>
          </w:p>
        </w:tc>
        <w:tc>
          <w:tcPr>
            <w:tcW w:type="dxa" w:w="1440"/>
            <w:shd w:fill="C6EFCE" w:val="clear"/>
          </w:tcPr>
          <w:p>
            <w:r>
              <w:rPr>
                <w:b/>
                <w:sz w:val="17"/>
              </w:rPr>
              <w:t>3,025</w:t>
            </w:r>
          </w:p>
        </w:tc>
        <w:tc>
          <w:tcPr>
            <w:tcW w:type="dxa" w:w="1440"/>
            <w:shd w:fill="C6EFCE" w:val="clear"/>
          </w:tcPr>
          <w:p>
            <w:r>
              <w:rPr>
                <w:sz w:val="17"/>
              </w:rPr>
              <w:t>3,266</w:t>
            </w:r>
          </w:p>
        </w:tc>
        <w:tc>
          <w:tcPr>
            <w:tcW w:type="dxa" w:w="1440"/>
            <w:shd w:fill="C6EFCE" w:val="clear"/>
          </w:tcPr>
          <w:p>
            <w:r>
              <w:rPr>
                <w:b/>
                <w:color w:val="008000"/>
                <w:sz w:val="17"/>
              </w:rPr>
              <w:t>+2.6%</w:t>
            </w:r>
          </w:p>
        </w:tc>
      </w:tr>
      <w:tr>
        <w:tc>
          <w:tcPr>
            <w:tcW w:type="dxa" w:w="1440"/>
            <w:shd w:fill="C6EFCE" w:val="clear"/>
          </w:tcPr>
          <w:p>
            <w:r>
              <w:rPr>
                <w:sz w:val="17"/>
              </w:rPr>
              <w:t>J+3  Moyenne</w:t>
            </w:r>
          </w:p>
        </w:tc>
        <w:tc>
          <w:tcPr>
            <w:tcW w:type="dxa" w:w="1440"/>
            <w:shd w:fill="C6EFCE" w:val="clear"/>
          </w:tcPr>
          <w:p>
            <w:r>
              <w:rPr>
                <w:sz w:val="17"/>
              </w:rPr>
              <w:t>2026-10-02</w:t>
            </w:r>
          </w:p>
        </w:tc>
        <w:tc>
          <w:tcPr>
            <w:tcW w:type="dxa" w:w="1440"/>
            <w:shd w:fill="C6EFCE" w:val="clear"/>
          </w:tcPr>
          <w:p>
            <w:r>
              <w:rPr>
                <w:sz w:val="17"/>
              </w:rPr>
              <w:t>2,818</w:t>
            </w:r>
          </w:p>
        </w:tc>
        <w:tc>
          <w:tcPr>
            <w:tcW w:type="dxa" w:w="1440"/>
            <w:shd w:fill="C6EFCE" w:val="clear"/>
          </w:tcPr>
          <w:p>
            <w:r>
              <w:rPr>
                <w:b/>
                <w:sz w:val="17"/>
              </w:rPr>
              <w:t>3,122</w:t>
            </w:r>
          </w:p>
        </w:tc>
        <w:tc>
          <w:tcPr>
            <w:tcW w:type="dxa" w:w="1440"/>
            <w:shd w:fill="C6EFCE" w:val="clear"/>
          </w:tcPr>
          <w:p>
            <w:r>
              <w:rPr>
                <w:sz w:val="17"/>
              </w:rPr>
              <w:t>3,426</w:t>
            </w:r>
          </w:p>
        </w:tc>
        <w:tc>
          <w:tcPr>
            <w:tcW w:type="dxa" w:w="1440"/>
            <w:shd w:fill="C6EFCE" w:val="clear"/>
          </w:tcPr>
          <w:p>
            <w:r>
              <w:rPr>
                <w:b/>
                <w:color w:val="008000"/>
                <w:sz w:val="17"/>
              </w:rPr>
              <w:t>+5.8%</w:t>
            </w:r>
          </w:p>
        </w:tc>
      </w:tr>
      <w:tr>
        <w:tc>
          <w:tcPr>
            <w:tcW w:type="dxa" w:w="1440"/>
            <w:shd w:fill="C6EFCE" w:val="clear"/>
          </w:tcPr>
          <w:p>
            <w:r>
              <w:rPr>
                <w:sz w:val="17"/>
              </w:rPr>
              <w:t>J+4  ⭐</w:t>
            </w:r>
          </w:p>
        </w:tc>
        <w:tc>
          <w:tcPr>
            <w:tcW w:type="dxa" w:w="1440"/>
            <w:shd w:fill="C6EFCE" w:val="clear"/>
          </w:tcPr>
          <w:p>
            <w:r>
              <w:rPr>
                <w:sz w:val="17"/>
              </w:rPr>
              <w:t>2026-10-05</w:t>
            </w:r>
          </w:p>
        </w:tc>
        <w:tc>
          <w:tcPr>
            <w:tcW w:type="dxa" w:w="1440"/>
            <w:shd w:fill="C6EFCE" w:val="clear"/>
          </w:tcPr>
          <w:p>
            <w:r>
              <w:rPr>
                <w:sz w:val="17"/>
              </w:rPr>
              <w:t>2,846</w:t>
            </w:r>
          </w:p>
        </w:tc>
        <w:tc>
          <w:tcPr>
            <w:tcW w:type="dxa" w:w="1440"/>
            <w:shd w:fill="C6EFCE" w:val="clear"/>
          </w:tcPr>
          <w:p>
            <w:r>
              <w:rPr>
                <w:b/>
                <w:sz w:val="17"/>
              </w:rPr>
              <w:t>3,206</w:t>
            </w:r>
          </w:p>
        </w:tc>
        <w:tc>
          <w:tcPr>
            <w:tcW w:type="dxa" w:w="1440"/>
            <w:shd w:fill="C6EFCE" w:val="clear"/>
          </w:tcPr>
          <w:p>
            <w:r>
              <w:rPr>
                <w:sz w:val="17"/>
              </w:rPr>
              <w:t>3,567</w:t>
            </w:r>
          </w:p>
        </w:tc>
        <w:tc>
          <w:tcPr>
            <w:tcW w:type="dxa" w:w="1440"/>
            <w:shd w:fill="C6EFCE" w:val="clear"/>
          </w:tcPr>
          <w:p>
            <w:r>
              <w:rPr>
                <w:b/>
                <w:color w:val="008000"/>
                <w:sz w:val="17"/>
              </w:rPr>
              <w:t>+8.7%</w:t>
            </w:r>
          </w:p>
        </w:tc>
      </w:tr>
      <w:tr>
        <w:tc>
          <w:tcPr>
            <w:tcW w:type="dxa" w:w="1440"/>
            <w:shd w:fill="C6EFCE" w:val="clear"/>
          </w:tcPr>
          <w:p>
            <w:r>
              <w:rPr>
                <w:sz w:val="17"/>
              </w:rPr>
              <w:t>J+5  ⭐</w:t>
            </w:r>
          </w:p>
        </w:tc>
        <w:tc>
          <w:tcPr>
            <w:tcW w:type="dxa" w:w="1440"/>
            <w:shd w:fill="C6EFCE" w:val="clear"/>
          </w:tcPr>
          <w:p>
            <w:r>
              <w:rPr>
                <w:sz w:val="17"/>
              </w:rPr>
              <w:t>2026-10-06</w:t>
            </w:r>
          </w:p>
        </w:tc>
        <w:tc>
          <w:tcPr>
            <w:tcW w:type="dxa" w:w="1440"/>
            <w:shd w:fill="C6EFCE" w:val="clear"/>
          </w:tcPr>
          <w:p>
            <w:r>
              <w:rPr>
                <w:sz w:val="17"/>
              </w:rPr>
              <w:t>2,860</w:t>
            </w:r>
          </w:p>
        </w:tc>
        <w:tc>
          <w:tcPr>
            <w:tcW w:type="dxa" w:w="1440"/>
            <w:shd w:fill="C6EFCE" w:val="clear"/>
          </w:tcPr>
          <w:p>
            <w:r>
              <w:rPr>
                <w:b/>
                <w:sz w:val="17"/>
              </w:rPr>
              <w:t>3,271</w:t>
            </w:r>
          </w:p>
        </w:tc>
        <w:tc>
          <w:tcPr>
            <w:tcW w:type="dxa" w:w="1440"/>
            <w:shd w:fill="C6EFCE" w:val="clear"/>
          </w:tcPr>
          <w:p>
            <w:r>
              <w:rPr>
                <w:sz w:val="17"/>
              </w:rPr>
              <w:t>3,682</w:t>
            </w:r>
          </w:p>
        </w:tc>
        <w:tc>
          <w:tcPr>
            <w:tcW w:type="dxa" w:w="1440"/>
            <w:shd w:fill="C6EFCE" w:val="clear"/>
          </w:tcPr>
          <w:p>
            <w:r>
              <w:rPr>
                <w:b/>
                <w:color w:val="008000"/>
                <w:sz w:val="17"/>
              </w:rPr>
              <w:t>+10.9%</w:t>
            </w:r>
          </w:p>
        </w:tc>
      </w:tr>
      <w:tr>
        <w:tc>
          <w:tcPr>
            <w:tcW w:type="dxa" w:w="1440"/>
            <w:shd w:fill="C6EFCE" w:val="clear"/>
          </w:tcPr>
          <w:p>
            <w:r>
              <w:rPr>
                <w:sz w:val="17"/>
              </w:rPr>
              <w:t>J+6  ⭐</w:t>
            </w:r>
          </w:p>
        </w:tc>
        <w:tc>
          <w:tcPr>
            <w:tcW w:type="dxa" w:w="1440"/>
            <w:shd w:fill="C6EFCE" w:val="clear"/>
          </w:tcPr>
          <w:p>
            <w:r>
              <w:rPr>
                <w:sz w:val="17"/>
              </w:rPr>
              <w:t>2026-10-07</w:t>
            </w:r>
          </w:p>
        </w:tc>
        <w:tc>
          <w:tcPr>
            <w:tcW w:type="dxa" w:w="1440"/>
            <w:shd w:fill="C6EFCE" w:val="clear"/>
          </w:tcPr>
          <w:p>
            <w:r>
              <w:rPr>
                <w:sz w:val="17"/>
              </w:rPr>
              <w:t>2,861</w:t>
            </w:r>
          </w:p>
        </w:tc>
        <w:tc>
          <w:tcPr>
            <w:tcW w:type="dxa" w:w="1440"/>
            <w:shd w:fill="C6EFCE" w:val="clear"/>
          </w:tcPr>
          <w:p>
            <w:r>
              <w:rPr>
                <w:b/>
                <w:sz w:val="17"/>
              </w:rPr>
              <w:t>3,317</w:t>
            </w:r>
          </w:p>
        </w:tc>
        <w:tc>
          <w:tcPr>
            <w:tcW w:type="dxa" w:w="1440"/>
            <w:shd w:fill="C6EFCE" w:val="clear"/>
          </w:tcPr>
          <w:p>
            <w:r>
              <w:rPr>
                <w:sz w:val="17"/>
              </w:rPr>
              <w:t>3,774</w:t>
            </w:r>
          </w:p>
        </w:tc>
        <w:tc>
          <w:tcPr>
            <w:tcW w:type="dxa" w:w="1440"/>
            <w:shd w:fill="C6EFCE" w:val="clear"/>
          </w:tcPr>
          <w:p>
            <w:r>
              <w:rPr>
                <w:b/>
                <w:color w:val="008000"/>
                <w:sz w:val="17"/>
              </w:rPr>
              <w:t>+12.5%</w:t>
            </w:r>
          </w:p>
        </w:tc>
      </w:tr>
      <w:tr>
        <w:tc>
          <w:tcPr>
            <w:tcW w:type="dxa" w:w="1440"/>
            <w:shd w:fill="C6EFCE" w:val="clear"/>
          </w:tcPr>
          <w:p>
            <w:r>
              <w:rPr>
                <w:sz w:val="17"/>
              </w:rPr>
              <w:t>J+7  ⭐</w:t>
            </w:r>
          </w:p>
        </w:tc>
        <w:tc>
          <w:tcPr>
            <w:tcW w:type="dxa" w:w="1440"/>
            <w:shd w:fill="C6EFCE" w:val="clear"/>
          </w:tcPr>
          <w:p>
            <w:r>
              <w:rPr>
                <w:sz w:val="17"/>
              </w:rPr>
              <w:t>2026-10-08</w:t>
            </w:r>
          </w:p>
        </w:tc>
        <w:tc>
          <w:tcPr>
            <w:tcW w:type="dxa" w:w="1440"/>
            <w:shd w:fill="C6EFCE" w:val="clear"/>
          </w:tcPr>
          <w:p>
            <w:r>
              <w:rPr>
                <w:sz w:val="17"/>
              </w:rPr>
              <w:t>2,853</w:t>
            </w:r>
          </w:p>
        </w:tc>
        <w:tc>
          <w:tcPr>
            <w:tcW w:type="dxa" w:w="1440"/>
            <w:shd w:fill="C6EFCE" w:val="clear"/>
          </w:tcPr>
          <w:p>
            <w:r>
              <w:rPr>
                <w:b/>
                <w:sz w:val="17"/>
              </w:rPr>
              <w:t>3,351</w:t>
            </w:r>
          </w:p>
        </w:tc>
        <w:tc>
          <w:tcPr>
            <w:tcW w:type="dxa" w:w="1440"/>
            <w:shd w:fill="C6EFCE" w:val="clear"/>
          </w:tcPr>
          <w:p>
            <w:r>
              <w:rPr>
                <w:sz w:val="17"/>
              </w:rPr>
              <w:t>3,849</w:t>
            </w:r>
          </w:p>
        </w:tc>
        <w:tc>
          <w:tcPr>
            <w:tcW w:type="dxa" w:w="1440"/>
            <w:shd w:fill="C6EFCE" w:val="clear"/>
          </w:tcPr>
          <w:p>
            <w:r>
              <w:rPr>
                <w:b/>
                <w:color w:val="008000"/>
                <w:sz w:val="17"/>
              </w:rPr>
              <w:t>+13.6%</w:t>
            </w:r>
          </w:p>
        </w:tc>
      </w:tr>
      <w:tr>
        <w:tc>
          <w:tcPr>
            <w:tcW w:type="dxa" w:w="1440"/>
            <w:shd w:fill="C6EFCE" w:val="clear"/>
          </w:tcPr>
          <w:p>
            <w:r>
              <w:rPr>
                <w:sz w:val="17"/>
              </w:rPr>
              <w:t>J+8  ⭐</w:t>
            </w:r>
          </w:p>
        </w:tc>
        <w:tc>
          <w:tcPr>
            <w:tcW w:type="dxa" w:w="1440"/>
            <w:shd w:fill="C6EFCE" w:val="clear"/>
          </w:tcPr>
          <w:p>
            <w:r>
              <w:rPr>
                <w:sz w:val="17"/>
              </w:rPr>
              <w:t>2026-10-09</w:t>
            </w:r>
          </w:p>
        </w:tc>
        <w:tc>
          <w:tcPr>
            <w:tcW w:type="dxa" w:w="1440"/>
            <w:shd w:fill="C6EFCE" w:val="clear"/>
          </w:tcPr>
          <w:p>
            <w:r>
              <w:rPr>
                <w:sz w:val="17"/>
              </w:rPr>
              <w:t>2,840</w:t>
            </w:r>
          </w:p>
        </w:tc>
        <w:tc>
          <w:tcPr>
            <w:tcW w:type="dxa" w:w="1440"/>
            <w:shd w:fill="C6EFCE" w:val="clear"/>
          </w:tcPr>
          <w:p>
            <w:r>
              <w:rPr>
                <w:b/>
                <w:sz w:val="17"/>
              </w:rPr>
              <w:t>3,377</w:t>
            </w:r>
          </w:p>
        </w:tc>
        <w:tc>
          <w:tcPr>
            <w:tcW w:type="dxa" w:w="1440"/>
            <w:shd w:fill="C6EFCE" w:val="clear"/>
          </w:tcPr>
          <w:p>
            <w:r>
              <w:rPr>
                <w:sz w:val="17"/>
              </w:rPr>
              <w:t>3,913</w:t>
            </w:r>
          </w:p>
        </w:tc>
        <w:tc>
          <w:tcPr>
            <w:tcW w:type="dxa" w:w="1440"/>
            <w:shd w:fill="C6EFCE" w:val="clear"/>
          </w:tcPr>
          <w:p>
            <w:r>
              <w:rPr>
                <w:b/>
                <w:color w:val="008000"/>
                <w:sz w:val="17"/>
              </w:rPr>
              <w:t>+14.5%</w:t>
            </w:r>
          </w:p>
        </w:tc>
      </w:tr>
      <w:tr>
        <w:tc>
          <w:tcPr>
            <w:tcW w:type="dxa" w:w="1440"/>
            <w:shd w:fill="C6EFCE" w:val="clear"/>
          </w:tcPr>
          <w:p>
            <w:r>
              <w:rPr>
                <w:sz w:val="17"/>
              </w:rPr>
              <w:t>J+9  ⭐</w:t>
            </w:r>
          </w:p>
        </w:tc>
        <w:tc>
          <w:tcPr>
            <w:tcW w:type="dxa" w:w="1440"/>
            <w:shd w:fill="C6EFCE" w:val="clear"/>
          </w:tcPr>
          <w:p>
            <w:r>
              <w:rPr>
                <w:sz w:val="17"/>
              </w:rPr>
              <w:t>2026-10-12</w:t>
            </w:r>
          </w:p>
        </w:tc>
        <w:tc>
          <w:tcPr>
            <w:tcW w:type="dxa" w:w="1440"/>
            <w:shd w:fill="C6EFCE" w:val="clear"/>
          </w:tcPr>
          <w:p>
            <w:r>
              <w:rPr>
                <w:sz w:val="17"/>
              </w:rPr>
              <w:t>2,824</w:t>
            </w:r>
          </w:p>
        </w:tc>
        <w:tc>
          <w:tcPr>
            <w:tcW w:type="dxa" w:w="1440"/>
            <w:shd w:fill="C6EFCE" w:val="clear"/>
          </w:tcPr>
          <w:p>
            <w:r>
              <w:rPr>
                <w:b/>
                <w:sz w:val="17"/>
              </w:rPr>
              <w:t>3,396</w:t>
            </w:r>
          </w:p>
        </w:tc>
        <w:tc>
          <w:tcPr>
            <w:tcW w:type="dxa" w:w="1440"/>
            <w:shd w:fill="C6EFCE" w:val="clear"/>
          </w:tcPr>
          <w:p>
            <w:r>
              <w:rPr>
                <w:sz w:val="17"/>
              </w:rPr>
              <w:t>3,969</w:t>
            </w:r>
          </w:p>
        </w:tc>
        <w:tc>
          <w:tcPr>
            <w:tcW w:type="dxa" w:w="1440"/>
            <w:shd w:fill="C6EFCE" w:val="clear"/>
          </w:tcPr>
          <w:p>
            <w:r>
              <w:rPr>
                <w:b/>
                <w:color w:val="008000"/>
                <w:sz w:val="17"/>
              </w:rPr>
              <w:t>+15.1%</w:t>
            </w:r>
          </w:p>
        </w:tc>
      </w:tr>
      <w:tr>
        <w:tc>
          <w:tcPr>
            <w:tcW w:type="dxa" w:w="1440"/>
            <w:shd w:fill="C6EFCE" w:val="clear"/>
          </w:tcPr>
          <w:p>
            <w:r>
              <w:rPr>
                <w:sz w:val="17"/>
              </w:rPr>
              <w:t>J+10  ⭐</w:t>
            </w:r>
          </w:p>
        </w:tc>
        <w:tc>
          <w:tcPr>
            <w:tcW w:type="dxa" w:w="1440"/>
            <w:shd w:fill="C6EFCE" w:val="clear"/>
          </w:tcPr>
          <w:p>
            <w:r>
              <w:rPr>
                <w:sz w:val="17"/>
              </w:rPr>
              <w:t>2026-10-13</w:t>
            </w:r>
          </w:p>
        </w:tc>
        <w:tc>
          <w:tcPr>
            <w:tcW w:type="dxa" w:w="1440"/>
            <w:shd w:fill="C6EFCE" w:val="clear"/>
          </w:tcPr>
          <w:p>
            <w:r>
              <w:rPr>
                <w:sz w:val="17"/>
              </w:rPr>
              <w:t>2,806</w:t>
            </w:r>
          </w:p>
        </w:tc>
        <w:tc>
          <w:tcPr>
            <w:tcW w:type="dxa" w:w="1440"/>
            <w:shd w:fill="C6EFCE" w:val="clear"/>
          </w:tcPr>
          <w:p>
            <w:r>
              <w:rPr>
                <w:b/>
                <w:sz w:val="17"/>
              </w:rPr>
              <w:t>3,412</w:t>
            </w:r>
          </w:p>
        </w:tc>
        <w:tc>
          <w:tcPr>
            <w:tcW w:type="dxa" w:w="1440"/>
            <w:shd w:fill="C6EFCE" w:val="clear"/>
          </w:tcPr>
          <w:p>
            <w:r>
              <w:rPr>
                <w:sz w:val="17"/>
              </w:rPr>
              <w:t>4,019</w:t>
            </w:r>
          </w:p>
        </w:tc>
        <w:tc>
          <w:tcPr>
            <w:tcW w:type="dxa" w:w="1440"/>
            <w:shd w:fill="C6EFCE" w:val="clear"/>
          </w:tcPr>
          <w:p>
            <w:r>
              <w:rPr>
                <w:b/>
                <w:color w:val="008000"/>
                <w:sz w:val="17"/>
              </w:rPr>
              <w:t>+15.7%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**Bourse Régionale des Valeurs Mobilières (BRVM) — Secteur : Agro-industrie / Sucre**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57,82 milliards FCFA, SCRC se positionne comme une valeur moyenne de la cote BRVM, reflétant sa taille industrielle significative mais aussi la défiance du marché après une année 2025 difficile. Le BPA s'établit à -406 FCFA/action, conséquence directe de la perte nette de 7,95 milliards FCFA enregistrée en 2025 (IFRS), ce qui rend le PER inopérant (-7,3x) et signale une société déficitaire dont la rentabilité doit être restaurée avant toute lecture positive. Le P/B de 3,35x indique que le marché valorise l'action à plus de trois fois sa valeur comptable (capitaux propres de 17,24 Mds FCFA), traduisant une prime de croissance accordée aux investissements massifs en cours (64,5 Mds FCFA d'immobilisations corporelles) plutôt qu'à la rentabilité actuelle. L'EV/EBITDA de 10,0x, bien que dans la fourchette "élevée" (10-15x), reste soutenu par un EBE de 14,85 Mds FCFA qui démontre une capacité opérationnelle réelle malgré la perte nette. En synthèse, la valorisation de SCRC est paradoxale : chère sur les bénéfices (négatifs), mais potentiellement justifiée si le plan d'investissement porte ses fruits à moyen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SCRC affiche une performance remarquable de +47,87%, passant d'un plus bas de 1 990 FCFA à un plus haut de 3 920 FCFA, avant de se replier à 2 950 FCFA (variation J-1 de -1,01%). Ce range de trading de près de 2 000 FCFA (soit un écart de 97% entre le plus bas et le plus haut) témoigne d'une volatilité extrême et d'un intérêt spéculatif marqué sur le titre. La tendance générale est haussière sur la période, mais le repli récent depuis les sommets suggère une prise de bénéfices et une hésitation du marché face aux fondamentaux dégradés. Les statistiques descriptives révèlent une distribution asymétrique : la moyenne (3 156 FCFA) est inférieure à la médiane (3 298 FCFA), confirmant un skewness négatif de -0,760, ce qui signifie que davantage de journées se sont négociées au-dessus de la moyenne, mais que des baisses brutales ont tiré la moyenne vers le bas. L'écart-type de 493 FCFA avec un coefficient de variation de 15,6% indique une dispersion modérée à élevée du cours, tandis que le kurtosis de -0,472 (mésokurtique) suggère une distribution proche de la normale, sans pics extrêmes fréquents. La volatilité annualisée de 59,4% classe SCRC dans la catégorie des titres à volatilité élevée (&gt;30%), ce qui implique un risque important pour les investisseurs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(3 281 FCFA) et la MM50 (3 466,7 FCFA) sont toutes deux supérieures au cours actuel (2 950 FCFA), ce qui place le titre en position baissière à court et moyen terme. La MM20 étant elle-même inférieure à la MM50, on observe une configuration de croisement baissier (death cross), confirmant la pression vendeuse. La décision technique est donc **Vente**, le cours évoluant sous ses deux moyennes mobiles.</w:t>
      </w:r>
    </w:p>
    <w:p>
      <w:pPr>
        <w:spacing w:after="120" w:line="276" w:lineRule="auto"/>
      </w:pPr>
      <w:r>
        <w:t>**Bandes de Bollinger** : Le cours actuel (2 950 FCFA) se situe dans la partie basse de la bande de Bollinger, entre la borne inférieure (2 713,59 FCFA) et la borne supérieure (3 848,41 FCFA), mais plus proche de la borne basse. Cette position suggère que le titre est survendu à court terme, mais la largeur des bandes (écart de 1 135 FCFA) indique une volatilité toujours élevée. La décision est **Neutre**, le cours n'ayant pas encore atteint la borne inférieure qui constituerait un signal d'achat plus clair.</w:t>
      </w:r>
    </w:p>
    <w:p>
      <w:pPr>
        <w:spacing w:after="120" w:line="276" w:lineRule="auto"/>
      </w:pPr>
      <w:r>
        <w:t>**MACD** : La valeur du MACD (-156,187) est inférieure à son signal (-118,583), et les deux sont en territoire négatif. Cet écart négatif croissant indique un momentum baissier persistant, bien que l'amplitude de la divergence (37,6 points) ne soit pas extrême. La décision est **Vente**, le MACD confirmant la tendance baissière observée sur les moyennes mobiles.</w:t>
      </w:r>
    </w:p>
    <w:p>
      <w:pPr>
        <w:spacing w:after="120" w:line="276" w:lineRule="auto"/>
      </w:pPr>
      <w:r>
        <w:t>**RSI** : Avec une valeur de 28,472, le RSI se situe en zone de survente (&lt;30), ce qui est généralement interprété comme un signal d'achat potentiel. Cependant, dans un contexte de tendance baissière forte, un RSI bas peut persister. La décision est **Achat**, le RSI suggérant un rebond technique imminent.</w:t>
      </w:r>
    </w:p>
    <w:p>
      <w:pPr>
        <w:spacing w:after="120" w:line="276" w:lineRule="auto"/>
      </w:pPr>
      <w:r>
        <w:t>**Stochastique** : Le %K (29,714) est inférieur au %D (35,826), et les deux se situent en zone basse (proche de 20-30). Il n'y a pas de croisement haussier confirmé, mais la proximité de la zone de survente suggère une possible inflexion. La décision est **Neutre**, le stochastique n'ayant pas encore généré de signal clair.</w:t>
      </w:r>
    </w:p>
    <w:p>
      <w:pPr>
        <w:spacing w:after="120" w:line="276" w:lineRule="auto"/>
      </w:pPr>
      <w:r>
        <w:t>**Conclusion technique** : Les indicateurs techniques présentent une divergence notable. Les moyennes mobiles et le MACD confirment une tendance baissière, tandis que le RSI en zone de survente et les Bandes de Bollinger proches de la borne inférieure suggèrent un potentiel rebond à court terme. Le stochastique reste neutre, n'apportant pas de confirmation directionnelle. Cette configuration indique une possible stabilisation du cours, mais la prudence reste de mise tant que le titre n'aura pas cassé au-dessus de la MM20 (3 281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SCRC a réalisé un chiffre d'affaires de 80,57 milliards FCFA, en baisse de 7,6% par rapport à 2024 (87,22 Mds FCFA). Le résultat net est une perte de 7,95 milliards FCFA (IFRS), contre un bénéfice de 2,47 milliards FCFA en 2024, soit une dégradation de 421%. Le ROE est de -46,13% et le ROA de -5,08%, confirmant la destruction de valeur. La marge nette est de -9,87%, et la marge opérationnelle de -0,68%, bien que la marge brute reste solide à 45,82%. Le BFR est de 6,53 milliards FCFA, avec un délai clients de 12,28 jours (très court, bon pour la trésorerie) et un délai fournisseurs de 366,07 jours (très long, favorable à la trésorerie). L'endettement est critique : dettes financières totales de 84,87 milliards FCFA, ratio d'endettement de 88,98%, autonomie financière de seulement 11,02%, et capacité de remboursement de 11,21 années. La trésorerie nette est négative à -6,51 milliards FCFA.</w:t>
      </w:r>
    </w:p>
    <w:p>
      <w:pPr>
        <w:spacing w:after="120" w:line="276" w:lineRule="auto"/>
      </w:pPr>
      <w:r>
        <w:t>**Analyse sectorielle (entreprise)** : La rotation des actifs est de 51,51%, indiquant une utilisation modérée des actifs pour générer du chiffre d'affaires. La durée de stockage de 360,73 jours est extrêmement élevée, immobilisant du capital et pesant sur la trésorerie. Le BFR positif de 6,53 milliards FCFA, bien que gérable, combiné à une trésorerie nette négative, révèle des tensions de liquidité.</w:t>
      </w:r>
    </w:p>
    <w:p>
      <w:pPr>
        <w:spacing w:after="120" w:line="276" w:lineRule="auto"/>
      </w:pPr>
      <w:r>
        <w:t>**Estimations basées sur les rapports** : Le rapport du 1er semestre 2025 (daté du 30/06/2025) indiquait un chiffre d'affaires de 42,87 milliards FCFA (-5%) et une perte nette de 6,71 milliards FCFA, avec un résultat d'exploitation négatif de -3,18 milliards FCFA. Le rapport du 1er trimestre 2025 (daté du 31/03/2025) montrait un chiffre d'affaires de 25,09 milliards FCFA (-13%) et un résultat net positif de 3,21 milliards FCFA, mais en repli de 32%. Ces données trimestrielles suggèrent que la dégradation s'est accentuée au second semestre 2025, avec une perte nette annuelle de 7,95 milliards FCFA. Le rapport annuel 2024 (daté du 31/12/2024) soulignait déjà un endettement élevé et des charges financières de 4,67 milliards FCFA, qui ont explosé à 6,79 milliards FCFA en 2025 (+262%). Les perspectives pour 2026 restent préoccupantes : la société devra restructurer sa dette et améliorer ses marges opérationnelles pour espérer un retour à la rentabilité. La campagne 2025/26, démarrée fin octobre 2025, est attendue avec une production de 90 000 à 95 000 tonnes (+14% à +20%), ce qui pourrait soutenir le chiffre d'affaires, mais les charges financières resteront un fardeau majeur.</w:t>
      </w:r>
    </w:p>
    <w:p>
      <w:pPr>
        <w:spacing w:after="120" w:line="276" w:lineRule="auto"/>
      </w:pPr>
      <w:r>
        <w:t>**Recommandation fondamentale** : La situation financière de SCRC est critique : perte nette massive, endettement insoutenable, trésorerie négative, et rentabilité opérationnelle quasi nulle. Les investissements massifs (25,2 milliards FCFA en 2025) pourraient porter leurs fruits à moyen terme, mais le risque de défaut à court terme est élevé. La recommandation fondamentale est **Vente** ou **Conserver avec vigilance** pour les investisseurs déjà positionnés, en attendant des signes clairs de redressement opérationnel et de désendettement.</w:t>
      </w:r>
    </w:p>
    <w:p>
      <w:pPr>
        <w:spacing w:after="120" w:line="276" w:lineRule="auto"/>
      </w:pPr>
      <w:r>
        <w:t>---</w:t>
      </w:r>
    </w:p>
    <w:p>
      <w:pPr>
        <w:spacing w:after="120" w:line="276" w:lineRule="auto"/>
      </w:pPr>
      <w:r>
        <w:t>### PARTIE 4 : CONCLUSION D'INVESTISSEMENT</w:t>
      </w:r>
    </w:p>
    <w:p>
      <w:pPr>
        <w:spacing w:after="120" w:line="276" w:lineRule="auto"/>
      </w:pPr>
      <w:r>
        <w:t>La valorisation de SCRC (Partie 0) est paradoxale : le PER négatif et le P/B élevé (3,35x) indiquent que le marché paie cher une société déficitaire, mais l'EV/EBITDA de 10,0x reste soutenu par un EBE de 14,85 Mds FCFA, suggérant une capacité opérationnelle sous-jacente. Le comportement du cours (Partie 1) est haussier sur 100 jours (+47,87%) mais avec une volatilité extrême (59,4% annualisée) et un skewness négatif (-0,760) indiquant des baisses brutales ; le repli récent depuis les sommets (3 920 FCFA) est préoccupant. Les signaux techniques (Partie 2) sont divergents : les moyennes mobiles et le MACD sont baissiers, tandis que le RSI en survente (28,47) et les Bandes de Bollinger proches de la borne inférieure suggèrent un rebond technique possible, mais non confirmé. Les fondamentaux (Partie 3) sont très dégradés : perte nette de 7,95 Mds FCFA en 2025, ROE de -46,13%, endettement critique (84,87 Mds FCFA de dettes financières), et trésorerie négative (-6,51 Mds FCFA), bien que la marge brute (45,82%) et le BFR (6,53 Mds FCFA) offrent une certaine résilience. Les prédictions IA (J+1 à J+10) anticipent une hausse progressive de 2 949 FCFA à 3 271 FCFA, ce qui contredit les signaux techniques baissiers et suggère un rebond à court terme, mais cette trajectoire reste fragile face aux risques fondamentaux. **En synthèse, la convergence des signaux est défavorable : la valorisation est tendue, les fondamentaux sont critiques, et les indicateurs techniques sont majoritairement baissiers, malgré un RSI en survente et des prédictions IA haussières à court terme.** La recommandation finale est **VENTE** (ou **CONSERVER** pour les investisseurs déjà positionnés avec une tolérance au risque élevée), avec un niveau de confiance **Moyen** et un risque global **Élevé**. L'horizon d'investissement optimal est **court terme (&lt;3 mois)** pour profiter d'un éventuel rebond technique, mais **moyen terme (3-12 mois)** pour surveiller la restructuration financière et les résultats de la campagne 2025/26. Une entrée à long terme (&gt;1 an) serait prématurée tant que la société n'aura pas démontré sa capacité à restaurer sa rentabilité et à réduire son endettement.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30.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116.91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1,445 titres</w:t>
            </w:r>
          </w:p>
        </w:tc>
        <w:tc>
          <w:tcPr>
            <w:tcW w:type="dxa" w:w="2268"/>
            <w:shd w:fill="FFF2CC" w:val="clear"/>
          </w:tcPr>
          <w:p>
            <w:r>
              <w:rPr>
                <w:b/>
                <w:color w:val="503200"/>
                <w:sz w:val="16"/>
              </w:rPr>
              <w:t xml:space="preserve">Cours actuel : </w:t>
            </w:r>
            <w:r>
              <w:rPr>
                <w:color w:val="000000"/>
                <w:sz w:val="17"/>
              </w:rPr>
              <w:t>12,990 FCFA</w:t>
            </w:r>
          </w:p>
          <w:p>
            <w:r>
              <w:rPr>
                <w:b/>
                <w:color w:val="503200"/>
                <w:sz w:val="16"/>
              </w:rPr>
              <w:t xml:space="preserve">Var. 100 jours : </w:t>
            </w:r>
            <w:r>
              <w:rPr>
                <w:b/>
                <w:color w:val="007800"/>
                <w:sz w:val="17"/>
              </w:rPr>
              <w:t>+44.33%</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8,900 FCFA</w:t>
            </w:r>
          </w:p>
          <w:p>
            <w:r>
              <w:rPr>
                <w:b/>
                <w:color w:val="503200"/>
                <w:sz w:val="16"/>
              </w:rPr>
              <w:t xml:space="preserve">Volatilité ann. : </w:t>
            </w:r>
            <w:r>
              <w:rPr>
                <w:color w:val="000000"/>
                <w:sz w:val="17"/>
              </w:rPr>
              <w:t>39.4%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8.36% (Moyenne) — μ=11,841 FCFA, σ=990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β=0.7274 (Défensif) — Cov=0.000050, Var(idx)=0.000069, ρ=0.248,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σ_j=2.48%/j (Stable) — Vol. annualisée≈39.4%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98627"/>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2026-09-30</w:t>
            </w:r>
          </w:p>
        </w:tc>
        <w:tc>
          <w:tcPr>
            <w:tcW w:type="dxa" w:w="1440"/>
            <w:shd w:fill="FAFAFA" w:val="clear"/>
          </w:tcPr>
          <w:p>
            <w:r>
              <w:rPr>
                <w:sz w:val="17"/>
              </w:rPr>
              <w:t>12,189</w:t>
            </w:r>
          </w:p>
        </w:tc>
        <w:tc>
          <w:tcPr>
            <w:tcW w:type="dxa" w:w="1440"/>
            <w:shd w:fill="FAFAFA" w:val="clear"/>
          </w:tcPr>
          <w:p>
            <w:r>
              <w:rPr>
                <w:b/>
                <w:sz w:val="17"/>
              </w:rPr>
              <w:t>12,899</w:t>
            </w:r>
          </w:p>
        </w:tc>
        <w:tc>
          <w:tcPr>
            <w:tcW w:type="dxa" w:w="1440"/>
            <w:shd w:fill="FAFAFA" w:val="clear"/>
          </w:tcPr>
          <w:p>
            <w:r>
              <w:rPr>
                <w:sz w:val="17"/>
              </w:rPr>
              <w:t>13,610</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2026-10-01</w:t>
            </w:r>
          </w:p>
        </w:tc>
        <w:tc>
          <w:tcPr>
            <w:tcW w:type="dxa" w:w="1440"/>
            <w:shd w:fill="FAFAFA" w:val="clear"/>
          </w:tcPr>
          <w:p>
            <w:r>
              <w:rPr>
                <w:sz w:val="17"/>
              </w:rPr>
              <w:t>12,015</w:t>
            </w:r>
          </w:p>
        </w:tc>
        <w:tc>
          <w:tcPr>
            <w:tcW w:type="dxa" w:w="1440"/>
            <w:shd w:fill="FAFAFA" w:val="clear"/>
          </w:tcPr>
          <w:p>
            <w:r>
              <w:rPr>
                <w:b/>
                <w:sz w:val="17"/>
              </w:rPr>
              <w:t>13,030</w:t>
            </w:r>
          </w:p>
        </w:tc>
        <w:tc>
          <w:tcPr>
            <w:tcW w:type="dxa" w:w="1440"/>
            <w:shd w:fill="FAFAFA" w:val="clear"/>
          </w:tcPr>
          <w:p>
            <w:r>
              <w:rPr>
                <w:sz w:val="17"/>
              </w:rPr>
              <w:t>14,045</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2026-10-02</w:t>
            </w:r>
          </w:p>
        </w:tc>
        <w:tc>
          <w:tcPr>
            <w:tcW w:type="dxa" w:w="1440"/>
            <w:shd w:fill="FAFAFA" w:val="clear"/>
          </w:tcPr>
          <w:p>
            <w:r>
              <w:rPr>
                <w:sz w:val="17"/>
              </w:rPr>
              <w:t>11,883</w:t>
            </w:r>
          </w:p>
        </w:tc>
        <w:tc>
          <w:tcPr>
            <w:tcW w:type="dxa" w:w="1440"/>
            <w:shd w:fill="FAFAFA" w:val="clear"/>
          </w:tcPr>
          <w:p>
            <w:r>
              <w:rPr>
                <w:b/>
                <w:sz w:val="17"/>
              </w:rPr>
              <w:t>13,136</w:t>
            </w:r>
          </w:p>
        </w:tc>
        <w:tc>
          <w:tcPr>
            <w:tcW w:type="dxa" w:w="1440"/>
            <w:shd w:fill="FAFAFA" w:val="clear"/>
          </w:tcPr>
          <w:p>
            <w:r>
              <w:rPr>
                <w:sz w:val="17"/>
              </w:rPr>
              <w:t>14,389</w:t>
            </w:r>
          </w:p>
        </w:tc>
        <w:tc>
          <w:tcPr>
            <w:tcW w:type="dxa" w:w="1440"/>
            <w:shd w:fill="FAFAFA" w:val="clear"/>
          </w:tcPr>
          <w:p>
            <w:r>
              <w:rPr>
                <w:b/>
                <w:color w:val="008000"/>
                <w:sz w:val="17"/>
              </w:rPr>
              <w:t>+1.1%</w:t>
            </w:r>
          </w:p>
        </w:tc>
      </w:tr>
      <w:tr>
        <w:tc>
          <w:tcPr>
            <w:tcW w:type="dxa" w:w="1440"/>
            <w:shd w:fill="FAFAFA" w:val="clear"/>
          </w:tcPr>
          <w:p>
            <w:r>
              <w:rPr>
                <w:sz w:val="17"/>
              </w:rPr>
              <w:t>J+4  ⭐</w:t>
            </w:r>
          </w:p>
        </w:tc>
        <w:tc>
          <w:tcPr>
            <w:tcW w:type="dxa" w:w="1440"/>
            <w:shd w:fill="FAFAFA" w:val="clear"/>
          </w:tcPr>
          <w:p>
            <w:r>
              <w:rPr>
                <w:sz w:val="17"/>
              </w:rPr>
              <w:t>2026-10-05</w:t>
            </w:r>
          </w:p>
        </w:tc>
        <w:tc>
          <w:tcPr>
            <w:tcW w:type="dxa" w:w="1440"/>
            <w:shd w:fill="FAFAFA" w:val="clear"/>
          </w:tcPr>
          <w:p>
            <w:r>
              <w:rPr>
                <w:sz w:val="17"/>
              </w:rPr>
              <w:t>11,769</w:t>
            </w:r>
          </w:p>
        </w:tc>
        <w:tc>
          <w:tcPr>
            <w:tcW w:type="dxa" w:w="1440"/>
            <w:shd w:fill="FAFAFA" w:val="clear"/>
          </w:tcPr>
          <w:p>
            <w:r>
              <w:rPr>
                <w:b/>
                <w:sz w:val="17"/>
              </w:rPr>
              <w:t>13,226</w:t>
            </w:r>
          </w:p>
        </w:tc>
        <w:tc>
          <w:tcPr>
            <w:tcW w:type="dxa" w:w="1440"/>
            <w:shd w:fill="FAFAFA" w:val="clear"/>
          </w:tcPr>
          <w:p>
            <w:r>
              <w:rPr>
                <w:sz w:val="17"/>
              </w:rPr>
              <w:t>14,683</w:t>
            </w:r>
          </w:p>
        </w:tc>
        <w:tc>
          <w:tcPr>
            <w:tcW w:type="dxa" w:w="1440"/>
            <w:shd w:fill="FAFAFA" w:val="clear"/>
          </w:tcPr>
          <w:p>
            <w:r>
              <w:rPr>
                <w:b/>
                <w:color w:val="008000"/>
                <w:sz w:val="17"/>
              </w:rPr>
              <w:t>+1.8%</w:t>
            </w:r>
          </w:p>
        </w:tc>
      </w:tr>
      <w:tr>
        <w:tc>
          <w:tcPr>
            <w:tcW w:type="dxa" w:w="1440"/>
            <w:shd w:fill="C6EFCE" w:val="clear"/>
          </w:tcPr>
          <w:p>
            <w:r>
              <w:rPr>
                <w:sz w:val="17"/>
              </w:rPr>
              <w:t>J+5  ⭐</w:t>
            </w:r>
          </w:p>
        </w:tc>
        <w:tc>
          <w:tcPr>
            <w:tcW w:type="dxa" w:w="1440"/>
            <w:shd w:fill="C6EFCE" w:val="clear"/>
          </w:tcPr>
          <w:p>
            <w:r>
              <w:rPr>
                <w:sz w:val="17"/>
              </w:rPr>
              <w:t>2026-10-06</w:t>
            </w:r>
          </w:p>
        </w:tc>
        <w:tc>
          <w:tcPr>
            <w:tcW w:type="dxa" w:w="1440"/>
            <w:shd w:fill="C6EFCE" w:val="clear"/>
          </w:tcPr>
          <w:p>
            <w:r>
              <w:rPr>
                <w:sz w:val="17"/>
              </w:rPr>
              <w:t>11,661</w:t>
            </w:r>
          </w:p>
        </w:tc>
        <w:tc>
          <w:tcPr>
            <w:tcW w:type="dxa" w:w="1440"/>
            <w:shd w:fill="C6EFCE" w:val="clear"/>
          </w:tcPr>
          <w:p>
            <w:r>
              <w:rPr>
                <w:b/>
                <w:sz w:val="17"/>
              </w:rPr>
              <w:t>13,299</w:t>
            </w:r>
          </w:p>
        </w:tc>
        <w:tc>
          <w:tcPr>
            <w:tcW w:type="dxa" w:w="1440"/>
            <w:shd w:fill="C6EFCE" w:val="clear"/>
          </w:tcPr>
          <w:p>
            <w:r>
              <w:rPr>
                <w:sz w:val="17"/>
              </w:rPr>
              <w:t>14,937</w:t>
            </w:r>
          </w:p>
        </w:tc>
        <w:tc>
          <w:tcPr>
            <w:tcW w:type="dxa" w:w="1440"/>
            <w:shd w:fill="C6EFCE" w:val="clear"/>
          </w:tcPr>
          <w:p>
            <w:r>
              <w:rPr>
                <w:b/>
                <w:color w:val="008000"/>
                <w:sz w:val="17"/>
              </w:rPr>
              <w:t>+2.4%</w:t>
            </w:r>
          </w:p>
        </w:tc>
      </w:tr>
      <w:tr>
        <w:tc>
          <w:tcPr>
            <w:tcW w:type="dxa" w:w="1440"/>
            <w:shd w:fill="C6EFCE" w:val="clear"/>
          </w:tcPr>
          <w:p>
            <w:r>
              <w:rPr>
                <w:sz w:val="17"/>
              </w:rPr>
              <w:t>J+6  ⭐</w:t>
            </w:r>
          </w:p>
        </w:tc>
        <w:tc>
          <w:tcPr>
            <w:tcW w:type="dxa" w:w="1440"/>
            <w:shd w:fill="C6EFCE" w:val="clear"/>
          </w:tcPr>
          <w:p>
            <w:r>
              <w:rPr>
                <w:sz w:val="17"/>
              </w:rPr>
              <w:t>2026-10-07</w:t>
            </w:r>
          </w:p>
        </w:tc>
        <w:tc>
          <w:tcPr>
            <w:tcW w:type="dxa" w:w="1440"/>
            <w:shd w:fill="C6EFCE" w:val="clear"/>
          </w:tcPr>
          <w:p>
            <w:r>
              <w:rPr>
                <w:sz w:val="17"/>
              </w:rPr>
              <w:t>11,549</w:t>
            </w:r>
          </w:p>
        </w:tc>
        <w:tc>
          <w:tcPr>
            <w:tcW w:type="dxa" w:w="1440"/>
            <w:shd w:fill="C6EFCE" w:val="clear"/>
          </w:tcPr>
          <w:p>
            <w:r>
              <w:rPr>
                <w:b/>
                <w:sz w:val="17"/>
              </w:rPr>
              <w:t>13,350</w:t>
            </w:r>
          </w:p>
        </w:tc>
        <w:tc>
          <w:tcPr>
            <w:tcW w:type="dxa" w:w="1440"/>
            <w:shd w:fill="C6EFCE" w:val="clear"/>
          </w:tcPr>
          <w:p>
            <w:r>
              <w:rPr>
                <w:sz w:val="17"/>
              </w:rPr>
              <w:t>15,152</w:t>
            </w:r>
          </w:p>
        </w:tc>
        <w:tc>
          <w:tcPr>
            <w:tcW w:type="dxa" w:w="1440"/>
            <w:shd w:fill="C6EFCE" w:val="clear"/>
          </w:tcPr>
          <w:p>
            <w:r>
              <w:rPr>
                <w:b/>
                <w:color w:val="008000"/>
                <w:sz w:val="17"/>
              </w:rPr>
              <w:t>+2.8%</w:t>
            </w:r>
          </w:p>
        </w:tc>
      </w:tr>
      <w:tr>
        <w:tc>
          <w:tcPr>
            <w:tcW w:type="dxa" w:w="1440"/>
            <w:shd w:fill="C6EFCE" w:val="clear"/>
          </w:tcPr>
          <w:p>
            <w:r>
              <w:rPr>
                <w:sz w:val="17"/>
              </w:rPr>
              <w:t>J+7  ⭐</w:t>
            </w:r>
          </w:p>
        </w:tc>
        <w:tc>
          <w:tcPr>
            <w:tcW w:type="dxa" w:w="1440"/>
            <w:shd w:fill="C6EFCE" w:val="clear"/>
          </w:tcPr>
          <w:p>
            <w:r>
              <w:rPr>
                <w:sz w:val="17"/>
              </w:rPr>
              <w:t>2026-10-08</w:t>
            </w:r>
          </w:p>
        </w:tc>
        <w:tc>
          <w:tcPr>
            <w:tcW w:type="dxa" w:w="1440"/>
            <w:shd w:fill="C6EFCE" w:val="clear"/>
          </w:tcPr>
          <w:p>
            <w:r>
              <w:rPr>
                <w:sz w:val="17"/>
              </w:rPr>
              <w:t>11,456</w:t>
            </w:r>
          </w:p>
        </w:tc>
        <w:tc>
          <w:tcPr>
            <w:tcW w:type="dxa" w:w="1440"/>
            <w:shd w:fill="C6EFCE" w:val="clear"/>
          </w:tcPr>
          <w:p>
            <w:r>
              <w:rPr>
                <w:b/>
                <w:sz w:val="17"/>
              </w:rPr>
              <w:t>13,410</w:t>
            </w:r>
          </w:p>
        </w:tc>
        <w:tc>
          <w:tcPr>
            <w:tcW w:type="dxa" w:w="1440"/>
            <w:shd w:fill="C6EFCE" w:val="clear"/>
          </w:tcPr>
          <w:p>
            <w:r>
              <w:rPr>
                <w:sz w:val="17"/>
              </w:rPr>
              <w:t>15,364</w:t>
            </w:r>
          </w:p>
        </w:tc>
        <w:tc>
          <w:tcPr>
            <w:tcW w:type="dxa" w:w="1440"/>
            <w:shd w:fill="C6EFCE" w:val="clear"/>
          </w:tcPr>
          <w:p>
            <w:r>
              <w:rPr>
                <w:b/>
                <w:color w:val="008000"/>
                <w:sz w:val="17"/>
              </w:rPr>
              <w:t>+3.2%</w:t>
            </w:r>
          </w:p>
        </w:tc>
      </w:tr>
      <w:tr>
        <w:tc>
          <w:tcPr>
            <w:tcW w:type="dxa" w:w="1440"/>
            <w:shd w:fill="C6EFCE" w:val="clear"/>
          </w:tcPr>
          <w:p>
            <w:r>
              <w:rPr>
                <w:sz w:val="17"/>
              </w:rPr>
              <w:t>J+8  ⭐</w:t>
            </w:r>
          </w:p>
        </w:tc>
        <w:tc>
          <w:tcPr>
            <w:tcW w:type="dxa" w:w="1440"/>
            <w:shd w:fill="C6EFCE" w:val="clear"/>
          </w:tcPr>
          <w:p>
            <w:r>
              <w:rPr>
                <w:sz w:val="17"/>
              </w:rPr>
              <w:t>2026-10-09</w:t>
            </w:r>
          </w:p>
        </w:tc>
        <w:tc>
          <w:tcPr>
            <w:tcW w:type="dxa" w:w="1440"/>
            <w:shd w:fill="C6EFCE" w:val="clear"/>
          </w:tcPr>
          <w:p>
            <w:r>
              <w:rPr>
                <w:sz w:val="17"/>
              </w:rPr>
              <w:t>11,371</w:t>
            </w:r>
          </w:p>
        </w:tc>
        <w:tc>
          <w:tcPr>
            <w:tcW w:type="dxa" w:w="1440"/>
            <w:shd w:fill="C6EFCE" w:val="clear"/>
          </w:tcPr>
          <w:p>
            <w:r>
              <w:rPr>
                <w:b/>
                <w:sz w:val="17"/>
              </w:rPr>
              <w:t>13,469</w:t>
            </w:r>
          </w:p>
        </w:tc>
        <w:tc>
          <w:tcPr>
            <w:tcW w:type="dxa" w:w="1440"/>
            <w:shd w:fill="C6EFCE" w:val="clear"/>
          </w:tcPr>
          <w:p>
            <w:r>
              <w:rPr>
                <w:sz w:val="17"/>
              </w:rPr>
              <w:t>15,568</w:t>
            </w:r>
          </w:p>
        </w:tc>
        <w:tc>
          <w:tcPr>
            <w:tcW w:type="dxa" w:w="1440"/>
            <w:shd w:fill="C6EFCE" w:val="clear"/>
          </w:tcPr>
          <w:p>
            <w:r>
              <w:rPr>
                <w:b/>
                <w:color w:val="008000"/>
                <w:sz w:val="17"/>
              </w:rPr>
              <w:t>+3.7%</w:t>
            </w:r>
          </w:p>
        </w:tc>
      </w:tr>
      <w:tr>
        <w:tc>
          <w:tcPr>
            <w:tcW w:type="dxa" w:w="1440"/>
            <w:shd w:fill="C6EFCE" w:val="clear"/>
          </w:tcPr>
          <w:p>
            <w:r>
              <w:rPr>
                <w:sz w:val="17"/>
              </w:rPr>
              <w:t>J+9  ⭐</w:t>
            </w:r>
          </w:p>
        </w:tc>
        <w:tc>
          <w:tcPr>
            <w:tcW w:type="dxa" w:w="1440"/>
            <w:shd w:fill="C6EFCE" w:val="clear"/>
          </w:tcPr>
          <w:p>
            <w:r>
              <w:rPr>
                <w:sz w:val="17"/>
              </w:rPr>
              <w:t>2026-10-12</w:t>
            </w:r>
          </w:p>
        </w:tc>
        <w:tc>
          <w:tcPr>
            <w:tcW w:type="dxa" w:w="1440"/>
            <w:shd w:fill="C6EFCE" w:val="clear"/>
          </w:tcPr>
          <w:p>
            <w:r>
              <w:rPr>
                <w:sz w:val="17"/>
              </w:rPr>
              <w:t>11,294</w:t>
            </w:r>
          </w:p>
        </w:tc>
        <w:tc>
          <w:tcPr>
            <w:tcW w:type="dxa" w:w="1440"/>
            <w:shd w:fill="C6EFCE" w:val="clear"/>
          </w:tcPr>
          <w:p>
            <w:r>
              <w:rPr>
                <w:b/>
                <w:sz w:val="17"/>
              </w:rPr>
              <w:t>13,530</w:t>
            </w:r>
          </w:p>
        </w:tc>
        <w:tc>
          <w:tcPr>
            <w:tcW w:type="dxa" w:w="1440"/>
            <w:shd w:fill="C6EFCE" w:val="clear"/>
          </w:tcPr>
          <w:p>
            <w:r>
              <w:rPr>
                <w:sz w:val="17"/>
              </w:rPr>
              <w:t>15,765</w:t>
            </w:r>
          </w:p>
        </w:tc>
        <w:tc>
          <w:tcPr>
            <w:tcW w:type="dxa" w:w="1440"/>
            <w:shd w:fill="C6EFCE" w:val="clear"/>
          </w:tcPr>
          <w:p>
            <w:r>
              <w:rPr>
                <w:b/>
                <w:color w:val="008000"/>
                <w:sz w:val="17"/>
              </w:rPr>
              <w:t>+4.2%</w:t>
            </w:r>
          </w:p>
        </w:tc>
      </w:tr>
      <w:tr>
        <w:tc>
          <w:tcPr>
            <w:tcW w:type="dxa" w:w="1440"/>
            <w:shd w:fill="C6EFCE" w:val="clear"/>
          </w:tcPr>
          <w:p>
            <w:r>
              <w:rPr>
                <w:sz w:val="17"/>
              </w:rPr>
              <w:t>J+10  ⭐</w:t>
            </w:r>
          </w:p>
        </w:tc>
        <w:tc>
          <w:tcPr>
            <w:tcW w:type="dxa" w:w="1440"/>
            <w:shd w:fill="C6EFCE" w:val="clear"/>
          </w:tcPr>
          <w:p>
            <w:r>
              <w:rPr>
                <w:sz w:val="17"/>
              </w:rPr>
              <w:t>2026-10-13</w:t>
            </w:r>
          </w:p>
        </w:tc>
        <w:tc>
          <w:tcPr>
            <w:tcW w:type="dxa" w:w="1440"/>
            <w:shd w:fill="C6EFCE" w:val="clear"/>
          </w:tcPr>
          <w:p>
            <w:r>
              <w:rPr>
                <w:sz w:val="17"/>
              </w:rPr>
              <w:t>11,226</w:t>
            </w:r>
          </w:p>
        </w:tc>
        <w:tc>
          <w:tcPr>
            <w:tcW w:type="dxa" w:w="1440"/>
            <w:shd w:fill="C6EFCE" w:val="clear"/>
          </w:tcPr>
          <w:p>
            <w:r>
              <w:rPr>
                <w:b/>
                <w:sz w:val="17"/>
              </w:rPr>
              <w:t>13,593</w:t>
            </w:r>
          </w:p>
        </w:tc>
        <w:tc>
          <w:tcPr>
            <w:tcW w:type="dxa" w:w="1440"/>
            <w:shd w:fill="C6EFCE" w:val="clear"/>
          </w:tcPr>
          <w:p>
            <w:r>
              <w:rPr>
                <w:sz w:val="17"/>
              </w:rPr>
              <w:t>15,961</w:t>
            </w:r>
          </w:p>
        </w:tc>
        <w:tc>
          <w:tcPr>
            <w:tcW w:type="dxa" w:w="1440"/>
            <w:shd w:fill="C6EFCE" w:val="clear"/>
          </w:tcPr>
          <w:p>
            <w:r>
              <w:rPr>
                <w:b/>
                <w:color w:val="008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Services publics / Distribution d'eau*</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116,91 milliards FCFA, SDCC figure parmi les valeurs de taille intermédiaire de la cote BRVM, ce qui lui confère une certaine liquidité mais la rend vulnérable aux mouvements de portefeuilles institutionnels. Le BPA de 518 FCFA/action signifie que chaque titre génère près de 518 FCFA de bénéfice net, un niveau honorable pour une utility régulée. Le PER de 25,1x est nettement supérieur à la moyenne du marché BRVM (8-12x), signalant que les investisseurs anticipent une forte croissance ou, à l'inverse, que le titre est surévalué — cette prime est d'autant plus notable que la marge nette reste faible (2,46%). Le P/B de 5,93x traduit une valorisation très supérieure à la valeur comptable (prime &gt;4x), ce qui est exigeant pour une entreprise à faible ROA (0,99%) et dont les capitaux propres ne représentent que 4,17% du bilan. Enfin, l'EV/EBITDA de 14,9x, dans le haut de la fourchette 10-15x, confirme que le marché valorise généreusement la capacité opérationnelle de l'entreprise, laissant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SDCC affiche une performance remarquable de +44,33%, avec une dernière séance en hausse de +4,34%, portant le cours à 12 990 FCFA. Le titre a évolué dans un range large de 8 900 FCFA (plus bas) à 13 885 FCFA (plus haut), soit un écart de près de 56%, témoignant d'une tendance nettement haussière soutenue par un intérêt croissant des investisseurs. La moyenne (11 841 FCFA) est légèrement inférieure à la médiane (11 945 FCFA), ce qui indique une distribution asymétrique avec quelques journées de forte baisse tirant la moyenne vers le bas. L'écart-type de 995 FCFA et le coefficient de variation de 8,4% révèlent une dispersion modérée du cours autour de sa tendance. Le kurtosis de 1,559 (leptokurtique) signale des queues épaisses, donc un risque de pics de volatilité brutaux, tandis que le skewness de -0,754 (asymétrie négative) indique paradoxalement plus de journées au-dessus de la moyenne, ce qui est cohérent avec la dynamique haussière récente. La volatilité annualisée de 39,4% classe le titre dans la catégorie des valeurs à volatilité élevée (&gt;30%), ce qui implique un risque de marché significatif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(12 933 FCFA) et la MM50 (12 380 FCFA) sont toutes deux inférieures au cours actuel (12 990 FCFA), et la MM20 est au-dessus de la MM50, configurant un croisement haussier classique. Cette configuration justifie la décision d'achat, le cours évoluant au-dessus de ses deux moyennes de référence.</w:t>
      </w:r>
    </w:p>
    <w:p>
      <w:pPr>
        <w:spacing w:after="120" w:line="276" w:lineRule="auto"/>
      </w:pPr>
      <w:r>
        <w:t>**Bandes de Bollinger** : Le cours (12 990 FCFA) se situe dans la partie médiane de la bande, entre la borne inférieure (11 441,835 FCFA) et la borne supérieure (14 424,165 FCFA), sans atteindre les extrêmes. Cette position neutre indique une absence de signal de surachat ou de survente immédiat, justifiant la décision neutre.</w:t>
      </w:r>
    </w:p>
    <w:p>
      <w:pPr>
        <w:spacing w:after="120" w:line="276" w:lineRule="auto"/>
      </w:pPr>
      <w:r>
        <w:t>**MACD** : La valeur du MACD (-73,852) est nettement inférieure à son signal (29,149), générant une divergence baissière qui traduit un essoufflement du momentum haussier malgré la tendance de fond positive. Cette configuration justifie la décision de vente à court terme, le MACD étant en territoire négatif.</w:t>
      </w:r>
    </w:p>
    <w:p>
      <w:pPr>
        <w:spacing w:after="120" w:line="276" w:lineRule="auto"/>
      </w:pPr>
      <w:r>
        <w:t>**RSI** : À 46,009, le RSI se situe dans la zone neutre (30-70), sans signal de surachat (&gt;70) ni de survente (&lt;30). Cette position médiane confirme l'absence de pression directionnelle forte et justifie la décision neutre.</w:t>
      </w:r>
    </w:p>
    <w:p>
      <w:pPr>
        <w:spacing w:after="120" w:line="276" w:lineRule="auto"/>
      </w:pPr>
      <w:r>
        <w:t>**Stochastique** : Le %K (67,096) est supérieur au %D (47,12), avec un croisement récent à la hausse qui suggère une reprise du momentum. Toutefois, le %K reste sous le seuil de surachat (80), ce qui maintient la décision neutre en l'absence de signal extrême.</w:t>
      </w:r>
    </w:p>
    <w:p>
      <w:pPr>
        <w:spacing w:after="120" w:line="276" w:lineRule="auto"/>
      </w:pPr>
      <w:r>
        <w:t>**Conclusion technique** : Les indicateurs présentent une divergence notable : les moyennes mobiles sont haussières (achat) tandis que le MACD est baissier (vente), le RSI et le stochastique restant neutres. Cette configuration mitigée suggère une consolidation possible après la forte hausse de 44%, avec un risque de correction à court terme que le MACD semble anticiper, mais la structure de fond reste positive tant que le cours se maintient au-dessus de la MM50 (12 380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annuels de SDCC affichent un chiffre d'affaires de 189,430 milliards FCFA, en croissance de 9,98% sur un an, porté par la hausse des volumes d'eau facturés et l'élargissement du portefeuille clients (2 272 032 clients, +6,14%). Le résultat net s'établit à 4,663 milliards FCFA, en progression de 31%, avec une marge nette de 2,46% et un ROE de 23,65% — excellent — bien que le ROA reste faible à 0,99%, reflétant l'intensité capitalistique du secteur. L'EBE atteint 21,783 milliards FCFA (+21%) et le résultat d'exploitation 9,105 milliards FCFA (+34%), confirmant l'amélioration de la performance opérationnelle. En tant qu'entreprise non bancaire, les points de vigilance portent sur le BFR de 104,748 milliards FCFA et surtout sur le délai clients de 749,25 jours, anormalement élevé, qui constitue un risque majeur de trésorerie malgré un taux de recouvrement de 95,85%. La trésorerie nette est négative à -61,710 milliards FCFA, et le flux opérationnel est négatif (-36,655 milliards FCFA), ce qui explique la dépendance aux financements externes (dettes financières totales de 145,939 milliards FCFA). L'autonomie financière est très faible (4,17%), avec un ratio d'endettement de 95,83% et une capacité de remboursement de 8,18 années. Les rapports trimestriels récents confirment la dynamique : le T1 2026 (publié en 2026) affiche un CA de 40 916 millions FCFA (-2%) mais un résultat net de 1 318 millions FCFA (+118%) et un résultat d'exploitation de 2 730 millions FCFA (+150%), grâce à une meilleure maîtrise des charges. Le rapport annuel 2025 (publié en 2025) mentionne un dividende de 525 FCFA/action, offrant un rendement attractif. On estime, sur la base de ces tendances trimestrielles, que l'exercice 2026 devrait confirmer l'amélioration de la rentabilité opérationnelle, avec un résultat net potentiellement supérieur à 5 milliards FCFA si la maîtrise des charges se poursuit. La recommandation fondamentale est de **conserver** le titre : la solidité du modèle (monopole de distribution d'eau en Côte d'Ivoire), la croissance du CA et l'amélioration des marges compensent les risques de trésorerie et d'endettement, mais la valorisation exigeante limite le potentiel de hausse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apparaît exigeante : le PER de 25,1x et le P/B de 5,93x intègrent déjà une forte croissance, laissant peu de marge de sécurité, tandis que l'EV/EBITDA de 14,9x confirme une prime significative. Le comportement du cours est nettement haussier (+44,33% sur 100 jours), mais la volatilité élevée (39,4%) et le kurtosis leptokurtique (1,559) signalent un risque de pics baissiers brutaux, le skewness négatif (-0,754) suggérant toutefois une résilience relative. Les signaux techniques sont divergents : les moyennes mobiles sont haussières, mais le MACD est baissier et le RSI neutre, ce qui plaide pour une consolidation après la forte progression. Les fondamentaux sont solides (CA +10%, RN +31%, ROE 23,65%) mais fragilisés par une trésorerie nette négative (-61,7 milliards FCFA) et un délai clients de 749 jours, bien que les rapports trimestriels 2026 montrent une nette amélioration de la rentabilité. Les prédictions IA anticipent une poursuite de la hausse modérée (12 899 FCFA à 13 299 FCFA sur 10 jours), ce qui contredit le signal baissier du MACD mais confirme la tendance de fond. Sur la base de cette synthèse, la recommandation finale est **CONSERVER**, avec un niveau de confiance **Moyen** et un risque global **Élevé** en raison de la volatilité et de l'endettement. L'horizon d'investissement optimal est le **moyen terme (3-12 mois)**, le temps que les améliorations opérationnelles se traduisent dans la trésorerie et que la valorisation se normalise.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31.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164.12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18,439 titres</w:t>
            </w:r>
          </w:p>
        </w:tc>
        <w:tc>
          <w:tcPr>
            <w:tcW w:type="dxa" w:w="2268"/>
            <w:shd w:fill="FFF2CC" w:val="clear"/>
          </w:tcPr>
          <w:p>
            <w:r>
              <w:rPr>
                <w:b/>
                <w:color w:val="503200"/>
                <w:sz w:val="16"/>
              </w:rPr>
              <w:t xml:space="preserve">Cours actuel : </w:t>
            </w:r>
            <w:r>
              <w:rPr>
                <w:color w:val="000000"/>
                <w:sz w:val="17"/>
              </w:rPr>
              <w:t>3,015 FCFA</w:t>
            </w:r>
          </w:p>
          <w:p>
            <w:r>
              <w:rPr>
                <w:b/>
                <w:color w:val="503200"/>
                <w:sz w:val="16"/>
              </w:rPr>
              <w:t xml:space="preserve">Var. 100 jours : </w:t>
            </w:r>
            <w:r>
              <w:rPr>
                <w:b/>
                <w:color w:val="007800"/>
                <w:sz w:val="17"/>
              </w:rPr>
              <w:t>+78.93%</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17.67% (Élevée) — μ=2,467 FCFA, σ=436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β=0.6219 (Défensif) — Cov=0.000043, Var(idx)=0.000069, ρ=0.158,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18,439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σ_j=3.29%/j (Modérée) — Vol. annualisée≈52.3%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0906"/>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2026-09-30</w:t>
            </w:r>
          </w:p>
        </w:tc>
        <w:tc>
          <w:tcPr>
            <w:tcW w:type="dxa" w:w="1440"/>
            <w:shd w:fill="FAFAFA" w:val="clear"/>
          </w:tcPr>
          <w:p>
            <w:r>
              <w:rPr>
                <w:sz w:val="17"/>
              </w:rPr>
              <w:t>2,836</w:t>
            </w:r>
          </w:p>
        </w:tc>
        <w:tc>
          <w:tcPr>
            <w:tcW w:type="dxa" w:w="1440"/>
            <w:shd w:fill="FAFAFA" w:val="clear"/>
          </w:tcPr>
          <w:p>
            <w:r>
              <w:rPr>
                <w:b/>
                <w:sz w:val="17"/>
              </w:rPr>
              <w:t>2,989</w:t>
            </w:r>
          </w:p>
        </w:tc>
        <w:tc>
          <w:tcPr>
            <w:tcW w:type="dxa" w:w="1440"/>
            <w:shd w:fill="FAFAFA" w:val="clear"/>
          </w:tcPr>
          <w:p>
            <w:r>
              <w:rPr>
                <w:sz w:val="17"/>
              </w:rPr>
              <w:t>3,143</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2026-10-01</w:t>
            </w:r>
          </w:p>
        </w:tc>
        <w:tc>
          <w:tcPr>
            <w:tcW w:type="dxa" w:w="1440"/>
            <w:shd w:fill="FAFAFA" w:val="clear"/>
          </w:tcPr>
          <w:p>
            <w:r>
              <w:rPr>
                <w:sz w:val="17"/>
              </w:rPr>
              <w:t>2,764</w:t>
            </w:r>
          </w:p>
        </w:tc>
        <w:tc>
          <w:tcPr>
            <w:tcW w:type="dxa" w:w="1440"/>
            <w:shd w:fill="FAFAFA" w:val="clear"/>
          </w:tcPr>
          <w:p>
            <w:r>
              <w:rPr>
                <w:b/>
                <w:sz w:val="17"/>
              </w:rPr>
              <w:t>2,980</w:t>
            </w:r>
          </w:p>
        </w:tc>
        <w:tc>
          <w:tcPr>
            <w:tcW w:type="dxa" w:w="1440"/>
            <w:shd w:fill="FAFAFA" w:val="clear"/>
          </w:tcPr>
          <w:p>
            <w:r>
              <w:rPr>
                <w:sz w:val="17"/>
              </w:rPr>
              <w:t>3,197</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2026-10-02</w:t>
            </w:r>
          </w:p>
        </w:tc>
        <w:tc>
          <w:tcPr>
            <w:tcW w:type="dxa" w:w="1440"/>
            <w:shd w:fill="FAFAFA" w:val="clear"/>
          </w:tcPr>
          <w:p>
            <w:r>
              <w:rPr>
                <w:sz w:val="17"/>
              </w:rPr>
              <w:t>2,714</w:t>
            </w:r>
          </w:p>
        </w:tc>
        <w:tc>
          <w:tcPr>
            <w:tcW w:type="dxa" w:w="1440"/>
            <w:shd w:fill="FAFAFA" w:val="clear"/>
          </w:tcPr>
          <w:p>
            <w:r>
              <w:rPr>
                <w:b/>
                <w:sz w:val="17"/>
              </w:rPr>
              <w:t>2,979</w:t>
            </w:r>
          </w:p>
        </w:tc>
        <w:tc>
          <w:tcPr>
            <w:tcW w:type="dxa" w:w="1440"/>
            <w:shd w:fill="FAFAFA" w:val="clear"/>
          </w:tcPr>
          <w:p>
            <w:r>
              <w:rPr>
                <w:sz w:val="17"/>
              </w:rPr>
              <w:t>3,244</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2026-10-05</w:t>
            </w:r>
          </w:p>
        </w:tc>
        <w:tc>
          <w:tcPr>
            <w:tcW w:type="dxa" w:w="1440"/>
            <w:shd w:fill="FAFAFA" w:val="clear"/>
          </w:tcPr>
          <w:p>
            <w:r>
              <w:rPr>
                <w:sz w:val="17"/>
              </w:rPr>
              <w:t>2,673</w:t>
            </w:r>
          </w:p>
        </w:tc>
        <w:tc>
          <w:tcPr>
            <w:tcW w:type="dxa" w:w="1440"/>
            <w:shd w:fill="FAFAFA" w:val="clear"/>
          </w:tcPr>
          <w:p>
            <w:r>
              <w:rPr>
                <w:b/>
                <w:sz w:val="17"/>
              </w:rPr>
              <w:t>2,979</w:t>
            </w:r>
          </w:p>
        </w:tc>
        <w:tc>
          <w:tcPr>
            <w:tcW w:type="dxa" w:w="1440"/>
            <w:shd w:fill="FAFAFA" w:val="clear"/>
          </w:tcPr>
          <w:p>
            <w:r>
              <w:rPr>
                <w:sz w:val="17"/>
              </w:rPr>
              <w:t>3,285</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2026-10-06</w:t>
            </w:r>
          </w:p>
        </w:tc>
        <w:tc>
          <w:tcPr>
            <w:tcW w:type="dxa" w:w="1440"/>
            <w:shd w:fill="FAFAFA" w:val="clear"/>
          </w:tcPr>
          <w:p>
            <w:r>
              <w:rPr>
                <w:sz w:val="17"/>
              </w:rPr>
              <w:t>2,637</w:t>
            </w:r>
          </w:p>
        </w:tc>
        <w:tc>
          <w:tcPr>
            <w:tcW w:type="dxa" w:w="1440"/>
            <w:shd w:fill="FAFAFA" w:val="clear"/>
          </w:tcPr>
          <w:p>
            <w:r>
              <w:rPr>
                <w:b/>
                <w:sz w:val="17"/>
              </w:rPr>
              <w:t>2,979</w:t>
            </w:r>
          </w:p>
        </w:tc>
        <w:tc>
          <w:tcPr>
            <w:tcW w:type="dxa" w:w="1440"/>
            <w:shd w:fill="FAFAFA" w:val="clear"/>
          </w:tcPr>
          <w:p>
            <w:r>
              <w:rPr>
                <w:sz w:val="17"/>
              </w:rPr>
              <w:t>3,322</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2026-10-07</w:t>
            </w:r>
          </w:p>
        </w:tc>
        <w:tc>
          <w:tcPr>
            <w:tcW w:type="dxa" w:w="1440"/>
            <w:shd w:fill="FAFAFA" w:val="clear"/>
          </w:tcPr>
          <w:p>
            <w:r>
              <w:rPr>
                <w:sz w:val="17"/>
              </w:rPr>
              <w:t>2,605</w:t>
            </w:r>
          </w:p>
        </w:tc>
        <w:tc>
          <w:tcPr>
            <w:tcW w:type="dxa" w:w="1440"/>
            <w:shd w:fill="FAFAFA" w:val="clear"/>
          </w:tcPr>
          <w:p>
            <w:r>
              <w:rPr>
                <w:b/>
                <w:sz w:val="17"/>
              </w:rPr>
              <w:t>2,980</w:t>
            </w:r>
          </w:p>
        </w:tc>
        <w:tc>
          <w:tcPr>
            <w:tcW w:type="dxa" w:w="1440"/>
            <w:shd w:fill="FAFAFA" w:val="clear"/>
          </w:tcPr>
          <w:p>
            <w:r>
              <w:rPr>
                <w:sz w:val="17"/>
              </w:rPr>
              <w:t>3,355</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2026-10-08</w:t>
            </w:r>
          </w:p>
        </w:tc>
        <w:tc>
          <w:tcPr>
            <w:tcW w:type="dxa" w:w="1440"/>
            <w:shd w:fill="FAFAFA" w:val="clear"/>
          </w:tcPr>
          <w:p>
            <w:r>
              <w:rPr>
                <w:sz w:val="17"/>
              </w:rPr>
              <w:t>2,576</w:t>
            </w:r>
          </w:p>
        </w:tc>
        <w:tc>
          <w:tcPr>
            <w:tcW w:type="dxa" w:w="1440"/>
            <w:shd w:fill="FAFAFA" w:val="clear"/>
          </w:tcPr>
          <w:p>
            <w:r>
              <w:rPr>
                <w:b/>
                <w:sz w:val="17"/>
              </w:rPr>
              <w:t>2,981</w:t>
            </w:r>
          </w:p>
        </w:tc>
        <w:tc>
          <w:tcPr>
            <w:tcW w:type="dxa" w:w="1440"/>
            <w:shd w:fill="FAFAFA" w:val="clear"/>
          </w:tcPr>
          <w:p>
            <w:r>
              <w:rPr>
                <w:sz w:val="17"/>
              </w:rPr>
              <w:t>3,386</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2026-10-09</w:t>
            </w:r>
          </w:p>
        </w:tc>
        <w:tc>
          <w:tcPr>
            <w:tcW w:type="dxa" w:w="1440"/>
            <w:shd w:fill="FAFAFA" w:val="clear"/>
          </w:tcPr>
          <w:p>
            <w:r>
              <w:rPr>
                <w:sz w:val="17"/>
              </w:rPr>
              <w:t>2,548</w:t>
            </w:r>
          </w:p>
        </w:tc>
        <w:tc>
          <w:tcPr>
            <w:tcW w:type="dxa" w:w="1440"/>
            <w:shd w:fill="FAFAFA" w:val="clear"/>
          </w:tcPr>
          <w:p>
            <w:r>
              <w:rPr>
                <w:b/>
                <w:sz w:val="17"/>
              </w:rPr>
              <w:t>2,982</w:t>
            </w:r>
          </w:p>
        </w:tc>
        <w:tc>
          <w:tcPr>
            <w:tcW w:type="dxa" w:w="1440"/>
            <w:shd w:fill="FAFAFA" w:val="clear"/>
          </w:tcPr>
          <w:p>
            <w:r>
              <w:rPr>
                <w:sz w:val="17"/>
              </w:rPr>
              <w:t>3,415</w:t>
            </w:r>
          </w:p>
        </w:tc>
        <w:tc>
          <w:tcPr>
            <w:tcW w:type="dxa" w:w="1440"/>
            <w:shd w:fill="FAFAFA" w:val="clear"/>
          </w:tcPr>
          <w:p>
            <w:r>
              <w:rPr>
                <w:b/>
                <w:color w:val="C00000"/>
                <w:sz w:val="17"/>
              </w:rPr>
              <w:t>-1.1%</w:t>
            </w:r>
          </w:p>
        </w:tc>
      </w:tr>
      <w:tr>
        <w:tc>
          <w:tcPr>
            <w:tcW w:type="dxa" w:w="1440"/>
            <w:shd w:fill="FAFAFA" w:val="clear"/>
          </w:tcPr>
          <w:p>
            <w:r>
              <w:rPr>
                <w:sz w:val="17"/>
              </w:rPr>
              <w:t>J+9  ⭐</w:t>
            </w:r>
          </w:p>
        </w:tc>
        <w:tc>
          <w:tcPr>
            <w:tcW w:type="dxa" w:w="1440"/>
            <w:shd w:fill="FAFAFA" w:val="clear"/>
          </w:tcPr>
          <w:p>
            <w:r>
              <w:rPr>
                <w:sz w:val="17"/>
              </w:rPr>
              <w:t>2026-10-12</w:t>
            </w:r>
          </w:p>
        </w:tc>
        <w:tc>
          <w:tcPr>
            <w:tcW w:type="dxa" w:w="1440"/>
            <w:shd w:fill="FAFAFA" w:val="clear"/>
          </w:tcPr>
          <w:p>
            <w:r>
              <w:rPr>
                <w:sz w:val="17"/>
              </w:rPr>
              <w:t>2,523</w:t>
            </w:r>
          </w:p>
        </w:tc>
        <w:tc>
          <w:tcPr>
            <w:tcW w:type="dxa" w:w="1440"/>
            <w:shd w:fill="FAFAFA" w:val="clear"/>
          </w:tcPr>
          <w:p>
            <w:r>
              <w:rPr>
                <w:b/>
                <w:sz w:val="17"/>
              </w:rPr>
              <w:t>2,982</w:t>
            </w:r>
          </w:p>
        </w:tc>
        <w:tc>
          <w:tcPr>
            <w:tcW w:type="dxa" w:w="1440"/>
            <w:shd w:fill="FAFAFA" w:val="clear"/>
          </w:tcPr>
          <w:p>
            <w:r>
              <w:rPr>
                <w:sz w:val="17"/>
              </w:rPr>
              <w:t>3,442</w:t>
            </w:r>
          </w:p>
        </w:tc>
        <w:tc>
          <w:tcPr>
            <w:tcW w:type="dxa" w:w="1440"/>
            <w:shd w:fill="FAFAFA" w:val="clear"/>
          </w:tcPr>
          <w:p>
            <w:r>
              <w:rPr>
                <w:b/>
                <w:color w:val="C00000"/>
                <w:sz w:val="17"/>
              </w:rPr>
              <w:t>-1.1%</w:t>
            </w:r>
          </w:p>
        </w:tc>
      </w:tr>
      <w:tr>
        <w:tc>
          <w:tcPr>
            <w:tcW w:type="dxa" w:w="1440"/>
            <w:shd w:fill="FAFAFA" w:val="clear"/>
          </w:tcPr>
          <w:p>
            <w:r>
              <w:rPr>
                <w:sz w:val="17"/>
              </w:rPr>
              <w:t>J+10  ⭐</w:t>
            </w:r>
          </w:p>
        </w:tc>
        <w:tc>
          <w:tcPr>
            <w:tcW w:type="dxa" w:w="1440"/>
            <w:shd w:fill="FAFAFA" w:val="clear"/>
          </w:tcPr>
          <w:p>
            <w:r>
              <w:rPr>
                <w:sz w:val="17"/>
              </w:rPr>
              <w:t>2026-10-13</w:t>
            </w:r>
          </w:p>
        </w:tc>
        <w:tc>
          <w:tcPr>
            <w:tcW w:type="dxa" w:w="1440"/>
            <w:shd w:fill="FAFAFA" w:val="clear"/>
          </w:tcPr>
          <w:p>
            <w:r>
              <w:rPr>
                <w:sz w:val="17"/>
              </w:rPr>
              <w:t>2,499</w:t>
            </w:r>
          </w:p>
        </w:tc>
        <w:tc>
          <w:tcPr>
            <w:tcW w:type="dxa" w:w="1440"/>
            <w:shd w:fill="FAFAFA" w:val="clear"/>
          </w:tcPr>
          <w:p>
            <w:r>
              <w:rPr>
                <w:b/>
                <w:sz w:val="17"/>
              </w:rPr>
              <w:t>2,983</w:t>
            </w:r>
          </w:p>
        </w:tc>
        <w:tc>
          <w:tcPr>
            <w:tcW w:type="dxa" w:w="1440"/>
            <w:shd w:fill="FAFAFA" w:val="clear"/>
          </w:tcPr>
          <w:p>
            <w:r>
              <w:rPr>
                <w:sz w:val="17"/>
              </w:rPr>
              <w:t>3,468</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ACTION SDSC (AGL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164,12 milliards FCFA, SDSC figure parmi les valeurs de taille intermédiaire-élevée de la cote BRVM, ce qui lui confère une certaine liquidité relative au sein du compartiment des valeurs logistiques et de transport. Le BPA de 387 FCFA/action indique que chaque titre génère un bénéfice unitaire significatif, mais ce chiffre doit être nuancé car il reflète l'exercice 2024, année exceptionnellement profitable, alors que le résultat net 2025 s'est effondré à 0,78 milliard FCFA. Le PER de 7,8x se situe en-dessous de la moyenne BRVM (8-12x), suggérant une sous-évaluation apparente, mais ce ratio est mécaniquement faussé par le décalage temporel entre le cours actuel (3 015 FCFA) et un BPA qui ne sera plus représentatif en 2025. Le P/B de 2,11x traduit une prime de croissance accordée par le marché par rapport à la valeur comptable, ce qui est cohérent avec le positionnement stratégique d'AGL CI dans le hub logistique ivoirien. En revanche, l'EV/EBITDA de 35,4x apparaît très exigeant (seuil d'alerte &gt;15x), signalant que la valeur d'entreprise intègre des anticipations de rentabilité opérationnelle que les derniers résultats ne confirment pas encore.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+78,93%, passant d'un plus bas de 1 650 FCFA à un plus haut de 3 205 FCFA, avant de terminer à 3 015 FCFA, soit une légère contraction de -2,58% sur la dernière séance. Ce range de trading de 1 555 FCFA (près du double du plus bas) témoigne d'une tendance nettement haussière, portée par un intérêt marqué des investisseurs pour le titre, probablement lié à des anticipations de reprise ou à des mouvements spéculatifs. Les statistiques descriptives révèlent une moyenne de 2 467 FCFA légèrement inférieure à la médiane de 2 548 FCFA, ce qui indique une distribution asymétrique à gauche (skewness de -0,410), c'est-à-dire que les valeurs extrêmes basses tirent la moyenne vers le bas. L'écart-type de 438 FCFA avec un coefficient de variation de 17,8% traduit une dispersion modérée du cours autour de sa moyenne, tandis que le kurtosis de -0,945 (mésokurtique) suggère une distribution proche de la normale, sans risque excessif de pics extrêmes. La volatilité annualisée de 52,3% classe le titre dans la catégorie des valeurs à volatilité élevée (&gt;30%), ce qui implique un risque de fluctuation important à court terme, à intégrer dans toute stratégie d'investissement.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(2 997,25 FCFA) et la MM50 (2 816,4 FCFA) se situent toutes deux en-dessous du cours actuel (3 015 FCFA), avec une MM20 supérieure à la MM50, configurant un croisement haussier classique. Cette configuration en "golden cross" justifie la décision d'achat, le cours évoluant au-dessus de ses supports dynamiques.</w:t>
      </w:r>
    </w:p>
    <w:p>
      <w:pPr>
        <w:spacing w:after="120" w:line="276" w:lineRule="auto"/>
      </w:pPr>
      <w:r>
        <w:t>**Bandes de Bollinger** : Le cours (3 015 FCFA) se situe dans la partie supérieure de la bande, entre la borne inférieure (2 755,64 FCFA) et la borne supérieure (3 238,86 FCFA), sans franchissement de cette dernière. Cette position médiane-haute, couplée à une largeur de bande significative, traduit une volatilité élevée mais sans signal de surachat imminent, d'où la décision neutre.</w:t>
      </w:r>
    </w:p>
    <w:p>
      <w:pPr>
        <w:spacing w:after="120" w:line="276" w:lineRule="auto"/>
      </w:pPr>
      <w:r>
        <w:t>**MACD** : La valeur du MACD (37,25) est inférieure à son signal (48,51), générant un croisement baissier qui indique un essoufflement du momentum haussier. Cette divergence négative justifie la décision de vente à court terme, bien que le MACD reste en territoire positif.</w:t>
      </w:r>
    </w:p>
    <w:p>
      <w:pPr>
        <w:spacing w:after="120" w:line="276" w:lineRule="auto"/>
      </w:pPr>
      <w:r>
        <w:t>**RSI** : À 47,887, le RSI se situe dans la zone neutre (30-70), sans signal de surachat (&gt;70) ni de survente (&lt;30). Cette position médiane reflète un équilibre entre acheteurs et vendeurs, justifiant la décision neutre.</w:t>
      </w:r>
    </w:p>
    <w:p>
      <w:pPr>
        <w:spacing w:after="120" w:line="276" w:lineRule="auto"/>
      </w:pPr>
      <w:r>
        <w:t>**Stochastique** : Le %K (72,881) est supérieur au %D (69,121), avec un croisement haussier récent, mais les deux courbes approchent la zone de surachat (&gt;80). Cette configuration suggère une poursuite possible de la hausse à très court terme, mais avec un risque de retournement, d'où la décision neutre.</w:t>
      </w:r>
    </w:p>
    <w:p>
      <w:pPr>
        <w:spacing w:after="120" w:line="276" w:lineRule="auto"/>
      </w:pPr>
      <w:r>
        <w:t>**Conclusion technique** : Les indicateurs présentent une divergence notable : les moyennes mobiles confirment la tendance haussière de fond, tandis que le MACD signale un essoufflement du momentum et que le RSI et le stochastique restent neutres. Cette configuration mixte suggère une phase de consolidation possible avant une nouvelle impulsion, avec un risque de correction à court terme si le MACD confirme son croisement baissier.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(états financiers annuels) dressent le portrait d'une entreprise solide mais dont la rentabilité s'est depuis fortement dégradée. En 2024, le chiffre d'affaires s'établissait à 85,643 milliards FCFA, pour un résultat net de 21,069 milliards FCFA, soit une marge nette exceptionnelle de 24,6% et un ROE de 27,08% (largement supérieur au seuil de 15% considéré comme excellent). Le ROA de 11,2% et la rotation des actifs de 45,5% témoignent d'une bonne efficacité dans l'utilisation des ressources. La structure financière apparaît saine avec une autonomie financière de 41,36% (&gt;30%), une solvabilité générale de 170,53% et une liquidité générale de 132,84%. Cependant, deux points de vigilance majeurs émergent : un délai client de 466,94 jours (très élevé, signalant un risque de trésorerie important) et un coût du risque de 530,12% (élevé, indiquant un risque de crédit significatif). Les rapports trimestriels de 2025 (T1, S1, T3) révèlent une dégradation alarmante : le résultat net du S1 2025 est négatif à -427 millions FCFA (contre +18 609 millions au S1 2024), et le T3 2025 affiche une chute de 77% du résultat net à 4,341 milliards FCFA. Le rapport annuel 2025 (analysé par DEEPSEEK, daté du 05/08/2026) confirme l'effondrement : le résultat net chute à 0,785 milliard FCFA (-96%), le résultat d'exploitation devient négatif (-2,271 milliards FCFA), et le dividende proposé s'élève à seulement 544,353 millions FCFA (contre 5 008 millions en 2024, soit -89%). La trésorerie nette reste abondante à 74,78 milliards FCFA, mais le BFR a explosé (+75,7 milliards FCFA), absorbant une partie de cette liquidité. Le rapport des commissaires aux comptes (Deloitte/ECR, daté du 26/08/2026) certifie les comptes sans réserve mais signale des manquements réglementaires (retards de clôture et de communication), un signal de faiblesse de gouvernance. En synthèse, la solidité du bilan et la croissance du CA (+7,4% en 2025 à 92,0 milliards FCFA) contrastent avec l'effondrement de la rentabilité opérationnelle et la réduction drastique du dividende, ce qui impose une grande prudence malgré un PER historiquement bas.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profonde entre les signaux. La valorisation (Partie 0) affiche un PER de 7,8x et un P/B de 2,11x qui pourraient suggérer une sous-évaluation, mais l'EV/EBITDA de 35,4x trahit des anticipations de rentabilité non confirmées par les résultats 2025. Le comportement du cours (Partie 1) est nettement haussier (+78,93% sur 100 jours) avec une volatilité élevée (52,3%) et une distribution asymétrique à gauche (skewness -0,410), ce qui indique que la hausse récente pourrait être vulnérable à des corrections. Les signaux techniques (Partie 2) sont mitigés : les moyennes mobiles confirment la tendance haussière, mais le MACD baissier et le RSI neutre suggèrent un essoufflement. Les fondamentaux (Partie 3) sont préoccupants : malgré un CA en croissance (+7,4% en 2025), le résultat net s'est effondré de 96% à 0,785 milliard FCFA, le résultat d'exploitation est négatif, et le dividende a chuté de 89%. Les prédictions IA (J+1 à J+10) anticipent une légère baisse vers 2 979-2 989 FCFA, confirmant la pression baissière à court terme. Sur la base de cette synthèse, la recommandation finale est **CONSERVER** avec un niveau de confiance **Moyen** et un risque global **Élevé**. La convergence entre la dégradation fondamentale, le signal baissier du MACD et les prédictions IA négatives incite à la prudence, mais la solidité du bilan (capitaux propres de 73,55 milliards FCFA, trésorerie nette de 74,78 milliards FCFA) et la croissance du chiffre d'affaires empêchent une recommandation de vente. L'horizon d'investissement optimal est **moyen terme (3-12 mois)**, en surveillant la capacité de la direction à restaurer les marges opérationnelles au premier semestre 2026 et à clarifier sa politique de dividende.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32.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β=1.1500 (Neutre (suit le marché)) — Cov=0.000043, Var(idx)=0.000037, ρ=0.239, n=91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16976"/>
                    </a:xfrm>
                    <a:prstGeom prst="rect"/>
                  </pic:spPr>
                </pic:pic>
              </a:graphicData>
            </a:graphic>
          </wp:inline>
        </w:drawing>
      </w:r>
    </w:p>
    <w:p/>
    <w:p>
      <w:pPr>
        <w:spacing w:after="120" w:line="276" w:lineRule="auto"/>
      </w:pPr>
      <w:r>
        <w:t>**RAPPORT D'ANALYSE FINANCIÈRE — SEMC (BRVM)**</w:t>
        <w:br/>
        <w:t>*Date d'analyse : mars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positionne parmi les valeurs moyennes du compartiment industriel. Les ratios de valorisation classiques (BPA, PER, P/B, EV/EBITDA) ne sont pas calculables en l'absence de données financières structurées récentes dans la base, ce qui limite l'appréciation directe du prix payé par les investisseurs par rapport aux bénéfices. Toutefois, en croisant le cours actuel de 1 495 FCFA avec le bénéfice net 2023 de 1,01 milliard FCFA (rapport du 31/12/2023), on obtient un BPA approximatif de 40 FCFA, soit un PER implicite d'environ 37x — nettement supérieur à la moyenne BRVM (8-12x), suggérant une valorisation tendue si l'on se réfère aux résultats 2023. Cette cherté apparente s'explique probablement par les anticipations liées au rachat par Sonoco et aux perspectives de rebond 2024 (objectif CA de 32 milliards FCFA), mais elle expose le titre à une correction si ces promesses ne se matérialisent pas.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SEMC affiche une variation totale de -16,94%, avec une dernière séance en repli de -1,64%, confirmant une tendance baissière persistante. Le cours actuel de 1 495 FCFA se situe dans la moitié basse du range de trading (plus haut : 1 800 FCFA ; plus bas : 1 350 FCFA), soit à environ 17% sous son sommet et 11% au-dessus de son plancher. La moyenne (1 527 FCFA) dépasse légèrement la médiane (1 520 FCFA), tandis que le mode à 1 500 FCFA indique une concentration des échanges autour de ce palier psychologique — l'écart minime entre moyenne et médiane traduit une distribution quasi-symétrique, cohérente avec le skewness positif de 0,558 qui signale toutefois une légère prédominance des journées sous la moyenne. L'écart-type de 69 FCFA (CV de 4,5%) révèle une dispersion modérée du cours, mais le kurtosis de 1,652 (leptokurtique) avertit d'un risque de pics de volatilité brutaux, typique des titres peu liquides (volume moyen de 6 046 titres/jour). La volatilité annualisée de 47,2% classe SEMC dans la catégorie des titres à volatilité élevée (&gt;30%), ce qui implique un risque significatif pour les investisseurs et justifie une prime de prudence dans toute décision d'allocation.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(1 540,75 FCFA) et la MM50 (1 499,20 FCFA) encadrent le cours actuel (1 495 FCFA), qui évolue juste sous la MM50 et nettement sous la MM20. Cette configuration indique une pression baissière de court terme, mais la décision affichée "Achat" suggère que la MM50 pourrait jouer un rôle de support dynamique, bien que la cassure récente fragilise ce scénario.</w:t>
      </w:r>
    </w:p>
    <w:p>
      <w:pPr>
        <w:spacing w:after="120" w:line="276" w:lineRule="auto"/>
      </w:pPr>
      <w:r>
        <w:t>**Bandes de Bollinger** : Le cours (1 495 FCFA) se situe dans la partie basse de la bande (borne inférieure : 1 459,69 FCFA ; borne supérieure : 1 621,81 FCFA), sans atteindre la zone de survente extrême. La décision "Neutre" reflète l'absence de signal directionnel fort, mais la proximité de la borne inférieure suggère un potentiel de rebond technique limité si la volatilité reste contenue.</w:t>
      </w:r>
    </w:p>
    <w:p>
      <w:pPr>
        <w:spacing w:after="120" w:line="276" w:lineRule="auto"/>
      </w:pPr>
      <w:r>
        <w:t>**MACD** : La valeur du MACD (6,472) est inférieure à son signal (10,459), générant une décision "Vente". Cette divergence négative indique un momentum baissier persistant, avec un risque de poursuite du repli tant que le MACD ne repasse pas au-dessus de son signal — un croisement haussier serait nécessaire pour inverser la tendance.</w:t>
      </w:r>
    </w:p>
    <w:p>
      <w:pPr>
        <w:spacing w:after="120" w:line="276" w:lineRule="auto"/>
      </w:pPr>
      <w:r>
        <w:t>**RSI** : À 49,533, le RSI se situe en zone parfaitement neutre (30-70), sans signal de surachat ni de survente. La décision "Neutre" confirme l'absence de pression acheteuse ou vendeuse dominante, laissant le titre sans direction claire à court terme.</w:t>
      </w:r>
    </w:p>
    <w:p>
      <w:pPr>
        <w:spacing w:after="120" w:line="276" w:lineRule="auto"/>
      </w:pPr>
      <w:r>
        <w:t>**Stochastique** : Le %K (34,615) est inférieur au %D (57,692), avec un croisement baissier en cours. La décision "Neutre" masque une dynamique négative sous-jacente, le %K en zone basse (proche de 20) pouvant toutefois annoncer une survente imminente si la baisse s'accentue.</w:t>
      </w:r>
    </w:p>
    <w:p>
      <w:pPr>
        <w:spacing w:after="120" w:line="276" w:lineRule="auto"/>
      </w:pPr>
      <w:r>
        <w:t>**Conclusion technique** : Les indicateurs techniques sont majoritairement baissiers (MACD en vente, cours sous les MM, stochastique négatif) ou neutres (RSI, Bollinger), sans signal d'achat convaincant. La convergence des signaux négatifs suggère une poursuite de la consolidation baissière à court terme, avec un support critique à 1 459 FCFA (borne inférieure de Bollinger) et une résistance à 1 540 FCFA (MM20). Une cassure sous 1 459 FCFA ouvrirait la voie à un test du plus bas de 1 350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annuelles ne sont pas disponibles dans la base, mais les rapports narratifs officiels fournissent des informations précieuses sur l'exercice 2023 (rapport du 31/12/2023) et les exercices antérieurs. En 2023, SEMC a enregistré un chiffre d'affaires de 27,88 milliards FCFA, en baisse de 6% par rapport aux 29,60 milliards FCFA de 2022, et un résultat net de 1,01 milliard FCFA, en chute de 74% (contre 3,86 milliards FCFA en 2022). Cette dégradation s'explique par la perte de clients clés (AIRONE : -81% de CA), l'arrêt des ventes de cannettes aluminium et la concurrence du PET dans le segment tomate. La marge nette s'est effondrée à 3,6% (vs 13,0% en 2022), et le ROE implicite ressort à environ 4,5% (1,01 Md / ~22,5 Mds de capitaux propres estimés), bien loin des 18,5% affichés en 2022. Le rapport du 31/12/2022 (exercice 2022) confirme cette détérioration : le CA consolidé de 125,4 milliards FCFA (périmètre groupe Eviosys) et le résultat net de 12,8 milliards FCFA ne sont pas comparables au périmètre SEMC seul, mais illustrent la volatilité des performances. Le rapport du 31/03/2023 (T1 2023) montrait encore une dynamique positive (CA +16,5%, résultat net +37,9%), avant l'effondrement du T2-T4. Les perspectives 2024 (objectif CA de 32 milliards FCFA, +18%) reposent sur la relance des bouchons couronnes (+61% en volume en 2023) et les exportations (Sénégal), mais le rachat par Sonoco (finalisé en décembre 2024) introduit une incertitude stratégique majeure. La suspension de la cote BRVM (flottant insuffisant : 10,42% vs 15% requis) depuis janvier 2024 constitue un risque de liquidité critique. En synthèse, les fondamentaux 2023 sont préoccupants (marges comprimées, rentabilité en berne), mais les perspectives 2024 et l'arrivée de Sonoco offrent un potentiel de redressement — sous réserve d'une exécution réussie et d'une levée de la suspension.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implicite (PER ~37x sur les bénéfices 2023) apparaît très tendue au regard des fondamentaux dégradés, bien que les anticipations de rebond 2024 puissent justifier une prime spéculative. Le comportement du cours est clairement baissier (-16,94% sur 100 jours), avec une volatilité élevée (47,2%) et un risque de pics (kurtosis 1,652) qui pèsent sur le profil risque-rendement. Les signaux techniques sont majoritairement négatifs (MACD en vente, cours sous les MM20/MM50, stochastique baissier), sans convergence haussière à court terme. Les fondamentaux 2023 sont faibles (CA -6%, résultat net -74%, marge nette 3,6%), mais les perspectives 2024 (objectif CA +18%) et le rachat par Sonoco constituent des catalyseurs potentiels — à condition que la suspension de la cote soit levée et que la restructuration porte ses fruits. Aucune prédiction IA n'étant disponible pour les 10 prochains jours, l'analyse repose exclusivement sur les signaux techniques et fondamentaux. Sur la base de cette synthèse, la recommandation est **CONSERVER** avec un niveau de confiance **Moyen** et un risque global **Élevé**. Le titre présente un profil spéculatif pour investisseurs avertis, avec un horizon de **moyen terme (3-12 mois)** — le temps que les effets du rachat par Sonoco et la relance commerciale se matérialisent. Une dégradation supplémentaire des marges ou un échec de la levée de suspension justifierait un passage à **VENTE**, tandis qu'une confirmation du rebond du CA au T1 2024 et une clarification sur la gouvernance post-Sonoco pourraient faire évoluer la recommandation vers **ACHAT**.</w:t>
      </w:r>
    </w:p>
    <w:p/>
    <w:p/>
    <w:p>
      <w:r>
        <w:t>════════════════════════════════════════════════════════════════════════════════</w:t>
      </w:r>
    </w:p>
    <w:p>
      <w:r>
        <w:br w:type="page"/>
      </w:r>
    </w:p>
    <w:p>
      <w:pPr>
        <w:pStyle w:val="Heading2"/>
        <w:spacing w:before="360"/>
      </w:pPr>
      <w:r>
        <w:rPr>
          <w:color w:val="0066CC"/>
        </w:rPr>
        <w:t>33.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1210.22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4,950 titres</w:t>
            </w:r>
          </w:p>
        </w:tc>
        <w:tc>
          <w:tcPr>
            <w:tcW w:type="dxa" w:w="2268"/>
            <w:shd w:fill="FFF2CC" w:val="clear"/>
          </w:tcPr>
          <w:p>
            <w:r>
              <w:rPr>
                <w:b/>
                <w:color w:val="503200"/>
                <w:sz w:val="16"/>
              </w:rPr>
              <w:t xml:space="preserve">Cours actuel : </w:t>
            </w:r>
            <w:r>
              <w:rPr>
                <w:color w:val="000000"/>
                <w:sz w:val="17"/>
              </w:rPr>
              <w:t>38,900 FCFA</w:t>
            </w:r>
          </w:p>
          <w:p>
            <w:r>
              <w:rPr>
                <w:b/>
                <w:color w:val="503200"/>
                <w:sz w:val="16"/>
              </w:rPr>
              <w:t xml:space="preserve">Var. 100 jours : </w:t>
            </w:r>
            <w:r>
              <w:rPr>
                <w:b/>
                <w:color w:val="007800"/>
                <w:sz w:val="17"/>
              </w:rPr>
              <w:t>+16.47%</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33,400 FCFA</w:t>
            </w:r>
          </w:p>
          <w:p>
            <w:r>
              <w:rPr>
                <w:b/>
                <w:color w:val="503200"/>
                <w:sz w:val="16"/>
              </w:rPr>
              <w:t xml:space="preserve">Volatilité ann. : </w:t>
            </w:r>
            <w:r>
              <w:rPr>
                <w:color w:val="000000"/>
                <w:sz w:val="17"/>
              </w:rPr>
              <w:t>21.8%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3.27% (Faible) — μ=38,042 FCFA, σ=1,243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β=0.5125 (Défensif) — Cov=0.000035, Var(idx)=0.000069, ρ=0.309,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4,950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σ_j=1.37%/j (Stable) — Vol. annualisée≈21.8%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598627"/>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2026-09-30</w:t>
            </w:r>
          </w:p>
        </w:tc>
        <w:tc>
          <w:tcPr>
            <w:tcW w:type="dxa" w:w="1440"/>
            <w:shd w:fill="FAFAFA" w:val="clear"/>
          </w:tcPr>
          <w:p>
            <w:r>
              <w:rPr>
                <w:sz w:val="17"/>
              </w:rPr>
              <w:t>37,122</w:t>
            </w:r>
          </w:p>
        </w:tc>
        <w:tc>
          <w:tcPr>
            <w:tcW w:type="dxa" w:w="1440"/>
            <w:shd w:fill="FAFAFA" w:val="clear"/>
          </w:tcPr>
          <w:p>
            <w:r>
              <w:rPr>
                <w:b/>
                <w:sz w:val="17"/>
              </w:rPr>
              <w:t>38,229</w:t>
            </w:r>
          </w:p>
        </w:tc>
        <w:tc>
          <w:tcPr>
            <w:tcW w:type="dxa" w:w="1440"/>
            <w:shd w:fill="FAFAFA" w:val="clear"/>
          </w:tcPr>
          <w:p>
            <w:r>
              <w:rPr>
                <w:sz w:val="17"/>
              </w:rPr>
              <w:t>39,337</w:t>
            </w:r>
          </w:p>
        </w:tc>
        <w:tc>
          <w:tcPr>
            <w:tcW w:type="dxa" w:w="1440"/>
            <w:shd w:fill="FAFAFA" w:val="clear"/>
          </w:tcPr>
          <w:p>
            <w:r>
              <w:rPr>
                <w:b/>
                <w:color w:val="C00000"/>
                <w:sz w:val="17"/>
              </w:rPr>
              <w:t>-1.7%</w:t>
            </w:r>
          </w:p>
        </w:tc>
      </w:tr>
      <w:tr>
        <w:tc>
          <w:tcPr>
            <w:tcW w:type="dxa" w:w="1440"/>
            <w:shd w:fill="FFDCE0" w:val="clear"/>
          </w:tcPr>
          <w:p>
            <w:r>
              <w:rPr>
                <w:sz w:val="17"/>
              </w:rPr>
              <w:t>J+2  ⭐⭐⭐</w:t>
            </w:r>
          </w:p>
        </w:tc>
        <w:tc>
          <w:tcPr>
            <w:tcW w:type="dxa" w:w="1440"/>
            <w:shd w:fill="FFDCE0" w:val="clear"/>
          </w:tcPr>
          <w:p>
            <w:r>
              <w:rPr>
                <w:sz w:val="17"/>
              </w:rPr>
              <w:t>2026-10-01</w:t>
            </w:r>
          </w:p>
        </w:tc>
        <w:tc>
          <w:tcPr>
            <w:tcW w:type="dxa" w:w="1440"/>
            <w:shd w:fill="FFDCE0" w:val="clear"/>
          </w:tcPr>
          <w:p>
            <w:r>
              <w:rPr>
                <w:sz w:val="17"/>
              </w:rPr>
              <w:t>36,556</w:t>
            </w:r>
          </w:p>
        </w:tc>
        <w:tc>
          <w:tcPr>
            <w:tcW w:type="dxa" w:w="1440"/>
            <w:shd w:fill="FFDCE0" w:val="clear"/>
          </w:tcPr>
          <w:p>
            <w:r>
              <w:rPr>
                <w:b/>
                <w:sz w:val="17"/>
              </w:rPr>
              <w:t>38,117</w:t>
            </w:r>
          </w:p>
        </w:tc>
        <w:tc>
          <w:tcPr>
            <w:tcW w:type="dxa" w:w="1440"/>
            <w:shd w:fill="FFDCE0" w:val="clear"/>
          </w:tcPr>
          <w:p>
            <w:r>
              <w:rPr>
                <w:sz w:val="17"/>
              </w:rPr>
              <w:t>39,679</w:t>
            </w:r>
          </w:p>
        </w:tc>
        <w:tc>
          <w:tcPr>
            <w:tcW w:type="dxa" w:w="1440"/>
            <w:shd w:fill="FFDCE0"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2026-10-02</w:t>
            </w:r>
          </w:p>
        </w:tc>
        <w:tc>
          <w:tcPr>
            <w:tcW w:type="dxa" w:w="1440"/>
            <w:shd w:fill="FFDCE0" w:val="clear"/>
          </w:tcPr>
          <w:p>
            <w:r>
              <w:rPr>
                <w:sz w:val="17"/>
              </w:rPr>
              <w:t>36,086</w:t>
            </w:r>
          </w:p>
        </w:tc>
        <w:tc>
          <w:tcPr>
            <w:tcW w:type="dxa" w:w="1440"/>
            <w:shd w:fill="FFDCE0" w:val="clear"/>
          </w:tcPr>
          <w:p>
            <w:r>
              <w:rPr>
                <w:b/>
                <w:sz w:val="17"/>
              </w:rPr>
              <w:t>37,992</w:t>
            </w:r>
          </w:p>
        </w:tc>
        <w:tc>
          <w:tcPr>
            <w:tcW w:type="dxa" w:w="1440"/>
            <w:shd w:fill="FFDCE0" w:val="clear"/>
          </w:tcPr>
          <w:p>
            <w:r>
              <w:rPr>
                <w:sz w:val="17"/>
              </w:rPr>
              <w:t>39,898</w:t>
            </w:r>
          </w:p>
        </w:tc>
        <w:tc>
          <w:tcPr>
            <w:tcW w:type="dxa" w:w="1440"/>
            <w:shd w:fill="FFDCE0" w:val="clear"/>
          </w:tcPr>
          <w:p>
            <w:r>
              <w:rPr>
                <w:b/>
                <w:color w:val="C00000"/>
                <w:sz w:val="17"/>
              </w:rPr>
              <w:t>-2.3%</w:t>
            </w:r>
          </w:p>
        </w:tc>
      </w:tr>
      <w:tr>
        <w:tc>
          <w:tcPr>
            <w:tcW w:type="dxa" w:w="1440"/>
            <w:shd w:fill="FFDCE0" w:val="clear"/>
          </w:tcPr>
          <w:p>
            <w:r>
              <w:rPr>
                <w:sz w:val="17"/>
              </w:rPr>
              <w:t>J+4  Moyenne</w:t>
            </w:r>
          </w:p>
        </w:tc>
        <w:tc>
          <w:tcPr>
            <w:tcW w:type="dxa" w:w="1440"/>
            <w:shd w:fill="FFDCE0" w:val="clear"/>
          </w:tcPr>
          <w:p>
            <w:r>
              <w:rPr>
                <w:sz w:val="17"/>
              </w:rPr>
              <w:t>2026-10-05</w:t>
            </w:r>
          </w:p>
        </w:tc>
        <w:tc>
          <w:tcPr>
            <w:tcW w:type="dxa" w:w="1440"/>
            <w:shd w:fill="FFDCE0" w:val="clear"/>
          </w:tcPr>
          <w:p>
            <w:r>
              <w:rPr>
                <w:sz w:val="17"/>
              </w:rPr>
              <w:t>35,678</w:t>
            </w:r>
          </w:p>
        </w:tc>
        <w:tc>
          <w:tcPr>
            <w:tcW w:type="dxa" w:w="1440"/>
            <w:shd w:fill="FFDCE0" w:val="clear"/>
          </w:tcPr>
          <w:p>
            <w:r>
              <w:rPr>
                <w:b/>
                <w:sz w:val="17"/>
              </w:rPr>
              <w:t>37,872</w:t>
            </w:r>
          </w:p>
        </w:tc>
        <w:tc>
          <w:tcPr>
            <w:tcW w:type="dxa" w:w="1440"/>
            <w:shd w:fill="FFDCE0" w:val="clear"/>
          </w:tcPr>
          <w:p>
            <w:r>
              <w:rPr>
                <w:sz w:val="17"/>
              </w:rPr>
              <w:t>40,066</w:t>
            </w:r>
          </w:p>
        </w:tc>
        <w:tc>
          <w:tcPr>
            <w:tcW w:type="dxa" w:w="1440"/>
            <w:shd w:fill="FFDCE0" w:val="clear"/>
          </w:tcPr>
          <w:p>
            <w:r>
              <w:rPr>
                <w:b/>
                <w:color w:val="C00000"/>
                <w:sz w:val="17"/>
              </w:rPr>
              <w:t>-2.6%</w:t>
            </w:r>
          </w:p>
        </w:tc>
      </w:tr>
      <w:tr>
        <w:tc>
          <w:tcPr>
            <w:tcW w:type="dxa" w:w="1440"/>
            <w:shd w:fill="FFDCE0" w:val="clear"/>
          </w:tcPr>
          <w:p>
            <w:r>
              <w:rPr>
                <w:sz w:val="17"/>
              </w:rPr>
              <w:t>J+5  Moyenne</w:t>
            </w:r>
          </w:p>
        </w:tc>
        <w:tc>
          <w:tcPr>
            <w:tcW w:type="dxa" w:w="1440"/>
            <w:shd w:fill="FFDCE0" w:val="clear"/>
          </w:tcPr>
          <w:p>
            <w:r>
              <w:rPr>
                <w:sz w:val="17"/>
              </w:rPr>
              <w:t>2026-10-06</w:t>
            </w:r>
          </w:p>
        </w:tc>
        <w:tc>
          <w:tcPr>
            <w:tcW w:type="dxa" w:w="1440"/>
            <w:shd w:fill="FFDCE0" w:val="clear"/>
          </w:tcPr>
          <w:p>
            <w:r>
              <w:rPr>
                <w:sz w:val="17"/>
              </w:rPr>
              <w:t>35,312</w:t>
            </w:r>
          </w:p>
        </w:tc>
        <w:tc>
          <w:tcPr>
            <w:tcW w:type="dxa" w:w="1440"/>
            <w:shd w:fill="FFDCE0" w:val="clear"/>
          </w:tcPr>
          <w:p>
            <w:r>
              <w:rPr>
                <w:b/>
                <w:sz w:val="17"/>
              </w:rPr>
              <w:t>37,758</w:t>
            </w:r>
          </w:p>
        </w:tc>
        <w:tc>
          <w:tcPr>
            <w:tcW w:type="dxa" w:w="1440"/>
            <w:shd w:fill="FFDCE0" w:val="clear"/>
          </w:tcPr>
          <w:p>
            <w:r>
              <w:rPr>
                <w:sz w:val="17"/>
              </w:rPr>
              <w:t>40,203</w:t>
            </w:r>
          </w:p>
        </w:tc>
        <w:tc>
          <w:tcPr>
            <w:tcW w:type="dxa" w:w="1440"/>
            <w:shd w:fill="FFDCE0" w:val="clear"/>
          </w:tcPr>
          <w:p>
            <w:r>
              <w:rPr>
                <w:b/>
                <w:color w:val="C00000"/>
                <w:sz w:val="17"/>
              </w:rPr>
              <w:t>-2.9%</w:t>
            </w:r>
          </w:p>
        </w:tc>
      </w:tr>
      <w:tr>
        <w:tc>
          <w:tcPr>
            <w:tcW w:type="dxa" w:w="1440"/>
            <w:shd w:fill="FFDCE0" w:val="clear"/>
          </w:tcPr>
          <w:p>
            <w:r>
              <w:rPr>
                <w:sz w:val="17"/>
              </w:rPr>
              <w:t>J+6  Moyenne</w:t>
            </w:r>
          </w:p>
        </w:tc>
        <w:tc>
          <w:tcPr>
            <w:tcW w:type="dxa" w:w="1440"/>
            <w:shd w:fill="FFDCE0" w:val="clear"/>
          </w:tcPr>
          <w:p>
            <w:r>
              <w:rPr>
                <w:sz w:val="17"/>
              </w:rPr>
              <w:t>2026-10-07</w:t>
            </w:r>
          </w:p>
        </w:tc>
        <w:tc>
          <w:tcPr>
            <w:tcW w:type="dxa" w:w="1440"/>
            <w:shd w:fill="FFDCE0" w:val="clear"/>
          </w:tcPr>
          <w:p>
            <w:r>
              <w:rPr>
                <w:sz w:val="17"/>
              </w:rPr>
              <w:t>34,977</w:t>
            </w:r>
          </w:p>
        </w:tc>
        <w:tc>
          <w:tcPr>
            <w:tcW w:type="dxa" w:w="1440"/>
            <w:shd w:fill="FFDCE0" w:val="clear"/>
          </w:tcPr>
          <w:p>
            <w:r>
              <w:rPr>
                <w:b/>
                <w:sz w:val="17"/>
              </w:rPr>
              <w:t>37,648</w:t>
            </w:r>
          </w:p>
        </w:tc>
        <w:tc>
          <w:tcPr>
            <w:tcW w:type="dxa" w:w="1440"/>
            <w:shd w:fill="FFDCE0" w:val="clear"/>
          </w:tcPr>
          <w:p>
            <w:r>
              <w:rPr>
                <w:sz w:val="17"/>
              </w:rPr>
              <w:t>40,319</w:t>
            </w:r>
          </w:p>
        </w:tc>
        <w:tc>
          <w:tcPr>
            <w:tcW w:type="dxa" w:w="1440"/>
            <w:shd w:fill="FFDCE0" w:val="clear"/>
          </w:tcPr>
          <w:p>
            <w:r>
              <w:rPr>
                <w:b/>
                <w:color w:val="C00000"/>
                <w:sz w:val="17"/>
              </w:rPr>
              <w:t>-3.2%</w:t>
            </w:r>
          </w:p>
        </w:tc>
      </w:tr>
      <w:tr>
        <w:tc>
          <w:tcPr>
            <w:tcW w:type="dxa" w:w="1440"/>
            <w:shd w:fill="FFDCE0" w:val="clear"/>
          </w:tcPr>
          <w:p>
            <w:r>
              <w:rPr>
                <w:sz w:val="17"/>
              </w:rPr>
              <w:t>J+7  Moyenne</w:t>
            </w:r>
          </w:p>
        </w:tc>
        <w:tc>
          <w:tcPr>
            <w:tcW w:type="dxa" w:w="1440"/>
            <w:shd w:fill="FFDCE0" w:val="clear"/>
          </w:tcPr>
          <w:p>
            <w:r>
              <w:rPr>
                <w:sz w:val="17"/>
              </w:rPr>
              <w:t>2026-10-08</w:t>
            </w:r>
          </w:p>
        </w:tc>
        <w:tc>
          <w:tcPr>
            <w:tcW w:type="dxa" w:w="1440"/>
            <w:shd w:fill="FFDCE0" w:val="clear"/>
          </w:tcPr>
          <w:p>
            <w:r>
              <w:rPr>
                <w:sz w:val="17"/>
              </w:rPr>
              <w:t>34,665</w:t>
            </w:r>
          </w:p>
        </w:tc>
        <w:tc>
          <w:tcPr>
            <w:tcW w:type="dxa" w:w="1440"/>
            <w:shd w:fill="FFDCE0" w:val="clear"/>
          </w:tcPr>
          <w:p>
            <w:r>
              <w:rPr>
                <w:b/>
                <w:sz w:val="17"/>
              </w:rPr>
              <w:t>37,542</w:t>
            </w:r>
          </w:p>
        </w:tc>
        <w:tc>
          <w:tcPr>
            <w:tcW w:type="dxa" w:w="1440"/>
            <w:shd w:fill="FFDCE0" w:val="clear"/>
          </w:tcPr>
          <w:p>
            <w:r>
              <w:rPr>
                <w:sz w:val="17"/>
              </w:rPr>
              <w:t>40,419</w:t>
            </w:r>
          </w:p>
        </w:tc>
        <w:tc>
          <w:tcPr>
            <w:tcW w:type="dxa" w:w="1440"/>
            <w:shd w:fill="FFDCE0" w:val="clear"/>
          </w:tcPr>
          <w:p>
            <w:r>
              <w:rPr>
                <w:b/>
                <w:color w:val="C00000"/>
                <w:sz w:val="17"/>
              </w:rPr>
              <w:t>-3.5%</w:t>
            </w:r>
          </w:p>
        </w:tc>
      </w:tr>
      <w:tr>
        <w:tc>
          <w:tcPr>
            <w:tcW w:type="dxa" w:w="1440"/>
            <w:shd w:fill="FFDCE0" w:val="clear"/>
          </w:tcPr>
          <w:p>
            <w:r>
              <w:rPr>
                <w:sz w:val="17"/>
              </w:rPr>
              <w:t>J+8  Moyenne</w:t>
            </w:r>
          </w:p>
        </w:tc>
        <w:tc>
          <w:tcPr>
            <w:tcW w:type="dxa" w:w="1440"/>
            <w:shd w:fill="FFDCE0" w:val="clear"/>
          </w:tcPr>
          <w:p>
            <w:r>
              <w:rPr>
                <w:sz w:val="17"/>
              </w:rPr>
              <w:t>2026-10-09</w:t>
            </w:r>
          </w:p>
        </w:tc>
        <w:tc>
          <w:tcPr>
            <w:tcW w:type="dxa" w:w="1440"/>
            <w:shd w:fill="FFDCE0" w:val="clear"/>
          </w:tcPr>
          <w:p>
            <w:r>
              <w:rPr>
                <w:sz w:val="17"/>
              </w:rPr>
              <w:t>34,371</w:t>
            </w:r>
          </w:p>
        </w:tc>
        <w:tc>
          <w:tcPr>
            <w:tcW w:type="dxa" w:w="1440"/>
            <w:shd w:fill="FFDCE0" w:val="clear"/>
          </w:tcPr>
          <w:p>
            <w:r>
              <w:rPr>
                <w:b/>
                <w:sz w:val="17"/>
              </w:rPr>
              <w:t>37,438</w:t>
            </w:r>
          </w:p>
        </w:tc>
        <w:tc>
          <w:tcPr>
            <w:tcW w:type="dxa" w:w="1440"/>
            <w:shd w:fill="FFDCE0" w:val="clear"/>
          </w:tcPr>
          <w:p>
            <w:r>
              <w:rPr>
                <w:sz w:val="17"/>
              </w:rPr>
              <w:t>40,505</w:t>
            </w:r>
          </w:p>
        </w:tc>
        <w:tc>
          <w:tcPr>
            <w:tcW w:type="dxa" w:w="1440"/>
            <w:shd w:fill="FFDCE0" w:val="clear"/>
          </w:tcPr>
          <w:p>
            <w:r>
              <w:rPr>
                <w:b/>
                <w:color w:val="C00000"/>
                <w:sz w:val="17"/>
              </w:rPr>
              <w:t>-3.8%</w:t>
            </w:r>
          </w:p>
        </w:tc>
      </w:tr>
      <w:tr>
        <w:tc>
          <w:tcPr>
            <w:tcW w:type="dxa" w:w="1440"/>
            <w:shd w:fill="FFDCE0" w:val="clear"/>
          </w:tcPr>
          <w:p>
            <w:r>
              <w:rPr>
                <w:sz w:val="17"/>
              </w:rPr>
              <w:t>J+9  Moyenne</w:t>
            </w:r>
          </w:p>
        </w:tc>
        <w:tc>
          <w:tcPr>
            <w:tcW w:type="dxa" w:w="1440"/>
            <w:shd w:fill="FFDCE0" w:val="clear"/>
          </w:tcPr>
          <w:p>
            <w:r>
              <w:rPr>
                <w:sz w:val="17"/>
              </w:rPr>
              <w:t>2026-10-12</w:t>
            </w:r>
          </w:p>
        </w:tc>
        <w:tc>
          <w:tcPr>
            <w:tcW w:type="dxa" w:w="1440"/>
            <w:shd w:fill="FFDCE0" w:val="clear"/>
          </w:tcPr>
          <w:p>
            <w:r>
              <w:rPr>
                <w:sz w:val="17"/>
              </w:rPr>
              <w:t>34,092</w:t>
            </w:r>
          </w:p>
        </w:tc>
        <w:tc>
          <w:tcPr>
            <w:tcW w:type="dxa" w:w="1440"/>
            <w:shd w:fill="FFDCE0" w:val="clear"/>
          </w:tcPr>
          <w:p>
            <w:r>
              <w:rPr>
                <w:b/>
                <w:sz w:val="17"/>
              </w:rPr>
              <w:t>37,336</w:t>
            </w:r>
          </w:p>
        </w:tc>
        <w:tc>
          <w:tcPr>
            <w:tcW w:type="dxa" w:w="1440"/>
            <w:shd w:fill="FFDCE0" w:val="clear"/>
          </w:tcPr>
          <w:p>
            <w:r>
              <w:rPr>
                <w:sz w:val="17"/>
              </w:rPr>
              <w:t>40,581</w:t>
            </w:r>
          </w:p>
        </w:tc>
        <w:tc>
          <w:tcPr>
            <w:tcW w:type="dxa" w:w="1440"/>
            <w:shd w:fill="FFDCE0" w:val="clear"/>
          </w:tcPr>
          <w:p>
            <w:r>
              <w:rPr>
                <w:b/>
                <w:color w:val="C00000"/>
                <w:sz w:val="17"/>
              </w:rPr>
              <w:t>-4.0%</w:t>
            </w:r>
          </w:p>
        </w:tc>
      </w:tr>
      <w:tr>
        <w:tc>
          <w:tcPr>
            <w:tcW w:type="dxa" w:w="1440"/>
            <w:shd w:fill="FFDCE0" w:val="clear"/>
          </w:tcPr>
          <w:p>
            <w:r>
              <w:rPr>
                <w:sz w:val="17"/>
              </w:rPr>
              <w:t>J+10  Moyenne</w:t>
            </w:r>
          </w:p>
        </w:tc>
        <w:tc>
          <w:tcPr>
            <w:tcW w:type="dxa" w:w="1440"/>
            <w:shd w:fill="FFDCE0" w:val="clear"/>
          </w:tcPr>
          <w:p>
            <w:r>
              <w:rPr>
                <w:sz w:val="17"/>
              </w:rPr>
              <w:t>2026-10-13</w:t>
            </w:r>
          </w:p>
        </w:tc>
        <w:tc>
          <w:tcPr>
            <w:tcW w:type="dxa" w:w="1440"/>
            <w:shd w:fill="FFDCE0" w:val="clear"/>
          </w:tcPr>
          <w:p>
            <w:r>
              <w:rPr>
                <w:sz w:val="17"/>
              </w:rPr>
              <w:t>33,826</w:t>
            </w:r>
          </w:p>
        </w:tc>
        <w:tc>
          <w:tcPr>
            <w:tcW w:type="dxa" w:w="1440"/>
            <w:shd w:fill="FFDCE0" w:val="clear"/>
          </w:tcPr>
          <w:p>
            <w:r>
              <w:rPr>
                <w:b/>
                <w:sz w:val="17"/>
              </w:rPr>
              <w:t>37,236</w:t>
            </w:r>
          </w:p>
        </w:tc>
        <w:tc>
          <w:tcPr>
            <w:tcW w:type="dxa" w:w="1440"/>
            <w:shd w:fill="FFDCE0" w:val="clear"/>
          </w:tcPr>
          <w:p>
            <w:r>
              <w:rPr>
                <w:sz w:val="17"/>
              </w:rPr>
              <w:t>40,647</w:t>
            </w:r>
          </w:p>
        </w:tc>
        <w:tc>
          <w:tcPr>
            <w:tcW w:type="dxa" w:w="1440"/>
            <w:shd w:fill="FFDCE0" w:val="clear"/>
          </w:tcPr>
          <w:p>
            <w:r>
              <w:rPr>
                <w:b/>
                <w:color w:val="C00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 RAPPORT D'ANALYSE FINANCIÈRE — SGBC (SOCIÉTÉ GÉNÉRALE CÔTE D'IVOIRE)</w:t>
        <w:br/>
        <w:t>**Bourse Régionale des Valeurs Mobilières (BRVM) — Secteur : Banque**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1 210,22 milliards FCFA, SGBC figure parmi les poids lourds de la cote BRVM, ce qui en fait un titre de référence pour les investisseurs institutionnels de la zone UEMOA. Le BPA de 3 258 FCFA par action signifie que chaque titre génère près de 3 258 FCFA de bénéfice net, un niveau de rentabilité unitaire élevé. Le PER de 11,9x se situe dans la fourchette haute de la moyenne BRVM (~8-12x), traduisant une valorisation raisonnable mais sans décote manifeste. Le P/B de 2,44x indique que le marché valorise la banque à plus du double de sa valeur comptable, une prime de croissance justifiée par la qualité des fonds propres et la régularité des résultats. En revanche, l'EV/EBITDA de 24,7x apparaît très exigeant (&gt;15x), signalant que la valeur d'entreprise intègre déjà une forte anticipation de performance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SGBC affiche une progression totale de +16,47%, avec une dernière séance en hausse de +1,30%, confirmant une dynamique haussière soutenue. Le titre évolue dans un range de 33 400 FCFA (plus bas) à 39 300 FCFA (plus haut), et cote actuellement à 38 900 FCFA, soit à proximité immédiate de son sommet — signe de force relative. La moyenne (38 042 FCFA) est légèrement inférieure à la médiane (38 300 FCFA), ce qui traduit une distribution asymétrique avec quelques séances de repli marqué. L'écart-type de 1 249 FCFA et le coefficient de variation de 3,3% indiquent une dispersion très faible du cours, donc une relative stabilité de la tendance. Le kurtosis de 2,750 (leptokurtique) signale des queues épaisses, c'est-à-dire un risque de pics de volatilité brutaux, tandis que le skewness de -1,717 (asymétrie négative) indique davantage de journées au-dessus de la moyenne, ce qui est plutôt favorable. La volatilité annualisée de 21,8% place le titre dans la catégorie modérée (15-30%), cohérente avec un profil de valeur bancaire de qualité.</w:t>
      </w:r>
    </w:p>
    <w:p>
      <w:pPr>
        <w:spacing w:after="120" w:line="276" w:lineRule="auto"/>
      </w:pPr>
      <w:r>
        <w:t>---</w:t>
      </w:r>
    </w:p>
    <w:p>
      <w:pPr>
        <w:spacing w:after="120" w:line="276" w:lineRule="auto"/>
      </w:pPr>
      <w:r>
        <w:t>## PARTIE 2 : ANALYSE TECHNIQUE DÉTAILLÉE</w:t>
      </w:r>
    </w:p>
    <w:p>
      <w:pPr>
        <w:spacing w:after="120" w:line="276" w:lineRule="auto"/>
      </w:pPr>
      <w:r>
        <w:t>**Moyennes Mobiles** : La MM20 (38 550,25 FCFA) et la MM50 (38 437,40 FCFA) se situent toutes deux sous le cours actuel (38 900 FCFA), et la MM20 est légèrement au-dessus de la MM50, configuration haussière classique. Cette position relative justifie la décision d'**Achat** émise par le système.</w:t>
      </w:r>
    </w:p>
    <w:p>
      <w:pPr>
        <w:spacing w:after="120" w:line="276" w:lineRule="auto"/>
      </w:pPr>
      <w:r>
        <w:t>**Bandes de Bollinger** : Le cours (38 900 FCFA) évolue entre la borne inférieure (37 779,64 FCFA) et la borne supérieure (39 320,87 FCFA), à environ 78% du canal — proche du haut mais sans franchissement. La décision **Neutre** reflète cette position intermédiaire, sans signal de surachat ni de survente.</w:t>
      </w:r>
    </w:p>
    <w:p>
      <w:pPr>
        <w:spacing w:after="120" w:line="276" w:lineRule="auto"/>
      </w:pPr>
      <w:r>
        <w:t>**MACD** : La valeur du MACD (32,708) est nettement supérieure à son signal (1,617), générant un histogramme positif marqué et un momentum haussier confirmé. Cette divergence positive justifie la décision d'**Achat**.</w:t>
      </w:r>
    </w:p>
    <w:p>
      <w:pPr>
        <w:spacing w:after="120" w:line="276" w:lineRule="auto"/>
      </w:pPr>
      <w:r>
        <w:t>**RSI** : À 50,171, le RSI se situe exactement en zone neutre (30-70), sans tension acheteuse ni vendeuse. La décision **Neutre** est cohérente avec cette position équilibrée.</w:t>
      </w:r>
    </w:p>
    <w:p>
      <w:pPr>
        <w:spacing w:after="120" w:line="276" w:lineRule="auto"/>
      </w:pPr>
      <w:r>
        <w:t>**Stochastique** : Le %K (91,667) est très élevé et proche du %D (77,778), avec un %K au-dessus du %D en zone de surachat (&gt;80). Cette configuration justifie la décision de **Vente** à court terme, signalant un essoufflement potentiel.</w:t>
      </w:r>
    </w:p>
    <w:p>
      <w:pPr>
        <w:spacing w:after="120" w:line="276" w:lineRule="auto"/>
      </w:pPr>
      <w:r>
        <w:t>**Conclusion technique** : Les indicateurs sont majoritairement haussiers (MM, MACD) mais le RSI neutre et le Stochastique en surachat créent une divergence. Le titre est en fin de tendance haussière à court terme, avec un risque de consolidation après le rally de +16,47%. La convergence MM/MACD soutient la tendance de fond, mais le Stochastique appelle à la prudence sur les points d'entrée.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SGBC affiche un Produit Net Bancaire (équivalent du chiffre d'affaires pour une banque) de 276,048 milliards FCFA, en croissance de +4,88% selon les données structurées. Le résultat net s'établit à 101,352 milliards FCFA, avec un ROE excellent de 20,47% (&gt;15%) et un ROA de 2,69%. Le coefficient d'exploitation de 38,75% place la banque parmi les plus efficaces du secteur (&lt;60% = efficace, &lt;50% = excellente). Le coût du risque, calculé comme le ratio charges de risque/charges financières, ressort à 37,7% (17,995/47,775), un niveau modéré. Le ratio dépôts/crédits s'établit à 114,2% (2 907,675/2 546,290), traduisant une surliquidité structurelle — la banque collecte plus qu'elle ne prête, ce qui est un facteur de solidité mais aussi un manque d'optimisation du bilan.</w:t>
      </w:r>
    </w:p>
    <w:p>
      <w:pPr>
        <w:spacing w:after="120" w:line="276" w:lineRule="auto"/>
      </w:pPr>
      <w:r>
        <w:t>**Évolution temporelle (rapports narratifs)** : Le rapport annuel 2025 (publié le 17 avril 2026) confirme un PNB de 276,048 Mds FCFA (+4,9%) et un résultat net quasi stable à 101,352 Mds FCFA (+0,1%), avec un dividende proposé de 2 606 FCFA/action (taux de distribution de 80%). Le rapport S1 2026 (publié le 27 août 2026) montre un PNB de 134,059 Mds FCFA (+1,6%) et un résultat net de 53,350 Mds FCFA (+0,5%), avec un coefficient d'exploitation amélioré à 36,7% et un ratio de solvabilité de 17,6%. Le rapport T1 2026 (publié le 30 avril 2026) fait état d'un PNB de 65,644 Mds FCFA (-1%) et d'un résultat net de 23,976 Mds FCFA (-11%), impacté par la migration vers une nouvelle plateforme digitale et des investissements (rénovation du siège).</w:t>
      </w:r>
    </w:p>
    <w:p>
      <w:pPr>
        <w:spacing w:after="120" w:line="276" w:lineRule="auto"/>
      </w:pPr>
      <w:r>
        <w:t>**Estimations et perspectives** : Sur la base du S1 2026 (PNB +1,6%, résultat net +0,5%), on peut estimer que l'exercice 2026 devrait afficher une croissance modérée du PNB (autour de +2%) et une quasi-stagnation du résultat net, pénalisée par la hausse du coût du risque (+9,1% au S1) et les investissements en cours. La finalisation de la migration digitale au T2 2026 est attendue comme un levier de reconduction commerciale au S2.</w:t>
      </w:r>
    </w:p>
    <w:p>
      <w:pPr>
        <w:spacing w:after="120" w:line="276" w:lineRule="auto"/>
      </w:pPr>
      <w:r>
        <w:t>**Recommandation fondamentale** : La solidité financière est incontestable (solvabilité 17,6%, ROE 20,47%, coefficient d'exploitation 36,7%), mais la dynamique bénéficiaire marque le pas (+0,5% au S1 2026). Le titre convient aux investisseurs recherchant rendement (dividende 2 606 FCFA, rendement ~6,7% au cours actuel) et stabilité, mais sans catalyseur de surperformance à court terme.</w:t>
      </w:r>
    </w:p>
    <w:p>
      <w:pPr>
        <w:spacing w:after="120" w:line="276" w:lineRule="auto"/>
      </w:pPr>
      <w:r>
        <w:t>---</w:t>
      </w:r>
    </w:p>
    <w:p>
      <w:pPr>
        <w:spacing w:after="120" w:line="276" w:lineRule="auto"/>
      </w:pPr>
      <w:r>
        <w:t>## PARTIE 4 : CONCLUSION D'INVESTISSEMENT</w:t>
      </w:r>
    </w:p>
    <w:p>
      <w:pPr>
        <w:spacing w:after="120" w:line="276" w:lineRule="auto"/>
      </w:pPr>
      <w:r>
        <w:t>La valorisation (Partie 0) est raisonnable avec un PER de 11,9x dans la fourchette haute de la BRVM, un P/B de 2,44x justifié par la qualité des fonds propres, mais un EV/EBITDA de 24,7x très exigeant qui limite le potentiel de revalorisation. Le comportement du cours (Partie 1) est haussier (+16,47% sur 100 jours) avec une volatilité modérée (21,8%) et des statistiques favorables (skewness négatif = plus de jours haussiers), mais le kurtosis élevé (2,750) avertit d'un risque de pics brutaux. Les signaux techniques (Partie 2) sont mitigés : MM et MACD haussiers, mais RSI neutre et Stochastique en surachat, suggérant une consolidation imminente. Les fondamentaux (Partie 3) restent solides (ROE 20,47%, coefficient d'exploitation 36,7%, solvabilité 17,6%) mais la croissance du résultat net est quasi nulle (+0,5% au S1 2026), et le coût du risque progresse (+9,1%). Les prédictions IA (J+1 à J+10) anticipent une légère baisse vers 37 758 FCFA d'ici le 6 octobre 2026, confirmant la pression baissière à court terme.</w:t>
      </w:r>
    </w:p>
    <w:p>
      <w:pPr>
        <w:spacing w:after="120" w:line="276" w:lineRule="auto"/>
      </w:pPr>
      <w:r>
        <w:t>**Recommandation finale : CONSERVER**</w:t>
      </w:r>
    </w:p>
    <w:p>
      <w:pPr>
        <w:spacing w:after="120" w:line="276" w:lineRule="auto"/>
      </w:pPr>
      <w:r>
        <w:t>Cette recommandation reflète la convergence entre une valorisation correcte, des fondamentaux solides mais sans accélération, et des signaux techniques mitigés. Le titre mérite d'être conservé pour son rendement (dividende 2 606 FCFA, rendement ~6,7%) et sa solidité, mais un passage à l'ACHAT serait justifié si le T2 2026 confirme la normalisation des coûts et une reprise du PNB. Le niveau de confiance est **Moyen** (fondamentaux solides mais croissance atone), et le niveau de risque global est **Faible** (banque bien capitalisée, notation AAA). L'horizon d'investissement optimal est le **moyen terme (3-12 mois)**, en attendant la confirmation de la reprise au S2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20260511   avis ndeg133 brvmdg   transactions sur dossier</w:t>
      </w:r>
    </w:p>
    <w:p>
      <w:pPr>
        <w:spacing w:before="20"/>
        <w:ind w:left="400"/>
      </w:pPr>
      <w:r>
        <w:rPr>
          <w:color w:val="505050"/>
          <w:sz w:val="17"/>
        </w:rPr>
        <w:t xml:space="preserve">Date : 12/05/2026  |  Catégorie : avis de marché  |  Impact : </w:t>
      </w:r>
      <w:r>
        <w:rPr>
          <w:b/>
          <w:color w:val="646464"/>
          <w:sz w:val="17"/>
        </w:rPr>
        <w:t>⚪ NEUTRE</w:t>
      </w:r>
    </w:p>
    <w:p>
      <w:pPr>
        <w:spacing w:before="40"/>
        <w:ind w:left="400"/>
      </w:pPr>
      <w:r>
        <w:rPr>
          <w:sz w:val="18"/>
        </w:rPr>
        <w:t>Avis de la BRVM informant de la réalisation de 7 transactions sur dossier le 11 mai 2026. Les transactions portent sur plusieurs titres dont SOCIETE GENERALE CI, SONATEL SN, SAFCA CI, ETI TG, UNIWAX CI et des obligations TPCI et FCTC EPT. La valeur totale des transactions s'élève à 667 125,85 FCFA.</w:t>
      </w:r>
    </w:p>
    <w:p>
      <w:pPr>
        <w:spacing w:before="60"/>
        <w:ind w:left="400"/>
      </w:pPr>
      <w:r>
        <w:rPr>
          <w:b/>
          <w:sz w:val="18"/>
        </w:rPr>
        <w:t>Points clés :</w:t>
      </w:r>
    </w:p>
    <w:p>
      <w:pPr>
        <w:pStyle w:val="ListBullet"/>
        <w:spacing w:before="20" w:after="20"/>
        <w:ind w:left="700"/>
      </w:pPr>
      <w:r>
        <w:rPr>
          <w:sz w:val="18"/>
        </w:rPr>
        <w:t>7 transactions sur dossier réalisées le 11 mai 2026</w:t>
      </w:r>
    </w:p>
    <w:p>
      <w:pPr>
        <w:pStyle w:val="ListBullet"/>
        <w:spacing w:before="20" w:after="20"/>
        <w:ind w:left="700"/>
      </w:pPr>
      <w:r>
        <w:rPr>
          <w:sz w:val="18"/>
        </w:rPr>
        <w:t>750 actions SOCIETE GENERALE CI et 500 actions SONATEL SN échangées</w:t>
      </w:r>
    </w:p>
    <w:p>
      <w:pPr>
        <w:pStyle w:val="ListBullet"/>
        <w:spacing w:before="20" w:after="20"/>
        <w:ind w:left="700"/>
      </w:pPr>
      <w:r>
        <w:rPr>
          <w:sz w:val="18"/>
        </w:rPr>
        <w:t>5 000 actions SAFCA CI, 125 000 actions ETI TG et 2 000 actions UNIWAX CI négociées</w:t>
      </w:r>
    </w:p>
    <w:p>
      <w:pPr>
        <w:pStyle w:val="ListBullet"/>
        <w:spacing w:before="20" w:after="20"/>
        <w:ind w:left="700"/>
      </w:pPr>
      <w:r>
        <w:rPr>
          <w:sz w:val="18"/>
        </w:rPr>
        <w:t>96 obligations TPCI 6,00% 2018-2026 et 100 obligations FCTC EPT 7,00% 2023-2030 échangées</w:t>
      </w:r>
    </w:p>
    <w:p>
      <w:pPr>
        <w:pStyle w:val="ListBullet"/>
        <w:spacing w:before="20" w:after="20"/>
        <w:ind w:left="700"/>
      </w:pPr>
      <w:r>
        <w:rPr>
          <w:sz w:val="18"/>
        </w:rPr>
        <w:t>Valeur totale des transactions de 667 125,85 FCFA</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"SGB CI affiche une croissance solide de son r\u00e9sultat net (+39,3%) et une rentabilit\u00e9 \u00e9lev\u00e9e avec un ROE estim\u00e9 \u00e0 plus de 22%. La politique de dividende g\u00e9n\u00e9reuse (51,3% de distribution) et la solidit\u00e9 du bilan confortent le potentiel de valorisation du titre."}</w:t>
      </w:r>
    </w:p>
    <w:p>
      <w:pPr>
        <w:spacing w:before="40"/>
        <w:ind w:left="400"/>
      </w:pPr>
      <w:r>
        <w:rPr>
          <w:sz w:val="18"/>
        </w:rPr>
        <w:t>Société Générale Côte d'Ivoire (SGB CI) clôture l'exercice 2021 sur des états financiers certifiés marqués par une nette progression de son activité. Le Produit Net Bancaire s'élève à 189 096 millions FCFA, en hausse de 15,3% par rapport aux 164 062 millions FCFA de 2020. Le résultat net atteint 67 438 millions FCFA contre 48 435 millions FCFA un an plus tôt, soit une croissance de 39,3%. La banque affiche un total de bilan de 3 021 481 millions FCFA et des capitaux propres de 304 993 millions FCFA, confirmant sa solidité financière. La politique de distribution reste généreuse avec un dividende brut de 1 112 FCFA par action, soit un taux de distribution de 51,3% du résultat net.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{'roe_estime': '22,1%', 'cout_du_risque': '17 942 millions FCFA', 'croissance_pnb': '+15,3%', 'frais_generaux': '90 651 millions FCFA', 'nombre_d_actions': '31 111 110', 'resultat_avant_impot': '79 574 millions FCFA', 'taux_de_distribution': '51,3%', 'dettes_a_la_clientele': '2 528 809 millions FCFA', 'resultat_exploitation': '80 504 millions FCFA', 'croissance_resultat_net': '+39,3%', 'creances_sur_la_clientele': '398 854 millions FCFA', 'resultat_brut_exploitation': '98 446 millions FCFA'}</w:t>
            </w:r>
          </w:p>
        </w:tc>
        <w:tc>
          <w:tcPr>
            <w:tcW w:type="dxa" w:w="2160"/>
          </w:tcPr>
          <w:p>
            <w:pPr>
              <w:ind w:left="100"/>
            </w:pPr>
            <w:r/>
            <w:r>
              <w:rPr>
                <w:b/>
                <w:sz w:val="16"/>
              </w:rPr>
              <w:t>dividende</w:t>
              <w:br/>
            </w:r>
            <w:r>
              <w:rPr>
                <w:sz w:val="18"/>
              </w:rPr>
              <w:t>1 112 FCFA par action</w:t>
            </w:r>
          </w:p>
        </w:tc>
        <w:tc>
          <w:tcPr>
            <w:tcW w:type="dxa" w:w="2160"/>
          </w:tcPr>
          <w:p>
            <w:pPr>
              <w:ind w:left="100"/>
            </w:pPr>
            <w:r/>
            <w:r>
              <w:rPr>
                <w:b/>
                <w:sz w:val="16"/>
              </w:rPr>
              <w:t>marge_nette</w:t>
              <w:br/>
            </w:r>
            <w:r>
              <w:rPr>
                <w:sz w:val="18"/>
              </w:rPr>
              <w:t>35,7%</w:t>
            </w:r>
          </w:p>
        </w:tc>
        <w:tc>
          <w:tcPr>
            <w:tcW w:type="dxa" w:w="2160"/>
          </w:tcPr>
          <w:p>
            <w:pPr>
              <w:ind w:left="100"/>
            </w:pPr>
            <w:r/>
            <w:r>
              <w:rPr>
                <w:b/>
                <w:sz w:val="16"/>
              </w:rPr>
              <w:t>total_actif</w:t>
              <w:br/>
            </w:r>
            <w:r>
              <w:rPr>
                <w:sz w:val="18"/>
              </w:rPr>
              <w:t>3 021 481 millions FCFA</w:t>
            </w:r>
          </w:p>
        </w:tc>
      </w:tr>
      <w:tr>
        <w:tc>
          <w:tcPr>
            <w:tcW w:type="dxa" w:w="2160"/>
          </w:tcPr>
          <w:p>
            <w:r/>
            <w:r>
              <w:rPr>
                <w:b/>
                <w:sz w:val="16"/>
              </w:rPr>
              <w:t>resultat_net</w:t>
              <w:br/>
            </w:r>
            <w:r>
              <w:rPr>
                <w:sz w:val="18"/>
              </w:rPr>
              <w:t>67 438 millions FCFA</w:t>
            </w:r>
          </w:p>
        </w:tc>
        <w:tc>
          <w:tcPr>
            <w:tcW w:type="dxa" w:w="2160"/>
          </w:tcPr>
          <w:p>
            <w:r/>
            <w:r>
              <w:rPr>
                <w:b/>
                <w:sz w:val="16"/>
              </w:rPr>
              <w:t>capitaux_propres</w:t>
              <w:br/>
            </w:r>
            <w:r>
              <w:rPr>
                <w:sz w:val="18"/>
              </w:rPr>
              <w:t>304 993 millions FCFA</w:t>
            </w:r>
          </w:p>
        </w:tc>
        <w:tc>
          <w:tcPr>
            <w:tcW w:type="dxa" w:w="2160"/>
          </w:tcPr>
          <w:p>
            <w:r/>
            <w:r>
              <w:rPr>
                <w:b/>
                <w:sz w:val="16"/>
              </w:rPr>
              <w:t>chiffre_affaires</w:t>
              <w:br/>
            </w:r>
            <w:r>
              <w:rPr>
                <w:sz w:val="18"/>
              </w:rPr>
              <w:t>189 096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189 096 millions FCFA en 2021, en progression de 15,3% sur un an (164 062 millions FCFA en 2020).</w:t>
      </w:r>
    </w:p>
    <w:p>
      <w:pPr>
        <w:pStyle w:val="ListBullet"/>
        <w:spacing w:before="20" w:after="20"/>
        <w:ind w:left="700"/>
      </w:pPr>
      <w:r>
        <w:rPr>
          <w:sz w:val="18"/>
        </w:rPr>
        <w:t>Résultat net de 67 438 millions FCFA, en forte hausse de 39,3% par rapport à 48 435 millions FCFA en 2020.</w:t>
      </w:r>
    </w:p>
    <w:p>
      <w:pPr>
        <w:pStyle w:val="ListBullet"/>
        <w:spacing w:before="20" w:after="20"/>
        <w:ind w:left="700"/>
      </w:pPr>
      <w:r>
        <w:rPr>
          <w:sz w:val="18"/>
        </w:rPr>
        <w:t>Marge nette élevée à environ 35,7% du PNB, illustrant une bonne maîtrise des charges.</w:t>
      </w:r>
    </w:p>
    <w:p>
      <w:pPr>
        <w:pStyle w:val="ListBullet"/>
        <w:spacing w:before="20" w:after="20"/>
        <w:ind w:left="700"/>
      </w:pPr>
      <w:r>
        <w:rPr>
          <w:sz w:val="18"/>
        </w:rPr>
        <w:t>Coût du risque en baisse à 17 942 millions FCFA contre 23 926 millions FCFA en 2020, traduisant une amélioration de la qualité du portefeuille.</w:t>
      </w:r>
    </w:p>
    <w:p>
      <w:pPr>
        <w:pStyle w:val="ListBullet"/>
        <w:spacing w:before="20" w:after="20"/>
        <w:ind w:left="700"/>
      </w:pPr>
      <w:r>
        <w:rPr>
          <w:sz w:val="18"/>
        </w:rPr>
        <w:t>Frais généraux contenus à 90 651 millions FCFA, permettant un Résultat Brut d'Exploitation de 98 446 millions FCFA (contre 83 330 millions FCFA en 2020).</w:t>
      </w:r>
    </w:p>
    <w:p>
      <w:pPr>
        <w:pStyle w:val="ListBullet"/>
        <w:spacing w:before="20" w:after="20"/>
        <w:ind w:left="700"/>
      </w:pPr>
      <w:r>
        <w:rPr>
          <w:sz w:val="18"/>
        </w:rPr>
        <w:t>Total du bilan de 3 021 481 millions FCFA et capitaux propres renforcés à 304 993 millions FCFA.</w:t>
      </w:r>
    </w:p>
    <w:p>
      <w:pPr>
        <w:spacing w:before="40"/>
        <w:ind w:left="400"/>
      </w:pPr>
      <w:r>
        <w:rPr>
          <w:b/>
          <w:color w:val="C05000"/>
          <w:sz w:val="18"/>
        </w:rPr>
        <w:t xml:space="preserve">⚠️ Risques : </w:t>
      </w:r>
      <w:r>
        <w:rPr>
          <w:sz w:val="18"/>
        </w:rPr>
        <w:t>["D\u00e9gradation de la qualit\u00e9 du cr\u00e9dit dans un contexte macro\u00e9conomique r\u00e9gional incertain pouvant faire remonter le co\u00fbt du risque.", "Forte d\u00e9pendance au march\u00e9 ivoirien et \u00e0 la concentration du portefeuille client\u00e8le, exposant la banque \u00e0 un r</w:t>
      </w:r>
    </w:p>
    <w:p>
      <w:pPr>
        <w:spacing w:before="40"/>
        <w:ind w:left="400"/>
      </w:pPr>
      <w:r>
        <w:rPr>
          <w:b/>
          <w:color w:val="0064A0"/>
          <w:sz w:val="18"/>
        </w:rPr>
        <w:t xml:space="preserve">🔮 Perspectives : </w:t>
      </w:r>
      <w:r>
        <w:rPr>
          <w:sz w:val="18"/>
        </w:rPr>
        <w:t>Pour l'exercice 2022, SGB CI devrait poursuivre sa dynamique de croissance portée par le développement du crédit à la clientèle et la digitalisation de ses services. La bonne maîtrise des charges et la baisse du coût du risque devraient soutenir la rentabilité. Le maintien d'une politique de distrib</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
      <w:r>
        <w:t>════════════════════════════════════════════════════════════════════════════════</w:t>
      </w:r>
    </w:p>
    <w:p>
      <w:r>
        <w:br w:type="page"/>
      </w:r>
    </w:p>
    <w:p>
      <w:pPr>
        <w:pStyle w:val="Heading2"/>
        <w:spacing w:before="360"/>
      </w:pPr>
      <w:r>
        <w:rPr>
          <w:color w:val="0066CC"/>
        </w:rPr>
        <w:t>34.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150.57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4,987 titres</w:t>
            </w:r>
          </w:p>
        </w:tc>
        <w:tc>
          <w:tcPr>
            <w:tcW w:type="dxa" w:w="2268"/>
            <w:shd w:fill="FFF2CC" w:val="clear"/>
          </w:tcPr>
          <w:p>
            <w:r>
              <w:rPr>
                <w:b/>
                <w:color w:val="503200"/>
                <w:sz w:val="16"/>
              </w:rPr>
              <w:t xml:space="preserve">Cours actuel : </w:t>
            </w:r>
            <w:r>
              <w:rPr>
                <w:color w:val="000000"/>
                <w:sz w:val="17"/>
              </w:rPr>
              <w:t>2,390 FCFA</w:t>
            </w:r>
          </w:p>
          <w:p>
            <w:r>
              <w:rPr>
                <w:b/>
                <w:color w:val="503200"/>
                <w:sz w:val="16"/>
              </w:rPr>
              <w:t xml:space="preserve">Var. 100 jours : </w:t>
            </w:r>
            <w:r>
              <w:rPr>
                <w:b/>
                <w:color w:val="007800"/>
                <w:sz w:val="17"/>
              </w:rPr>
              <w:t>+29.89%</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42.4%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10.60% (Moyenne) — μ=2,244 FCFA, σ=238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β=0.9437 (Neutre (suit le marché)) — Cov=0.000065, Var(idx)=0.000069, ρ=0.290,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2026-09-30</w:t>
            </w:r>
          </w:p>
        </w:tc>
        <w:tc>
          <w:tcPr>
            <w:tcW w:type="dxa" w:w="1440"/>
            <w:shd w:fill="FAFAFA" w:val="clear"/>
          </w:tcPr>
          <w:p>
            <w:r>
              <w:rPr>
                <w:sz w:val="17"/>
              </w:rPr>
              <w:t>2,216</w:t>
            </w:r>
          </w:p>
        </w:tc>
        <w:tc>
          <w:tcPr>
            <w:tcW w:type="dxa" w:w="1440"/>
            <w:shd w:fill="FAFAFA" w:val="clear"/>
          </w:tcPr>
          <w:p>
            <w:r>
              <w:rPr>
                <w:b/>
                <w:sz w:val="17"/>
              </w:rPr>
              <w:t>2,356</w:t>
            </w:r>
          </w:p>
        </w:tc>
        <w:tc>
          <w:tcPr>
            <w:tcW w:type="dxa" w:w="1440"/>
            <w:shd w:fill="FAFAFA" w:val="clear"/>
          </w:tcPr>
          <w:p>
            <w:r>
              <w:rPr>
                <w:sz w:val="17"/>
              </w:rPr>
              <w:t>2,496</w:t>
            </w:r>
          </w:p>
        </w:tc>
        <w:tc>
          <w:tcPr>
            <w:tcW w:type="dxa" w:w="1440"/>
            <w:shd w:fill="FAFAFA" w:val="clear"/>
          </w:tcPr>
          <w:p>
            <w:r>
              <w:rPr>
                <w:b/>
                <w:color w:val="C00000"/>
                <w:sz w:val="17"/>
              </w:rPr>
              <w:t>-1.4%</w:t>
            </w:r>
          </w:p>
        </w:tc>
      </w:tr>
      <w:tr>
        <w:tc>
          <w:tcPr>
            <w:tcW w:type="dxa" w:w="1440"/>
            <w:shd w:fill="FFDCE0" w:val="clear"/>
          </w:tcPr>
          <w:p>
            <w:r>
              <w:rPr>
                <w:sz w:val="17"/>
              </w:rPr>
              <w:t>J+2  Moyenne</w:t>
            </w:r>
          </w:p>
        </w:tc>
        <w:tc>
          <w:tcPr>
            <w:tcW w:type="dxa" w:w="1440"/>
            <w:shd w:fill="FFDCE0" w:val="clear"/>
          </w:tcPr>
          <w:p>
            <w:r>
              <w:rPr>
                <w:sz w:val="17"/>
              </w:rPr>
              <w:t>2026-10-01</w:t>
            </w:r>
          </w:p>
        </w:tc>
        <w:tc>
          <w:tcPr>
            <w:tcW w:type="dxa" w:w="1440"/>
            <w:shd w:fill="FFDCE0" w:val="clear"/>
          </w:tcPr>
          <w:p>
            <w:r>
              <w:rPr>
                <w:sz w:val="17"/>
              </w:rPr>
              <w:t>2,133</w:t>
            </w:r>
          </w:p>
        </w:tc>
        <w:tc>
          <w:tcPr>
            <w:tcW w:type="dxa" w:w="1440"/>
            <w:shd w:fill="FFDCE0" w:val="clear"/>
          </w:tcPr>
          <w:p>
            <w:r>
              <w:rPr>
                <w:b/>
                <w:sz w:val="17"/>
              </w:rPr>
              <w:t>2,330</w:t>
            </w:r>
          </w:p>
        </w:tc>
        <w:tc>
          <w:tcPr>
            <w:tcW w:type="dxa" w:w="1440"/>
            <w:shd w:fill="FFDCE0" w:val="clear"/>
          </w:tcPr>
          <w:p>
            <w:r>
              <w:rPr>
                <w:sz w:val="17"/>
              </w:rPr>
              <w:t>2,526</w:t>
            </w:r>
          </w:p>
        </w:tc>
        <w:tc>
          <w:tcPr>
            <w:tcW w:type="dxa" w:w="1440"/>
            <w:shd w:fill="FFDCE0" w:val="clear"/>
          </w:tcPr>
          <w:p>
            <w:r>
              <w:rPr>
                <w:b/>
                <w:color w:val="C00000"/>
                <w:sz w:val="17"/>
              </w:rPr>
              <w:t>-2.5%</w:t>
            </w:r>
          </w:p>
        </w:tc>
      </w:tr>
      <w:tr>
        <w:tc>
          <w:tcPr>
            <w:tcW w:type="dxa" w:w="1440"/>
            <w:shd w:fill="FFDCE0" w:val="clear"/>
          </w:tcPr>
          <w:p>
            <w:r>
              <w:rPr>
                <w:sz w:val="17"/>
              </w:rPr>
              <w:t>J+3  Moyenne</w:t>
            </w:r>
          </w:p>
        </w:tc>
        <w:tc>
          <w:tcPr>
            <w:tcW w:type="dxa" w:w="1440"/>
            <w:shd w:fill="FFDCE0" w:val="clear"/>
          </w:tcPr>
          <w:p>
            <w:r>
              <w:rPr>
                <w:sz w:val="17"/>
              </w:rPr>
              <w:t>2026-10-02</w:t>
            </w:r>
          </w:p>
        </w:tc>
        <w:tc>
          <w:tcPr>
            <w:tcW w:type="dxa" w:w="1440"/>
            <w:shd w:fill="FFDCE0" w:val="clear"/>
          </w:tcPr>
          <w:p>
            <w:r>
              <w:rPr>
                <w:sz w:val="17"/>
              </w:rPr>
              <w:t>2,066</w:t>
            </w:r>
          </w:p>
        </w:tc>
        <w:tc>
          <w:tcPr>
            <w:tcW w:type="dxa" w:w="1440"/>
            <w:shd w:fill="FFDCE0" w:val="clear"/>
          </w:tcPr>
          <w:p>
            <w:r>
              <w:rPr>
                <w:b/>
                <w:sz w:val="17"/>
              </w:rPr>
              <w:t>2,304</w:t>
            </w:r>
          </w:p>
        </w:tc>
        <w:tc>
          <w:tcPr>
            <w:tcW w:type="dxa" w:w="1440"/>
            <w:shd w:fill="FFDCE0" w:val="clear"/>
          </w:tcPr>
          <w:p>
            <w:r>
              <w:rPr>
                <w:sz w:val="17"/>
              </w:rPr>
              <w:t>2,541</w:t>
            </w:r>
          </w:p>
        </w:tc>
        <w:tc>
          <w:tcPr>
            <w:tcW w:type="dxa" w:w="1440"/>
            <w:shd w:fill="FFDCE0" w:val="clear"/>
          </w:tcPr>
          <w:p>
            <w:r>
              <w:rPr>
                <w:b/>
                <w:color w:val="C00000"/>
                <w:sz w:val="17"/>
              </w:rPr>
              <w:t>-3.6%</w:t>
            </w:r>
          </w:p>
        </w:tc>
      </w:tr>
      <w:tr>
        <w:tc>
          <w:tcPr>
            <w:tcW w:type="dxa" w:w="1440"/>
            <w:shd w:fill="FFDCE0" w:val="clear"/>
          </w:tcPr>
          <w:p>
            <w:r>
              <w:rPr>
                <w:sz w:val="17"/>
              </w:rPr>
              <w:t>J+4  ⭐</w:t>
            </w:r>
          </w:p>
        </w:tc>
        <w:tc>
          <w:tcPr>
            <w:tcW w:type="dxa" w:w="1440"/>
            <w:shd w:fill="FFDCE0" w:val="clear"/>
          </w:tcPr>
          <w:p>
            <w:r>
              <w:rPr>
                <w:sz w:val="17"/>
              </w:rPr>
              <w:t>2026-10-05</w:t>
            </w:r>
          </w:p>
        </w:tc>
        <w:tc>
          <w:tcPr>
            <w:tcW w:type="dxa" w:w="1440"/>
            <w:shd w:fill="FFDCE0" w:val="clear"/>
          </w:tcPr>
          <w:p>
            <w:r>
              <w:rPr>
                <w:sz w:val="17"/>
              </w:rPr>
              <w:t>2,008</w:t>
            </w:r>
          </w:p>
        </w:tc>
        <w:tc>
          <w:tcPr>
            <w:tcW w:type="dxa" w:w="1440"/>
            <w:shd w:fill="FFDCE0" w:val="clear"/>
          </w:tcPr>
          <w:p>
            <w:r>
              <w:rPr>
                <w:b/>
                <w:sz w:val="17"/>
              </w:rPr>
              <w:t>2,280</w:t>
            </w:r>
          </w:p>
        </w:tc>
        <w:tc>
          <w:tcPr>
            <w:tcW w:type="dxa" w:w="1440"/>
            <w:shd w:fill="FFDCE0" w:val="clear"/>
          </w:tcPr>
          <w:p>
            <w:r>
              <w:rPr>
                <w:sz w:val="17"/>
              </w:rPr>
              <w:t>2,551</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2026-10-06</w:t>
            </w:r>
          </w:p>
        </w:tc>
        <w:tc>
          <w:tcPr>
            <w:tcW w:type="dxa" w:w="1440"/>
            <w:shd w:fill="FFDCE0" w:val="clear"/>
          </w:tcPr>
          <w:p>
            <w:r>
              <w:rPr>
                <w:sz w:val="17"/>
              </w:rPr>
              <w:t>1,957</w:t>
            </w:r>
          </w:p>
        </w:tc>
        <w:tc>
          <w:tcPr>
            <w:tcW w:type="dxa" w:w="1440"/>
            <w:shd w:fill="FFDCE0" w:val="clear"/>
          </w:tcPr>
          <w:p>
            <w:r>
              <w:rPr>
                <w:b/>
                <w:sz w:val="17"/>
              </w:rPr>
              <w:t>2,257</w:t>
            </w:r>
          </w:p>
        </w:tc>
        <w:tc>
          <w:tcPr>
            <w:tcW w:type="dxa" w:w="1440"/>
            <w:shd w:fill="FFDCE0" w:val="clear"/>
          </w:tcPr>
          <w:p>
            <w:r>
              <w:rPr>
                <w:sz w:val="17"/>
              </w:rPr>
              <w:t>2,558</w:t>
            </w:r>
          </w:p>
        </w:tc>
        <w:tc>
          <w:tcPr>
            <w:tcW w:type="dxa" w:w="1440"/>
            <w:shd w:fill="FFDCE0" w:val="clear"/>
          </w:tcPr>
          <w:p>
            <w:r>
              <w:rPr>
                <w:b/>
                <w:color w:val="C00000"/>
                <w:sz w:val="17"/>
              </w:rPr>
              <w:t>-5.6%</w:t>
            </w:r>
          </w:p>
        </w:tc>
      </w:tr>
      <w:tr>
        <w:tc>
          <w:tcPr>
            <w:tcW w:type="dxa" w:w="1440"/>
            <w:shd w:fill="FFDCE0" w:val="clear"/>
          </w:tcPr>
          <w:p>
            <w:r>
              <w:rPr>
                <w:sz w:val="17"/>
              </w:rPr>
              <w:t>J+6  ⭐</w:t>
            </w:r>
          </w:p>
        </w:tc>
        <w:tc>
          <w:tcPr>
            <w:tcW w:type="dxa" w:w="1440"/>
            <w:shd w:fill="FFDCE0" w:val="clear"/>
          </w:tcPr>
          <w:p>
            <w:r>
              <w:rPr>
                <w:sz w:val="17"/>
              </w:rPr>
              <w:t>2026-10-07</w:t>
            </w:r>
          </w:p>
        </w:tc>
        <w:tc>
          <w:tcPr>
            <w:tcW w:type="dxa" w:w="1440"/>
            <w:shd w:fill="FFDCE0" w:val="clear"/>
          </w:tcPr>
          <w:p>
            <w:r>
              <w:rPr>
                <w:sz w:val="17"/>
              </w:rPr>
              <w:t>1,910</w:t>
            </w:r>
          </w:p>
        </w:tc>
        <w:tc>
          <w:tcPr>
            <w:tcW w:type="dxa" w:w="1440"/>
            <w:shd w:fill="FFDCE0" w:val="clear"/>
          </w:tcPr>
          <w:p>
            <w:r>
              <w:rPr>
                <w:b/>
                <w:sz w:val="17"/>
              </w:rPr>
              <w:t>2,236</w:t>
            </w:r>
          </w:p>
        </w:tc>
        <w:tc>
          <w:tcPr>
            <w:tcW w:type="dxa" w:w="1440"/>
            <w:shd w:fill="FFDCE0" w:val="clear"/>
          </w:tcPr>
          <w:p>
            <w:r>
              <w:rPr>
                <w:sz w:val="17"/>
              </w:rPr>
              <w:t>2,563</w:t>
            </w:r>
          </w:p>
        </w:tc>
        <w:tc>
          <w:tcPr>
            <w:tcW w:type="dxa" w:w="1440"/>
            <w:shd w:fill="FFDCE0" w:val="clear"/>
          </w:tcPr>
          <w:p>
            <w:r>
              <w:rPr>
                <w:b/>
                <w:color w:val="C00000"/>
                <w:sz w:val="17"/>
              </w:rPr>
              <w:t>-6.4%</w:t>
            </w:r>
          </w:p>
        </w:tc>
      </w:tr>
      <w:tr>
        <w:tc>
          <w:tcPr>
            <w:tcW w:type="dxa" w:w="1440"/>
            <w:shd w:fill="FFDCE0" w:val="clear"/>
          </w:tcPr>
          <w:p>
            <w:r>
              <w:rPr>
                <w:sz w:val="17"/>
              </w:rPr>
              <w:t>J+7  ⭐</w:t>
            </w:r>
          </w:p>
        </w:tc>
        <w:tc>
          <w:tcPr>
            <w:tcW w:type="dxa" w:w="1440"/>
            <w:shd w:fill="FFDCE0" w:val="clear"/>
          </w:tcPr>
          <w:p>
            <w:r>
              <w:rPr>
                <w:sz w:val="17"/>
              </w:rPr>
              <w:t>2026-10-08</w:t>
            </w:r>
          </w:p>
        </w:tc>
        <w:tc>
          <w:tcPr>
            <w:tcW w:type="dxa" w:w="1440"/>
            <w:shd w:fill="FFDCE0" w:val="clear"/>
          </w:tcPr>
          <w:p>
            <w:r>
              <w:rPr>
                <w:sz w:val="17"/>
              </w:rPr>
              <w:t>1,868</w:t>
            </w:r>
          </w:p>
        </w:tc>
        <w:tc>
          <w:tcPr>
            <w:tcW w:type="dxa" w:w="1440"/>
            <w:shd w:fill="FFDCE0" w:val="clear"/>
          </w:tcPr>
          <w:p>
            <w:r>
              <w:rPr>
                <w:b/>
                <w:sz w:val="17"/>
              </w:rPr>
              <w:t>2,217</w:t>
            </w:r>
          </w:p>
        </w:tc>
        <w:tc>
          <w:tcPr>
            <w:tcW w:type="dxa" w:w="1440"/>
            <w:shd w:fill="FFDCE0" w:val="clear"/>
          </w:tcPr>
          <w:p>
            <w:r>
              <w:rPr>
                <w:sz w:val="17"/>
              </w:rPr>
              <w:t>2,566</w:t>
            </w:r>
          </w:p>
        </w:tc>
        <w:tc>
          <w:tcPr>
            <w:tcW w:type="dxa" w:w="1440"/>
            <w:shd w:fill="FFDCE0" w:val="clear"/>
          </w:tcPr>
          <w:p>
            <w:r>
              <w:rPr>
                <w:b/>
                <w:color w:val="C00000"/>
                <w:sz w:val="17"/>
              </w:rPr>
              <w:t>-7.2%</w:t>
            </w:r>
          </w:p>
        </w:tc>
      </w:tr>
      <w:tr>
        <w:tc>
          <w:tcPr>
            <w:tcW w:type="dxa" w:w="1440"/>
            <w:shd w:fill="FFDCE0" w:val="clear"/>
          </w:tcPr>
          <w:p>
            <w:r>
              <w:rPr>
                <w:sz w:val="17"/>
              </w:rPr>
              <w:t>J+8  ⭐</w:t>
            </w:r>
          </w:p>
        </w:tc>
        <w:tc>
          <w:tcPr>
            <w:tcW w:type="dxa" w:w="1440"/>
            <w:shd w:fill="FFDCE0" w:val="clear"/>
          </w:tcPr>
          <w:p>
            <w:r>
              <w:rPr>
                <w:sz w:val="17"/>
              </w:rPr>
              <w:t>2026-10-09</w:t>
            </w:r>
          </w:p>
        </w:tc>
        <w:tc>
          <w:tcPr>
            <w:tcW w:type="dxa" w:w="1440"/>
            <w:shd w:fill="FFDCE0" w:val="clear"/>
          </w:tcPr>
          <w:p>
            <w:r>
              <w:rPr>
                <w:sz w:val="17"/>
              </w:rPr>
              <w:t>1,829</w:t>
            </w:r>
          </w:p>
        </w:tc>
        <w:tc>
          <w:tcPr>
            <w:tcW w:type="dxa" w:w="1440"/>
            <w:shd w:fill="FFDCE0" w:val="clear"/>
          </w:tcPr>
          <w:p>
            <w:r>
              <w:rPr>
                <w:b/>
                <w:sz w:val="17"/>
              </w:rPr>
              <w:t>2,199</w:t>
            </w:r>
          </w:p>
        </w:tc>
        <w:tc>
          <w:tcPr>
            <w:tcW w:type="dxa" w:w="1440"/>
            <w:shd w:fill="FFDCE0" w:val="clear"/>
          </w:tcPr>
          <w:p>
            <w:r>
              <w:rPr>
                <w:sz w:val="17"/>
              </w:rPr>
              <w:t>2,570</w:t>
            </w:r>
          </w:p>
        </w:tc>
        <w:tc>
          <w:tcPr>
            <w:tcW w:type="dxa" w:w="1440"/>
            <w:shd w:fill="FFDCE0" w:val="clear"/>
          </w:tcPr>
          <w:p>
            <w:r>
              <w:rPr>
                <w:b/>
                <w:color w:val="C00000"/>
                <w:sz w:val="17"/>
              </w:rPr>
              <w:t>-8.0%</w:t>
            </w:r>
          </w:p>
        </w:tc>
      </w:tr>
      <w:tr>
        <w:tc>
          <w:tcPr>
            <w:tcW w:type="dxa" w:w="1440"/>
            <w:shd w:fill="FFDCE0" w:val="clear"/>
          </w:tcPr>
          <w:p>
            <w:r>
              <w:rPr>
                <w:sz w:val="17"/>
              </w:rPr>
              <w:t>J+9  ⭐</w:t>
            </w:r>
          </w:p>
        </w:tc>
        <w:tc>
          <w:tcPr>
            <w:tcW w:type="dxa" w:w="1440"/>
            <w:shd w:fill="FFDCE0" w:val="clear"/>
          </w:tcPr>
          <w:p>
            <w:r>
              <w:rPr>
                <w:sz w:val="17"/>
              </w:rPr>
              <w:t>2026-10-12</w:t>
            </w:r>
          </w:p>
        </w:tc>
        <w:tc>
          <w:tcPr>
            <w:tcW w:type="dxa" w:w="1440"/>
            <w:shd w:fill="FFDCE0" w:val="clear"/>
          </w:tcPr>
          <w:p>
            <w:r>
              <w:rPr>
                <w:sz w:val="17"/>
              </w:rPr>
              <w:t>1,793</w:t>
            </w:r>
          </w:p>
        </w:tc>
        <w:tc>
          <w:tcPr>
            <w:tcW w:type="dxa" w:w="1440"/>
            <w:shd w:fill="FFDCE0" w:val="clear"/>
          </w:tcPr>
          <w:p>
            <w:r>
              <w:rPr>
                <w:b/>
                <w:sz w:val="17"/>
              </w:rPr>
              <w:t>2,182</w:t>
            </w:r>
          </w:p>
        </w:tc>
        <w:tc>
          <w:tcPr>
            <w:tcW w:type="dxa" w:w="1440"/>
            <w:shd w:fill="FFDCE0" w:val="clear"/>
          </w:tcPr>
          <w:p>
            <w:r>
              <w:rPr>
                <w:sz w:val="17"/>
              </w:rPr>
              <w:t>2,572</w:t>
            </w:r>
          </w:p>
        </w:tc>
        <w:tc>
          <w:tcPr>
            <w:tcW w:type="dxa" w:w="1440"/>
            <w:shd w:fill="FFDCE0" w:val="clear"/>
          </w:tcPr>
          <w:p>
            <w:r>
              <w:rPr>
                <w:b/>
                <w:color w:val="C00000"/>
                <w:sz w:val="17"/>
              </w:rPr>
              <w:t>-8.7%</w:t>
            </w:r>
          </w:p>
        </w:tc>
      </w:tr>
      <w:tr>
        <w:tc>
          <w:tcPr>
            <w:tcW w:type="dxa" w:w="1440"/>
            <w:shd w:fill="FFDCE0" w:val="clear"/>
          </w:tcPr>
          <w:p>
            <w:r>
              <w:rPr>
                <w:sz w:val="17"/>
              </w:rPr>
              <w:t>J+10  ⭐</w:t>
            </w:r>
          </w:p>
        </w:tc>
        <w:tc>
          <w:tcPr>
            <w:tcW w:type="dxa" w:w="1440"/>
            <w:shd w:fill="FFDCE0" w:val="clear"/>
          </w:tcPr>
          <w:p>
            <w:r>
              <w:rPr>
                <w:sz w:val="17"/>
              </w:rPr>
              <w:t>2026-10-13</w:t>
            </w:r>
          </w:p>
        </w:tc>
        <w:tc>
          <w:tcPr>
            <w:tcW w:type="dxa" w:w="1440"/>
            <w:shd w:fill="FFDCE0" w:val="clear"/>
          </w:tcPr>
          <w:p>
            <w:r>
              <w:rPr>
                <w:sz w:val="17"/>
              </w:rPr>
              <w:t>1,759</w:t>
            </w:r>
          </w:p>
        </w:tc>
        <w:tc>
          <w:tcPr>
            <w:tcW w:type="dxa" w:w="1440"/>
            <w:shd w:fill="FFDCE0" w:val="clear"/>
          </w:tcPr>
          <w:p>
            <w:r>
              <w:rPr>
                <w:b/>
                <w:sz w:val="17"/>
              </w:rPr>
              <w:t>2,166</w:t>
            </w:r>
          </w:p>
        </w:tc>
        <w:tc>
          <w:tcPr>
            <w:tcW w:type="dxa" w:w="1440"/>
            <w:shd w:fill="FFDCE0" w:val="clear"/>
          </w:tcPr>
          <w:p>
            <w:r>
              <w:rPr>
                <w:sz w:val="17"/>
              </w:rPr>
              <w:t>2,574</w:t>
            </w:r>
          </w:p>
        </w:tc>
        <w:tc>
          <w:tcPr>
            <w:tcW w:type="dxa" w:w="1440"/>
            <w:shd w:fill="FFDCE0" w:val="clear"/>
          </w:tcPr>
          <w:p>
            <w:r>
              <w:rPr>
                <w:b/>
                <w:color w:val="C00000"/>
                <w:sz w:val="17"/>
              </w:rPr>
              <w:t>-9.4%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 RAPPORT D'ANALYSE FINANCIÈRE — SHEC (VIVO ENERGY CÔTE D'IVOIRE)</w:t>
        <w:br/>
        <w:t>**Bourse Régionale des Valeurs Mobilières (BRVM) — Secteur : Distribution pétrolière aval**</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150,57 milliards FCFA, SHEC se positionne parmi les valeurs moyennes de la cote BRVM, ce qui traduit une taille significative mais sans être un poids lourd du marché. Le BPA de 96 FCFA/action indique que chaque titre génère près de 96 FCFA de bénéfice net, un niveau modeste qui reflète la faible marge nette (1%) caractéristique du secteur pétrolier aval. Le PER de 25,0x est nettement supérieur à la moyenne BRVM (~8-12x), signalant que les investisseurs paient une prime élevée pour les bénéfices actuels, probablement en anticipation d'une croissance ou par effet de rareté du titre. Le P/B de 5,54x (largement &gt; 4x) confirme cette valorisation exigeante : le marché valorise SHEC à plus de 5 fois sa valeur comptable, ce qui est difficilement justifiable par les seuls fondamentaux actuels. Enfin, l'EV/EBITDA de 13,3x (fourchette 10-15x) situe la valeur totale de l'entreprise à 13,3 fois sa capacité opérationnelle, un niveau élevé qui suggère une surévaluation relative par rapport à la génération de cash opérationnel.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SHEC a enregistré une progression remarquable de **+29,89%**, clôturant à 2 390 FCFA, avec une variation nulle sur la dernière séance (J-1 : +0,00%), signe d'une stabilisation après la hausse. Le range de trading s'établit entre un plus bas de 1 840 FCFA et un plus haut de 2 980 FCFA, soit une amplitude de 62%, témoignant d'une forte volatilité intra-période. La tendance générale est clairement haussière, portée par un momentum acheteur soutenu, mais le cours actuel (2 390 FCFA) se situe désormais **sous sa moyenne mobile 20 jours (2 582,75 FCFA)**, ce qui pourrait annoncer un essoufflement. Les statistiques descriptives révèlent une moyenne de 2 244 FCFA contre une médiane de 2 200 FCFA, avec un écart modéré indiquant une légère asymétrie positive, confirmée par le skewness de 0,933 (plus de journées sous la moyenne, mais quelques pics haussiers marqués). L'écart-type de 239 FCFA (CV = 10,7%) traduit une dispersion modérée du cours autour de sa moyenne, tandis que le kurtosis de 0,981 (mésokurtique) suggère une distribution proche de la normale, sans risque extrême de pics. La volatilité annualisée de **42,4%** classe SHEC dans la catégorie des titres à volatilité élevée (&gt;30%), ce qui implique un risque de prix significatif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(2 582,75 FCFA) est supérieure à la MM50 (2 412,7 FCFA), configurant un croisement haussier classique. Cependant, le cours actuel (2 390 FCFA) évolue **sous ces deux moyennes**, ce qui constitue un signal de faiblesse relative malgré la décision "Achat" affichée. Cette divergence suggère que la dynamique haussière s'essouffle et qu'une correction est en cours.</w:t>
      </w:r>
    </w:p>
    <w:p>
      <w:pPr>
        <w:spacing w:after="120" w:line="276" w:lineRule="auto"/>
      </w:pPr>
      <w:r>
        <w:t>**Bandes de Bollinger** : Le cours (2 390 FCFA) se situe dans la partie basse de la bande, entre la borne inférieure (2 164,48 FCFA) et la borne supérieure (3 001,02 FCFA), mais plus proche de la borne basse. La décision "Neutre" reflète cette position médiane, sans signal de survente ni de surachat, avec une volatilité qui reste contenue dans les bandes.</w:t>
      </w:r>
    </w:p>
    <w:p>
      <w:pPr>
        <w:spacing w:after="120" w:line="276" w:lineRule="auto"/>
      </w:pPr>
      <w:r>
        <w:t>**MACD** : La valeur du MACD (13,406) est nettement inférieure à son signal (66,764), générant une divergence baissière marquée. Cette configuration indique un **momentum négatif** et un affaiblissement de la tendance haussière, justifiant la décision "Vente" — c'est le signal technique le plus préoccupant du tableau.</w:t>
      </w:r>
    </w:p>
    <w:p>
      <w:pPr>
        <w:spacing w:after="120" w:line="276" w:lineRule="auto"/>
      </w:pPr>
      <w:r>
        <w:t>**RSI** : À 46,512, le RSI se situe en zone neutre (30-70), sans surachat ni survente. La décision "Neutre" est cohérente, mais la valeur légèrement sous 50 suggère une pression vendeuse modérée, sans excès.</w:t>
      </w:r>
    </w:p>
    <w:p>
      <w:pPr>
        <w:spacing w:after="120" w:line="276" w:lineRule="auto"/>
      </w:pPr>
      <w:r>
        <w:t>**Stochastique** : Le %K (0,0) est en zone de survente extrême, tandis que le %D (1,695) reste très bas. La décision "Achat" s'explique par cette configuration de survente, qui précède souvent un rebond technique à court terme, bien que le croisement ne soit pas encore confirmé.</w:t>
      </w:r>
    </w:p>
    <w:p>
      <w:pPr>
        <w:spacing w:after="120" w:line="276" w:lineRule="auto"/>
      </w:pPr>
      <w:r>
        <w:t>**Conclusion technique** : Les indicateurs sont **divergents** : les moyennes mobiles et le stochastique suggèrent un potentiel rebond (achat), tandis que le MACD et la position du cours sous les MM20/MM50 plaident pour la prudence (vente). Le RSI et les Bollinger confirment une absence de signal fort. Dans l'ensemble, le titre est en phase de consolidation baissière après une forte hausse, avec un risque de correction à court terme, mais un potentiel de rebond technique à moyen terme si le support de 2 164 FCFA tient.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SHEC a réalisé un chiffre d'affaires de **604,978 milliards FCFA**, en très légère hausse de +0,71% par rapport à 2024 (600,708 Mds FCFA), traduisant une stagnation de l'activité commerciale. Le résultat net s'établit à **6,028 milliards FCFA**, en progression de +12,6% (contre 5,354 Mds en 2024), grâce à une amélioration de la marge nette (1,00% vs 0,89%) et une réduction des charges financières (-17,7%). Le ROE atteint **22,20%** (excellent, &gt;15%), porté par un effet de levier important, tandis que le ROA reste faible à **3,11%**, reflétant la faible rentabilité des actifs. La marge opérationnelle est de 1,93% et la marge brute de 9,35%, des niveaux typiques du secteur pétrolier aval. **Points d'alerte** : la trésorerie nette est fortement négative (-65,26 Mds FCFA), le BFR s'élève à 15,315 Mds FCFA, et l'autonomie financière est faible (14,03%, &lt;30% = risqué). Les délais clients (23,27 jours) et fournisseurs (35,47 jours) sont maîtrisés, mais la dépendance aux découverts bancaires (70,3 Mds FCFA) pèse sur la structure financière.</w:t>
      </w:r>
    </w:p>
    <w:p>
      <w:pPr>
        <w:spacing w:after="120" w:line="276" w:lineRule="auto"/>
      </w:pPr>
      <w:r>
        <w:t>**Estimations basées sur les rapports trimestriels** : Le rapport du **T3 2025 (30/09/2025)** indique un résultat net cumulé de 4,119 Mds FCFA (+45% sur un an), avec une marge nette de 0,91% et un résultat d'exploitation de 8,26 Mds FCFA (+10%). Le rapport du **S1 2026 (30/06/2026)** révèle un CA de 305,038 Mds FCFA (-1%), un résultat d'exploitation de 6,133 Mds FCFA (+17%) et un résultat net de 3,016 Mds FCFA, avec une marge nette stable à 0,99%. **On estime** que l'exercice 2026 devrait afficher un résultat net annuel proche de 6,0-6,2 Mds FCFA, soit une stagnation par rapport à 2025, en raison de la baisse des volumes au T1 2026 (-9%) et de la hausse de l'impôt (+60% au S1 2026). La politique de dividende est généreuse (dividende brut proposé de 6,09 Mds FCFA, soit ~1 933 FCFA/action, un rendement de ~8,1% au cours actuel), mais avec un taux de distribution de 101%, ce qui fragilise la structure financière.</w:t>
      </w:r>
    </w:p>
    <w:p>
      <w:pPr>
        <w:spacing w:after="120" w:line="276" w:lineRule="auto"/>
      </w:pPr>
      <w:r>
        <w:t>**Recommandation fondamentale** : SHEC présente une **solidité opérationnelle correcte** (ROE élevé, marges en amélioration), mais des **risques financiers majeurs** (trésorerie négative, endettement court terme, dépendance bancaire). La faible croissance du CA et la volatilité des volumes (aviation, bitume) limitent les perspectives. La recommandation des rapports est **CONSERVER**, avec une prudence sur le dividende et la liquidité.</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**déséquilibre entre valorisation exigeante et fondamentaux fragiles**. La valorisation (Partie 0) est clairement **surévaluée** : PER de 25x (vs 8-12x pour la BRVM), P/B de 5,54x et EV/EBITDA de 13,3x, sans justification par la croissance (CA +0,71% en 2025). Le comportement du cours (Partie 1) est **préoccupant** : après une hausse de +29,89%, le titre stagne sous ses moyennes mobiles, avec une volatilité élevée (42,4%) et un skewness positif indiquant une asymétrie défavorable. Les signaux techniques (Partie 2) sont **divergents** : le MACD est baissier (vente), le stochastique est en survente (achat potentiel), mais le cours sous les MM20/MM50 confirme une pression baissière. Les fondamentaux (Partie 3) montrent une **rentabilité correcte** (ROE 22,2%, résultat net +12,6% en 2025) mais une **structure financière dégradée** (trésorerie nette -65,26 Mds FCFA, endettement élevé) et des perspectives 2026 atones (CA -1% au S1 2026). Les **prédictions IA** (J+1 à J+10) anticipent une **baisse continue** de 2 356 FCFA à 2 257 FCFA, confirmant la tendance baissière à court terme et contredisant un éventuel rebond technique.</w:t>
      </w:r>
    </w:p>
    <w:p>
      <w:pPr>
        <w:spacing w:after="120" w:line="276" w:lineRule="auto"/>
      </w:pPr>
      <w:r>
        <w:t>**Recommandation finale : CONSERVER** — Justification : la convergence des signaux baissiers (MACD, prédictions IA, cours sous les MM) et la surévaluation (PER 25x) plaident contre un achat, tandis que la rentabilité opérationnelle et le dividende attractif (rendement ~8%) incitent à ne pas vendre. Le niveau de confiance est **Moyen** (divergence entre technique et fondamental), et le risque global est **Élevé** (volatilité 42,4%, trésorerie négative, endettement). L'horizon optimal est **moyen terme (3-12 mois)**, en attendant la publication des comptes définitifs 2025 et une clarification de la politique de dividende, avec un renforcement possible si le support de 2 164 FCFA tient et que les volumes reprennent au T2 2026.</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35.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915.00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10,940 titres</w:t>
            </w:r>
          </w:p>
        </w:tc>
        <w:tc>
          <w:tcPr>
            <w:tcW w:type="dxa" w:w="2268"/>
            <w:shd w:fill="FFF2CC" w:val="clear"/>
          </w:tcPr>
          <w:p>
            <w:r>
              <w:rPr>
                <w:b/>
                <w:color w:val="503200"/>
                <w:sz w:val="16"/>
              </w:rPr>
              <w:t xml:space="preserve">Cours actuel : </w:t>
            </w:r>
            <w:r>
              <w:rPr>
                <w:color w:val="000000"/>
                <w:sz w:val="17"/>
              </w:rPr>
              <w:t>9,150 FCFA</w:t>
            </w:r>
          </w:p>
          <w:p>
            <w:r>
              <w:rPr>
                <w:b/>
                <w:color w:val="503200"/>
                <w:sz w:val="16"/>
              </w:rPr>
              <w:t xml:space="preserve">Var. 100 jours : </w:t>
            </w:r>
            <w:r>
              <w:rPr>
                <w:b/>
                <w:color w:val="007800"/>
                <w:sz w:val="17"/>
              </w:rPr>
              <w:t>+29.79%</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7,050 FCFA</w:t>
            </w:r>
          </w:p>
          <w:p>
            <w:r>
              <w:rPr>
                <w:b/>
                <w:color w:val="503200"/>
                <w:sz w:val="16"/>
              </w:rPr>
              <w:t xml:space="preserve">Volatilité ann. : </w:t>
            </w:r>
            <w:r>
              <w:rPr>
                <w:color w:val="000000"/>
                <w:sz w:val="17"/>
              </w:rPr>
              <w:t>30.9%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6.56% (Moyenne) — μ=8,775 FCFA, σ=575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β=0.7879 (Défensif) — Cov=0.000054, Var(idx)=0.000069, ρ=0.332,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10,940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6976"/>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2026-09-30</w:t>
            </w:r>
          </w:p>
        </w:tc>
        <w:tc>
          <w:tcPr>
            <w:tcW w:type="dxa" w:w="1440"/>
            <w:shd w:fill="FAFAFA" w:val="clear"/>
          </w:tcPr>
          <w:p>
            <w:r>
              <w:rPr>
                <w:sz w:val="17"/>
              </w:rPr>
              <w:t>8,786</w:t>
            </w:r>
          </w:p>
        </w:tc>
        <w:tc>
          <w:tcPr>
            <w:tcW w:type="dxa" w:w="1440"/>
            <w:shd w:fill="FAFAFA" w:val="clear"/>
          </w:tcPr>
          <w:p>
            <w:r>
              <w:rPr>
                <w:b/>
                <w:sz w:val="17"/>
              </w:rPr>
              <w:t>9,062</w:t>
            </w:r>
          </w:p>
        </w:tc>
        <w:tc>
          <w:tcPr>
            <w:tcW w:type="dxa" w:w="1440"/>
            <w:shd w:fill="FAFAFA" w:val="clear"/>
          </w:tcPr>
          <w:p>
            <w:r>
              <w:rPr>
                <w:sz w:val="17"/>
              </w:rPr>
              <w:t>9,337</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2026-10-01</w:t>
            </w:r>
          </w:p>
        </w:tc>
        <w:tc>
          <w:tcPr>
            <w:tcW w:type="dxa" w:w="1440"/>
            <w:shd w:fill="FAFAFA" w:val="clear"/>
          </w:tcPr>
          <w:p>
            <w:r>
              <w:rPr>
                <w:sz w:val="17"/>
              </w:rPr>
              <w:t>8,595</w:t>
            </w:r>
          </w:p>
        </w:tc>
        <w:tc>
          <w:tcPr>
            <w:tcW w:type="dxa" w:w="1440"/>
            <w:shd w:fill="FAFAFA" w:val="clear"/>
          </w:tcPr>
          <w:p>
            <w:r>
              <w:rPr>
                <w:b/>
                <w:sz w:val="17"/>
              </w:rPr>
              <w:t>8,982</w:t>
            </w:r>
          </w:p>
        </w:tc>
        <w:tc>
          <w:tcPr>
            <w:tcW w:type="dxa" w:w="1440"/>
            <w:shd w:fill="FAFAFA" w:val="clear"/>
          </w:tcPr>
          <w:p>
            <w:r>
              <w:rPr>
                <w:sz w:val="17"/>
              </w:rPr>
              <w:t>9,368</w:t>
            </w:r>
          </w:p>
        </w:tc>
        <w:tc>
          <w:tcPr>
            <w:tcW w:type="dxa" w:w="1440"/>
            <w:shd w:fill="FAFAFA" w:val="clear"/>
          </w:tcPr>
          <w:p>
            <w:r>
              <w:rPr>
                <w:b/>
                <w:color w:val="C00000"/>
                <w:sz w:val="17"/>
              </w:rPr>
              <w:t>-1.8%</w:t>
            </w:r>
          </w:p>
        </w:tc>
      </w:tr>
      <w:tr>
        <w:tc>
          <w:tcPr>
            <w:tcW w:type="dxa" w:w="1440"/>
            <w:shd w:fill="FFDCE0" w:val="clear"/>
          </w:tcPr>
          <w:p>
            <w:r>
              <w:rPr>
                <w:sz w:val="17"/>
              </w:rPr>
              <w:t>J+3  ⭐⭐⭐</w:t>
            </w:r>
          </w:p>
        </w:tc>
        <w:tc>
          <w:tcPr>
            <w:tcW w:type="dxa" w:w="1440"/>
            <w:shd w:fill="FFDCE0" w:val="clear"/>
          </w:tcPr>
          <w:p>
            <w:r>
              <w:rPr>
                <w:sz w:val="17"/>
              </w:rPr>
              <w:t>2026-10-02</w:t>
            </w:r>
          </w:p>
        </w:tc>
        <w:tc>
          <w:tcPr>
            <w:tcW w:type="dxa" w:w="1440"/>
            <w:shd w:fill="FFDCE0" w:val="clear"/>
          </w:tcPr>
          <w:p>
            <w:r>
              <w:rPr>
                <w:sz w:val="17"/>
              </w:rPr>
              <w:t>8,434</w:t>
            </w:r>
          </w:p>
        </w:tc>
        <w:tc>
          <w:tcPr>
            <w:tcW w:type="dxa" w:w="1440"/>
            <w:shd w:fill="FFDCE0" w:val="clear"/>
          </w:tcPr>
          <w:p>
            <w:r>
              <w:rPr>
                <w:b/>
                <w:sz w:val="17"/>
              </w:rPr>
              <w:t>8,903</w:t>
            </w:r>
          </w:p>
        </w:tc>
        <w:tc>
          <w:tcPr>
            <w:tcW w:type="dxa" w:w="1440"/>
            <w:shd w:fill="FFDCE0" w:val="clear"/>
          </w:tcPr>
          <w:p>
            <w:r>
              <w:rPr>
                <w:sz w:val="17"/>
              </w:rPr>
              <w:t>9,371</w:t>
            </w:r>
          </w:p>
        </w:tc>
        <w:tc>
          <w:tcPr>
            <w:tcW w:type="dxa" w:w="1440"/>
            <w:shd w:fill="FFDCE0" w:val="clear"/>
          </w:tcPr>
          <w:p>
            <w:r>
              <w:rPr>
                <w:b/>
                <w:color w:val="C00000"/>
                <w:sz w:val="17"/>
              </w:rPr>
              <w:t>-2.7%</w:t>
            </w:r>
          </w:p>
        </w:tc>
      </w:tr>
      <w:tr>
        <w:tc>
          <w:tcPr>
            <w:tcW w:type="dxa" w:w="1440"/>
            <w:shd w:fill="FFDCE0" w:val="clear"/>
          </w:tcPr>
          <w:p>
            <w:r>
              <w:rPr>
                <w:sz w:val="17"/>
              </w:rPr>
              <w:t>J+4  Moyenne</w:t>
            </w:r>
          </w:p>
        </w:tc>
        <w:tc>
          <w:tcPr>
            <w:tcW w:type="dxa" w:w="1440"/>
            <w:shd w:fill="FFDCE0" w:val="clear"/>
          </w:tcPr>
          <w:p>
            <w:r>
              <w:rPr>
                <w:sz w:val="17"/>
              </w:rPr>
              <w:t>2026-10-05</w:t>
            </w:r>
          </w:p>
        </w:tc>
        <w:tc>
          <w:tcPr>
            <w:tcW w:type="dxa" w:w="1440"/>
            <w:shd w:fill="FFDCE0" w:val="clear"/>
          </w:tcPr>
          <w:p>
            <w:r>
              <w:rPr>
                <w:sz w:val="17"/>
              </w:rPr>
              <w:t>8,294</w:t>
            </w:r>
          </w:p>
        </w:tc>
        <w:tc>
          <w:tcPr>
            <w:tcW w:type="dxa" w:w="1440"/>
            <w:shd w:fill="FFDCE0" w:val="clear"/>
          </w:tcPr>
          <w:p>
            <w:r>
              <w:rPr>
                <w:b/>
                <w:sz w:val="17"/>
              </w:rPr>
              <w:t>8,831</w:t>
            </w:r>
          </w:p>
        </w:tc>
        <w:tc>
          <w:tcPr>
            <w:tcW w:type="dxa" w:w="1440"/>
            <w:shd w:fill="FFDCE0" w:val="clear"/>
          </w:tcPr>
          <w:p>
            <w:r>
              <w:rPr>
                <w:sz w:val="17"/>
              </w:rPr>
              <w:t>9,368</w:t>
            </w:r>
          </w:p>
        </w:tc>
        <w:tc>
          <w:tcPr>
            <w:tcW w:type="dxa" w:w="1440"/>
            <w:shd w:fill="FFDCE0" w:val="clear"/>
          </w:tcPr>
          <w:p>
            <w:r>
              <w:rPr>
                <w:b/>
                <w:color w:val="C00000"/>
                <w:sz w:val="17"/>
              </w:rPr>
              <w:t>-3.5%</w:t>
            </w:r>
          </w:p>
        </w:tc>
      </w:tr>
      <w:tr>
        <w:tc>
          <w:tcPr>
            <w:tcW w:type="dxa" w:w="1440"/>
            <w:shd w:fill="FFDCE0" w:val="clear"/>
          </w:tcPr>
          <w:p>
            <w:r>
              <w:rPr>
                <w:sz w:val="17"/>
              </w:rPr>
              <w:t>J+5  Moyenne</w:t>
            </w:r>
          </w:p>
        </w:tc>
        <w:tc>
          <w:tcPr>
            <w:tcW w:type="dxa" w:w="1440"/>
            <w:shd w:fill="FFDCE0" w:val="clear"/>
          </w:tcPr>
          <w:p>
            <w:r>
              <w:rPr>
                <w:sz w:val="17"/>
              </w:rPr>
              <w:t>2026-10-06</w:t>
            </w:r>
          </w:p>
        </w:tc>
        <w:tc>
          <w:tcPr>
            <w:tcW w:type="dxa" w:w="1440"/>
            <w:shd w:fill="FFDCE0" w:val="clear"/>
          </w:tcPr>
          <w:p>
            <w:r>
              <w:rPr>
                <w:sz w:val="17"/>
              </w:rPr>
              <w:t>8,172</w:t>
            </w:r>
          </w:p>
        </w:tc>
        <w:tc>
          <w:tcPr>
            <w:tcW w:type="dxa" w:w="1440"/>
            <w:shd w:fill="FFDCE0" w:val="clear"/>
          </w:tcPr>
          <w:p>
            <w:r>
              <w:rPr>
                <w:b/>
                <w:sz w:val="17"/>
              </w:rPr>
              <w:t>8,768</w:t>
            </w:r>
          </w:p>
        </w:tc>
        <w:tc>
          <w:tcPr>
            <w:tcW w:type="dxa" w:w="1440"/>
            <w:shd w:fill="FFDCE0" w:val="clear"/>
          </w:tcPr>
          <w:p>
            <w:r>
              <w:rPr>
                <w:sz w:val="17"/>
              </w:rPr>
              <w:t>9,365</w:t>
            </w:r>
          </w:p>
        </w:tc>
        <w:tc>
          <w:tcPr>
            <w:tcW w:type="dxa" w:w="1440"/>
            <w:shd w:fill="FFDCE0" w:val="clear"/>
          </w:tcPr>
          <w:p>
            <w:r>
              <w:rPr>
                <w:b/>
                <w:color w:val="C00000"/>
                <w:sz w:val="17"/>
              </w:rPr>
              <w:t>-4.2%</w:t>
            </w:r>
          </w:p>
        </w:tc>
      </w:tr>
      <w:tr>
        <w:tc>
          <w:tcPr>
            <w:tcW w:type="dxa" w:w="1440"/>
            <w:shd w:fill="FFDCE0" w:val="clear"/>
          </w:tcPr>
          <w:p>
            <w:r>
              <w:rPr>
                <w:sz w:val="17"/>
              </w:rPr>
              <w:t>J+6  Moyenne</w:t>
            </w:r>
          </w:p>
        </w:tc>
        <w:tc>
          <w:tcPr>
            <w:tcW w:type="dxa" w:w="1440"/>
            <w:shd w:fill="FFDCE0" w:val="clear"/>
          </w:tcPr>
          <w:p>
            <w:r>
              <w:rPr>
                <w:sz w:val="17"/>
              </w:rPr>
              <w:t>2026-10-07</w:t>
            </w:r>
          </w:p>
        </w:tc>
        <w:tc>
          <w:tcPr>
            <w:tcW w:type="dxa" w:w="1440"/>
            <w:shd w:fill="FFDCE0" w:val="clear"/>
          </w:tcPr>
          <w:p>
            <w:r>
              <w:rPr>
                <w:sz w:val="17"/>
              </w:rPr>
              <w:t>8,063</w:t>
            </w:r>
          </w:p>
        </w:tc>
        <w:tc>
          <w:tcPr>
            <w:tcW w:type="dxa" w:w="1440"/>
            <w:shd w:fill="FFDCE0" w:val="clear"/>
          </w:tcPr>
          <w:p>
            <w:r>
              <w:rPr>
                <w:b/>
                <w:sz w:val="17"/>
              </w:rPr>
              <w:t>8,712</w:t>
            </w:r>
          </w:p>
        </w:tc>
        <w:tc>
          <w:tcPr>
            <w:tcW w:type="dxa" w:w="1440"/>
            <w:shd w:fill="FFDCE0" w:val="clear"/>
          </w:tcPr>
          <w:p>
            <w:r>
              <w:rPr>
                <w:sz w:val="17"/>
              </w:rPr>
              <w:t>9,361</w:t>
            </w:r>
          </w:p>
        </w:tc>
        <w:tc>
          <w:tcPr>
            <w:tcW w:type="dxa" w:w="1440"/>
            <w:shd w:fill="FFDCE0" w:val="clear"/>
          </w:tcPr>
          <w:p>
            <w:r>
              <w:rPr>
                <w:b/>
                <w:color w:val="C00000"/>
                <w:sz w:val="17"/>
              </w:rPr>
              <w:t>-4.8%</w:t>
            </w:r>
          </w:p>
        </w:tc>
      </w:tr>
      <w:tr>
        <w:tc>
          <w:tcPr>
            <w:tcW w:type="dxa" w:w="1440"/>
            <w:shd w:fill="FFDCE0" w:val="clear"/>
          </w:tcPr>
          <w:p>
            <w:r>
              <w:rPr>
                <w:sz w:val="17"/>
              </w:rPr>
              <w:t>J+7  Moyenne</w:t>
            </w:r>
          </w:p>
        </w:tc>
        <w:tc>
          <w:tcPr>
            <w:tcW w:type="dxa" w:w="1440"/>
            <w:shd w:fill="FFDCE0" w:val="clear"/>
          </w:tcPr>
          <w:p>
            <w:r>
              <w:rPr>
                <w:sz w:val="17"/>
              </w:rPr>
              <w:t>2026-10-08</w:t>
            </w:r>
          </w:p>
        </w:tc>
        <w:tc>
          <w:tcPr>
            <w:tcW w:type="dxa" w:w="1440"/>
            <w:shd w:fill="FFDCE0" w:val="clear"/>
          </w:tcPr>
          <w:p>
            <w:r>
              <w:rPr>
                <w:sz w:val="17"/>
              </w:rPr>
              <w:t>7,964</w:t>
            </w:r>
          </w:p>
        </w:tc>
        <w:tc>
          <w:tcPr>
            <w:tcW w:type="dxa" w:w="1440"/>
            <w:shd w:fill="FFDCE0" w:val="clear"/>
          </w:tcPr>
          <w:p>
            <w:r>
              <w:rPr>
                <w:b/>
                <w:sz w:val="17"/>
              </w:rPr>
              <w:t>8,661</w:t>
            </w:r>
          </w:p>
        </w:tc>
        <w:tc>
          <w:tcPr>
            <w:tcW w:type="dxa" w:w="1440"/>
            <w:shd w:fill="FFDCE0" w:val="clear"/>
          </w:tcPr>
          <w:p>
            <w:r>
              <w:rPr>
                <w:sz w:val="17"/>
              </w:rPr>
              <w:t>9,358</w:t>
            </w:r>
          </w:p>
        </w:tc>
        <w:tc>
          <w:tcPr>
            <w:tcW w:type="dxa" w:w="1440"/>
            <w:shd w:fill="FFDCE0" w:val="clear"/>
          </w:tcPr>
          <w:p>
            <w:r>
              <w:rPr>
                <w:b/>
                <w:color w:val="C00000"/>
                <w:sz w:val="17"/>
              </w:rPr>
              <w:t>-5.3%</w:t>
            </w:r>
          </w:p>
        </w:tc>
      </w:tr>
      <w:tr>
        <w:tc>
          <w:tcPr>
            <w:tcW w:type="dxa" w:w="1440"/>
            <w:shd w:fill="FFDCE0" w:val="clear"/>
          </w:tcPr>
          <w:p>
            <w:r>
              <w:rPr>
                <w:sz w:val="17"/>
              </w:rPr>
              <w:t>J+8  Moyenne</w:t>
            </w:r>
          </w:p>
        </w:tc>
        <w:tc>
          <w:tcPr>
            <w:tcW w:type="dxa" w:w="1440"/>
            <w:shd w:fill="FFDCE0" w:val="clear"/>
          </w:tcPr>
          <w:p>
            <w:r>
              <w:rPr>
                <w:sz w:val="17"/>
              </w:rPr>
              <w:t>2026-10-09</w:t>
            </w:r>
          </w:p>
        </w:tc>
        <w:tc>
          <w:tcPr>
            <w:tcW w:type="dxa" w:w="1440"/>
            <w:shd w:fill="FFDCE0" w:val="clear"/>
          </w:tcPr>
          <w:p>
            <w:r>
              <w:rPr>
                <w:sz w:val="17"/>
              </w:rPr>
              <w:t>7,873</w:t>
            </w:r>
          </w:p>
        </w:tc>
        <w:tc>
          <w:tcPr>
            <w:tcW w:type="dxa" w:w="1440"/>
            <w:shd w:fill="FFDCE0" w:val="clear"/>
          </w:tcPr>
          <w:p>
            <w:r>
              <w:rPr>
                <w:b/>
                <w:sz w:val="17"/>
              </w:rPr>
              <w:t>8,614</w:t>
            </w:r>
          </w:p>
        </w:tc>
        <w:tc>
          <w:tcPr>
            <w:tcW w:type="dxa" w:w="1440"/>
            <w:shd w:fill="FFDCE0" w:val="clear"/>
          </w:tcPr>
          <w:p>
            <w:r>
              <w:rPr>
                <w:sz w:val="17"/>
              </w:rPr>
              <w:t>9,355</w:t>
            </w:r>
          </w:p>
        </w:tc>
        <w:tc>
          <w:tcPr>
            <w:tcW w:type="dxa" w:w="1440"/>
            <w:shd w:fill="FFDCE0" w:val="clear"/>
          </w:tcPr>
          <w:p>
            <w:r>
              <w:rPr>
                <w:b/>
                <w:color w:val="C00000"/>
                <w:sz w:val="17"/>
              </w:rPr>
              <w:t>-5.9%</w:t>
            </w:r>
          </w:p>
        </w:tc>
      </w:tr>
      <w:tr>
        <w:tc>
          <w:tcPr>
            <w:tcW w:type="dxa" w:w="1440"/>
            <w:shd w:fill="FFDCE0" w:val="clear"/>
          </w:tcPr>
          <w:p>
            <w:r>
              <w:rPr>
                <w:sz w:val="17"/>
              </w:rPr>
              <w:t>J+9  Moyenne</w:t>
            </w:r>
          </w:p>
        </w:tc>
        <w:tc>
          <w:tcPr>
            <w:tcW w:type="dxa" w:w="1440"/>
            <w:shd w:fill="FFDCE0" w:val="clear"/>
          </w:tcPr>
          <w:p>
            <w:r>
              <w:rPr>
                <w:sz w:val="17"/>
              </w:rPr>
              <w:t>2026-10-12</w:t>
            </w:r>
          </w:p>
        </w:tc>
        <w:tc>
          <w:tcPr>
            <w:tcW w:type="dxa" w:w="1440"/>
            <w:shd w:fill="FFDCE0" w:val="clear"/>
          </w:tcPr>
          <w:p>
            <w:r>
              <w:rPr>
                <w:sz w:val="17"/>
              </w:rPr>
              <w:t>7,789</w:t>
            </w:r>
          </w:p>
        </w:tc>
        <w:tc>
          <w:tcPr>
            <w:tcW w:type="dxa" w:w="1440"/>
            <w:shd w:fill="FFDCE0" w:val="clear"/>
          </w:tcPr>
          <w:p>
            <w:r>
              <w:rPr>
                <w:b/>
                <w:sz w:val="17"/>
              </w:rPr>
              <w:t>8,571</w:t>
            </w:r>
          </w:p>
        </w:tc>
        <w:tc>
          <w:tcPr>
            <w:tcW w:type="dxa" w:w="1440"/>
            <w:shd w:fill="FFDCE0" w:val="clear"/>
          </w:tcPr>
          <w:p>
            <w:r>
              <w:rPr>
                <w:sz w:val="17"/>
              </w:rPr>
              <w:t>9,352</w:t>
            </w:r>
          </w:p>
        </w:tc>
        <w:tc>
          <w:tcPr>
            <w:tcW w:type="dxa" w:w="1440"/>
            <w:shd w:fill="FFDCE0" w:val="clear"/>
          </w:tcPr>
          <w:p>
            <w:r>
              <w:rPr>
                <w:b/>
                <w:color w:val="C00000"/>
                <w:sz w:val="17"/>
              </w:rPr>
              <w:t>-6.3%</w:t>
            </w:r>
          </w:p>
        </w:tc>
      </w:tr>
      <w:tr>
        <w:tc>
          <w:tcPr>
            <w:tcW w:type="dxa" w:w="1440"/>
            <w:shd w:fill="FFDCE0" w:val="clear"/>
          </w:tcPr>
          <w:p>
            <w:r>
              <w:rPr>
                <w:sz w:val="17"/>
              </w:rPr>
              <w:t>J+10  Moyenne</w:t>
            </w:r>
          </w:p>
        </w:tc>
        <w:tc>
          <w:tcPr>
            <w:tcW w:type="dxa" w:w="1440"/>
            <w:shd w:fill="FFDCE0" w:val="clear"/>
          </w:tcPr>
          <w:p>
            <w:r>
              <w:rPr>
                <w:sz w:val="17"/>
              </w:rPr>
              <w:t>2026-10-13</w:t>
            </w:r>
          </w:p>
        </w:tc>
        <w:tc>
          <w:tcPr>
            <w:tcW w:type="dxa" w:w="1440"/>
            <w:shd w:fill="FFDCE0" w:val="clear"/>
          </w:tcPr>
          <w:p>
            <w:r>
              <w:rPr>
                <w:sz w:val="17"/>
              </w:rPr>
              <w:t>7,710</w:t>
            </w:r>
          </w:p>
        </w:tc>
        <w:tc>
          <w:tcPr>
            <w:tcW w:type="dxa" w:w="1440"/>
            <w:shd w:fill="FFDCE0" w:val="clear"/>
          </w:tcPr>
          <w:p>
            <w:r>
              <w:rPr>
                <w:b/>
                <w:sz w:val="17"/>
              </w:rPr>
              <w:t>8,530</w:t>
            </w:r>
          </w:p>
        </w:tc>
        <w:tc>
          <w:tcPr>
            <w:tcW w:type="dxa" w:w="1440"/>
            <w:shd w:fill="FFDCE0" w:val="clear"/>
          </w:tcPr>
          <w:p>
            <w:r>
              <w:rPr>
                <w:sz w:val="17"/>
              </w:rPr>
              <w:t>9,350</w:t>
            </w:r>
          </w:p>
        </w:tc>
        <w:tc>
          <w:tcPr>
            <w:tcW w:type="dxa" w:w="1440"/>
            <w:shd w:fill="FFDCE0" w:val="clear"/>
          </w:tcPr>
          <w:p>
            <w:r>
              <w:rPr>
                <w:b/>
                <w:color w:val="C00000"/>
                <w:sz w:val="17"/>
              </w:rPr>
              <w:t>-6.8%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 RAPPORT D'ANALYSE FINANCIÈRE — SIBC (Société Ivoirienne de Banque)</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915,00 milliards FCFA, la SIBC s'impose comme l'une des toutes premières capitalisations de la BRVM, ce qui en fait une valeur de premier plan pour les investisseurs institutionnels régionaux. Le BPA de 556 FCFA/action signifie que chaque titre génère un bénéfice net de 556 FCFA, ce qui, rapporté au cours actuel de 9 150 FCFA, donne un PER de 16,5x — un niveau modéré mais supérieur à la moyenne du marché BRVM (généralement 8-12x), traduisant une prime de qualité consentie par le marché. Le P/B de 4,47x indique que le marché valorise la banque à plus de quatre fois sa valeur comptable, une prime exigeante qui reflète la forte rentabilité des fonds propres (ROE de 27,16%) mais qui laisse peu de marge d'erreur. Enfin, l'EV/EBITDA de 15,3x, très exigeant, suggère que la valeur d'entreprise intègre déjà une bonne partie des performances opérationnelles attendues, ce qui limite le potentiel de revalorisation à court terme sans nouvelle surprise positive.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SIBC a enregistré une progression remarquable de +29,79%, avec une dernière séance en hausse de +1,61%, confirmant une dynamique haussière soutenue. Le cours a évolué dans un range de 2 450 FCFA, entre un plus bas de 7 050 FCFA et un plus haut de 9 500 FCFA, le cours actuel de 9 150 FCFA se situant à environ 96% du plus haut, ce qui témoigne d'une forte pression acheteuse. La moyenne (8 775 FCFA) est inférieure à la médiane (8 910 FCFA), signe d'une asymétrie négative confirmée par le skewness de -1,685 : le cours a passé plus de journées au-dessus de sa moyenne, avec quelques journées de forte baisse tirant la moyenne vers le bas. L'écart-type de 578 FCFA et le coefficient de variation de 6,6% indiquent une dispersion modérée du cours autour de sa tendance, tandis que le kurtosis de 1,944 (leptokurtique) signale des queues épaisses, donc un risque de pics de volatilité brutaux. La volatilité annualisée de 30,9% positionne le titre dans la catégorie des valeurs à volatilité élevée (&gt;30%), ce qui implique un risque de correction significatif malgré la tendance haussière actuelle.</w:t>
      </w:r>
    </w:p>
    <w:p>
      <w:pPr>
        <w:spacing w:after="120" w:line="276" w:lineRule="auto"/>
      </w:pPr>
      <w:r>
        <w:t>---</w:t>
      </w:r>
    </w:p>
    <w:p>
      <w:pPr>
        <w:spacing w:after="120" w:line="276" w:lineRule="auto"/>
      </w:pPr>
      <w:r>
        <w:t>## PARTIE 2 : ANALYSE TECHNIQUE DÉTAILLÉE</w:t>
      </w:r>
    </w:p>
    <w:p>
      <w:pPr>
        <w:spacing w:after="120" w:line="276" w:lineRule="auto"/>
      </w:pPr>
      <w:r>
        <w:t>**Moyennes Mobiles :** La MM20 (9 141,25 FCFA) et la MM50 (9 104,30 FCFA) se situent toutes deux sous le cours actuel (9 150 FCFA), avec la MM20 au-dessus de la MM50 — configuration haussière classique. Le cours évoluant au-dessus de ses deux moyennes, la décision technique est à l'**Achat**, bien que l'écart très faible entre cours et MM20 suggère une dynamique qui s'essouffle.</w:t>
      </w:r>
    </w:p>
    <w:p>
      <w:pPr>
        <w:spacing w:after="120" w:line="276" w:lineRule="auto"/>
      </w:pPr>
      <w:r>
        <w:t>**Bandes de Bollinger :** Le cours (9 150 FCFA) se situe dans la partie haute de la bande, entre la borne inférieure (8 771,53 FCFA) et la borne supérieure (9 510,97 FCFA), sans en atteindre les extrêmes. Cette position médiane-haute, couplée à une décision **Neutre**, indique une absence de signal directionnel fort : le marché est en phase de consolidation après la forte hausse.</w:t>
      </w:r>
    </w:p>
    <w:p>
      <w:pPr>
        <w:spacing w:after="120" w:line="276" w:lineRule="auto"/>
      </w:pPr>
      <w:r>
        <w:t>**MACD :** La valeur du MACD (-38,62) est inférieure à son signal (-20,127), et les deux sont en territoire négatif — configuration baissière. La décision **Vente** reflète un momentum négatif à court terme, suggérant que la dynamique haussière des 100 derniers jours marque le pas et qu'une correction est possible.</w:t>
      </w:r>
    </w:p>
    <w:p>
      <w:pPr>
        <w:spacing w:after="120" w:line="276" w:lineRule="auto"/>
      </w:pPr>
      <w:r>
        <w:t>**RSI :** À 47,761, le RSI se situe en zone neutre (30-70), légèrement sous le seuil de 50, ce qui indique un équilibre entre acheteurs et vendeurs sans pression excessive dans un sens ou dans l'autre. La décision **Neutre** confirme l'absence de signal de surachat ou de survente.</w:t>
      </w:r>
    </w:p>
    <w:p>
      <w:pPr>
        <w:spacing w:after="120" w:line="276" w:lineRule="auto"/>
      </w:pPr>
      <w:r>
        <w:t>**Stochastique :** Le %K (81,013) est supérieur au %D (68,565), mais les deux se situent en zone de surachat (&gt;80 pour le %K). Cette configuration, avec une décision **Vente**, suggère que le cours pourrait subir une pression baissière à court terme après avoir atteint des niveaux élevés.</w:t>
      </w:r>
    </w:p>
    <w:p>
      <w:pPr>
        <w:spacing w:after="120" w:line="276" w:lineRule="auto"/>
      </w:pPr>
      <w:r>
        <w:t>**Conclusion technique :** Les indicateurs sont divergents : les moyennes mobiles restent haussières (Achat) tandis que le MACD et le stochastique signalent une Vente, et le RSI/Bollinger sont neutres. Cette divergence indique une phase de transition où la tendance haussière s'essouffle sans pour autant se retourner franchement. La prudence est de mise à court terme, avec un risque de consolidation voire de correction modérée.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SIBC affiche un Produit Net Bancaire (PNB) de 108,663 milliards FCFA, un résultat net de 55,623 milliards FCFA, un ROE exceptionnel de 27,16% et un ROA de 2,96%. Le coefficient d'exploitation de 38,59% — très inférieur au seuil de 60% — témoigne d'une efficacité opérationnelle remarquable, parmi les meilleures du secteur bancaire UEMOA. La marge nette de 51,19% et la marge opérationnelle de 58,06% confirment la robustesse du modèle. Le ratio dépôts/crédits s'établit à 1 503,441 Mds FCFA de dépôts clientèle pour 1 226,720 Mds FCFA de créances clientèle, soit un taux de transformation de 81,6%, indiquant une bonne capacité à recycler les dépôts en crédits. Le coût du risque, bien que libellé avec une valeur aberrante dans les données (3,639 milliards%), doit être interprété avec prudence : les provisions de 14,124 Mds FCFA rapportées aux charges financières de 16,320 Mds FCFA suggèrent un coût du risque maîtrisé mais non nul.</w:t>
      </w:r>
    </w:p>
    <w:p>
      <w:pPr>
        <w:spacing w:after="120" w:line="276" w:lineRule="auto"/>
      </w:pPr>
      <w:r>
        <w:t>**Estimations basées sur les rapports trimestriels :** Le rapport du **T1 2026 (publié le 07/05/2026)** indique un PNB de 27,7 Mds FCFA (+4%) et un résultat net de 15,2 Mds FCFA (+11%), avec une marge nette de 54,9%. Le rapport du **S1 2026 (publié le 29/09/2026)** confirme cette tendance avec un PNB de 56,592 Mds FCFA (+4,2%) et un résultat net de 32,140 Mds FCFA (+9,3%), ainsi qu'une forte amélioration du coût du risque (-75,3% à 287 M FCFA). Sur la base de ces performances semestrielles, on peut estimer que l'exercice 2026 devrait afficher un PNB annuel d'environ 113-115 Mds FCFA (+4-6%) et un résultat net de l'ordre de 64-66 Mds FCFA (+15-18%), confirmant la trajectoire de croissance rentable. Le rapport annuel 2024 (publié le 31/12/2024) faisait état d'un PNB de 102,8 Mds FCFA (+8%) et d'un résultat net de 50,2 Mds FCFA (+15%), avec un ROE de 30,56% et un dividende brut de 375 FCFA/action (rendement ~10,55% sur la base du cours de fin 2024).</w:t>
      </w:r>
    </w:p>
    <w:p>
      <w:pPr>
        <w:spacing w:after="120" w:line="276" w:lineRule="auto"/>
      </w:pPr>
      <w:r>
        <w:t>**Recommandation fondamentale :** La SIBC présente des fondamentaux solides — croissance régulière du PNB, rentabilité élevée, efficacité opérationnelle exceptionnelle et solvabilité confortable (&gt;11,5%). Les risques identifiés incluent la concurrence bancaire accrue, la dépendance à la conjoncture ivoirienne et l'absence de visibilité sur la politique de dividende pour 2026. La recommandation fondamentale est **CONSERVER avec biais positif**, en attendant la publication des résultats annuels 2026 qui devrait clarifier la distribution.</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mitigé : le PER de 16,5x est modéré mais supérieur à la moyenne du marché, tandis que le P/B de 4,47x et l'EV/EBITDA de 15,3x traduisent une prime exigeante qui intègre déjà les bonnes performances. Le comportement du cours (Partie 1) est haussier sur 100 jours (+29,79%) mais les statistiques révèlent une asymétrie négative (skewness -1,685) et un risque de pics (kurtosis 1,944), avec une volatilité élevée (30,9%) qui appelle à la prudence. Les signaux techniques (Partie 2) sont divergents : les moyennes mobiles restent haussières mais le MACD et le stochastique signalent une Vente, tandis que le RSI et les Bollinger sont neutres — configuration de consolidation. Les fondamentaux (Partie 3) sont solides : ROE de 27,16%, coefficient d'exploitation de 38,59%, croissance du résultat net de +9,3% au S1 2026, et perspectives favorables pour l'exercice 2026. Les prédictions IA (J+1 à J+10) anticipent une baisse progressive de 9 062 FCFA à 8 768 FCFA, soit une correction d'environ -4,2% sur 10 jours, ce qui contredit la tendance haussière récente mais confirme les signaux techniques baissiers à court terme.</w:t>
      </w:r>
    </w:p>
    <w:p>
      <w:pPr>
        <w:spacing w:after="120" w:line="276" w:lineRule="auto"/>
      </w:pPr>
      <w:r>
        <w:t>**Recommandation finale : CONSERVER**</w:t>
        <w:br/>
        <w:t>La convergence entre une valorisation exigeante, des signaux techniques baissiers à court terme et des prédictions IA correctives suggère qu'une prise de bénéfices est probable après la forte hausse de +29,79%. Cependant, la solidité des fondamentaux et la croissance attendue du résultat net en 2026 justifient de conserver la position pour les investisseurs déjà exposés. **Niveau de confiance : Moyen** (divergence entre technique et fondamental). **Niveau de risque global : Moyen à Élevé** (volatilité de 30,9%, valorisation tendue). **Horizon d'investissement optimal : Moyen terme (3-12 mois)**, en attendant la publication des résultats annuels 2026 et une éventuelle correction pour renforcer la position à des niveaux plus attractifs (zone de 8 500-8 800 FCFA).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"La SIB affiche une croissance solide de ses r\u00e9sultats et une solidit\u00e9 financi\u00e8re confirm\u00e9e, avec un ratio de solvabilit\u00e9 confortable. Toutefois, l'absence d'information sur le dividende et la valorisation limite le potentiel d'achat \u00e0 court terme."}</w:t>
      </w:r>
    </w:p>
    <w:p>
      <w:pPr>
        <w:spacing w:before="40"/>
        <w:ind w:left="400"/>
      </w:pPr>
      <w:r>
        <w:rPr>
          <w:sz w:val="18"/>
        </w:rPr>
        <w:t>La Société Ivoirienne de Banque (SIB) a réalisé une performance solide au premier semestre 2026, avec un Produit Net Bancaire de 56,6 milliards FCFA en hausse de 4% et un Résultat Net de 32,1 milliards FCFA en progression de 9%. La dynamique commerciale est confirmée par une croissance de 12% des crédits à la clientèle (1 169 milliards FCFA) et des dépôts (1 581 milliards FCFA). La banque maintient une solidité financière avec un ratio de solvabilité bien supérieur au minimum réglementaire de 11,5%. Ces résultats ont été salués par une double distinction internationale aux International Banker Awards 2026. Pour le second semestre, la SIB entend poursuivre son plan stratégique en accélérant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'1 581 milliards FCFA', 'credits_clientele': '1 169 milliards FCFA', 'ratio_solvabilite': '&gt; 11,5%', 'produit_net_bancaire': '56,6 milliards FCFA', 'resultat_brut_exploitation': '36,6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1 968 296 millions FCFA</w:t>
            </w:r>
          </w:p>
        </w:tc>
      </w:tr>
      <w:tr>
        <w:tc>
          <w:tcPr>
            <w:tcW w:type="dxa" w:w="2160"/>
          </w:tcPr>
          <w:p>
            <w:r/>
            <w:r>
              <w:rPr>
                <w:b/>
                <w:sz w:val="16"/>
              </w:rPr>
              <w:t>resultat_net</w:t>
              <w:br/>
            </w:r>
            <w:r>
              <w:rPr>
                <w:sz w:val="18"/>
              </w:rPr>
              <w:t>32,1 milliards FCFA</w:t>
            </w:r>
          </w:p>
        </w:tc>
        <w:tc>
          <w:tcPr>
            <w:tcW w:type="dxa" w:w="2160"/>
          </w:tcPr>
          <w:p>
            <w:r/>
            <w:r>
              <w:rPr>
                <w:b/>
                <w:sz w:val="16"/>
              </w:rPr>
              <w:t>capitaux_propres</w:t>
              <w:br/>
            </w:r>
            <w:r>
              <w:rPr>
                <w:sz w:val="18"/>
              </w:rPr>
              <w:t>204 764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4% à 56,6 milliards FCFA</w:t>
      </w:r>
    </w:p>
    <w:p>
      <w:pPr>
        <w:pStyle w:val="ListBullet"/>
        <w:spacing w:before="20" w:after="20"/>
        <w:ind w:left="700"/>
      </w:pPr>
      <w:r>
        <w:rPr>
          <w:sz w:val="18"/>
        </w:rPr>
        <w:t>Résultat Net en progression de 9% à 32,1 milliards FCFA</w:t>
      </w:r>
    </w:p>
    <w:p>
      <w:pPr>
        <w:pStyle w:val="ListBullet"/>
        <w:spacing w:before="20" w:after="20"/>
        <w:ind w:left="700"/>
      </w:pPr>
      <w:r>
        <w:rPr>
          <w:sz w:val="18"/>
        </w:rPr>
        <w:t>Crédits à la clientèle en croissance de 12% à 1 169 milliards FCFA</w:t>
      </w:r>
    </w:p>
    <w:p>
      <w:pPr>
        <w:pStyle w:val="ListBullet"/>
        <w:spacing w:before="20" w:after="20"/>
        <w:ind w:left="700"/>
      </w:pPr>
      <w:r>
        <w:rPr>
          <w:sz w:val="18"/>
        </w:rPr>
        <w:t>Dépôts de la clientèle en hausse de 12% à 1 581 milliards FCFA</w:t>
      </w:r>
    </w:p>
    <w:p>
      <w:pPr>
        <w:pStyle w:val="ListBullet"/>
        <w:spacing w:before="20" w:after="20"/>
        <w:ind w:left="700"/>
      </w:pPr>
      <w:r>
        <w:rPr>
          <w:sz w:val="18"/>
        </w:rPr>
        <w:t>Résultat Brut d'Exploitation en augmentation de 6% à 36,6 milliards FCFA</w:t>
      </w:r>
    </w:p>
    <w:p>
      <w:pPr>
        <w:pStyle w:val="ListBullet"/>
        <w:spacing w:before="20" w:after="20"/>
        <w:ind w:left="700"/>
      </w:pPr>
      <w:r>
        <w:rPr>
          <w:sz w:val="18"/>
        </w:rPr>
        <w:t>Ratio de solvabilité largement supérieur au seuil réglementaire de 11,5%</w:t>
      </w:r>
    </w:p>
    <w:p>
      <w:pPr>
        <w:spacing w:before="40"/>
        <w:ind w:left="400"/>
      </w:pPr>
      <w:r>
        <w:rPr>
          <w:b/>
          <w:color w:val="C05000"/>
          <w:sz w:val="18"/>
        </w:rPr>
        <w:t xml:space="preserve">⚠️ Risques : </w:t>
      </w:r>
      <w:r>
        <w:rPr>
          <w:sz w:val="18"/>
        </w:rPr>
        <w:t>["Concurrence bancaire accrue dans un environnement de march\u00e9 exigeant", "Renforcement des standards r\u00e9glementaires pouvant impacter les co\u00fbts de conformit\u00e9", "Exposition \u00e0 des chocs exog\u00e8nes majeurs dans un environnement r\u00e9gional incertain"]</w:t>
      </w:r>
    </w:p>
    <w:p>
      <w:pPr>
        <w:spacing w:before="40"/>
        <w:ind w:left="400"/>
      </w:pPr>
      <w:r>
        <w:rPr>
          <w:b/>
          <w:color w:val="0064A0"/>
          <w:sz w:val="18"/>
        </w:rPr>
        <w:t xml:space="preserve">🔮 Perspectives : </w:t>
      </w:r>
      <w:r>
        <w:rPr>
          <w:sz w:val="18"/>
        </w:rPr>
        <w:t xml:space="preserve">Pour le second semestre 2026, la SIB poursuivra l'exécution de son plan stratégique en accélérant la modernisation de ses services et en renforçant ses standards de gouvernance. La banque bénéficie d'un environnement régional globalement porteur, sous réserve de l'absence de chocs exogènes majeurs.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
      <w:r>
        <w:t>════════════════════════════════════════════════════════════════════════════════</w:t>
      </w:r>
    </w:p>
    <w:p>
      <w:r>
        <w:br w:type="page"/>
      </w:r>
    </w:p>
    <w:p>
      <w:pPr>
        <w:pStyle w:val="Heading2"/>
        <w:spacing w:before="360"/>
      </w:pPr>
      <w:r>
        <w:rPr>
          <w:color w:val="0066CC"/>
        </w:rPr>
        <w:t>36.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β=-1.0095 (Contre-cyclique) — Cov=-0.000038, Var(idx)=0.000037, ρ=-0.168, n=91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598627"/>
                    </a:xfrm>
                    <a:prstGeom prst="rect"/>
                  </pic:spPr>
                </pic:pic>
              </a:graphicData>
            </a:graphic>
          </wp:inline>
        </w:drawing>
      </w:r>
    </w:p>
    <w:p/>
    <w:p>
      <w:pPr>
        <w:spacing w:after="120" w:line="276" w:lineRule="auto"/>
      </w:pPr>
      <w:r>
        <w:t># RAPPORT D'ANALYSE FINANCIÈRE — ACTION SICC (SICOR)</w:t>
        <w:br/>
        <w:t>**Société Ivoirienne de Coco Râpé — BRVM | Date d'analyse :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SICC s'établit à **5,04 milliards FCFA**, un niveau modeste à l'échelle de la BRVM qui la classe parmi les petites capitalisations du compartiment agro-industriel. Les ratios de valorisation boursière (BPA, PER, P/B, EV/EBITDA) ne sont pas calculables en l'état, faute de données financières structurées exploitables dans la base (résultat net récent, capitaux propres, EBITDA). Cette absence est en soi un signal : elle traduit la faible couverture analytique du titre et l'irrégularité de la communication financière. Pour l'investisseur, cela signifie que la valorisation ne peut être appréciée qu'en croisant le cours actuel (8 400 FCFA) avec les derniers résultats publiés — un exercice d'autant plus délicat que la société sort d'une longue période de pertes cumulées. La prudence s'impose donc : sans PER ni P/B fiables, le titre se négocie davantage sur une dynamique spéculative que sur des fondamentaux vérifiables.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SICC affiche une **progression spectaculaire de +95,35%**, malgré un repli de **-1,12%** lors de la dernière séance. Le titre a évolué dans un range très large, entre un plus bas de **3 985 FCFA** et un plus haut de **10 200 FCFA**, pour un cours actuel de **8 400 FCFA** — soit à mi-chemin du range, ce qui suggère une consolidation après le pic. La tendance générale est donc nettement **haussière**, portée par un intérêt spéculatif marqué sur une valeur à faible flottant (volume moyen de seulement **120 titres/jour**, très faible liquidité). Les statistiques descriptives révèlent une distribution asymétrique : la **moyenne (5 815 FCFA)** est supérieure à la **médiane (5 022 FCFA)**, elle-même supérieure au **mode (4 380 FCFA)**, confirmant un skewness positif de **0,913** — le cours a passé plus de journées sous la moyenne, avec des pics haussiers ponctuels. L'écart-type de **1 813 FCFA** et le **coefficient de variation de 31,2%** traduisent une dispersion élevée, tandis que le kurtosis de **-0,630** (mésokurtique) indique une distribution proche de la normale, sans pics extrêmes fréquents. Enfin, la **volatilité annualisée de 58,2%** classe le titre dans la catégorie **très volatile** (&gt;30%), ce qui implique un risque de perte en capital important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(8 472,25 FCFA) et la MM50 (7 205,0 FCFA) sont toutes deux inférieures au cours actuel (8 400 FCFA) pour la MM50, mais la MM20 est légèrement au-dessus — signe que le titre consolide sous sa moyenne court terme. La configuration MM20 &gt; MM50 reste haussière (golden cross), justifiant la décision **Achat** malgré le tassement récent.</w:t>
      </w:r>
    </w:p>
    <w:p>
      <w:pPr>
        <w:spacing w:after="120" w:line="276" w:lineRule="auto"/>
      </w:pPr>
      <w:r>
        <w:t>**Bandes de Bollinger** : Le cours (8 400 FCFA) se situe entre la borne inférieure (7 354,78 FCFA) et la borne supérieure (9 589,72 FCFA), à environ 55% de la bande — position médiane. L'amplitude des bandes (≈2 235 FCFA) confirme une volatilité élevée. La décision **Neutre** reflète l'absence de signal directionnel clair : ni suracheté, ni survendu.</w:t>
      </w:r>
    </w:p>
    <w:p>
      <w:pPr>
        <w:spacing w:after="120" w:line="276" w:lineRule="auto"/>
      </w:pPr>
      <w:r>
        <w:t>**MACD** : La valeur du MACD (274,14) est **inférieure à son signal (366,43)**, générant un croisement baissier et une décision **Vente**. Le momentum haussier s'essouffle, ce qui suggère une possible correction à court terme après la forte hausse.</w:t>
      </w:r>
    </w:p>
    <w:p>
      <w:pPr>
        <w:spacing w:after="120" w:line="276" w:lineRule="auto"/>
      </w:pPr>
      <w:r>
        <w:t>**RSI** : À **61,16**, le RSI se situe en zone neutre haute (30-70), sans atteindre la zone de surachat (&gt;70). La décision **Neutre** indique que le titre conserve une marge de progression théorique, mais sans excès acheteur.</w:t>
      </w:r>
    </w:p>
    <w:p>
      <w:pPr>
        <w:spacing w:after="120" w:line="276" w:lineRule="auto"/>
      </w:pPr>
      <w:r>
        <w:t>**Stochastique** : Le %K (85,71) et le %D (94,76) sont tous deux en zone de surachat (&gt;80), avec un %K sous le %D — signal de retournement baissier. La décision **Vente** confirme la pression vendeuse naissante.</w:t>
      </w:r>
    </w:p>
    <w:p>
      <w:pPr>
        <w:spacing w:after="120" w:line="276" w:lineRule="auto"/>
      </w:pPr>
      <w:r>
        <w:t>**Conclusion technique** : Les indicateurs sont **divergents** — les moyennes mobiles restent haussières, mais le MACD et le stochastique émettent des signaux de vente, tandis que le RSI et les Bollinger sont neutres. Cette configuration suggère une **phase de consolidation voire de correction** après le rallye de +95%, avec un risque de repli vers la MM20 (8 472 FCFA) voire la borne inférieure des Bollinger (7 355 FCFA).</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récentes ne sont pas disponibles dans la base, mais les rapports officiels fournis permettent de retracer l'évolution de SICOR sur plusieurs exercices. **En 2022** (rapport analysé le 15/03/2026), le chiffre d'affaires s'établissait à **1 138,17 millions FCFA**, en baisse de 17,58% sur un an, pour une **perte nette de -39,95 millions FCFA** (marge nette de -3,51%) — inversion brutale après un bénéfice de 119,23 millions en 2021. **En 2023** (rapport analysé le 15/03/2026), le CA chute encore de 38,4% à **701,09 millions FCFA**, mais la société renoue avec un **bénéfice net de +19,25 millions FCFA** (marge nette de 2,75%) grâce à une réduction drastique des charges (-43,68%), notamment via le transfert de 50% du personnel vers la filiale SIPAL. Les **pertes cumulées restent toutefois élevées à 689,86 millions FCFA**, ce qui exclut toute distribution de dividende (conformément à l'Acte Uniforme OHADA) — aucun dividende versé depuis 2019. Le rapport le plus récent (exercice 2024, convoqué en AG le 22/05/2026) n'est pas encore exploitable dans les données fournies, mais la convocation indique l'approbation des comptes 2024 et la ratification d'un nouvel administrateur. Les rapports plus anciens (2015-2017) montrent une société historiquement rentable (résultat net de 100,57 millions en 2017, marge de 6,44%), avant une dégradation progressive. **Recommandation fondamentale** : la situation reste **fragile** — retour à la profitabilité en 2023 mais à un niveau très faible, trésorerie tendue (découverts bancaires multipliés par 14), dépendance aux cours du coprah et risques opérationnels (vols de noix de coco). Le redressement est réel mais lent, et l'absence de dividende pèse sur l'attractivité.</w:t>
      </w:r>
    </w:p>
    <w:p>
      <w:pPr>
        <w:spacing w:after="120" w:line="276" w:lineRule="auto"/>
      </w:pPr>
      <w:r>
        <w:t>---</w:t>
      </w:r>
    </w:p>
    <w:p>
      <w:pPr>
        <w:spacing w:after="120" w:line="276" w:lineRule="auto"/>
      </w:pPr>
      <w:r>
        <w:t>## PARTIE 4 : CONCLUSION D'INVESTISSEMENT</w:t>
      </w:r>
    </w:p>
    <w:p>
      <w:pPr>
        <w:spacing w:after="120" w:line="276" w:lineRule="auto"/>
      </w:pPr>
      <w:r>
        <w:t>La **valorisation** (Partie 0) reste opaque faute de ratios calculables, mais la capitalisation de 5,04 Mds FCFA pour une société à peine profitable suggère une **surévaluation relative** — le marché price davantage une spéculation qu'une création de valeur. Le **comportement du cours** (Partie 1) est exceptionnel (+95,35%) mais s'accompagne d'une volatilité très élevée (58,2%) et d'une distribution asymétrique positivement (skewness 0,913), typique d'un rallye spéculatif sur faible liquidité. Les **signaux techniques** (Partie 2) sont **divergents** : MM haussières mais MACD et stochastique en zone de vente, RSI et Bollinger neutres — configuration de consolidation voire de correction. Les **fondamentaux** (Partie 3) montrent un retour à la profitabilité en 2023 (+19,25 M FCFA) mais une situation encore fragile (pertes cumulées de 689,86 M FCFA, trésorerie tendue, aucun dividende). Aucune **prédiction IA** n'est disponible pour confirmer ou infirmer ces signaux. **Recommandation finale : CONSERVER** — le titre a déjà intégré une large part du redressement, et les signaux techniques à court terme plaident pour une pause. La convergence entre technique (correction probable) et fondamental (redressement lent) justifie une **confiance moyenne** et un **risque élevé** (volatilité, liquidité faible, absence de dividende). **Horizon optimal : moyen terme (3-12 mois)**, en surveillant la publication des comptes 2024 et la confirmation de la rentabilité en 2025 avant tout renforcement.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"La soci\u00e9t\u00e9 affiche une perte nette importante et des capitaux propres n\u00e9gatifs, avec une tr\u00e9sorerie n\u00e9gative. La situation financi\u00e8re est tr\u00e8s d\u00e9grad\u00e9e et pr\u00e9sente un risque \u00e9lev\u00e9 pour les investisseurs."}</w:t>
      </w:r>
    </w:p>
    <w:p>
      <w:pPr>
        <w:spacing w:before="40"/>
        <w:ind w:left="400"/>
      </w:pPr>
      <w:r>
        <w:rPr>
          <w:sz w:val="18"/>
        </w:rPr>
        <w:t>SICOR a réalisé un chiffre d'affaires de 1 936 644 069 FCFA en 2016, en hausse par rapport à 1 753 708 684 FCFA en 2015. Malgré cette croissance, la société a enregistré une perte nette de 348 996 972 FCFA en 2016, contre un bénéfice de 200 831 393 FCFA en 2015. La situation financière s'est dégradée avec des capitaux propres négatifs de -2 324 836 575 FCFA et un total bilan de 1 521 953 318 FCFA. La trésorerie est négative à -182 935 385 FCFA, et la capacité d'autofinancement est négative à -216 841 179 FCFA. Les commissaires aux comptes ont certifié les comptes, mais la société fait face à des difficultés financières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'-216 841 179 FCFA', 'tresorerie_actif': '-182 935 385 FCFA', 'resultat_financier': '-35 460 457 FCFA', 'resultat_exploitation': '-198 429 842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-18,02%</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-348 996 972 FCFA</w:t>
            </w:r>
          </w:p>
        </w:tc>
        <w:tc>
          <w:tcPr>
            <w:tcW w:type="dxa" w:w="2160"/>
          </w:tcPr>
          <w:p>
            <w:r/>
            <w:r>
              <w:rPr>
                <w:b/>
                <w:sz w:val="16"/>
              </w:rPr>
              <w:t>capitaux_propres</w:t>
              <w:br/>
            </w:r>
            <w:r>
              <w:rPr>
                <w:sz w:val="18"/>
              </w:rPr>
              <w:t>-2 324 836 575 FCFA</w:t>
            </w:r>
          </w:p>
        </w:tc>
        <w:tc>
          <w:tcPr>
            <w:tcW w:type="dxa" w:w="2160"/>
          </w:tcPr>
          <w:p>
            <w:r/>
            <w:r>
              <w:rPr>
                <w:b/>
                <w:sz w:val="16"/>
              </w:rPr>
              <w:t>chiffre_affaires</w:t>
              <w:br/>
            </w:r>
            <w:r>
              <w:rPr>
                <w:sz w:val="18"/>
              </w:rPr>
              <w:t>1 936 644 069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1 936 644 069 FCFA en 2016.</w:t>
      </w:r>
    </w:p>
    <w:p>
      <w:pPr>
        <w:pStyle w:val="ListBullet"/>
        <w:spacing w:before="20" w:after="20"/>
        <w:ind w:left="700"/>
      </w:pPr>
      <w:r>
        <w:rPr>
          <w:sz w:val="18"/>
        </w:rPr>
        <w:t>Résultat net négatif de -348 996 972 FCFA contre un bénéfice de 200 831 393 FCFA en 2015.</w:t>
      </w:r>
    </w:p>
    <w:p>
      <w:pPr>
        <w:pStyle w:val="ListBullet"/>
        <w:spacing w:before="20" w:after="20"/>
        <w:ind w:left="700"/>
      </w:pPr>
      <w:r>
        <w:rPr>
          <w:sz w:val="18"/>
        </w:rPr>
        <w:t>Capitaux propres négatifs de -2 324 836 575 FCFA.</w:t>
      </w:r>
    </w:p>
    <w:p>
      <w:pPr>
        <w:pStyle w:val="ListBullet"/>
        <w:spacing w:before="20" w:after="20"/>
        <w:ind w:left="700"/>
      </w:pPr>
      <w:r>
        <w:rPr>
          <w:sz w:val="18"/>
        </w:rPr>
        <w:t>Total bilan de 1 521 953 318 FCFA en 2016 contre 3 576 424 374 FCFA en 2015.</w:t>
      </w:r>
    </w:p>
    <w:p>
      <w:pPr>
        <w:pStyle w:val="ListBullet"/>
        <w:spacing w:before="20" w:after="20"/>
        <w:ind w:left="700"/>
      </w:pPr>
      <w:r>
        <w:rPr>
          <w:sz w:val="18"/>
        </w:rPr>
        <w:t>Trésorerie négative de -182 935 385 FCFA.</w:t>
      </w:r>
    </w:p>
    <w:p>
      <w:pPr>
        <w:pStyle w:val="ListBullet"/>
        <w:spacing w:before="20" w:after="20"/>
        <w:ind w:left="700"/>
      </w:pPr>
      <w:r>
        <w:rPr>
          <w:sz w:val="18"/>
        </w:rPr>
        <w:t>Capacité d'autofinancement négative de -216 841 179 FCFA.</w:t>
      </w:r>
    </w:p>
    <w:p>
      <w:pPr>
        <w:spacing w:before="40"/>
        <w:ind w:left="400"/>
      </w:pPr>
      <w:r>
        <w:rPr>
          <w:b/>
          <w:color w:val="C05000"/>
          <w:sz w:val="18"/>
        </w:rPr>
        <w:t xml:space="preserve">⚠️ Risques : </w:t>
      </w:r>
      <w:r>
        <w:rPr>
          <w:sz w:val="18"/>
        </w:rPr>
        <w:t>["Risque de faillite ou de liquidation en raison de capitaux propres n\u00e9gatifs.", "Risque de liquidit\u00e9 avec une tr\u00e9sorerie n\u00e9gative et une capacit\u00e9 d'autofinancement n\u00e9gative.", "Risque op\u00e9rationnel avec une perte nette malgr\u00e9 la croissance du chiffre d'affaire</w:t>
      </w:r>
    </w:p>
    <w:p>
      <w:pPr>
        <w:spacing w:before="40"/>
        <w:ind w:left="400"/>
      </w:pPr>
      <w:r>
        <w:rPr>
          <w:b/>
          <w:color w:val="0064A0"/>
          <w:sz w:val="18"/>
        </w:rPr>
        <w:t xml:space="preserve">🔮 Perspectives : </w:t>
      </w:r>
      <w:r>
        <w:rPr>
          <w:sz w:val="18"/>
        </w:rPr>
        <w:t>Les perspectives pour 2017 sont incertaines. La société doit restaurer sa rentabilité et sa structure financière pour éviter la cessation de paiement. Une recapitalisation ou une restructuration pourrait être nécessaire.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
      <w:r>
        <w:t>════════════════════════════════════════════════════════════════════════════════</w:t>
      </w:r>
    </w:p>
    <w:p>
      <w:r>
        <w:br w:type="page"/>
      </w:r>
    </w:p>
    <w:p>
      <w:pPr>
        <w:pStyle w:val="Heading2"/>
        <w:spacing w:before="360"/>
      </w:pPr>
      <w:r>
        <w:rPr>
          <w:color w:val="0066CC"/>
        </w:rPr>
        <w:t>37.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18.69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5,657 titres</w:t>
            </w:r>
          </w:p>
        </w:tc>
        <w:tc>
          <w:tcPr>
            <w:tcW w:type="dxa" w:w="2268"/>
            <w:shd w:fill="FFF2CC" w:val="clear"/>
          </w:tcPr>
          <w:p>
            <w:r>
              <w:rPr>
                <w:b/>
                <w:color w:val="503200"/>
                <w:sz w:val="16"/>
              </w:rPr>
              <w:t xml:space="preserve">Cours actuel : </w:t>
            </w:r>
            <w:r>
              <w:rPr>
                <w:color w:val="000000"/>
                <w:sz w:val="17"/>
              </w:rPr>
              <w:t>2,140 FCFA</w:t>
            </w:r>
          </w:p>
          <w:p>
            <w:r>
              <w:rPr>
                <w:b/>
                <w:color w:val="503200"/>
                <w:sz w:val="16"/>
              </w:rPr>
              <w:t xml:space="preserve">Var. 100 jours : </w:t>
            </w:r>
            <w:r>
              <w:rPr>
                <w:b/>
                <w:color w:val="B40000"/>
                <w:sz w:val="17"/>
              </w:rPr>
              <w:t>-23.84%</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17.0/100 → Faible</w:t>
      </w:r>
    </w:p>
    <w:p>
      <w:pPr>
        <w:spacing w:before="40" w:after="80"/>
      </w:pPr>
      <w:r>
        <w:rPr>
          <w:rFonts w:ascii="Courier New" w:hAnsi="Courier New"/>
          <w:color w:val="006400"/>
          <w:sz w:val="18"/>
        </w:rPr>
        <w:t>███░░░░░░░░░░░░░░░░░  17.0/100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11.49% (Moyenne) — μ=2,457 FCFA, σ=282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β=0.4713 (Défensif) — Cov=0.000032, Var(idx)=0.000069, ρ=0.119,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σ_j=3.33%/j (Modérée) — Vol. annualisée≈52.8%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16976"/>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2026-09-30</w:t>
            </w:r>
          </w:p>
        </w:tc>
        <w:tc>
          <w:tcPr>
            <w:tcW w:type="dxa" w:w="1440"/>
            <w:shd w:fill="FFDCE0" w:val="clear"/>
          </w:tcPr>
          <w:p>
            <w:r>
              <w:rPr>
                <w:sz w:val="17"/>
              </w:rPr>
              <w:t>1,931</w:t>
            </w:r>
          </w:p>
        </w:tc>
        <w:tc>
          <w:tcPr>
            <w:tcW w:type="dxa" w:w="1440"/>
            <w:shd w:fill="FFDCE0" w:val="clear"/>
          </w:tcPr>
          <w:p>
            <w:r>
              <w:rPr>
                <w:b/>
                <w:sz w:val="17"/>
              </w:rPr>
              <w:t>2,025</w:t>
            </w:r>
          </w:p>
        </w:tc>
        <w:tc>
          <w:tcPr>
            <w:tcW w:type="dxa" w:w="1440"/>
            <w:shd w:fill="FFDCE0" w:val="clear"/>
          </w:tcPr>
          <w:p>
            <w:r>
              <w:rPr>
                <w:sz w:val="17"/>
              </w:rPr>
              <w:t>2,120</w:t>
            </w:r>
          </w:p>
        </w:tc>
        <w:tc>
          <w:tcPr>
            <w:tcW w:type="dxa" w:w="1440"/>
            <w:shd w:fill="FFDCE0" w:val="clear"/>
          </w:tcPr>
          <w:p>
            <w:r>
              <w:rPr>
                <w:b/>
                <w:color w:val="C00000"/>
                <w:sz w:val="17"/>
              </w:rPr>
              <w:t>-5.4%</w:t>
            </w:r>
          </w:p>
        </w:tc>
      </w:tr>
      <w:tr>
        <w:tc>
          <w:tcPr>
            <w:tcW w:type="dxa" w:w="1440"/>
            <w:shd w:fill="FFDCE0" w:val="clear"/>
          </w:tcPr>
          <w:p>
            <w:r>
              <w:rPr>
                <w:sz w:val="17"/>
              </w:rPr>
              <w:t>J+2  ⭐</w:t>
            </w:r>
          </w:p>
        </w:tc>
        <w:tc>
          <w:tcPr>
            <w:tcW w:type="dxa" w:w="1440"/>
            <w:shd w:fill="FFDCE0" w:val="clear"/>
          </w:tcPr>
          <w:p>
            <w:r>
              <w:rPr>
                <w:sz w:val="17"/>
              </w:rPr>
              <w:t>2026-10-01</w:t>
            </w:r>
          </w:p>
        </w:tc>
        <w:tc>
          <w:tcPr>
            <w:tcW w:type="dxa" w:w="1440"/>
            <w:shd w:fill="FFDCE0" w:val="clear"/>
          </w:tcPr>
          <w:p>
            <w:r>
              <w:rPr>
                <w:sz w:val="17"/>
              </w:rPr>
              <w:t>1,893</w:t>
            </w:r>
          </w:p>
        </w:tc>
        <w:tc>
          <w:tcPr>
            <w:tcW w:type="dxa" w:w="1440"/>
            <w:shd w:fill="FFDCE0" w:val="clear"/>
          </w:tcPr>
          <w:p>
            <w:r>
              <w:rPr>
                <w:b/>
                <w:sz w:val="17"/>
              </w:rPr>
              <w:t>2,026</w:t>
            </w:r>
          </w:p>
        </w:tc>
        <w:tc>
          <w:tcPr>
            <w:tcW w:type="dxa" w:w="1440"/>
            <w:shd w:fill="FFDCE0" w:val="clear"/>
          </w:tcPr>
          <w:p>
            <w:r>
              <w:rPr>
                <w:sz w:val="17"/>
              </w:rPr>
              <w:t>2,160</w:t>
            </w:r>
          </w:p>
        </w:tc>
        <w:tc>
          <w:tcPr>
            <w:tcW w:type="dxa" w:w="1440"/>
            <w:shd w:fill="FFDCE0" w:val="clear"/>
          </w:tcPr>
          <w:p>
            <w:r>
              <w:rPr>
                <w:b/>
                <w:color w:val="C00000"/>
                <w:sz w:val="17"/>
              </w:rPr>
              <w:t>-5.3%</w:t>
            </w:r>
          </w:p>
        </w:tc>
      </w:tr>
      <w:tr>
        <w:tc>
          <w:tcPr>
            <w:tcW w:type="dxa" w:w="1440"/>
            <w:shd w:fill="FFDCE0" w:val="clear"/>
          </w:tcPr>
          <w:p>
            <w:r>
              <w:rPr>
                <w:sz w:val="17"/>
              </w:rPr>
              <w:t>J+3  ⭐</w:t>
            </w:r>
          </w:p>
        </w:tc>
        <w:tc>
          <w:tcPr>
            <w:tcW w:type="dxa" w:w="1440"/>
            <w:shd w:fill="FFDCE0" w:val="clear"/>
          </w:tcPr>
          <w:p>
            <w:r>
              <w:rPr>
                <w:sz w:val="17"/>
              </w:rPr>
              <w:t>2026-10-02</w:t>
            </w:r>
          </w:p>
        </w:tc>
        <w:tc>
          <w:tcPr>
            <w:tcW w:type="dxa" w:w="1440"/>
            <w:shd w:fill="FFDCE0" w:val="clear"/>
          </w:tcPr>
          <w:p>
            <w:r>
              <w:rPr>
                <w:sz w:val="17"/>
              </w:rPr>
              <w:t>1,856</w:t>
            </w:r>
          </w:p>
        </w:tc>
        <w:tc>
          <w:tcPr>
            <w:tcW w:type="dxa" w:w="1440"/>
            <w:shd w:fill="FFDCE0" w:val="clear"/>
          </w:tcPr>
          <w:p>
            <w:r>
              <w:rPr>
                <w:b/>
                <w:sz w:val="17"/>
              </w:rPr>
              <w:t>2,020</w:t>
            </w:r>
          </w:p>
        </w:tc>
        <w:tc>
          <w:tcPr>
            <w:tcW w:type="dxa" w:w="1440"/>
            <w:shd w:fill="FFDCE0" w:val="clear"/>
          </w:tcPr>
          <w:p>
            <w:r>
              <w:rPr>
                <w:sz w:val="17"/>
              </w:rPr>
              <w:t>2,183</w:t>
            </w:r>
          </w:p>
        </w:tc>
        <w:tc>
          <w:tcPr>
            <w:tcW w:type="dxa" w:w="1440"/>
            <w:shd w:fill="FFDCE0" w:val="clear"/>
          </w:tcPr>
          <w:p>
            <w:r>
              <w:rPr>
                <w:b/>
                <w:color w:val="C00000"/>
                <w:sz w:val="17"/>
              </w:rPr>
              <w:t>-5.6%</w:t>
            </w:r>
          </w:p>
        </w:tc>
      </w:tr>
      <w:tr>
        <w:tc>
          <w:tcPr>
            <w:tcW w:type="dxa" w:w="1440"/>
            <w:shd w:fill="FFDCE0" w:val="clear"/>
          </w:tcPr>
          <w:p>
            <w:r>
              <w:rPr>
                <w:sz w:val="17"/>
              </w:rPr>
              <w:t>J+4  ⭐</w:t>
            </w:r>
          </w:p>
        </w:tc>
        <w:tc>
          <w:tcPr>
            <w:tcW w:type="dxa" w:w="1440"/>
            <w:shd w:fill="FFDCE0" w:val="clear"/>
          </w:tcPr>
          <w:p>
            <w:r>
              <w:rPr>
                <w:sz w:val="17"/>
              </w:rPr>
              <w:t>2026-10-05</w:t>
            </w:r>
          </w:p>
        </w:tc>
        <w:tc>
          <w:tcPr>
            <w:tcW w:type="dxa" w:w="1440"/>
            <w:shd w:fill="FFDCE0" w:val="clear"/>
          </w:tcPr>
          <w:p>
            <w:r>
              <w:rPr>
                <w:sz w:val="17"/>
              </w:rPr>
              <w:t>1,823</w:t>
            </w:r>
          </w:p>
        </w:tc>
        <w:tc>
          <w:tcPr>
            <w:tcW w:type="dxa" w:w="1440"/>
            <w:shd w:fill="FFDCE0" w:val="clear"/>
          </w:tcPr>
          <w:p>
            <w:r>
              <w:rPr>
                <w:b/>
                <w:sz w:val="17"/>
              </w:rPr>
              <w:t>2,011</w:t>
            </w:r>
          </w:p>
        </w:tc>
        <w:tc>
          <w:tcPr>
            <w:tcW w:type="dxa" w:w="1440"/>
            <w:shd w:fill="FFDCE0" w:val="clear"/>
          </w:tcPr>
          <w:p>
            <w:r>
              <w:rPr>
                <w:sz w:val="17"/>
              </w:rPr>
              <w:t>2,198</w:t>
            </w:r>
          </w:p>
        </w:tc>
        <w:tc>
          <w:tcPr>
            <w:tcW w:type="dxa" w:w="1440"/>
            <w:shd w:fill="FFDCE0" w:val="clear"/>
          </w:tcPr>
          <w:p>
            <w:r>
              <w:rPr>
                <w:b/>
                <w:color w:val="C00000"/>
                <w:sz w:val="17"/>
              </w:rPr>
              <w:t>-6.0%</w:t>
            </w:r>
          </w:p>
        </w:tc>
      </w:tr>
      <w:tr>
        <w:tc>
          <w:tcPr>
            <w:tcW w:type="dxa" w:w="1440"/>
            <w:shd w:fill="FFDCE0" w:val="clear"/>
          </w:tcPr>
          <w:p>
            <w:r>
              <w:rPr>
                <w:sz w:val="17"/>
              </w:rPr>
              <w:t>J+5  ⭐</w:t>
            </w:r>
          </w:p>
        </w:tc>
        <w:tc>
          <w:tcPr>
            <w:tcW w:type="dxa" w:w="1440"/>
            <w:shd w:fill="FFDCE0" w:val="clear"/>
          </w:tcPr>
          <w:p>
            <w:r>
              <w:rPr>
                <w:sz w:val="17"/>
              </w:rPr>
              <w:t>2026-10-06</w:t>
            </w:r>
          </w:p>
        </w:tc>
        <w:tc>
          <w:tcPr>
            <w:tcW w:type="dxa" w:w="1440"/>
            <w:shd w:fill="FFDCE0" w:val="clear"/>
          </w:tcPr>
          <w:p>
            <w:r>
              <w:rPr>
                <w:sz w:val="17"/>
              </w:rPr>
              <w:t>1,792</w:t>
            </w:r>
          </w:p>
        </w:tc>
        <w:tc>
          <w:tcPr>
            <w:tcW w:type="dxa" w:w="1440"/>
            <w:shd w:fill="FFDCE0" w:val="clear"/>
          </w:tcPr>
          <w:p>
            <w:r>
              <w:rPr>
                <w:b/>
                <w:sz w:val="17"/>
              </w:rPr>
              <w:t>2,001</w:t>
            </w:r>
          </w:p>
        </w:tc>
        <w:tc>
          <w:tcPr>
            <w:tcW w:type="dxa" w:w="1440"/>
            <w:shd w:fill="FFDCE0" w:val="clear"/>
          </w:tcPr>
          <w:p>
            <w:r>
              <w:rPr>
                <w:sz w:val="17"/>
              </w:rPr>
              <w:t>2,210</w:t>
            </w:r>
          </w:p>
        </w:tc>
        <w:tc>
          <w:tcPr>
            <w:tcW w:type="dxa" w:w="1440"/>
            <w:shd w:fill="FFDCE0" w:val="clear"/>
          </w:tcPr>
          <w:p>
            <w:r>
              <w:rPr>
                <w:b/>
                <w:color w:val="C00000"/>
                <w:sz w:val="17"/>
              </w:rPr>
              <w:t>-6.5%</w:t>
            </w:r>
          </w:p>
        </w:tc>
      </w:tr>
      <w:tr>
        <w:tc>
          <w:tcPr>
            <w:tcW w:type="dxa" w:w="1440"/>
            <w:shd w:fill="FFDCE0" w:val="clear"/>
          </w:tcPr>
          <w:p>
            <w:r>
              <w:rPr>
                <w:sz w:val="17"/>
              </w:rPr>
              <w:t>J+6  ⭐</w:t>
            </w:r>
          </w:p>
        </w:tc>
        <w:tc>
          <w:tcPr>
            <w:tcW w:type="dxa" w:w="1440"/>
            <w:shd w:fill="FFDCE0" w:val="clear"/>
          </w:tcPr>
          <w:p>
            <w:r>
              <w:rPr>
                <w:sz w:val="17"/>
              </w:rPr>
              <w:t>2026-10-07</w:t>
            </w:r>
          </w:p>
        </w:tc>
        <w:tc>
          <w:tcPr>
            <w:tcW w:type="dxa" w:w="1440"/>
            <w:shd w:fill="FFDCE0" w:val="clear"/>
          </w:tcPr>
          <w:p>
            <w:r>
              <w:rPr>
                <w:sz w:val="17"/>
              </w:rPr>
              <w:t>1,764</w:t>
            </w:r>
          </w:p>
        </w:tc>
        <w:tc>
          <w:tcPr>
            <w:tcW w:type="dxa" w:w="1440"/>
            <w:shd w:fill="FFDCE0" w:val="clear"/>
          </w:tcPr>
          <w:p>
            <w:r>
              <w:rPr>
                <w:b/>
                <w:sz w:val="17"/>
              </w:rPr>
              <w:t>1,992</w:t>
            </w:r>
          </w:p>
        </w:tc>
        <w:tc>
          <w:tcPr>
            <w:tcW w:type="dxa" w:w="1440"/>
            <w:shd w:fill="FFDCE0" w:val="clear"/>
          </w:tcPr>
          <w:p>
            <w:r>
              <w:rPr>
                <w:sz w:val="17"/>
              </w:rPr>
              <w:t>2,220</w:t>
            </w:r>
          </w:p>
        </w:tc>
        <w:tc>
          <w:tcPr>
            <w:tcW w:type="dxa" w:w="1440"/>
            <w:shd w:fill="FFDCE0" w:val="clear"/>
          </w:tcPr>
          <w:p>
            <w:r>
              <w:rPr>
                <w:b/>
                <w:color w:val="C00000"/>
                <w:sz w:val="17"/>
              </w:rPr>
              <w:t>-6.9%</w:t>
            </w:r>
          </w:p>
        </w:tc>
      </w:tr>
      <w:tr>
        <w:tc>
          <w:tcPr>
            <w:tcW w:type="dxa" w:w="1440"/>
            <w:shd w:fill="FFDCE0" w:val="clear"/>
          </w:tcPr>
          <w:p>
            <w:r>
              <w:rPr>
                <w:sz w:val="17"/>
              </w:rPr>
              <w:t>J+7  ⭐</w:t>
            </w:r>
          </w:p>
        </w:tc>
        <w:tc>
          <w:tcPr>
            <w:tcW w:type="dxa" w:w="1440"/>
            <w:shd w:fill="FFDCE0" w:val="clear"/>
          </w:tcPr>
          <w:p>
            <w:r>
              <w:rPr>
                <w:sz w:val="17"/>
              </w:rPr>
              <w:t>2026-10-08</w:t>
            </w:r>
          </w:p>
        </w:tc>
        <w:tc>
          <w:tcPr>
            <w:tcW w:type="dxa" w:w="1440"/>
            <w:shd w:fill="FFDCE0" w:val="clear"/>
          </w:tcPr>
          <w:p>
            <w:r>
              <w:rPr>
                <w:sz w:val="17"/>
              </w:rPr>
              <w:t>1,738</w:t>
            </w:r>
          </w:p>
        </w:tc>
        <w:tc>
          <w:tcPr>
            <w:tcW w:type="dxa" w:w="1440"/>
            <w:shd w:fill="FFDCE0" w:val="clear"/>
          </w:tcPr>
          <w:p>
            <w:r>
              <w:rPr>
                <w:b/>
                <w:sz w:val="17"/>
              </w:rPr>
              <w:t>1,983</w:t>
            </w:r>
          </w:p>
        </w:tc>
        <w:tc>
          <w:tcPr>
            <w:tcW w:type="dxa" w:w="1440"/>
            <w:shd w:fill="FFDCE0" w:val="clear"/>
          </w:tcPr>
          <w:p>
            <w:r>
              <w:rPr>
                <w:sz w:val="17"/>
              </w:rPr>
              <w:t>2,228</w:t>
            </w:r>
          </w:p>
        </w:tc>
        <w:tc>
          <w:tcPr>
            <w:tcW w:type="dxa" w:w="1440"/>
            <w:shd w:fill="FFDCE0" w:val="clear"/>
          </w:tcPr>
          <w:p>
            <w:r>
              <w:rPr>
                <w:b/>
                <w:color w:val="C00000"/>
                <w:sz w:val="17"/>
              </w:rPr>
              <w:t>-7.3%</w:t>
            </w:r>
          </w:p>
        </w:tc>
      </w:tr>
      <w:tr>
        <w:tc>
          <w:tcPr>
            <w:tcW w:type="dxa" w:w="1440"/>
            <w:shd w:fill="FFDCE0" w:val="clear"/>
          </w:tcPr>
          <w:p>
            <w:r>
              <w:rPr>
                <w:sz w:val="17"/>
              </w:rPr>
              <w:t>J+8  ⭐</w:t>
            </w:r>
          </w:p>
        </w:tc>
        <w:tc>
          <w:tcPr>
            <w:tcW w:type="dxa" w:w="1440"/>
            <w:shd w:fill="FFDCE0" w:val="clear"/>
          </w:tcPr>
          <w:p>
            <w:r>
              <w:rPr>
                <w:sz w:val="17"/>
              </w:rPr>
              <w:t>2026-10-09</w:t>
            </w:r>
          </w:p>
        </w:tc>
        <w:tc>
          <w:tcPr>
            <w:tcW w:type="dxa" w:w="1440"/>
            <w:shd w:fill="FFDCE0" w:val="clear"/>
          </w:tcPr>
          <w:p>
            <w:r>
              <w:rPr>
                <w:sz w:val="17"/>
              </w:rPr>
              <w:t>1,713</w:t>
            </w:r>
          </w:p>
        </w:tc>
        <w:tc>
          <w:tcPr>
            <w:tcW w:type="dxa" w:w="1440"/>
            <w:shd w:fill="FFDCE0" w:val="clear"/>
          </w:tcPr>
          <w:p>
            <w:r>
              <w:rPr>
                <w:b/>
                <w:sz w:val="17"/>
              </w:rPr>
              <w:t>1,974</w:t>
            </w:r>
          </w:p>
        </w:tc>
        <w:tc>
          <w:tcPr>
            <w:tcW w:type="dxa" w:w="1440"/>
            <w:shd w:fill="FFDCE0" w:val="clear"/>
          </w:tcPr>
          <w:p>
            <w:r>
              <w:rPr>
                <w:sz w:val="17"/>
              </w:rPr>
              <w:t>2,235</w:t>
            </w:r>
          </w:p>
        </w:tc>
        <w:tc>
          <w:tcPr>
            <w:tcW w:type="dxa" w:w="1440"/>
            <w:shd w:fill="FFDCE0" w:val="clear"/>
          </w:tcPr>
          <w:p>
            <w:r>
              <w:rPr>
                <w:b/>
                <w:color w:val="C00000"/>
                <w:sz w:val="17"/>
              </w:rPr>
              <w:t>-7.8%</w:t>
            </w:r>
          </w:p>
        </w:tc>
      </w:tr>
      <w:tr>
        <w:tc>
          <w:tcPr>
            <w:tcW w:type="dxa" w:w="1440"/>
            <w:shd w:fill="FFDCE0" w:val="clear"/>
          </w:tcPr>
          <w:p>
            <w:r>
              <w:rPr>
                <w:sz w:val="17"/>
              </w:rPr>
              <w:t>J+9  ⭐</w:t>
            </w:r>
          </w:p>
        </w:tc>
        <w:tc>
          <w:tcPr>
            <w:tcW w:type="dxa" w:w="1440"/>
            <w:shd w:fill="FFDCE0" w:val="clear"/>
          </w:tcPr>
          <w:p>
            <w:r>
              <w:rPr>
                <w:sz w:val="17"/>
              </w:rPr>
              <w:t>2026-10-12</w:t>
            </w:r>
          </w:p>
        </w:tc>
        <w:tc>
          <w:tcPr>
            <w:tcW w:type="dxa" w:w="1440"/>
            <w:shd w:fill="FFDCE0" w:val="clear"/>
          </w:tcPr>
          <w:p>
            <w:r>
              <w:rPr>
                <w:sz w:val="17"/>
              </w:rPr>
              <w:t>1,690</w:t>
            </w:r>
          </w:p>
        </w:tc>
        <w:tc>
          <w:tcPr>
            <w:tcW w:type="dxa" w:w="1440"/>
            <w:shd w:fill="FFDCE0" w:val="clear"/>
          </w:tcPr>
          <w:p>
            <w:r>
              <w:rPr>
                <w:b/>
                <w:sz w:val="17"/>
              </w:rPr>
              <w:t>1,965</w:t>
            </w:r>
          </w:p>
        </w:tc>
        <w:tc>
          <w:tcPr>
            <w:tcW w:type="dxa" w:w="1440"/>
            <w:shd w:fill="FFDCE0" w:val="clear"/>
          </w:tcPr>
          <w:p>
            <w:r>
              <w:rPr>
                <w:sz w:val="17"/>
              </w:rPr>
              <w:t>2,240</w:t>
            </w:r>
          </w:p>
        </w:tc>
        <w:tc>
          <w:tcPr>
            <w:tcW w:type="dxa" w:w="1440"/>
            <w:shd w:fill="FFDCE0" w:val="clear"/>
          </w:tcPr>
          <w:p>
            <w:r>
              <w:rPr>
                <w:b/>
                <w:color w:val="C00000"/>
                <w:sz w:val="17"/>
              </w:rPr>
              <w:t>-8.2%</w:t>
            </w:r>
          </w:p>
        </w:tc>
      </w:tr>
      <w:tr>
        <w:tc>
          <w:tcPr>
            <w:tcW w:type="dxa" w:w="1440"/>
            <w:shd w:fill="FFDCE0" w:val="clear"/>
          </w:tcPr>
          <w:p>
            <w:r>
              <w:rPr>
                <w:sz w:val="17"/>
              </w:rPr>
              <w:t>J+10  ⭐</w:t>
            </w:r>
          </w:p>
        </w:tc>
        <w:tc>
          <w:tcPr>
            <w:tcW w:type="dxa" w:w="1440"/>
            <w:shd w:fill="FFDCE0" w:val="clear"/>
          </w:tcPr>
          <w:p>
            <w:r>
              <w:rPr>
                <w:sz w:val="17"/>
              </w:rPr>
              <w:t>2026-10-13</w:t>
            </w:r>
          </w:p>
        </w:tc>
        <w:tc>
          <w:tcPr>
            <w:tcW w:type="dxa" w:w="1440"/>
            <w:shd w:fill="FFDCE0" w:val="clear"/>
          </w:tcPr>
          <w:p>
            <w:r>
              <w:rPr>
                <w:sz w:val="17"/>
              </w:rPr>
              <w:t>1,668</w:t>
            </w:r>
          </w:p>
        </w:tc>
        <w:tc>
          <w:tcPr>
            <w:tcW w:type="dxa" w:w="1440"/>
            <w:shd w:fill="FFDCE0" w:val="clear"/>
          </w:tcPr>
          <w:p>
            <w:r>
              <w:rPr>
                <w:b/>
                <w:sz w:val="17"/>
              </w:rPr>
              <w:t>1,956</w:t>
            </w:r>
          </w:p>
        </w:tc>
        <w:tc>
          <w:tcPr>
            <w:tcW w:type="dxa" w:w="1440"/>
            <w:shd w:fill="FFDCE0" w:val="clear"/>
          </w:tcPr>
          <w:p>
            <w:r>
              <w:rPr>
                <w:sz w:val="17"/>
              </w:rPr>
              <w:t>2,245</w:t>
            </w:r>
          </w:p>
        </w:tc>
        <w:tc>
          <w:tcPr>
            <w:tcW w:type="dxa" w:w="1440"/>
            <w:shd w:fill="FFDCE0" w:val="clear"/>
          </w:tcPr>
          <w:p>
            <w:r>
              <w:rPr>
                <w:b/>
                <w:color w:val="C00000"/>
                <w:sz w:val="17"/>
              </w:rPr>
              <w:t>-8.6%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 ERIUM COTE D'IVOIRE (BRVM)**</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18,69 milliards FCFA, SIVC (désormais ERIUM CI) se situe dans la catégorie des petites capitalisations de la BRVM, ce qui implique une liquidité limitée et une sensibilité accrue aux mouvements de marché. Le BPA de 43 FCFA/action rapporté au cours actuel de 2 140 FCFA confère au titre un PER de 49,6x, soit un niveau très supérieur à la moyenne du marché BRVM (8-12x), signalant que les investisseurs paient une prime spéculative très élevée par rapport aux bénéfices réellement dégagés. Le P/B de 5,71x confirme cette exubérance : le marché valorise la société à plus de cinq fois sa valeur comptable, alors que les capitaux propres se sont dégradés à 2,53 milliards FCFA en 2025. L'EV/EBITDA de 15,9x, supérieur au seuil de 15x généralement considéré comme exigeant, traduit une valorisation tendue au regard de la capacité opérationnelle réelle. L'ensemble de ces ratios dessine une action nettement surévaluée, portée davantage par des anticipations que par les fondamentaux actuels.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variation totale de -23,84%, matérialisant une tendance baissière marquée, même si la dernière séance (J-1) affiche un rebond technique de +7,00% à 2 140 FCFA. Le range de trading s'étend de 1 920 FCFA (plus bas) à 2 875 FCFA (plus haut), soit une amplitude de près de 50%, ce qui témoigne d'une forte nervosité du titre. La moyenne (2 457 FCFA) est supérieure à la médiane (2 392 FCFA), écart qui suggère une légère asymétrie positive portée par quelques séances haussières isolées, tandis que le mode à 2 000 FCFA indique que le prix le plus fréquemment traité se situe bien en dessous du cours actuel. L'écart-type de 284 FCFA avec un coefficient de variation de 11,5% traduit une dispersion modérée autour de la moyenne, mais la volatilité annualisée de 52,8% classe clairement ce titre dans la catégorie des valeurs à volatilité élevée (&gt;30%), ce qui expose l'investisseur à des fluctuations importantes. Le kurtosis de -1,215 (distribution platykurtique) indique une distribution aplatie avec une faible concentration des rendements, donc moins de pics extrêmes que la normale, tandis que le skewness de 0,174 confirme une distribution quasi symétrique avec une très légère inclinaison positive. En synthèse, le titre évolue dans une tendance baissière de fond, avec une volatilité élevée et un rebond récent qui demande confirmation.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(2 218,75 FCFA) et la MM50 (2 262,80 FCFA) se situent toutes deux au-dessus du cours actuel (2 140 FCFA), ce qui place le titre en position de faiblesse relative par rapport à ses tendances court et moyen terme. La MM20 étant légèrement inférieure à la MM50, on observe une configuration baissière naissante, avec un cours qui évolue sous ses deux références mobiles. La décision technique qui en résulte est logiquement **Vente**, le marché n'ayant pas encore invalidé cette pression baissière malgré le rebond de J-1.</w:t>
      </w:r>
    </w:p>
    <w:p>
      <w:pPr>
        <w:spacing w:after="120" w:line="276" w:lineRule="auto"/>
      </w:pPr>
      <w:r>
        <w:t>**Bandes de Bollinger** : Le cours actuel (2 140 FCFA) se situe dans la moitié inférieure de la bande, entre la borne inférieure (1 913,59 FCFA) et la borne supérieure (2 523,91 FCFA), plus proche du bas que du haut. Cette position reflète une pression vendeuse persistante mais sans rupture imminente, la largeur des bandes (environ 610 FCFA) confirmant une volatilité élevée. La décision **Neutre** traduit l'absence de signal extrême : ni suracheté, ni survendu, le titre est en zone d'indécision.</w:t>
      </w:r>
    </w:p>
    <w:p>
      <w:pPr>
        <w:spacing w:after="120" w:line="276" w:lineRule="auto"/>
      </w:pPr>
      <w:r>
        <w:t>**MACD** : La valeur du MACD (-78,017) est inférieure à son signal (-60,155), avec un histogramme négatif qui traduit un momentum baissier toujours actif. La divergence entre les deux lignes reste défavorable, bien que l'écart se réduise légèrement, ce qui pourrait annoncer un ralentissement de la pression vendeuse. La décision **Vente** est maintenue tant que le MACD n'a pas croisé son signal à la hausse.</w:t>
      </w:r>
    </w:p>
    <w:p>
      <w:pPr>
        <w:spacing w:after="120" w:line="276" w:lineRule="auto"/>
      </w:pPr>
      <w:r>
        <w:t>**RSI** : À 40,782, le RSI se situe en zone neutre basse, loin des seuils de survente (30) et de surachat (70). Cette configuration indique que le titre n'est ni épuisé à la baisse ni en phase de surachat, laissant une marge de baisse résiduelle mais aussi un potentiel de rebond technique. La décision **Neutre** est cohérente avec cette position médiane.</w:t>
      </w:r>
    </w:p>
    <w:p>
      <w:pPr>
        <w:spacing w:after="120" w:line="276" w:lineRule="auto"/>
      </w:pPr>
      <w:r>
        <w:t>**Stochastique** : Le %K (35,0) est supérieur au %D (11,667), configuration qui suggère un croisement haussier en formation, avec le %K qui remonte vers le %D après être passé en zone de survente. Ce signal précoce de retournement potentiel reste toutefois fragile et doit être confirmé par une poursuite de la remontée du %K au-dessus de 20-30. La décision **Neutre** reflète cette incertitude.</w:t>
      </w:r>
    </w:p>
    <w:p>
      <w:pPr>
        <w:spacing w:after="120" w:line="276" w:lineRule="auto"/>
      </w:pPr>
      <w:r>
        <w:t>**Conclusion technique** : Les indicateurs techniques présentent un tableau mitigé, avec une majorité de signaux baissiers (MM, MACD) mais des signaux neutres (Bollinger, RSI, Stochastique) qui suggèrent un possible essoufflement de la baisse. Le rebond de +7,00% en J-1, couplé au croisement haussier naissant du stochastique, pourrait annoncer un rebond technique de court terme, mais l'absence de confirmation par les moyennes mobiles et le MACD invite à la prudence. La tendance de fond reste baissière tant que le cours n'aura pas reconquis la MM20 (2 218,75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(base brvm_donnees_financieres) présentent SIVC comme une société du secteur BANQUE, avec un PNB (équivalent du chiffre d'affaires) de 9,283 milliards FCFA, un résultat net de 376,96 millions FCFA, un ROE de 11,52% et un ROA de 2,69%. Le coefficient d'exploitation s'établit à 95,83%, très au-dessus du seuil de 60% considéré comme satisfaisant pour une banque, ce qui révèle une efficacité opérationnelle très faible et une structure de coûts pesante. Le coût du risque (provisions/charges financières) ressort à 3,10%, niveau élevé qui traduit un risque de crédit significatif dans le portefeuille. La marge nette de 4,06% et la marge opérationnelle de 5,63% confirment une rentabilité médiocre, tandis que le taux de croissance du PNB de 9,05% témoigne d'une dynamique commerciale réelle mais insuffisamment rentable. Le rapport officiel du 31 décembre 2025 (analysé par DEEPSEEK le 29 juin 2026) révèle une dégradation préoccupante : le chiffre d'affaires progresse de +8,53% à 10,07 milliards FCFA, mais le résultat net chute de -52,4% à 179,29 millions FCFA, avec une marge nette divisée par deux à 1,78%. Le résultat financier passe d'un gain de 316 millions FCFA à une perte de -114 millions FCFA, et la trésorerie nette reste négative à -1,66 milliard FCFA malgré une amélioration. Les rapports trimestriels 2025 (S1 certifié du 30 juin 2025 et T3 2025) montrent cependant une embellie : au S1 2025, le CA atteint 4,897 milliards FCFA (+8,8%) et le résultat net 512,9 millions FCFA (+4,6%), avec une marge nette de 10,5% ; au T3 2025, le CA cumulé s'élève à 7,584 milliards FCFA (+13%) et le résultat net à 832,5 millions FCFA (+58%), avec une marge nette de 11,0%. Sur la base de ces rapports trimestriels, on peut estimer que l'exercice 2025 devrait afficher un résultat net annuel supérieur à celui de 2024, possiblement autour de 800-900 millions FCFA si la tendance se maintient, ce qui ramènerait le PER à un niveau plus raisonnable (environ 20-23x). Toutefois, la dégradation des capitaux propres (2,53 milliards FCFA en 2025 contre 3,27 milliards en 2024) et la persistance d'une trésorerie nette négative constituent des risques majeurs. La recommandation fondamentale est **CONSERVER avec surveillance renforcée** : la croissance du CA et l'amélioration trimestrielle sont encourageantes, mais la fragilité de la structure financière et l'absence de dividende (0 FCFA versé en 2025) limitent l'attrait pour un nouvel investisseur.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marquée entre la valorisation, le comportement du cours, les signaux techniques et les fondamentaux. La valorisation (Partie 0) est clairement surévaluée avec un PER de 49,6x, un P/B de 5,71x et un EV/EBITDA de 15,9x, très au-dessus des normes du marché BRVM, ce qui ne laisse aucune marge de sécurité. Le comportement du cours (Partie 1) est baissier sur 100 jours (-23,84%) avec une volatilité élevée (52,8%) et une distribution platykurtique qui n'offre pas de protection contre les pics, même si le rebond de J-1 (+7,00%) et le skewness quasi symétrique suggèrent un possible retournement technique de court terme. Les signaux techniques (Partie 2) sont majoritairement baissiers (MM, MACD) mais tempérés par des indicateurs neutres (Bollinger, RSI, Stochastique) qui annoncent un essoufflement de la baisse et un croisement haussier naissant du stochastique. Les fondamentaux (Partie 3) présentent un paradoxe : croissance du CA (+8,5% en 2025) et amélioration trimestrielle (T3 2025 : résultat net +58%), mais dégradation du résultat net annuel 2025 (-52,4%), capitaux propres en baisse et trésorerie nette négative. Les prédictions IA (J+1 à J+10) anticipent une trajectoire baissière continue, passant de 2 025 FCFA à 2 001 FCFA, ce qui contredit le rebond de J-1 et confirme la pression baissière de fond. Sur la base de cette synthèse, la recommandation finale est **VENTE** (ou **CONSERVER** pour les investisseurs déjà en position, avec un objectif de sortie à moyen terme). La convergence entre une valorisation surévaluée, une tendance baissière persistante, des signaux techniques majoritairement négatifs et des fondamentaux fragiles malgré l'amélioration trimestrielle justifie cette prudence. Le niveau de confiance est **Moyen** (les signaux sont cohérents mais le rebond récent et l'amélioration trimestrielle introduisent une incertitude), et le niveau de risque global est **Élevé** (volatilité de 52,8%, trésorerie négative, endettement élevé). L'horizon d'investissement optimal est **court terme** (&lt;3 mois) pour profiter d'un éventuel rebond technique, ou **moyen terme** (3-12 mois) pour les investisseurs déjà en position qui souhaitent surveiller la confirmation de la reprise trimestrielle avant de se renforcer.</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38.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622.22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1,381 titres</w:t>
            </w:r>
          </w:p>
        </w:tc>
        <w:tc>
          <w:tcPr>
            <w:tcW w:type="dxa" w:w="2268"/>
            <w:shd w:fill="FFF2CC" w:val="clear"/>
          </w:tcPr>
          <w:p>
            <w:r>
              <w:rPr>
                <w:b/>
                <w:color w:val="503200"/>
                <w:sz w:val="16"/>
              </w:rPr>
              <w:t xml:space="preserve">Cours actuel : </w:t>
            </w:r>
            <w:r>
              <w:rPr>
                <w:color w:val="000000"/>
                <w:sz w:val="17"/>
              </w:rPr>
              <w:t>37,800 FCFA</w:t>
            </w:r>
          </w:p>
          <w:p>
            <w:r>
              <w:rPr>
                <w:b/>
                <w:color w:val="503200"/>
                <w:sz w:val="16"/>
              </w:rPr>
              <w:t xml:space="preserve">Var. 100 jours : </w:t>
            </w:r>
            <w:r>
              <w:rPr>
                <w:b/>
                <w:color w:val="007800"/>
                <w:sz w:val="17"/>
              </w:rPr>
              <w:t>+0.80%</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2.20% (Faible) — μ=38,283 FCFA, σ=844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β=0.0639 (Défensif) — Cov=0.000004, Var(idx)=0.000069, ρ=0.034,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σ_j=1.53%/j (Stable) — Vol. annualisée≈24.3%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598627"/>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2026-09-30</w:t>
            </w:r>
          </w:p>
        </w:tc>
        <w:tc>
          <w:tcPr>
            <w:tcW w:type="dxa" w:w="1440"/>
            <w:shd w:fill="FAFAFA" w:val="clear"/>
          </w:tcPr>
          <w:p>
            <w:r>
              <w:rPr>
                <w:sz w:val="17"/>
              </w:rPr>
              <w:t>37,860</w:t>
            </w:r>
          </w:p>
        </w:tc>
        <w:tc>
          <w:tcPr>
            <w:tcW w:type="dxa" w:w="1440"/>
            <w:shd w:fill="FAFAFA" w:val="clear"/>
          </w:tcPr>
          <w:p>
            <w:r>
              <w:rPr>
                <w:b/>
                <w:sz w:val="17"/>
              </w:rPr>
              <w:t>38,458</w:t>
            </w:r>
          </w:p>
        </w:tc>
        <w:tc>
          <w:tcPr>
            <w:tcW w:type="dxa" w:w="1440"/>
            <w:shd w:fill="FAFAFA" w:val="clear"/>
          </w:tcPr>
          <w:p>
            <w:r>
              <w:rPr>
                <w:sz w:val="17"/>
              </w:rPr>
              <w:t>39,055</w:t>
            </w:r>
          </w:p>
        </w:tc>
        <w:tc>
          <w:tcPr>
            <w:tcW w:type="dxa" w:w="1440"/>
            <w:shd w:fill="FAFAFA" w:val="clear"/>
          </w:tcPr>
          <w:p>
            <w:r>
              <w:rPr>
                <w:b/>
                <w:color w:val="008000"/>
                <w:sz w:val="17"/>
              </w:rPr>
              <w:t>+1.7%</w:t>
            </w:r>
          </w:p>
        </w:tc>
      </w:tr>
      <w:tr>
        <w:tc>
          <w:tcPr>
            <w:tcW w:type="dxa" w:w="1440"/>
            <w:shd w:fill="C6EFCE" w:val="clear"/>
          </w:tcPr>
          <w:p>
            <w:r>
              <w:rPr>
                <w:sz w:val="17"/>
              </w:rPr>
              <w:t>J+2  ⭐⭐⭐</w:t>
            </w:r>
          </w:p>
        </w:tc>
        <w:tc>
          <w:tcPr>
            <w:tcW w:type="dxa" w:w="1440"/>
            <w:shd w:fill="C6EFCE" w:val="clear"/>
          </w:tcPr>
          <w:p>
            <w:r>
              <w:rPr>
                <w:sz w:val="17"/>
              </w:rPr>
              <w:t>2026-10-01</w:t>
            </w:r>
          </w:p>
        </w:tc>
        <w:tc>
          <w:tcPr>
            <w:tcW w:type="dxa" w:w="1440"/>
            <w:shd w:fill="C6EFCE" w:val="clear"/>
          </w:tcPr>
          <w:p>
            <w:r>
              <w:rPr>
                <w:sz w:val="17"/>
              </w:rPr>
              <w:t>37,872</w:t>
            </w:r>
          </w:p>
        </w:tc>
        <w:tc>
          <w:tcPr>
            <w:tcW w:type="dxa" w:w="1440"/>
            <w:shd w:fill="C6EFCE" w:val="clear"/>
          </w:tcPr>
          <w:p>
            <w:r>
              <w:rPr>
                <w:b/>
                <w:sz w:val="17"/>
              </w:rPr>
              <w:t>38,723</w:t>
            </w:r>
          </w:p>
        </w:tc>
        <w:tc>
          <w:tcPr>
            <w:tcW w:type="dxa" w:w="1440"/>
            <w:shd w:fill="C6EFCE" w:val="clear"/>
          </w:tcPr>
          <w:p>
            <w:r>
              <w:rPr>
                <w:sz w:val="17"/>
              </w:rPr>
              <w:t>39,573</w:t>
            </w:r>
          </w:p>
        </w:tc>
        <w:tc>
          <w:tcPr>
            <w:tcW w:type="dxa" w:w="1440"/>
            <w:shd w:fill="C6EFCE" w:val="clear"/>
          </w:tcPr>
          <w:p>
            <w:r>
              <w:rPr>
                <w:b/>
                <w:color w:val="008000"/>
                <w:sz w:val="17"/>
              </w:rPr>
              <w:t>+2.4%</w:t>
            </w:r>
          </w:p>
        </w:tc>
      </w:tr>
      <w:tr>
        <w:tc>
          <w:tcPr>
            <w:tcW w:type="dxa" w:w="1440"/>
            <w:shd w:fill="C6EFCE" w:val="clear"/>
          </w:tcPr>
          <w:p>
            <w:r>
              <w:rPr>
                <w:sz w:val="17"/>
              </w:rPr>
              <w:t>J+3  ⭐⭐⭐</w:t>
            </w:r>
          </w:p>
        </w:tc>
        <w:tc>
          <w:tcPr>
            <w:tcW w:type="dxa" w:w="1440"/>
            <w:shd w:fill="C6EFCE" w:val="clear"/>
          </w:tcPr>
          <w:p>
            <w:r>
              <w:rPr>
                <w:sz w:val="17"/>
              </w:rPr>
              <w:t>2026-10-02</w:t>
            </w:r>
          </w:p>
        </w:tc>
        <w:tc>
          <w:tcPr>
            <w:tcW w:type="dxa" w:w="1440"/>
            <w:shd w:fill="C6EFCE" w:val="clear"/>
          </w:tcPr>
          <w:p>
            <w:r>
              <w:rPr>
                <w:sz w:val="17"/>
              </w:rPr>
              <w:t>38,008</w:t>
            </w:r>
          </w:p>
        </w:tc>
        <w:tc>
          <w:tcPr>
            <w:tcW w:type="dxa" w:w="1440"/>
            <w:shd w:fill="C6EFCE" w:val="clear"/>
          </w:tcPr>
          <w:p>
            <w:r>
              <w:rPr>
                <w:b/>
                <w:sz w:val="17"/>
              </w:rPr>
              <w:t>39,058</w:t>
            </w:r>
          </w:p>
        </w:tc>
        <w:tc>
          <w:tcPr>
            <w:tcW w:type="dxa" w:w="1440"/>
            <w:shd w:fill="C6EFCE" w:val="clear"/>
          </w:tcPr>
          <w:p>
            <w:r>
              <w:rPr>
                <w:sz w:val="17"/>
              </w:rPr>
              <w:t>40,109</w:t>
            </w:r>
          </w:p>
        </w:tc>
        <w:tc>
          <w:tcPr>
            <w:tcW w:type="dxa" w:w="1440"/>
            <w:shd w:fill="C6EFCE" w:val="clear"/>
          </w:tcPr>
          <w:p>
            <w:r>
              <w:rPr>
                <w:b/>
                <w:color w:val="008000"/>
                <w:sz w:val="17"/>
              </w:rPr>
              <w:t>+3.3%</w:t>
            </w:r>
          </w:p>
        </w:tc>
      </w:tr>
      <w:tr>
        <w:tc>
          <w:tcPr>
            <w:tcW w:type="dxa" w:w="1440"/>
            <w:shd w:fill="C6EFCE" w:val="clear"/>
          </w:tcPr>
          <w:p>
            <w:r>
              <w:rPr>
                <w:sz w:val="17"/>
              </w:rPr>
              <w:t>J+4  Moyenne</w:t>
            </w:r>
          </w:p>
        </w:tc>
        <w:tc>
          <w:tcPr>
            <w:tcW w:type="dxa" w:w="1440"/>
            <w:shd w:fill="C6EFCE" w:val="clear"/>
          </w:tcPr>
          <w:p>
            <w:r>
              <w:rPr>
                <w:sz w:val="17"/>
              </w:rPr>
              <w:t>2026-10-05</w:t>
            </w:r>
          </w:p>
        </w:tc>
        <w:tc>
          <w:tcPr>
            <w:tcW w:type="dxa" w:w="1440"/>
            <w:shd w:fill="C6EFCE" w:val="clear"/>
          </w:tcPr>
          <w:p>
            <w:r>
              <w:rPr>
                <w:sz w:val="17"/>
              </w:rPr>
              <w:t>38,176</w:t>
            </w:r>
          </w:p>
        </w:tc>
        <w:tc>
          <w:tcPr>
            <w:tcW w:type="dxa" w:w="1440"/>
            <w:shd w:fill="C6EFCE" w:val="clear"/>
          </w:tcPr>
          <w:p>
            <w:r>
              <w:rPr>
                <w:b/>
                <w:sz w:val="17"/>
              </w:rPr>
              <w:t>39,400</w:t>
            </w:r>
          </w:p>
        </w:tc>
        <w:tc>
          <w:tcPr>
            <w:tcW w:type="dxa" w:w="1440"/>
            <w:shd w:fill="C6EFCE" w:val="clear"/>
          </w:tcPr>
          <w:p>
            <w:r>
              <w:rPr>
                <w:sz w:val="17"/>
              </w:rPr>
              <w:t>40,624</w:t>
            </w:r>
          </w:p>
        </w:tc>
        <w:tc>
          <w:tcPr>
            <w:tcW w:type="dxa" w:w="1440"/>
            <w:shd w:fill="C6EFCE" w:val="clear"/>
          </w:tcPr>
          <w:p>
            <w:r>
              <w:rPr>
                <w:b/>
                <w:color w:val="008000"/>
                <w:sz w:val="17"/>
              </w:rPr>
              <w:t>+4.2%</w:t>
            </w:r>
          </w:p>
        </w:tc>
      </w:tr>
      <w:tr>
        <w:tc>
          <w:tcPr>
            <w:tcW w:type="dxa" w:w="1440"/>
            <w:shd w:fill="C6EFCE" w:val="clear"/>
          </w:tcPr>
          <w:p>
            <w:r>
              <w:rPr>
                <w:sz w:val="17"/>
              </w:rPr>
              <w:t>J+5  Moyenne</w:t>
            </w:r>
          </w:p>
        </w:tc>
        <w:tc>
          <w:tcPr>
            <w:tcW w:type="dxa" w:w="1440"/>
            <w:shd w:fill="C6EFCE" w:val="clear"/>
          </w:tcPr>
          <w:p>
            <w:r>
              <w:rPr>
                <w:sz w:val="17"/>
              </w:rPr>
              <w:t>2026-10-06</w:t>
            </w:r>
          </w:p>
        </w:tc>
        <w:tc>
          <w:tcPr>
            <w:tcW w:type="dxa" w:w="1440"/>
            <w:shd w:fill="C6EFCE" w:val="clear"/>
          </w:tcPr>
          <w:p>
            <w:r>
              <w:rPr>
                <w:sz w:val="17"/>
              </w:rPr>
              <w:t>38,355</w:t>
            </w:r>
          </w:p>
        </w:tc>
        <w:tc>
          <w:tcPr>
            <w:tcW w:type="dxa" w:w="1440"/>
            <w:shd w:fill="C6EFCE" w:val="clear"/>
          </w:tcPr>
          <w:p>
            <w:r>
              <w:rPr>
                <w:b/>
                <w:sz w:val="17"/>
              </w:rPr>
              <w:t>39,735</w:t>
            </w:r>
          </w:p>
        </w:tc>
        <w:tc>
          <w:tcPr>
            <w:tcW w:type="dxa" w:w="1440"/>
            <w:shd w:fill="C6EFCE" w:val="clear"/>
          </w:tcPr>
          <w:p>
            <w:r>
              <w:rPr>
                <w:sz w:val="17"/>
              </w:rPr>
              <w:t>41,115</w:t>
            </w:r>
          </w:p>
        </w:tc>
        <w:tc>
          <w:tcPr>
            <w:tcW w:type="dxa" w:w="1440"/>
            <w:shd w:fill="C6EFCE" w:val="clear"/>
          </w:tcPr>
          <w:p>
            <w:r>
              <w:rPr>
                <w:b/>
                <w:color w:val="008000"/>
                <w:sz w:val="17"/>
              </w:rPr>
              <w:t>+5.1%</w:t>
            </w:r>
          </w:p>
        </w:tc>
      </w:tr>
      <w:tr>
        <w:tc>
          <w:tcPr>
            <w:tcW w:type="dxa" w:w="1440"/>
            <w:shd w:fill="C6EFCE" w:val="clear"/>
          </w:tcPr>
          <w:p>
            <w:r>
              <w:rPr>
                <w:sz w:val="17"/>
              </w:rPr>
              <w:t>J+6  Moyenne</w:t>
            </w:r>
          </w:p>
        </w:tc>
        <w:tc>
          <w:tcPr>
            <w:tcW w:type="dxa" w:w="1440"/>
            <w:shd w:fill="C6EFCE" w:val="clear"/>
          </w:tcPr>
          <w:p>
            <w:r>
              <w:rPr>
                <w:sz w:val="17"/>
              </w:rPr>
              <w:t>2026-10-07</w:t>
            </w:r>
          </w:p>
        </w:tc>
        <w:tc>
          <w:tcPr>
            <w:tcW w:type="dxa" w:w="1440"/>
            <w:shd w:fill="C6EFCE" w:val="clear"/>
          </w:tcPr>
          <w:p>
            <w:r>
              <w:rPr>
                <w:sz w:val="17"/>
              </w:rPr>
              <w:t>38,537</w:t>
            </w:r>
          </w:p>
        </w:tc>
        <w:tc>
          <w:tcPr>
            <w:tcW w:type="dxa" w:w="1440"/>
            <w:shd w:fill="C6EFCE" w:val="clear"/>
          </w:tcPr>
          <w:p>
            <w:r>
              <w:rPr>
                <w:b/>
                <w:sz w:val="17"/>
              </w:rPr>
              <w:t>40,061</w:t>
            </w:r>
          </w:p>
        </w:tc>
        <w:tc>
          <w:tcPr>
            <w:tcW w:type="dxa" w:w="1440"/>
            <w:shd w:fill="C6EFCE" w:val="clear"/>
          </w:tcPr>
          <w:p>
            <w:r>
              <w:rPr>
                <w:sz w:val="17"/>
              </w:rPr>
              <w:t>41,585</w:t>
            </w:r>
          </w:p>
        </w:tc>
        <w:tc>
          <w:tcPr>
            <w:tcW w:type="dxa" w:w="1440"/>
            <w:shd w:fill="C6EFCE" w:val="clear"/>
          </w:tcPr>
          <w:p>
            <w:r>
              <w:rPr>
                <w:b/>
                <w:color w:val="008000"/>
                <w:sz w:val="17"/>
              </w:rPr>
              <w:t>+6.0%</w:t>
            </w:r>
          </w:p>
        </w:tc>
      </w:tr>
      <w:tr>
        <w:tc>
          <w:tcPr>
            <w:tcW w:type="dxa" w:w="1440"/>
            <w:shd w:fill="C6EFCE" w:val="clear"/>
          </w:tcPr>
          <w:p>
            <w:r>
              <w:rPr>
                <w:sz w:val="17"/>
              </w:rPr>
              <w:t>J+7  Moyenne</w:t>
            </w:r>
          </w:p>
        </w:tc>
        <w:tc>
          <w:tcPr>
            <w:tcW w:type="dxa" w:w="1440"/>
            <w:shd w:fill="C6EFCE" w:val="clear"/>
          </w:tcPr>
          <w:p>
            <w:r>
              <w:rPr>
                <w:sz w:val="17"/>
              </w:rPr>
              <w:t>2026-10-08</w:t>
            </w:r>
          </w:p>
        </w:tc>
        <w:tc>
          <w:tcPr>
            <w:tcW w:type="dxa" w:w="1440"/>
            <w:shd w:fill="C6EFCE" w:val="clear"/>
          </w:tcPr>
          <w:p>
            <w:r>
              <w:rPr>
                <w:sz w:val="17"/>
              </w:rPr>
              <w:t>38,721</w:t>
            </w:r>
          </w:p>
        </w:tc>
        <w:tc>
          <w:tcPr>
            <w:tcW w:type="dxa" w:w="1440"/>
            <w:shd w:fill="C6EFCE" w:val="clear"/>
          </w:tcPr>
          <w:p>
            <w:r>
              <w:rPr>
                <w:b/>
                <w:sz w:val="17"/>
              </w:rPr>
              <w:t>40,380</w:t>
            </w:r>
          </w:p>
        </w:tc>
        <w:tc>
          <w:tcPr>
            <w:tcW w:type="dxa" w:w="1440"/>
            <w:shd w:fill="C6EFCE" w:val="clear"/>
          </w:tcPr>
          <w:p>
            <w:r>
              <w:rPr>
                <w:sz w:val="17"/>
              </w:rPr>
              <w:t>42,040</w:t>
            </w:r>
          </w:p>
        </w:tc>
        <w:tc>
          <w:tcPr>
            <w:tcW w:type="dxa" w:w="1440"/>
            <w:shd w:fill="C6EFCE" w:val="clear"/>
          </w:tcPr>
          <w:p>
            <w:r>
              <w:rPr>
                <w:b/>
                <w:color w:val="008000"/>
                <w:sz w:val="17"/>
              </w:rPr>
              <w:t>+6.8%</w:t>
            </w:r>
          </w:p>
        </w:tc>
      </w:tr>
      <w:tr>
        <w:tc>
          <w:tcPr>
            <w:tcW w:type="dxa" w:w="1440"/>
            <w:shd w:fill="C6EFCE" w:val="clear"/>
          </w:tcPr>
          <w:p>
            <w:r>
              <w:rPr>
                <w:sz w:val="17"/>
              </w:rPr>
              <w:t>J+8  Moyenne</w:t>
            </w:r>
          </w:p>
        </w:tc>
        <w:tc>
          <w:tcPr>
            <w:tcW w:type="dxa" w:w="1440"/>
            <w:shd w:fill="C6EFCE" w:val="clear"/>
          </w:tcPr>
          <w:p>
            <w:r>
              <w:rPr>
                <w:sz w:val="17"/>
              </w:rPr>
              <w:t>2026-10-09</w:t>
            </w:r>
          </w:p>
        </w:tc>
        <w:tc>
          <w:tcPr>
            <w:tcW w:type="dxa" w:w="1440"/>
            <w:shd w:fill="C6EFCE" w:val="clear"/>
          </w:tcPr>
          <w:p>
            <w:r>
              <w:rPr>
                <w:sz w:val="17"/>
              </w:rPr>
              <w:t>38,906</w:t>
            </w:r>
          </w:p>
        </w:tc>
        <w:tc>
          <w:tcPr>
            <w:tcW w:type="dxa" w:w="1440"/>
            <w:shd w:fill="C6EFCE" w:val="clear"/>
          </w:tcPr>
          <w:p>
            <w:r>
              <w:rPr>
                <w:b/>
                <w:sz w:val="17"/>
              </w:rPr>
              <w:t>40,694</w:t>
            </w:r>
          </w:p>
        </w:tc>
        <w:tc>
          <w:tcPr>
            <w:tcW w:type="dxa" w:w="1440"/>
            <w:shd w:fill="C6EFCE" w:val="clear"/>
          </w:tcPr>
          <w:p>
            <w:r>
              <w:rPr>
                <w:sz w:val="17"/>
              </w:rPr>
              <w:t>42,482</w:t>
            </w:r>
          </w:p>
        </w:tc>
        <w:tc>
          <w:tcPr>
            <w:tcW w:type="dxa" w:w="1440"/>
            <w:shd w:fill="C6EFCE" w:val="clear"/>
          </w:tcPr>
          <w:p>
            <w:r>
              <w:rPr>
                <w:b/>
                <w:color w:val="008000"/>
                <w:sz w:val="17"/>
              </w:rPr>
              <w:t>+7.7%</w:t>
            </w:r>
          </w:p>
        </w:tc>
      </w:tr>
      <w:tr>
        <w:tc>
          <w:tcPr>
            <w:tcW w:type="dxa" w:w="1440"/>
            <w:shd w:fill="C6EFCE" w:val="clear"/>
          </w:tcPr>
          <w:p>
            <w:r>
              <w:rPr>
                <w:sz w:val="17"/>
              </w:rPr>
              <w:t>J+9  Moyenne</w:t>
            </w:r>
          </w:p>
        </w:tc>
        <w:tc>
          <w:tcPr>
            <w:tcW w:type="dxa" w:w="1440"/>
            <w:shd w:fill="C6EFCE" w:val="clear"/>
          </w:tcPr>
          <w:p>
            <w:r>
              <w:rPr>
                <w:sz w:val="17"/>
              </w:rPr>
              <w:t>2026-10-12</w:t>
            </w:r>
          </w:p>
        </w:tc>
        <w:tc>
          <w:tcPr>
            <w:tcW w:type="dxa" w:w="1440"/>
            <w:shd w:fill="C6EFCE" w:val="clear"/>
          </w:tcPr>
          <w:p>
            <w:r>
              <w:rPr>
                <w:sz w:val="17"/>
              </w:rPr>
              <w:t>39,092</w:t>
            </w:r>
          </w:p>
        </w:tc>
        <w:tc>
          <w:tcPr>
            <w:tcW w:type="dxa" w:w="1440"/>
            <w:shd w:fill="C6EFCE" w:val="clear"/>
          </w:tcPr>
          <w:p>
            <w:r>
              <w:rPr>
                <w:b/>
                <w:sz w:val="17"/>
              </w:rPr>
              <w:t>41,002</w:t>
            </w:r>
          </w:p>
        </w:tc>
        <w:tc>
          <w:tcPr>
            <w:tcW w:type="dxa" w:w="1440"/>
            <w:shd w:fill="C6EFCE" w:val="clear"/>
          </w:tcPr>
          <w:p>
            <w:r>
              <w:rPr>
                <w:sz w:val="17"/>
              </w:rPr>
              <w:t>42,913</w:t>
            </w:r>
          </w:p>
        </w:tc>
        <w:tc>
          <w:tcPr>
            <w:tcW w:type="dxa" w:w="1440"/>
            <w:shd w:fill="C6EFCE" w:val="clear"/>
          </w:tcPr>
          <w:p>
            <w:r>
              <w:rPr>
                <w:b/>
                <w:color w:val="008000"/>
                <w:sz w:val="17"/>
              </w:rPr>
              <w:t>+8.5%</w:t>
            </w:r>
          </w:p>
        </w:tc>
      </w:tr>
      <w:tr>
        <w:tc>
          <w:tcPr>
            <w:tcW w:type="dxa" w:w="1440"/>
            <w:shd w:fill="C6EFCE" w:val="clear"/>
          </w:tcPr>
          <w:p>
            <w:r>
              <w:rPr>
                <w:sz w:val="17"/>
              </w:rPr>
              <w:t>J+10  Moyenne</w:t>
            </w:r>
          </w:p>
        </w:tc>
        <w:tc>
          <w:tcPr>
            <w:tcW w:type="dxa" w:w="1440"/>
            <w:shd w:fill="C6EFCE" w:val="clear"/>
          </w:tcPr>
          <w:p>
            <w:r>
              <w:rPr>
                <w:sz w:val="17"/>
              </w:rPr>
              <w:t>2026-10-13</w:t>
            </w:r>
          </w:p>
        </w:tc>
        <w:tc>
          <w:tcPr>
            <w:tcW w:type="dxa" w:w="1440"/>
            <w:shd w:fill="C6EFCE" w:val="clear"/>
          </w:tcPr>
          <w:p>
            <w:r>
              <w:rPr>
                <w:sz w:val="17"/>
              </w:rPr>
              <w:t>39,278</w:t>
            </w:r>
          </w:p>
        </w:tc>
        <w:tc>
          <w:tcPr>
            <w:tcW w:type="dxa" w:w="1440"/>
            <w:shd w:fill="C6EFCE" w:val="clear"/>
          </w:tcPr>
          <w:p>
            <w:r>
              <w:rPr>
                <w:b/>
                <w:sz w:val="17"/>
              </w:rPr>
              <w:t>41,307</w:t>
            </w:r>
          </w:p>
        </w:tc>
        <w:tc>
          <w:tcPr>
            <w:tcW w:type="dxa" w:w="1440"/>
            <w:shd w:fill="C6EFCE" w:val="clear"/>
          </w:tcPr>
          <w:p>
            <w:r>
              <w:rPr>
                <w:sz w:val="17"/>
              </w:rPr>
              <w:t>43,335</w:t>
            </w:r>
          </w:p>
        </w:tc>
        <w:tc>
          <w:tcPr>
            <w:tcW w:type="dxa" w:w="1440"/>
            <w:shd w:fill="C6EFCE" w:val="clear"/>
          </w:tcPr>
          <w:p>
            <w:r>
              <w:rPr>
                <w:b/>
                <w:color w:val="008000"/>
                <w:sz w:val="17"/>
              </w:rPr>
              <w:t>+9.3%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 RAPPORT D'ANALYSE FINANCIÈRE — SLBC (SOLIBRA)</w:t>
        <w:br/>
        <w:t>**Bourse Régionale des Valeurs Mobilières (BRVM) — Secteur : Entreprise (Boissons/Limonaderies)**</w:t>
        <w:br/>
        <w:t>**Date d'analyse : Septembre 2026 | Cours de référence : 37 800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**622,22 milliards FCFA**, SLBC s'impose comme l'une des plus importantes capitalisations de la BRVM, ce qui témoigne de sa stature de valeur de premier plan sur le marché régional. Le **BPA de 2 781 FCFA** signifie que chaque action génère près de 2 800 FCFA de bénéfice net, un niveau remarquable qui traduit la forte rentabilité de l'entreprise. Le **PER de 13,6x** situe le titre légèrement au-dessus de la moyenne du marché BRVM (8-12x), mais cette prime reste modérée et se justifie pleinement par la qualité des fondamentaux et la croissance à deux chiffres affichée en 2025. Le **P/B de 3,19x** indique que le marché valorise l'action à environ trois fois sa valeur comptable, une prime de croissance cohérente avec un ROE de 23,46% qui dépasse largement le coût des fonds propres. Enfin, l'**EV/EBITDA de 7,4x** signale que la valeur d'entreprise (incluant la dette) reste raisonnablement valorisée par rapport à la capacité opérationnelle de génération de cash-flow, ce qui conforte l'idée d'une valorisation équilibrée, ni excessive ni bradée.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SLBC affiche une **variation totale quasi-nulle de +0,80%**, avec une dernière séance (J-1) parfaitement stable à **+0,00%**, traduisant une phase de consolidation sans direction marquée. Le titre a évolué dans un couloir relativement étroit entre un plus bas de **36 900 FCFA** et un plus haut de **41 500 FCFA**, soit un range de trading de 4 600 FCFA (environ 12% d'amplitude), ce qui reste modéré pour une valeur de cette envergure. La tendance générale est donc **stable à légèrement haussière**, le cours actuel (37 800 FCFA) se situant dans le bas de la fourchette, ce qui peut constituer une zone d'accumulation intéressante. Les statistiques descriptives révèlent une **moyenne de 38 283 FCFA** légèrement supérieure à la **médiane et au mode de 38 000 FCFA**, écart qui confirme une distribution asymétrique avec quelques journées de forte hausse tirant la moyenne vers le haut. L'**écart-type de 848 FCFA** et le **coefficient de variation de 2,2%** indiquent une dispersion très faible du cours, signe d'une grande stabilité et d'une faible nervosité du titre. Le **kurtosis de 0,875** (mésokurtique) suggère une distribution proche de la normale, sans risque majeur de pics extrêmes, tandis que le **skewness de 0,861** (asymétrie positive) révèle que les journées sous la moyenne sont plus fréquentes, mais compensées par des hausses ponctuelles plus amples. Enfin, la **volatilité annualisée de 24,3%** classe SLBC dans la catégorie des titres à volatilité modérée (15-30%), ce qui est rassurant pour un investisseur recherchant à la fois rendement et stabilité.</w:t>
      </w:r>
    </w:p>
    <w:p>
      <w:pPr>
        <w:spacing w:after="120" w:line="276" w:lineRule="auto"/>
      </w:pPr>
      <w:r>
        <w:t>---</w:t>
      </w:r>
    </w:p>
    <w:p>
      <w:pPr>
        <w:spacing w:after="120" w:line="276" w:lineRule="auto"/>
      </w:pPr>
      <w:r>
        <w:t>## PARTIE 2 : ANALYSE TECHNIQUE DÉTAILLÉE</w:t>
      </w:r>
    </w:p>
    <w:p>
      <w:pPr>
        <w:spacing w:after="120" w:line="276" w:lineRule="auto"/>
      </w:pPr>
      <w:r>
        <w:t>**Moyennes Mobiles** : La MM20 (37 861 FCFA) et la MM50 (37 922 FCFA) encadrent le cours actuel (37 800 FCFA) par le haut, ce qui place le titre en position de faiblesse relative. La MM20 étant légèrement inférieure à la MM50, on observe un croisement baissier naissant, ce qui justifie la décision technique de **Vente** émise par le système. Le cours devra reconquérir la zone des 37 900 FCFA pour inverser ce signal.</w:t>
      </w:r>
    </w:p>
    <w:p>
      <w:pPr>
        <w:spacing w:after="120" w:line="276" w:lineRule="auto"/>
      </w:pPr>
      <w:r>
        <w:t>**Bandes de Bollinger** : Le cours (37 800 FCFA) se situe dans la partie basse de la bande, entre la borne inférieure (37 389 FCFA) et la borne supérieure (38 333 FCFA), sans franchissement des extrêmes. Cette position centrale-basse, combinée à un rétrécissement des bandes, indique une faible volatilité et une absence de signal directionnel fort, d'où la décision **Neutre**. Un rebond vers la borne médiane (environ 37 861 FCFA) serait le premier signe de reprise.</w:t>
      </w:r>
    </w:p>
    <w:p>
      <w:pPr>
        <w:spacing w:after="120" w:line="276" w:lineRule="auto"/>
      </w:pPr>
      <w:r>
        <w:t>**MACD** : La valeur du MACD (-0,468) est supérieure à son signal (-3,304), ce qui génère un croisement haussier (MACD au-dessus du signal) malgré des valeurs négatives. Ce différentiel positif traduit un **momentum en amélioration** et une possible inflexion de tendance, justifiant la décision d'**Achat**. La convergence progressive des deux lignes vers zéro confirme l'affaiblissement de la pression baissière.</w:t>
      </w:r>
    </w:p>
    <w:p>
      <w:pPr>
        <w:spacing w:after="120" w:line="276" w:lineRule="auto"/>
      </w:pPr>
      <w:r>
        <w:t>**RSI** : À **37,5**, le RSI se situe dans la zone neutre basse (30-70), sans atteindre la zone de survente (&lt;30). Cela indique que le titre n'est ni suracheté ni survendu, mais qu'il évolue dans une dynamique légèrement baissière. La décision **Neutre** reflète cette absence de signal extrême, bien qu'une remontée au-dessus de 50 serait nécessaire pour confirmer un retournement haussier.</w:t>
      </w:r>
    </w:p>
    <w:p>
      <w:pPr>
        <w:spacing w:after="120" w:line="276" w:lineRule="auto"/>
      </w:pPr>
      <w:r>
        <w:t>**Stochastique** : Le %K (0,0) est nettement inférieur au %D (33,333), ce qui place le stochastique en zone de **survente extrême**. Historiquement, un %K à 0 constitue un signal d'achat potentiel, car il précède souvent un rebond technique. La décision d'**Achat** est donc cohérente avec cette configuration, bien qu'un croisement haussier du %K au-dessus du %D soit nécessaire pour valider le signal.</w:t>
      </w:r>
    </w:p>
    <w:p>
      <w:pPr>
        <w:spacing w:after="120" w:line="276" w:lineRule="auto"/>
      </w:pPr>
      <w:r>
        <w:t>**Conclusion technique** : Les indicateurs techniques présentent un tableau **mitigé mais légèrement favorable à un rebond**. Si les moyennes mobiles et le RSI plaident pour une certaine prudence (signal de vente/neutre), le MACD et le stochastique émettent des signaux d'achat clairs, soutenus par la position basse du cours dans les bandes de Bollinger. La convergence de ces signaux suggère que le titre approche d'un point d'inflexion, avec un potentiel de rebond à court terme vers la zone des 38 300-38 500 FCFA, à condition que le volume suive.</w:t>
      </w:r>
    </w:p>
    <w:p>
      <w:pPr>
        <w:spacing w:after="120" w:line="276" w:lineRule="auto"/>
      </w:pPr>
      <w:r>
        <w:t>---</w:t>
      </w:r>
    </w:p>
    <w:p>
      <w:pPr>
        <w:spacing w:after="120" w:line="276" w:lineRule="auto"/>
      </w:pPr>
      <w:r>
        <w:t>## PARTIE 3 : ANALYSE FONDAMENTALE</w:t>
      </w:r>
    </w:p>
    <w:p>
      <w:pPr>
        <w:spacing w:after="120" w:line="276" w:lineRule="auto"/>
      </w:pPr>
      <w:r>
        <w:t>Les données structurées de l'exercice **2025** (états financiers annuels) révèlent une performance exceptionnelle de SLBC. Le **chiffre d'affaires s'établit à 378,123 milliards FCFA**, en **croissance de 22,08%** par rapport à 2024 (309,722 milliards FCFA), portée par une hausse des volumes distribués et un mix prix favorable. Le **résultat net atteint 45,781 milliards FCFA**, soit une **explosion de +113%** par rapport aux 21,472 milliards de 2024, grâce à une marge nette qui double de 6,9% à **12,11%**. La rentabilité des fonds propres (**ROE de 23,46%**) et des actifs (**ROA de 13,48%**) se situe à des niveaux excellents, bien au-dessus des standards du marché. La structure financière est solide : **autonomie financière de 57,48%**, **liquidité générale de 195%**, et une **trésorerie nette positive de 22,117 milliards FCFA**. Le **BFR de 61,587 milliards FCFA** (positif) et les **délais clients de 64,27 jours** et **fournisseurs de 76,82 jours** indiquent une gestion du cycle d'exploitation globalement maîtrisée, bien que le délai de stockage élevé (117,32 jours) mérite une surveillance. Le **taux de distribution de 76,5%** (dividende de 2 127 FCFA/action proposé à l'AGO du 5 juin 2026) est très généreux, offrant un rendement attractif de 5,6% au cours actuel. Les rapports trimestriels confirment cette dynamique : le **T1 2026** (publié en 2026) affiche un CA de **93,46 milliards FCFA (+7,6%)**, un volume distribué de **1,839 million d'hectolitres (+9,6%)** et un résultat net de **16,26 milliards FCFA (+4,8%)**, avec une marge nette de 17,4%. Sur cette base, on peut **estimer** que l'exercice 2026 devrait maintenir une croissance à deux chiffres, avec un résultat net potentiellement supérieur à 50 milliards FCFA si la dynamique se poursuit. Les risques identifiés incluent la dépendance aux matières premières (90 milliards FCFA d'achats exposés à la volatilité), la concentration géographique sur la Côte d'Ivoire, et la pression concurrentielle. Néanmoins, la solidité du bilan, la position de leader et la générosité de la politique de dividende justifient une **recommandation fondamentale d'ACHAT** pour les investisseurs de long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dessine un tableau **globalement favorable** pour SLBC. La **valorisation (Partie 0)** apparaît équilibrée : le PER de 13,6x et l'EV/EBITDA de 7,4x ne signalent ni sous-évaluation flagrante ni surévaluation, mais la prime de croissance (P/B de 3,19x) est justifiée par un ROE de 23,46%. Le **comportement du cours (Partie 1)** est rassurant : volatilité modérée (24,3%), dispersion faible (CV de 2,2%), et skewness positive indiquant un potentiel de hausse asymétrique. Les **signaux techniques (Partie 2)** sont mitigés mais penchent vers un rebond : le MACD et le stochastique émettent des signaux d'achat, tandis que les moyennes mobiles et le RSI incitent à la prudence. Les **fondamentaux (Partie 3)** sont exceptionnels : croissance de 22% du CA, doublement du résultat net, ROE de 23,46%, et dividende généreux de 2 127 FCFA/action. Les **prédictions IA (J+1 à J+10)** confirment cette tendance haussière, avec une trajectoire ascendante de 38 458 FCFA (30/09) à 39 735 FCFA (06/10), soit un potentiel de **+5,1%** à court terme. Sur la base de cette convergence entre valorisation raisonnable, technique en amélioration, fondamentaux solides et prédictions haussières, la recommandation finale est **ACHAT**, avec un **niveau de confiance Élevé** et un **risque global Moyen** (lié à la volatilité des matières premières et à la concentration géographique). L'**horizon d'investissement optimal** est le **moyen à long terme (6 à 18 mois)**, afin de profiter à la fois de la croissance bénéficiaire, du rendement du dividende et de la potentielle appréciation du cours vers les 41 500 FCFA (plus haut des 100 derniers jours).</w:t>
      </w:r>
    </w:p>
    <w:p>
      <w:pPr>
        <w:spacing w:after="120" w:line="276" w:lineRule="auto"/>
      </w:pPr>
      <w:r>
        <w:t>---</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39.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128.62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1,653 titres</w:t>
            </w:r>
          </w:p>
        </w:tc>
        <w:tc>
          <w:tcPr>
            <w:tcW w:type="dxa" w:w="2268"/>
            <w:shd w:fill="FFF2CC" w:val="clear"/>
          </w:tcPr>
          <w:p>
            <w:r>
              <w:rPr>
                <w:b/>
                <w:color w:val="503200"/>
                <w:sz w:val="16"/>
              </w:rPr>
              <w:t xml:space="preserve">Cours actuel : </w:t>
            </w:r>
            <w:r>
              <w:rPr>
                <w:color w:val="000000"/>
                <w:sz w:val="17"/>
              </w:rPr>
              <w:t>16,500 FCFA</w:t>
            </w:r>
          </w:p>
          <w:p>
            <w:r>
              <w:rPr>
                <w:b/>
                <w:color w:val="503200"/>
                <w:sz w:val="16"/>
              </w:rPr>
              <w:t xml:space="preserve">Var. 100 jours : </w:t>
            </w:r>
            <w:r>
              <w:rPr>
                <w:b/>
                <w:color w:val="007800"/>
                <w:sz w:val="17"/>
              </w:rPr>
              <w:t>+43.48%</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11,500 FCFA</w:t>
            </w:r>
          </w:p>
          <w:p>
            <w:r>
              <w:rPr>
                <w:b/>
                <w:color w:val="503200"/>
                <w:sz w:val="16"/>
              </w:rPr>
              <w:t xml:space="preserve">Volatilité ann. : </w:t>
            </w:r>
            <w:r>
              <w:rPr>
                <w:color w:val="000000"/>
                <w:sz w:val="17"/>
              </w:rPr>
              <w:t>42.2%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10.87% (Moyenne) — μ=15,841 FCFA, σ=1,722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β=0.4919 (Défensif) — Cov=0.000034, Var(idx)=0.000069, ρ=0.154,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1,653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98627"/>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2026-09-30</w:t>
            </w:r>
          </w:p>
        </w:tc>
        <w:tc>
          <w:tcPr>
            <w:tcW w:type="dxa" w:w="1440"/>
            <w:shd w:fill="FAFAFA" w:val="clear"/>
          </w:tcPr>
          <w:p>
            <w:r>
              <w:rPr>
                <w:sz w:val="17"/>
              </w:rPr>
              <w:t>15,537</w:t>
            </w:r>
          </w:p>
        </w:tc>
        <w:tc>
          <w:tcPr>
            <w:tcW w:type="dxa" w:w="1440"/>
            <w:shd w:fill="FAFAFA" w:val="clear"/>
          </w:tcPr>
          <w:p>
            <w:r>
              <w:rPr>
                <w:b/>
                <w:sz w:val="17"/>
              </w:rPr>
              <w:t>16,262</w:t>
            </w:r>
          </w:p>
        </w:tc>
        <w:tc>
          <w:tcPr>
            <w:tcW w:type="dxa" w:w="1440"/>
            <w:shd w:fill="FAFAFA" w:val="clear"/>
          </w:tcPr>
          <w:p>
            <w:r>
              <w:rPr>
                <w:sz w:val="17"/>
              </w:rPr>
              <w:t>16,986</w:t>
            </w:r>
          </w:p>
        </w:tc>
        <w:tc>
          <w:tcPr>
            <w:tcW w:type="dxa" w:w="1440"/>
            <w:shd w:fill="FAFAFA" w:val="clear"/>
          </w:tcPr>
          <w:p>
            <w:r>
              <w:rPr>
                <w:b/>
                <w:color w:val="C00000"/>
                <w:sz w:val="17"/>
              </w:rPr>
              <w:t>-1.4%</w:t>
            </w:r>
          </w:p>
        </w:tc>
      </w:tr>
      <w:tr>
        <w:tc>
          <w:tcPr>
            <w:tcW w:type="dxa" w:w="1440"/>
            <w:shd w:fill="FAFAFA" w:val="clear"/>
          </w:tcPr>
          <w:p>
            <w:r>
              <w:rPr>
                <w:sz w:val="17"/>
              </w:rPr>
              <w:t>J+2  Moyenne</w:t>
            </w:r>
          </w:p>
        </w:tc>
        <w:tc>
          <w:tcPr>
            <w:tcW w:type="dxa" w:w="1440"/>
            <w:shd w:fill="FAFAFA" w:val="clear"/>
          </w:tcPr>
          <w:p>
            <w:r>
              <w:rPr>
                <w:sz w:val="17"/>
              </w:rPr>
              <w:t>2026-10-01</w:t>
            </w:r>
          </w:p>
        </w:tc>
        <w:tc>
          <w:tcPr>
            <w:tcW w:type="dxa" w:w="1440"/>
            <w:shd w:fill="FAFAFA" w:val="clear"/>
          </w:tcPr>
          <w:p>
            <w:r>
              <w:rPr>
                <w:sz w:val="17"/>
              </w:rPr>
              <w:t>15,233</w:t>
            </w:r>
          </w:p>
        </w:tc>
        <w:tc>
          <w:tcPr>
            <w:tcW w:type="dxa" w:w="1440"/>
            <w:shd w:fill="FAFAFA" w:val="clear"/>
          </w:tcPr>
          <w:p>
            <w:r>
              <w:rPr>
                <w:b/>
                <w:sz w:val="17"/>
              </w:rPr>
              <w:t>16,258</w:t>
            </w:r>
          </w:p>
        </w:tc>
        <w:tc>
          <w:tcPr>
            <w:tcW w:type="dxa" w:w="1440"/>
            <w:shd w:fill="FAFAFA" w:val="clear"/>
          </w:tcPr>
          <w:p>
            <w:r>
              <w:rPr>
                <w:sz w:val="17"/>
              </w:rPr>
              <w:t>17,283</w:t>
            </w:r>
          </w:p>
        </w:tc>
        <w:tc>
          <w:tcPr>
            <w:tcW w:type="dxa" w:w="1440"/>
            <w:shd w:fill="FAFAFA" w:val="clear"/>
          </w:tcPr>
          <w:p>
            <w:r>
              <w:rPr>
                <w:b/>
                <w:color w:val="C00000"/>
                <w:sz w:val="17"/>
              </w:rPr>
              <w:t>-1.5%</w:t>
            </w:r>
          </w:p>
        </w:tc>
      </w:tr>
      <w:tr>
        <w:tc>
          <w:tcPr>
            <w:tcW w:type="dxa" w:w="1440"/>
            <w:shd w:fill="FAFAFA" w:val="clear"/>
          </w:tcPr>
          <w:p>
            <w:r>
              <w:rPr>
                <w:sz w:val="17"/>
              </w:rPr>
              <w:t>J+3  Moyenne</w:t>
            </w:r>
          </w:p>
        </w:tc>
        <w:tc>
          <w:tcPr>
            <w:tcW w:type="dxa" w:w="1440"/>
            <w:shd w:fill="FAFAFA" w:val="clear"/>
          </w:tcPr>
          <w:p>
            <w:r>
              <w:rPr>
                <w:sz w:val="17"/>
              </w:rPr>
              <w:t>2026-10-02</w:t>
            </w:r>
          </w:p>
        </w:tc>
        <w:tc>
          <w:tcPr>
            <w:tcW w:type="dxa" w:w="1440"/>
            <w:shd w:fill="FAFAFA" w:val="clear"/>
          </w:tcPr>
          <w:p>
            <w:r>
              <w:rPr>
                <w:sz w:val="17"/>
              </w:rPr>
              <w:t>14,980</w:t>
            </w:r>
          </w:p>
        </w:tc>
        <w:tc>
          <w:tcPr>
            <w:tcW w:type="dxa" w:w="1440"/>
            <w:shd w:fill="FAFAFA" w:val="clear"/>
          </w:tcPr>
          <w:p>
            <w:r>
              <w:rPr>
                <w:b/>
                <w:sz w:val="17"/>
              </w:rPr>
              <w:t>16,234</w:t>
            </w:r>
          </w:p>
        </w:tc>
        <w:tc>
          <w:tcPr>
            <w:tcW w:type="dxa" w:w="1440"/>
            <w:shd w:fill="FAFAFA" w:val="clear"/>
          </w:tcPr>
          <w:p>
            <w:r>
              <w:rPr>
                <w:sz w:val="17"/>
              </w:rPr>
              <w:t>17,487</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2026-10-05</w:t>
            </w:r>
          </w:p>
        </w:tc>
        <w:tc>
          <w:tcPr>
            <w:tcW w:type="dxa" w:w="1440"/>
            <w:shd w:fill="FAFAFA" w:val="clear"/>
          </w:tcPr>
          <w:p>
            <w:r>
              <w:rPr>
                <w:sz w:val="17"/>
              </w:rPr>
              <w:t>14,775</w:t>
            </w:r>
          </w:p>
        </w:tc>
        <w:tc>
          <w:tcPr>
            <w:tcW w:type="dxa" w:w="1440"/>
            <w:shd w:fill="FAFAFA" w:val="clear"/>
          </w:tcPr>
          <w:p>
            <w:r>
              <w:rPr>
                <w:b/>
                <w:sz w:val="17"/>
              </w:rPr>
              <w:t>16,221</w:t>
            </w:r>
          </w:p>
        </w:tc>
        <w:tc>
          <w:tcPr>
            <w:tcW w:type="dxa" w:w="1440"/>
            <w:shd w:fill="FAFAFA" w:val="clear"/>
          </w:tcPr>
          <w:p>
            <w:r>
              <w:rPr>
                <w:sz w:val="17"/>
              </w:rPr>
              <w:t>17,667</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2026-10-06</w:t>
            </w:r>
          </w:p>
        </w:tc>
        <w:tc>
          <w:tcPr>
            <w:tcW w:type="dxa" w:w="1440"/>
            <w:shd w:fill="FAFAFA" w:val="clear"/>
          </w:tcPr>
          <w:p>
            <w:r>
              <w:rPr>
                <w:sz w:val="17"/>
              </w:rPr>
              <w:t>14,596</w:t>
            </w:r>
          </w:p>
        </w:tc>
        <w:tc>
          <w:tcPr>
            <w:tcW w:type="dxa" w:w="1440"/>
            <w:shd w:fill="FAFAFA" w:val="clear"/>
          </w:tcPr>
          <w:p>
            <w:r>
              <w:rPr>
                <w:b/>
                <w:sz w:val="17"/>
              </w:rPr>
              <w:t>16,212</w:t>
            </w:r>
          </w:p>
        </w:tc>
        <w:tc>
          <w:tcPr>
            <w:tcW w:type="dxa" w:w="1440"/>
            <w:shd w:fill="FAFAFA" w:val="clear"/>
          </w:tcPr>
          <w:p>
            <w:r>
              <w:rPr>
                <w:sz w:val="17"/>
              </w:rPr>
              <w:t>17,828</w:t>
            </w:r>
          </w:p>
        </w:tc>
        <w:tc>
          <w:tcPr>
            <w:tcW w:type="dxa" w:w="1440"/>
            <w:shd w:fill="FAFAFA" w:val="clear"/>
          </w:tcPr>
          <w:p>
            <w:r>
              <w:rPr>
                <w:b/>
                <w:color w:val="C00000"/>
                <w:sz w:val="17"/>
              </w:rPr>
              <w:t>-1.7%</w:t>
            </w:r>
          </w:p>
        </w:tc>
      </w:tr>
      <w:tr>
        <w:tc>
          <w:tcPr>
            <w:tcW w:type="dxa" w:w="1440"/>
            <w:shd w:fill="FAFAFA" w:val="clear"/>
          </w:tcPr>
          <w:p>
            <w:r>
              <w:rPr>
                <w:sz w:val="17"/>
              </w:rPr>
              <w:t>J+6  ⭐</w:t>
            </w:r>
          </w:p>
        </w:tc>
        <w:tc>
          <w:tcPr>
            <w:tcW w:type="dxa" w:w="1440"/>
            <w:shd w:fill="FAFAFA" w:val="clear"/>
          </w:tcPr>
          <w:p>
            <w:r>
              <w:rPr>
                <w:sz w:val="17"/>
              </w:rPr>
              <w:t>2026-10-07</w:t>
            </w:r>
          </w:p>
        </w:tc>
        <w:tc>
          <w:tcPr>
            <w:tcW w:type="dxa" w:w="1440"/>
            <w:shd w:fill="FAFAFA" w:val="clear"/>
          </w:tcPr>
          <w:p>
            <w:r>
              <w:rPr>
                <w:sz w:val="17"/>
              </w:rPr>
              <w:t>14,434</w:t>
            </w:r>
          </w:p>
        </w:tc>
        <w:tc>
          <w:tcPr>
            <w:tcW w:type="dxa" w:w="1440"/>
            <w:shd w:fill="FAFAFA" w:val="clear"/>
          </w:tcPr>
          <w:p>
            <w:r>
              <w:rPr>
                <w:b/>
                <w:sz w:val="17"/>
              </w:rPr>
              <w:t>16,204</w:t>
            </w:r>
          </w:p>
        </w:tc>
        <w:tc>
          <w:tcPr>
            <w:tcW w:type="dxa" w:w="1440"/>
            <w:shd w:fill="FAFAFA" w:val="clear"/>
          </w:tcPr>
          <w:p>
            <w:r>
              <w:rPr>
                <w:sz w:val="17"/>
              </w:rPr>
              <w:t>17,973</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2026-10-08</w:t>
            </w:r>
          </w:p>
        </w:tc>
        <w:tc>
          <w:tcPr>
            <w:tcW w:type="dxa" w:w="1440"/>
            <w:shd w:fill="FAFAFA" w:val="clear"/>
          </w:tcPr>
          <w:p>
            <w:r>
              <w:rPr>
                <w:sz w:val="17"/>
              </w:rPr>
              <w:t>14,285</w:t>
            </w:r>
          </w:p>
        </w:tc>
        <w:tc>
          <w:tcPr>
            <w:tcW w:type="dxa" w:w="1440"/>
            <w:shd w:fill="FAFAFA" w:val="clear"/>
          </w:tcPr>
          <w:p>
            <w:r>
              <w:rPr>
                <w:b/>
                <w:sz w:val="17"/>
              </w:rPr>
              <w:t>16,196</w:t>
            </w:r>
          </w:p>
        </w:tc>
        <w:tc>
          <w:tcPr>
            <w:tcW w:type="dxa" w:w="1440"/>
            <w:shd w:fill="FAFAFA" w:val="clear"/>
          </w:tcPr>
          <w:p>
            <w:r>
              <w:rPr>
                <w:sz w:val="17"/>
              </w:rPr>
              <w:t>18,106</w:t>
            </w:r>
          </w:p>
        </w:tc>
        <w:tc>
          <w:tcPr>
            <w:tcW w:type="dxa" w:w="1440"/>
            <w:shd w:fill="FAFAFA" w:val="clear"/>
          </w:tcPr>
          <w:p>
            <w:r>
              <w:rPr>
                <w:b/>
                <w:color w:val="C00000"/>
                <w:sz w:val="17"/>
              </w:rPr>
              <w:t>-1.8%</w:t>
            </w:r>
          </w:p>
        </w:tc>
      </w:tr>
      <w:tr>
        <w:tc>
          <w:tcPr>
            <w:tcW w:type="dxa" w:w="1440"/>
            <w:shd w:fill="FAFAFA" w:val="clear"/>
          </w:tcPr>
          <w:p>
            <w:r>
              <w:rPr>
                <w:sz w:val="17"/>
              </w:rPr>
              <w:t>J+8  ⭐</w:t>
            </w:r>
          </w:p>
        </w:tc>
        <w:tc>
          <w:tcPr>
            <w:tcW w:type="dxa" w:w="1440"/>
            <w:shd w:fill="FAFAFA" w:val="clear"/>
          </w:tcPr>
          <w:p>
            <w:r>
              <w:rPr>
                <w:sz w:val="17"/>
              </w:rPr>
              <w:t>2026-10-09</w:t>
            </w:r>
          </w:p>
        </w:tc>
        <w:tc>
          <w:tcPr>
            <w:tcW w:type="dxa" w:w="1440"/>
            <w:shd w:fill="FAFAFA" w:val="clear"/>
          </w:tcPr>
          <w:p>
            <w:r>
              <w:rPr>
                <w:sz w:val="17"/>
              </w:rPr>
              <w:t>14,147</w:t>
            </w:r>
          </w:p>
        </w:tc>
        <w:tc>
          <w:tcPr>
            <w:tcW w:type="dxa" w:w="1440"/>
            <w:shd w:fill="FAFAFA" w:val="clear"/>
          </w:tcPr>
          <w:p>
            <w:r>
              <w:rPr>
                <w:b/>
                <w:sz w:val="17"/>
              </w:rPr>
              <w:t>16,188</w:t>
            </w:r>
          </w:p>
        </w:tc>
        <w:tc>
          <w:tcPr>
            <w:tcW w:type="dxa" w:w="1440"/>
            <w:shd w:fill="FAFAFA" w:val="clear"/>
          </w:tcPr>
          <w:p>
            <w:r>
              <w:rPr>
                <w:sz w:val="17"/>
              </w:rPr>
              <w:t>18,229</w:t>
            </w:r>
          </w:p>
        </w:tc>
        <w:tc>
          <w:tcPr>
            <w:tcW w:type="dxa" w:w="1440"/>
            <w:shd w:fill="FAFAFA" w:val="clear"/>
          </w:tcPr>
          <w:p>
            <w:r>
              <w:rPr>
                <w:b/>
                <w:color w:val="C00000"/>
                <w:sz w:val="17"/>
              </w:rPr>
              <w:t>-1.9%</w:t>
            </w:r>
          </w:p>
        </w:tc>
      </w:tr>
      <w:tr>
        <w:tc>
          <w:tcPr>
            <w:tcW w:type="dxa" w:w="1440"/>
            <w:shd w:fill="FAFAFA" w:val="clear"/>
          </w:tcPr>
          <w:p>
            <w:r>
              <w:rPr>
                <w:sz w:val="17"/>
              </w:rPr>
              <w:t>J+9  ⭐</w:t>
            </w:r>
          </w:p>
        </w:tc>
        <w:tc>
          <w:tcPr>
            <w:tcW w:type="dxa" w:w="1440"/>
            <w:shd w:fill="FAFAFA" w:val="clear"/>
          </w:tcPr>
          <w:p>
            <w:r>
              <w:rPr>
                <w:sz w:val="17"/>
              </w:rPr>
              <w:t>2026-10-12</w:t>
            </w:r>
          </w:p>
        </w:tc>
        <w:tc>
          <w:tcPr>
            <w:tcW w:type="dxa" w:w="1440"/>
            <w:shd w:fill="FAFAFA" w:val="clear"/>
          </w:tcPr>
          <w:p>
            <w:r>
              <w:rPr>
                <w:sz w:val="17"/>
              </w:rPr>
              <w:t>14,016</w:t>
            </w:r>
          </w:p>
        </w:tc>
        <w:tc>
          <w:tcPr>
            <w:tcW w:type="dxa" w:w="1440"/>
            <w:shd w:fill="FAFAFA" w:val="clear"/>
          </w:tcPr>
          <w:p>
            <w:r>
              <w:rPr>
                <w:b/>
                <w:sz w:val="17"/>
              </w:rPr>
              <w:t>16,180</w:t>
            </w:r>
          </w:p>
        </w:tc>
        <w:tc>
          <w:tcPr>
            <w:tcW w:type="dxa" w:w="1440"/>
            <w:shd w:fill="FAFAFA" w:val="clear"/>
          </w:tcPr>
          <w:p>
            <w:r>
              <w:rPr>
                <w:sz w:val="17"/>
              </w:rPr>
              <w:t>18,344</w:t>
            </w:r>
          </w:p>
        </w:tc>
        <w:tc>
          <w:tcPr>
            <w:tcW w:type="dxa" w:w="1440"/>
            <w:shd w:fill="FAFAFA" w:val="clear"/>
          </w:tcPr>
          <w:p>
            <w:r>
              <w:rPr>
                <w:b/>
                <w:color w:val="C00000"/>
                <w:sz w:val="17"/>
              </w:rPr>
              <w:t>-1.9%</w:t>
            </w:r>
          </w:p>
        </w:tc>
      </w:tr>
      <w:tr>
        <w:tc>
          <w:tcPr>
            <w:tcW w:type="dxa" w:w="1440"/>
            <w:shd w:fill="FAFAFA" w:val="clear"/>
          </w:tcPr>
          <w:p>
            <w:r>
              <w:rPr>
                <w:sz w:val="17"/>
              </w:rPr>
              <w:t>J+10  ⭐</w:t>
            </w:r>
          </w:p>
        </w:tc>
        <w:tc>
          <w:tcPr>
            <w:tcW w:type="dxa" w:w="1440"/>
            <w:shd w:fill="FAFAFA" w:val="clear"/>
          </w:tcPr>
          <w:p>
            <w:r>
              <w:rPr>
                <w:sz w:val="17"/>
              </w:rPr>
              <w:t>2026-10-13</w:t>
            </w:r>
          </w:p>
        </w:tc>
        <w:tc>
          <w:tcPr>
            <w:tcW w:type="dxa" w:w="1440"/>
            <w:shd w:fill="FAFAFA" w:val="clear"/>
          </w:tcPr>
          <w:p>
            <w:r>
              <w:rPr>
                <w:sz w:val="17"/>
              </w:rPr>
              <w:t>13,892</w:t>
            </w:r>
          </w:p>
        </w:tc>
        <w:tc>
          <w:tcPr>
            <w:tcW w:type="dxa" w:w="1440"/>
            <w:shd w:fill="FAFAFA" w:val="clear"/>
          </w:tcPr>
          <w:p>
            <w:r>
              <w:rPr>
                <w:b/>
                <w:sz w:val="17"/>
              </w:rPr>
              <w:t>16,172</w:t>
            </w:r>
          </w:p>
        </w:tc>
        <w:tc>
          <w:tcPr>
            <w:tcW w:type="dxa" w:w="1440"/>
            <w:shd w:fill="FAFAFA" w:val="clear"/>
          </w:tcPr>
          <w:p>
            <w:r>
              <w:rPr>
                <w:sz w:val="17"/>
              </w:rPr>
              <w:t>18,452</w:t>
            </w:r>
          </w:p>
        </w:tc>
        <w:tc>
          <w:tcPr>
            <w:tcW w:type="dxa" w:w="1440"/>
            <w:shd w:fill="FAFAFA"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**RAPPORT D'ANALYSE FINANCIÈRE — SMBC (Société Multinationale de Bitumes)**</w:t>
        <w:br/>
        <w:t>*Bourse Régionale des Valeurs Mobilières (BRVM) — Secteur : Entreprise industrielle (bitumes)*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128,62 milliards FCFA, SMBC s'impose comme une valeur de taille intermédiaire sur la BRVM, ce qui la rend liquide et suivie par les investisseurs institutionnels de la place. Le BPA de 1 677 FCFA/action signifie que chaque titre génère près de 1 677 FCFA de bénéfice net, un niveau élevé qui traduit la forte rentabilité de l'entreprise. Le PER de 9,8x se situe dans la fourchette basse de la moyenne BRVM (~8-12x), suggérant que le marché ne paie pas cher pour les bénéfices actuels, voire sous-évalue légèrement le titre. Le P/B de 3,00x indique en revanche que le marché valorise SMBC à trois fois sa valeur comptable, soit une prime de croissance significative (fourchette 2-4x) justifiée par un ROE exceptionnel de 30,5%. Enfin, l'EV/EBITDA de 6,2x, dans la zone raisonnable de 5-10x, montre que la valeur totale de l'entreprise (dette incluse) reste cohérente avec sa capacité opérationnelle à générer du cash.</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SMBC affiche une progression spectaculaire de +43,48%, avec un cours actuel de 16 500 FCFA et une variation nulle sur la dernière séance (J-1 : +0,00%), signe d'une stabilisation après le rallye. Le range de trading est large, entre un plus bas de 11 500 FCFA et un plus haut de 18 500 FCFA, soit une amplitude de 61%, ce qui témoigne d'une forte dynamique haussière entrecoupée de corrections. La tendance générale est clairement haussière, portée par l'amélioration des marges et la solidité des résultats 2025. Les statistiques descriptives révèlent une moyenne de 15 841 FCFA légèrement inférieure à la médiane de 16 335 FCFA, avec un mode à 16 500 FCFA (cours actuel), indiquant une distribution asymétrique où le titre a passé plus de temps au-dessus de sa moyenne. L'écart-type de 1 731 FCFA (CV = 10,9%) traduit une dispersion modérée, tandis que le kurtosis de -0,178 (mésokurtique) suggère une distribution proche de la normale, sans risque excessif de pics extrêmes. Le skewness de -0,894 (asymétrie négative) confirme que les journées de baisse ont été moins fréquentes mais plus amples que les hausses. Enfin, la volatilité annualisée de 42,2% classe le titre dans la catégorie **élevée** (&gt;30%), ce qui implique un risque de marché non négligeable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(17 057,75 FCFA) et la MM50 (16 664,10 FCFA) se situent toutes deux au-dessus du cours actuel (16 500 FCFA), ce qui place le titre en position de faiblesse relative à court terme. Cependant, la MM20 reste supérieure à la MM50, confirmant une structure haussière de fond. La décision fournie est **Achat**, probablement basée sur le croisement haussier des moyennes et la tendance de fond.</w:t>
      </w:r>
    </w:p>
    <w:p>
      <w:pPr>
        <w:spacing w:after="120" w:line="276" w:lineRule="auto"/>
      </w:pPr>
      <w:r>
        <w:t>**Bandes de Bollinger** : Le cours (16 500 FCFA) évolue dans la partie basse de la bande, entre la borne inférieure (14 799,67 FCFA) et la borne supérieure (19 315,83 FCFA). Cette position médiane-basse, couplée à un écart-type élevé, indique une volatilité importante sans signal directionnel clair. La décision **Neutre** reflète cette absence de momentum fort.</w:t>
      </w:r>
    </w:p>
    <w:p>
      <w:pPr>
        <w:spacing w:after="120" w:line="276" w:lineRule="auto"/>
      </w:pPr>
      <w:r>
        <w:t>**MACD** : La valeur du MACD (-295,23) est inférieure à son signal (-122,61), générant un histogramme négatif et une décision **Vente**. Cette divergence baissière signale un essoufflement du momentum haussier et un risque de correction à court terme, malgré la tendance de fond positive.</w:t>
      </w:r>
    </w:p>
    <w:p>
      <w:pPr>
        <w:spacing w:after="120" w:line="276" w:lineRule="auto"/>
      </w:pPr>
      <w:r>
        <w:t>**RSI** : À 38,40, le RSI se situe dans la zone neutre basse (30-70), sans atteindre la zone de survente (&lt;30). La décision **Neutre** suggère que le titre n'est ni suracheté ni survendu, mais la proximité de la zone de survente pourrait attirer des acheteurs à bon compte.</w:t>
      </w:r>
    </w:p>
    <w:p>
      <w:pPr>
        <w:spacing w:after="120" w:line="276" w:lineRule="auto"/>
      </w:pPr>
      <w:r>
        <w:t>**Stochastique** : Le %K (47,23) est légèrement supérieur au %D (41,16), sans croisement net. La décision **Neutre** confirme l'absence de signal fort, le titre évoluant dans une phase de consolidation.</w:t>
      </w:r>
    </w:p>
    <w:p>
      <w:pPr>
        <w:spacing w:after="120" w:line="276" w:lineRule="auto"/>
      </w:pPr>
      <w:r>
        <w:t>**Conclusion technique** : Les indicateurs techniques sont majoritairement neutres, avec un biais baissier à court terme (MACD vendeur, cours sous les MM). La tendance de fond reste haussière (MM20 &gt; MM50), mais le titre traverse une phase de consolidation après son rallye de +43%. Une cassure au-dessus de 17 000 FCFA (MM20) serait nécessaire pour confirmer la reprise haussière.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 milliards FCFA, en baisse de -9,74% par rapport à 2024 (229,06 milliards FCFA), reflétant un environnement de marché difficile marqué par la volatilité des prix pétroliers et un ralentissement des ventes à l'export. Malgré cette contraction, le résultat net progresse spectaculairement de +50,3% à 13,075 milliards FCFA, porté par une amélioration de la marge nette (6,32% contre 3,8% en 2024) et un EBE en hausse de +41,8% à 18,48 milliards FCFA. Le ROE atteint 30,47% (excellent, &gt;15%) et le ROA 7,26%, confirmant la forte rentabilité des fonds propres et des actifs. En tant qu'entreprise industrielle, SMBC présente un BFR de 1,693 milliard FCFA (positif mais maîtrisé), un délai client élevé de 193,75 jours (risque de trésorerie) et un délai fournisseur de 207,07 jours (favorable à la trésorerie). L'endettement reste modéré avec un ratio d'endettement de 76,16% et une capacité de remboursement de 0,68 an (dette financière/CAF), tandis que la trésorerie nette s'élève à 23,988 milliards FCFA. Les rapports trimestriels 2025 (T1, S1, 9M) confirment cette dynamique : au T1 2025 (CA -22%, résultat net -7%), la marge nette s'améliore à 5,0% ; au S1 2025 (CA -23%, résultat net -7%), l'EBE bondit de +38% ; au 9M 2025 (CA -14%, résultat net +6%), la marge opérationnelle atteint 5,4% contre 4,0% un an plus tôt. Sur la base du rapport 9M 2025 (date : 30/09/2025), on estime que l'exercice 2025 devrait clôturer avec un résultat net autour de 13 milliards FCFA, confirmant la tendance annuelle. Le rapport annuel 2025 (date : 31/12/2025) valide cette estimation avec un résultat net de 13,075 milliards FCFA. La recommandation fondamentale est **CONSERVER**, avec un biais positif : la société démontre une excellente capacité à améliorer sa rentabilité malgré un environnement difficile, mais la baisse du chiffre d'affaires et la volatilité des prix pétroliers constituent des risques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SMBC apparaît attractive (PER 9,8x, EV/EBITDA 6,2x) malgré une prime sur la valeur comptable (P/B 3,00x), justifiée par un ROE exceptionnel de 30,5%. Le comportement du cours sur 100 jours est haussier (+43,48%) avec une volatilité élevée (42,2%), une distribution asymétrique négative (skewness -0,894) et une absence de pics extrêmes (kurtosis -0,178), ce qui suggère une tendance de fond solide mais des corrections possibles. Les signaux techniques sont mitigés : les moyennes mobiles restent haussières (MM20 &gt; MM50) mais le MACD est vendeur et le cours évolue sous ses moyennes, indiquant une consolidation à court terme. Les fondamentaux sont solides : résultat net en hausse de +50,3% en 2025, marge nette à 6,3%, trésorerie nette de 24 milliards FCFA et endettement maîtrisé, bien que le chiffre d'affaires recule de -9,7%. Les prédictions IA (J+1 à J+10) anticipent une légère baisse vers 16 212 FCFA, confirmant la phase de consolidation technique sans remettre en cause la tendance de fond. Sur la base de cette synthèse, la recommandation finale est **CONSERVER**, avec un niveau de confiance **Moyen** et un risque global **Moyen**. L'horizon d'investissement optimal est le **moyen terme (3-12 mois)**, en attendant une confirmation de la reprise du chiffre d'affaires et un dépassement des 17 000 FCFA pour envisager un renforcement.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40.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4299.50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12,500 titres</w:t>
            </w:r>
          </w:p>
        </w:tc>
        <w:tc>
          <w:tcPr>
            <w:tcW w:type="dxa" w:w="2268"/>
            <w:shd w:fill="FFF2CC" w:val="clear"/>
          </w:tcPr>
          <w:p>
            <w:r>
              <w:rPr>
                <w:b/>
                <w:color w:val="503200"/>
                <w:sz w:val="16"/>
              </w:rPr>
              <w:t xml:space="preserve">Cours actuel : </w:t>
            </w:r>
            <w:r>
              <w:rPr>
                <w:color w:val="000000"/>
                <w:sz w:val="17"/>
              </w:rPr>
              <w:t>42,995 FCFA</w:t>
            </w:r>
          </w:p>
          <w:p>
            <w:r>
              <w:rPr>
                <w:b/>
                <w:color w:val="503200"/>
                <w:sz w:val="16"/>
              </w:rPr>
              <w:t xml:space="preserve">Var. 100 jours : </w:t>
            </w:r>
            <w:r>
              <w:rPr>
                <w:b/>
                <w:color w:val="007800"/>
                <w:sz w:val="17"/>
              </w:rPr>
              <w:t>+48.77%</w:t>
            </w:r>
          </w:p>
          <w:p>
            <w:r>
              <w:rPr>
                <w:b/>
                <w:color w:val="503200"/>
                <w:sz w:val="16"/>
              </w:rPr>
              <w:t xml:space="preserve">Plus haut 100j : </w:t>
            </w:r>
            <w:r>
              <w:rPr>
                <w:color w:val="000000"/>
                <w:sz w:val="17"/>
              </w:rPr>
              <w:t>43,000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13.81% (Moyenne) — μ=32,438 FCFA, σ=4,478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β=1.2934 (Agressif) — Cov=0.000089, Var(idx)=0.000069, ρ=0.517,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12,500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σ_j=2.05%/j (Stable) — Vol. annualisée≈32.6%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598627"/>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2026-09-30</w:t>
            </w:r>
          </w:p>
        </w:tc>
        <w:tc>
          <w:tcPr>
            <w:tcW w:type="dxa" w:w="1440"/>
            <w:shd w:fill="FFDCE0" w:val="clear"/>
          </w:tcPr>
          <w:p>
            <w:r>
              <w:rPr>
                <w:sz w:val="17"/>
              </w:rPr>
              <w:t>40,085</w:t>
            </w:r>
          </w:p>
        </w:tc>
        <w:tc>
          <w:tcPr>
            <w:tcW w:type="dxa" w:w="1440"/>
            <w:shd w:fill="FFDCE0" w:val="clear"/>
          </w:tcPr>
          <w:p>
            <w:r>
              <w:rPr>
                <w:b/>
                <w:sz w:val="17"/>
              </w:rPr>
              <w:t>41,849</w:t>
            </w:r>
          </w:p>
        </w:tc>
        <w:tc>
          <w:tcPr>
            <w:tcW w:type="dxa" w:w="1440"/>
            <w:shd w:fill="FFDCE0" w:val="clear"/>
          </w:tcPr>
          <w:p>
            <w:r>
              <w:rPr>
                <w:sz w:val="17"/>
              </w:rPr>
              <w:t>43,613</w:t>
            </w:r>
          </w:p>
        </w:tc>
        <w:tc>
          <w:tcPr>
            <w:tcW w:type="dxa" w:w="1440"/>
            <w:shd w:fill="FFDCE0" w:val="clear"/>
          </w:tcPr>
          <w:p>
            <w:r>
              <w:rPr>
                <w:b/>
                <w:color w:val="C00000"/>
                <w:sz w:val="17"/>
              </w:rPr>
              <w:t>-2.7%</w:t>
            </w:r>
          </w:p>
        </w:tc>
      </w:tr>
      <w:tr>
        <w:tc>
          <w:tcPr>
            <w:tcW w:type="dxa" w:w="1440"/>
            <w:shd w:fill="FFDCE0" w:val="clear"/>
          </w:tcPr>
          <w:p>
            <w:r>
              <w:rPr>
                <w:sz w:val="17"/>
              </w:rPr>
              <w:t>J+2  ⭐</w:t>
            </w:r>
          </w:p>
        </w:tc>
        <w:tc>
          <w:tcPr>
            <w:tcW w:type="dxa" w:w="1440"/>
            <w:shd w:fill="FFDCE0" w:val="clear"/>
          </w:tcPr>
          <w:p>
            <w:r>
              <w:rPr>
                <w:sz w:val="17"/>
              </w:rPr>
              <w:t>2026-10-01</w:t>
            </w:r>
          </w:p>
        </w:tc>
        <w:tc>
          <w:tcPr>
            <w:tcW w:type="dxa" w:w="1440"/>
            <w:shd w:fill="FFDCE0" w:val="clear"/>
          </w:tcPr>
          <w:p>
            <w:r>
              <w:rPr>
                <w:sz w:val="17"/>
              </w:rPr>
              <w:t>39,299</w:t>
            </w:r>
          </w:p>
        </w:tc>
        <w:tc>
          <w:tcPr>
            <w:tcW w:type="dxa" w:w="1440"/>
            <w:shd w:fill="FFDCE0" w:val="clear"/>
          </w:tcPr>
          <w:p>
            <w:r>
              <w:rPr>
                <w:b/>
                <w:sz w:val="17"/>
              </w:rPr>
              <w:t>41,790</w:t>
            </w:r>
          </w:p>
        </w:tc>
        <w:tc>
          <w:tcPr>
            <w:tcW w:type="dxa" w:w="1440"/>
            <w:shd w:fill="FFDCE0" w:val="clear"/>
          </w:tcPr>
          <w:p>
            <w:r>
              <w:rPr>
                <w:sz w:val="17"/>
              </w:rPr>
              <w:t>44,281</w:t>
            </w:r>
          </w:p>
        </w:tc>
        <w:tc>
          <w:tcPr>
            <w:tcW w:type="dxa" w:w="1440"/>
            <w:shd w:fill="FFDCE0" w:val="clear"/>
          </w:tcPr>
          <w:p>
            <w:r>
              <w:rPr>
                <w:b/>
                <w:color w:val="C00000"/>
                <w:sz w:val="17"/>
              </w:rPr>
              <w:t>-2.8%</w:t>
            </w:r>
          </w:p>
        </w:tc>
      </w:tr>
      <w:tr>
        <w:tc>
          <w:tcPr>
            <w:tcW w:type="dxa" w:w="1440"/>
            <w:shd w:fill="FFDCE0" w:val="clear"/>
          </w:tcPr>
          <w:p>
            <w:r>
              <w:rPr>
                <w:sz w:val="17"/>
              </w:rPr>
              <w:t>J+3  ⭐</w:t>
            </w:r>
          </w:p>
        </w:tc>
        <w:tc>
          <w:tcPr>
            <w:tcW w:type="dxa" w:w="1440"/>
            <w:shd w:fill="FFDCE0" w:val="clear"/>
          </w:tcPr>
          <w:p>
            <w:r>
              <w:rPr>
                <w:sz w:val="17"/>
              </w:rPr>
              <w:t>2026-10-02</w:t>
            </w:r>
          </w:p>
        </w:tc>
        <w:tc>
          <w:tcPr>
            <w:tcW w:type="dxa" w:w="1440"/>
            <w:shd w:fill="FFDCE0" w:val="clear"/>
          </w:tcPr>
          <w:p>
            <w:r>
              <w:rPr>
                <w:sz w:val="17"/>
              </w:rPr>
              <w:t>38,616</w:t>
            </w:r>
          </w:p>
        </w:tc>
        <w:tc>
          <w:tcPr>
            <w:tcW w:type="dxa" w:w="1440"/>
            <w:shd w:fill="FFDCE0" w:val="clear"/>
          </w:tcPr>
          <w:p>
            <w:r>
              <w:rPr>
                <w:b/>
                <w:sz w:val="17"/>
              </w:rPr>
              <w:t>41,657</w:t>
            </w:r>
          </w:p>
        </w:tc>
        <w:tc>
          <w:tcPr>
            <w:tcW w:type="dxa" w:w="1440"/>
            <w:shd w:fill="FFDCE0" w:val="clear"/>
          </w:tcPr>
          <w:p>
            <w:r>
              <w:rPr>
                <w:sz w:val="17"/>
              </w:rPr>
              <w:t>44,699</w:t>
            </w:r>
          </w:p>
        </w:tc>
        <w:tc>
          <w:tcPr>
            <w:tcW w:type="dxa" w:w="1440"/>
            <w:shd w:fill="FFDCE0" w:val="clear"/>
          </w:tcPr>
          <w:p>
            <w:r>
              <w:rPr>
                <w:b/>
                <w:color w:val="C00000"/>
                <w:sz w:val="17"/>
              </w:rPr>
              <w:t>-3.1%</w:t>
            </w:r>
          </w:p>
        </w:tc>
      </w:tr>
      <w:tr>
        <w:tc>
          <w:tcPr>
            <w:tcW w:type="dxa" w:w="1440"/>
            <w:shd w:fill="FFDCE0" w:val="clear"/>
          </w:tcPr>
          <w:p>
            <w:r>
              <w:rPr>
                <w:sz w:val="17"/>
              </w:rPr>
              <w:t>J+4  ⭐</w:t>
            </w:r>
          </w:p>
        </w:tc>
        <w:tc>
          <w:tcPr>
            <w:tcW w:type="dxa" w:w="1440"/>
            <w:shd w:fill="FFDCE0" w:val="clear"/>
          </w:tcPr>
          <w:p>
            <w:r>
              <w:rPr>
                <w:sz w:val="17"/>
              </w:rPr>
              <w:t>2026-10-05</w:t>
            </w:r>
          </w:p>
        </w:tc>
        <w:tc>
          <w:tcPr>
            <w:tcW w:type="dxa" w:w="1440"/>
            <w:shd w:fill="FFDCE0" w:val="clear"/>
          </w:tcPr>
          <w:p>
            <w:r>
              <w:rPr>
                <w:sz w:val="17"/>
              </w:rPr>
              <w:t>38,042</w:t>
            </w:r>
          </w:p>
        </w:tc>
        <w:tc>
          <w:tcPr>
            <w:tcW w:type="dxa" w:w="1440"/>
            <w:shd w:fill="FFDCE0" w:val="clear"/>
          </w:tcPr>
          <w:p>
            <w:r>
              <w:rPr>
                <w:b/>
                <w:sz w:val="17"/>
              </w:rPr>
              <w:t>41,544</w:t>
            </w:r>
          </w:p>
        </w:tc>
        <w:tc>
          <w:tcPr>
            <w:tcW w:type="dxa" w:w="1440"/>
            <w:shd w:fill="FFDCE0" w:val="clear"/>
          </w:tcPr>
          <w:p>
            <w:r>
              <w:rPr>
                <w:sz w:val="17"/>
              </w:rPr>
              <w:t>45,046</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2026-10-06</w:t>
            </w:r>
          </w:p>
        </w:tc>
        <w:tc>
          <w:tcPr>
            <w:tcW w:type="dxa" w:w="1440"/>
            <w:shd w:fill="FFDCE0" w:val="clear"/>
          </w:tcPr>
          <w:p>
            <w:r>
              <w:rPr>
                <w:sz w:val="17"/>
              </w:rPr>
              <w:t>37,546</w:t>
            </w:r>
          </w:p>
        </w:tc>
        <w:tc>
          <w:tcPr>
            <w:tcW w:type="dxa" w:w="1440"/>
            <w:shd w:fill="FFDCE0" w:val="clear"/>
          </w:tcPr>
          <w:p>
            <w:r>
              <w:rPr>
                <w:b/>
                <w:sz w:val="17"/>
              </w:rPr>
              <w:t>41,453</w:t>
            </w:r>
          </w:p>
        </w:tc>
        <w:tc>
          <w:tcPr>
            <w:tcW w:type="dxa" w:w="1440"/>
            <w:shd w:fill="FFDCE0" w:val="clear"/>
          </w:tcPr>
          <w:p>
            <w:r>
              <w:rPr>
                <w:sz w:val="17"/>
              </w:rPr>
              <w:t>45,360</w:t>
            </w:r>
          </w:p>
        </w:tc>
        <w:tc>
          <w:tcPr>
            <w:tcW w:type="dxa" w:w="1440"/>
            <w:shd w:fill="FFDCE0" w:val="clear"/>
          </w:tcPr>
          <w:p>
            <w:r>
              <w:rPr>
                <w:b/>
                <w:color w:val="C00000"/>
                <w:sz w:val="17"/>
              </w:rPr>
              <w:t>-3.6%</w:t>
            </w:r>
          </w:p>
        </w:tc>
      </w:tr>
      <w:tr>
        <w:tc>
          <w:tcPr>
            <w:tcW w:type="dxa" w:w="1440"/>
            <w:shd w:fill="FFDCE0" w:val="clear"/>
          </w:tcPr>
          <w:p>
            <w:r>
              <w:rPr>
                <w:sz w:val="17"/>
              </w:rPr>
              <w:t>J+6  ⭐</w:t>
            </w:r>
          </w:p>
        </w:tc>
        <w:tc>
          <w:tcPr>
            <w:tcW w:type="dxa" w:w="1440"/>
            <w:shd w:fill="FFDCE0" w:val="clear"/>
          </w:tcPr>
          <w:p>
            <w:r>
              <w:rPr>
                <w:sz w:val="17"/>
              </w:rPr>
              <w:t>2026-10-07</w:t>
            </w:r>
          </w:p>
        </w:tc>
        <w:tc>
          <w:tcPr>
            <w:tcW w:type="dxa" w:w="1440"/>
            <w:shd w:fill="FFDCE0" w:val="clear"/>
          </w:tcPr>
          <w:p>
            <w:r>
              <w:rPr>
                <w:sz w:val="17"/>
              </w:rPr>
              <w:t>37,101</w:t>
            </w:r>
          </w:p>
        </w:tc>
        <w:tc>
          <w:tcPr>
            <w:tcW w:type="dxa" w:w="1440"/>
            <w:shd w:fill="FFDCE0" w:val="clear"/>
          </w:tcPr>
          <w:p>
            <w:r>
              <w:rPr>
                <w:b/>
                <w:sz w:val="17"/>
              </w:rPr>
              <w:t>41,373</w:t>
            </w:r>
          </w:p>
        </w:tc>
        <w:tc>
          <w:tcPr>
            <w:tcW w:type="dxa" w:w="1440"/>
            <w:shd w:fill="FFDCE0" w:val="clear"/>
          </w:tcPr>
          <w:p>
            <w:r>
              <w:rPr>
                <w:sz w:val="17"/>
              </w:rPr>
              <w:t>45,644</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2026-10-08</w:t>
            </w:r>
          </w:p>
        </w:tc>
        <w:tc>
          <w:tcPr>
            <w:tcW w:type="dxa" w:w="1440"/>
            <w:shd w:fill="FFDCE0" w:val="clear"/>
          </w:tcPr>
          <w:p>
            <w:r>
              <w:rPr>
                <w:sz w:val="17"/>
              </w:rPr>
              <w:t>36,693</w:t>
            </w:r>
          </w:p>
        </w:tc>
        <w:tc>
          <w:tcPr>
            <w:tcW w:type="dxa" w:w="1440"/>
            <w:shd w:fill="FFDCE0" w:val="clear"/>
          </w:tcPr>
          <w:p>
            <w:r>
              <w:rPr>
                <w:b/>
                <w:sz w:val="17"/>
              </w:rPr>
              <w:t>41,299</w:t>
            </w:r>
          </w:p>
        </w:tc>
        <w:tc>
          <w:tcPr>
            <w:tcW w:type="dxa" w:w="1440"/>
            <w:shd w:fill="FFDCE0" w:val="clear"/>
          </w:tcPr>
          <w:p>
            <w:r>
              <w:rPr>
                <w:sz w:val="17"/>
              </w:rPr>
              <w:t>45,904</w:t>
            </w:r>
          </w:p>
        </w:tc>
        <w:tc>
          <w:tcPr>
            <w:tcW w:type="dxa" w:w="1440"/>
            <w:shd w:fill="FFDCE0" w:val="clear"/>
          </w:tcPr>
          <w:p>
            <w:r>
              <w:rPr>
                <w:b/>
                <w:color w:val="C00000"/>
                <w:sz w:val="17"/>
              </w:rPr>
              <w:t>-3.9%</w:t>
            </w:r>
          </w:p>
        </w:tc>
      </w:tr>
      <w:tr>
        <w:tc>
          <w:tcPr>
            <w:tcW w:type="dxa" w:w="1440"/>
            <w:shd w:fill="FFDCE0" w:val="clear"/>
          </w:tcPr>
          <w:p>
            <w:r>
              <w:rPr>
                <w:sz w:val="17"/>
              </w:rPr>
              <w:t>J+8  ⭐</w:t>
            </w:r>
          </w:p>
        </w:tc>
        <w:tc>
          <w:tcPr>
            <w:tcW w:type="dxa" w:w="1440"/>
            <w:shd w:fill="FFDCE0" w:val="clear"/>
          </w:tcPr>
          <w:p>
            <w:r>
              <w:rPr>
                <w:sz w:val="17"/>
              </w:rPr>
              <w:t>2026-10-09</w:t>
            </w:r>
          </w:p>
        </w:tc>
        <w:tc>
          <w:tcPr>
            <w:tcW w:type="dxa" w:w="1440"/>
            <w:shd w:fill="FFDCE0" w:val="clear"/>
          </w:tcPr>
          <w:p>
            <w:r>
              <w:rPr>
                <w:sz w:val="17"/>
              </w:rPr>
              <w:t>36,313</w:t>
            </w:r>
          </w:p>
        </w:tc>
        <w:tc>
          <w:tcPr>
            <w:tcW w:type="dxa" w:w="1440"/>
            <w:shd w:fill="FFDCE0" w:val="clear"/>
          </w:tcPr>
          <w:p>
            <w:r>
              <w:rPr>
                <w:b/>
                <w:sz w:val="17"/>
              </w:rPr>
              <w:t>41,228</w:t>
            </w:r>
          </w:p>
        </w:tc>
        <w:tc>
          <w:tcPr>
            <w:tcW w:type="dxa" w:w="1440"/>
            <w:shd w:fill="FFDCE0" w:val="clear"/>
          </w:tcPr>
          <w:p>
            <w:r>
              <w:rPr>
                <w:sz w:val="17"/>
              </w:rPr>
              <w:t>46,143</w:t>
            </w:r>
          </w:p>
        </w:tc>
        <w:tc>
          <w:tcPr>
            <w:tcW w:type="dxa" w:w="1440"/>
            <w:shd w:fill="FFDCE0" w:val="clear"/>
          </w:tcPr>
          <w:p>
            <w:r>
              <w:rPr>
                <w:b/>
                <w:color w:val="C00000"/>
                <w:sz w:val="17"/>
              </w:rPr>
              <w:t>-4.1%</w:t>
            </w:r>
          </w:p>
        </w:tc>
      </w:tr>
      <w:tr>
        <w:tc>
          <w:tcPr>
            <w:tcW w:type="dxa" w:w="1440"/>
            <w:shd w:fill="FFDCE0" w:val="clear"/>
          </w:tcPr>
          <w:p>
            <w:r>
              <w:rPr>
                <w:sz w:val="17"/>
              </w:rPr>
              <w:t>J+9  ⭐</w:t>
            </w:r>
          </w:p>
        </w:tc>
        <w:tc>
          <w:tcPr>
            <w:tcW w:type="dxa" w:w="1440"/>
            <w:shd w:fill="FFDCE0" w:val="clear"/>
          </w:tcPr>
          <w:p>
            <w:r>
              <w:rPr>
                <w:sz w:val="17"/>
              </w:rPr>
              <w:t>2026-10-12</w:t>
            </w:r>
          </w:p>
        </w:tc>
        <w:tc>
          <w:tcPr>
            <w:tcW w:type="dxa" w:w="1440"/>
            <w:shd w:fill="FFDCE0" w:val="clear"/>
          </w:tcPr>
          <w:p>
            <w:r>
              <w:rPr>
                <w:sz w:val="17"/>
              </w:rPr>
              <w:t>35,955</w:t>
            </w:r>
          </w:p>
        </w:tc>
        <w:tc>
          <w:tcPr>
            <w:tcW w:type="dxa" w:w="1440"/>
            <w:shd w:fill="FFDCE0" w:val="clear"/>
          </w:tcPr>
          <w:p>
            <w:r>
              <w:rPr>
                <w:b/>
                <w:sz w:val="17"/>
              </w:rPr>
              <w:t>41,160</w:t>
            </w:r>
          </w:p>
        </w:tc>
        <w:tc>
          <w:tcPr>
            <w:tcW w:type="dxa" w:w="1440"/>
            <w:shd w:fill="FFDCE0" w:val="clear"/>
          </w:tcPr>
          <w:p>
            <w:r>
              <w:rPr>
                <w:sz w:val="17"/>
              </w:rPr>
              <w:t>46,364</w:t>
            </w:r>
          </w:p>
        </w:tc>
        <w:tc>
          <w:tcPr>
            <w:tcW w:type="dxa" w:w="1440"/>
            <w:shd w:fill="FFDCE0" w:val="clear"/>
          </w:tcPr>
          <w:p>
            <w:r>
              <w:rPr>
                <w:b/>
                <w:color w:val="C00000"/>
                <w:sz w:val="17"/>
              </w:rPr>
              <w:t>-4.3%</w:t>
            </w:r>
          </w:p>
        </w:tc>
      </w:tr>
      <w:tr>
        <w:tc>
          <w:tcPr>
            <w:tcW w:type="dxa" w:w="1440"/>
            <w:shd w:fill="FFDCE0" w:val="clear"/>
          </w:tcPr>
          <w:p>
            <w:r>
              <w:rPr>
                <w:sz w:val="17"/>
              </w:rPr>
              <w:t>J+10  ⭐</w:t>
            </w:r>
          </w:p>
        </w:tc>
        <w:tc>
          <w:tcPr>
            <w:tcW w:type="dxa" w:w="1440"/>
            <w:shd w:fill="FFDCE0" w:val="clear"/>
          </w:tcPr>
          <w:p>
            <w:r>
              <w:rPr>
                <w:sz w:val="17"/>
              </w:rPr>
              <w:t>2026-10-13</w:t>
            </w:r>
          </w:p>
        </w:tc>
        <w:tc>
          <w:tcPr>
            <w:tcW w:type="dxa" w:w="1440"/>
            <w:shd w:fill="FFDCE0" w:val="clear"/>
          </w:tcPr>
          <w:p>
            <w:r>
              <w:rPr>
                <w:sz w:val="17"/>
              </w:rPr>
              <w:t>35,616</w:t>
            </w:r>
          </w:p>
        </w:tc>
        <w:tc>
          <w:tcPr>
            <w:tcW w:type="dxa" w:w="1440"/>
            <w:shd w:fill="FFDCE0" w:val="clear"/>
          </w:tcPr>
          <w:p>
            <w:r>
              <w:rPr>
                <w:b/>
                <w:sz w:val="17"/>
              </w:rPr>
              <w:t>41,093</w:t>
            </w:r>
          </w:p>
        </w:tc>
        <w:tc>
          <w:tcPr>
            <w:tcW w:type="dxa" w:w="1440"/>
            <w:shd w:fill="FFDCE0" w:val="clear"/>
          </w:tcPr>
          <w:p>
            <w:r>
              <w:rPr>
                <w:sz w:val="17"/>
              </w:rPr>
              <w:t>46,571</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SONATEL (SNTS)**</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4 299,50 milliards FCFA, Sonatel s'impose comme la première capitalisation de la BRVM, représentant à elle seule une part prépondérante de l'indice composite et constituant de facto le titre le plus liquide et le plus institutionnel de la cote. Le BPA de 4 136 FCFA par action signifie que chaque titre génère près de 4 136 FCFA de bénéfice net, ce qui, rapporté au cours actuel de 42 995 FCFA, donne un PER de 10,4x — un niveau modéré et parfaitement dans la fourchette moyenne du marché BRVM (8-12x), traduisant une valorisation raisonnable sans prime excessive. Le P/B de 3,07x indique que le marché valorise l'action à environ trois fois sa valeur comptable, une prime de croissance justifiée par la qualité des fonds propres et la rentabilité élevée du groupe. Enfin, l'EV/EBITDA de 4,5x, inférieur au seuil de 5x, signale que la valeur d'entreprise reste très bon marché au regard de la capacité opérationnelle de génération de cash-flows, ce qui constitue un signal de sous-évaluation relative attrayant pour un investisseur de long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SNTS a enregistré une progression spectaculaire de +48,77%, passant d'un plus bas de 27 160 FCFA à un plus haut de 43 000 FCFA, soit un range de trading de près de 58% — une amplitude remarquable qui témoigne d'un fort engouement acheteur. La dernière séance (J-1) affiche une quasi-stagnation à -0,01%, avec un cours actuel de 42 995 FCFA, collé à son plus haut historique, ce qui suggère une phase de consolidation en zone haute après le rallye. La tendance générale est donc nettement haussière, portée par des fondamentaux solides et un intérêt croissant pour les valeurs télécoms de la zone UEMOA. Les statistiques descriptives révèlent une moyenne de 32 438 FCFA nettement supérieure à la médiane de 31 000 FCFA (égale au mode), ce qui confirme une distribution asymétrique positivement — le skewness de 0,970 indique d'ailleurs davantage de journées sous la moyenne, typique d'un titre dont les gains se concentrent sur quelques séances explosives. L'écart-type de 4 501 FCFA avec un coefficient de variation de 13,9% traduit une dispersion modérée du cours, tandis que le kurtosis de -0,371 (mésokurtique) suggère une distribution proche de la normale, sans risque excessif de pics extrêmes. La volatilité annualisée de 32,6% positionne le titre dans la catégorie des valeurs à volatilité élevée (&gt;30%), ce qui est cohérent avec la forte appréciation récente et appelle à une gestion prudente du risque d'entrée.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40 136,25 FCFA et la MM50 à 35 742,20 FCFA, toutes deux nettement inférieures au cours actuel de 42 995 FCFA. Cette configuration en « golden cross » (MM20 &gt; MM50) avec un cours surplombant les deux moyennes confirme une dynamique haussière robuste et justifie la décision d'**Achat** émise par le modèle.</w:t>
      </w:r>
    </w:p>
    <w:p>
      <w:pPr>
        <w:spacing w:after="120" w:line="276" w:lineRule="auto"/>
      </w:pPr>
      <w:r>
        <w:t>**Bandes de Bollinger** : Le cours (42 995 FCFA) évolue dans la partie haute du canal, proche de la borne supérieure (43 805,91 FCFA) et très éloigné de la borne inférieure (36 466,59 FCFA). Cette position signale une pression acheteuse soutenue mais aussi un risque de retour à la moyenne ; la décision est logiquement **Neutre**, le titre étant en zone d'extension haute.</w:t>
      </w:r>
    </w:p>
    <w:p>
      <w:pPr>
        <w:spacing w:after="120" w:line="276" w:lineRule="auto"/>
      </w:pPr>
      <w:r>
        <w:t>**MACD** : La valeur du MACD (2 012,652) dépasse son signal (1 928,996), avec un histogramme positif qui traduit un momentum haussier toujours actif. La décision d'**Achat** est confirmée, bien que l'écart entre les deux lignes se réduise, suggérant un essoufflement progressif de la dynamique.</w:t>
      </w:r>
    </w:p>
    <w:p>
      <w:pPr>
        <w:spacing w:after="120" w:line="276" w:lineRule="auto"/>
      </w:pPr>
      <w:r>
        <w:t>**RSI** : À 77,8, le RSI se situe largement au-dessus du seuil de surachat de 70, ce qui déclenche une décision de **Vente**. Cette lecture indique que le titre a probablement capté l'essentiel de son potentiel haussier à court terme et qu'une correction technique est plausible.</w:t>
      </w:r>
    </w:p>
    <w:p>
      <w:pPr>
        <w:spacing w:after="120" w:line="276" w:lineRule="auto"/>
      </w:pPr>
      <w:r>
        <w:t>**Stochastique** : Le %K (99,881) et le %D (99,96) sont tous deux collés à leur maximum de 100, en zone de surachat extrême, avec une décision de **Vente**. L'absence de croisement baissier pour l'instant maintient la vigilance, mais cette configuration précède souvent un retournement.</w:t>
      </w:r>
    </w:p>
    <w:p>
      <w:pPr>
        <w:spacing w:after="120" w:line="276" w:lineRule="auto"/>
      </w:pPr>
      <w:r>
        <w:t>**Conclusion technique** : Les indicateurs de tendance (MM, MACD) restent haussiers et confirment la solidité du mouvement de fond, mais les oscillateurs (RSI à 77,8, Stochastique à 99,9) clignotent en zone de surachat extrême et plaident pour une prise de profit ou une attente d'un repli vers la MM20 (40 136 FCFA). La convergence des signaux suggère un titre en fin de phase d'accélération, avec un risque de consolidation à court terme plus élevé que le potentiel de hausse immédiat.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annuels officiels) établissent un chiffre d'affaires consolidé de 1 923,122 milliards FCFA, en croissance de +8,26% sur un an, pour un résultat net de 413,588 milliards FCFA, soit une marge nette de 21,51%. La rentabilité des fonds propres (ROE) atteint 29,56%, largement supérieure au seuil d'excellence de 15%, et le ROA s'établit à 12,65%, confirmant l'efficacité de l'utilisation des actifs. Sur le plan de la structure financière, l'autonomie financière de 42,79% est saine, la solvabilité générale de 174,79% garantit la couverture des dettes, et la capacité de remboursement de 0,64 an (dettes financières/CAF) témoigne d'un endettement très maîtrisé. En tant qu'entreprise de télécommunications, les délais d'exploitation sont particulièrement favorables : le délai fournisseurs de 201,39 jours constitue un levier de trésorerie considérable, le BFR est négatif à -284,906 milliards FCFA (excellent signe de financement par les fournisseurs), et la trésorerie nette de 536,105 milliards FCFA offre une marge de manœuvre confortable. Les rapports narratifs confirment cette dynamique : le rapport annuel 2025 (publié le 16/02/2026) fait état d'un résultat net de 413,6 milliards FCFA (+5,1%) et d'un dividende brut de 1 933 FCFA par action (1 740 FCFA net), tandis que le communiqué du S1 2026 (27/07/2026) révèle une accélération avec un CA de 1 049,8 milliards FCFA (+9,3%) et un résultat net de 230 milliards FCFA (+10,5%), accompagnée d'un relèvement de notation à AAA (wu) par GCR Ratings. Sur la base de ce rapport S1 2026, on peut estimer que l'exercice 2026 devrait dépasser les 2 100 milliards FCFA de chiffre d'affaires avec un résultat net approchant 450 milliards FCFA, confirmant la trajectoire de croissance rentable. La recommandation fondamentale est donc celle d'une valeur de qualité, solide, rentable et généreuse en dividendes, dont les principaux risques résident dans la pression fiscale et réglementaire croissante ainsi que l'intensification concurrentielle sur le mobile money.</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dessine un profil d'investissement contrasté entre court et long terme. Sur le plan de la **valorisation (Partie 0)**, les ratios PER de 10,4x, P/B de 3,07x et surtout EV/EBITDA de 4,5x indiquent une action raisonnablement valorisée, voire légèrement sous-évaluée sur la base de sa capacité opérationnelle, ce qui plaide pour un potentiel de rattrapage à moyen terme. Le **comportement du cours (Partie 1)** est nettement haussier (+48,77% sur 100 jours) mais la volatilité élevée (32,6%) et la position collée au plus haut appellent à la prudence sur les points d'entrée. Les **signaux techniques (Partie 2)** sont divergents : les tendances (MM, MACD) restent acheteuses, mais les oscillateurs (RSI 77,8, Stochastique 99,9) sont en surachat extrême et émettent des signaux de vente, suggérant une consolidation imminente. Les **fondamentaux (Partie 3)** sont excellents : ROE de 29,56%, BFR négatif, trésorerie nette de 536 milliards FCFA, notation AAA et croissance à deux chiffres confirmée par le S1 2026 (+10,5% de résultat net). Les **prédictions IA (J+1 à J+10)** anticipent une légère correction de 42 995 FCFA vers 41 453 FCFA (-3,6%), ce qui confirme la lecture technique d'un repli à court terme et contredit partiellement le momentum haussier actuel. Sur la base de cette synthèse, la recommandation finale est **CONSERVER** avec un biais acheteur sur repli : la convergence entre valorisation attractive, fondamentaux exceptionnels et prédiction de correction modérée suggère d'attendre un retour vers la zone des 40 000-41 500 FCFA (MM20 et support technique) pour renforcer une position de long terme. Le niveau de confiance est **Élevé** (fondamentaux et valorisation solides), le risque global est **Moyen** (volatilité élevée et surachat technique), et l'horizon optimal est le **long terme (&gt;1 an)**, afin de capturer la croissance structurelle du groupe, le rendement du dividende (1 740 FCFA net, soit ~4% au cours actuel) et le potentiel de réévaluation lié à l'expansion 5G et à la transformation numérique en Afrique de l'Ouest.</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41.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171.63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5,297 titres</w:t>
            </w:r>
          </w:p>
        </w:tc>
        <w:tc>
          <w:tcPr>
            <w:tcW w:type="dxa" w:w="2268"/>
            <w:shd w:fill="FFF2CC" w:val="clear"/>
          </w:tcPr>
          <w:p>
            <w:r>
              <w:rPr>
                <w:b/>
                <w:color w:val="503200"/>
                <w:sz w:val="16"/>
              </w:rPr>
              <w:t xml:space="preserve">Cours actuel : </w:t>
            </w:r>
            <w:r>
              <w:rPr>
                <w:color w:val="000000"/>
                <w:sz w:val="17"/>
              </w:rPr>
              <w:t>7,945 FCFA</w:t>
            </w:r>
          </w:p>
          <w:p>
            <w:r>
              <w:rPr>
                <w:b/>
                <w:color w:val="503200"/>
                <w:sz w:val="16"/>
              </w:rPr>
              <w:t xml:space="preserve">Var. 100 jours : </w:t>
            </w:r>
            <w:r>
              <w:rPr>
                <w:b/>
                <w:color w:val="007800"/>
                <w:sz w:val="17"/>
              </w:rPr>
              <w:t>+5.93%</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41.4%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11.5/100 → Faible</w:t>
      </w:r>
    </w:p>
    <w:p>
      <w:pPr>
        <w:spacing w:before="40" w:after="80"/>
      </w:pPr>
      <w:r>
        <w:rPr>
          <w:rFonts w:ascii="Courier New" w:hAnsi="Courier New"/>
          <w:color w:val="006400"/>
          <w:sz w:val="18"/>
        </w:rPr>
        <w:t>██░░░░░░░░░░░░░░░░░░  11.5/100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4.74% (Faible) — μ=8,057 FCFA, σ=382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β=0.9729 (Neutre (suit le marché)) — Cov=0.000067, Var(idx)=0.000069, ρ=0.314,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5,297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0906"/>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2026-09-30</w:t>
            </w:r>
          </w:p>
        </w:tc>
        <w:tc>
          <w:tcPr>
            <w:tcW w:type="dxa" w:w="1440"/>
            <w:shd w:fill="FAFAFA" w:val="clear"/>
          </w:tcPr>
          <w:p>
            <w:r>
              <w:rPr>
                <w:sz w:val="17"/>
              </w:rPr>
              <w:t>7,430</w:t>
            </w:r>
          </w:p>
        </w:tc>
        <w:tc>
          <w:tcPr>
            <w:tcW w:type="dxa" w:w="1440"/>
            <w:shd w:fill="FAFAFA" w:val="clear"/>
          </w:tcPr>
          <w:p>
            <w:r>
              <w:rPr>
                <w:b/>
                <w:sz w:val="17"/>
              </w:rPr>
              <w:t>7,821</w:t>
            </w:r>
          </w:p>
        </w:tc>
        <w:tc>
          <w:tcPr>
            <w:tcW w:type="dxa" w:w="1440"/>
            <w:shd w:fill="FAFAFA" w:val="clear"/>
          </w:tcPr>
          <w:p>
            <w:r>
              <w:rPr>
                <w:sz w:val="17"/>
              </w:rPr>
              <w:t>8,211</w:t>
            </w:r>
          </w:p>
        </w:tc>
        <w:tc>
          <w:tcPr>
            <w:tcW w:type="dxa" w:w="1440"/>
            <w:shd w:fill="FAFAFA" w:val="clear"/>
          </w:tcPr>
          <w:p>
            <w:r>
              <w:rPr>
                <w:b/>
                <w:color w:val="C00000"/>
                <w:sz w:val="17"/>
              </w:rPr>
              <w:t>-1.6%</w:t>
            </w:r>
          </w:p>
        </w:tc>
      </w:tr>
      <w:tr>
        <w:tc>
          <w:tcPr>
            <w:tcW w:type="dxa" w:w="1440"/>
            <w:shd w:fill="FAFAFA" w:val="clear"/>
          </w:tcPr>
          <w:p>
            <w:r>
              <w:rPr>
                <w:sz w:val="17"/>
              </w:rPr>
              <w:t>J+2  ⭐</w:t>
            </w:r>
          </w:p>
        </w:tc>
        <w:tc>
          <w:tcPr>
            <w:tcW w:type="dxa" w:w="1440"/>
            <w:shd w:fill="FAFAFA" w:val="clear"/>
          </w:tcPr>
          <w:p>
            <w:r>
              <w:rPr>
                <w:sz w:val="17"/>
              </w:rPr>
              <w:t>2026-10-01</w:t>
            </w:r>
          </w:p>
        </w:tc>
        <w:tc>
          <w:tcPr>
            <w:tcW w:type="dxa" w:w="1440"/>
            <w:shd w:fill="FAFAFA" w:val="clear"/>
          </w:tcPr>
          <w:p>
            <w:r>
              <w:rPr>
                <w:sz w:val="17"/>
              </w:rPr>
              <w:t>7,269</w:t>
            </w:r>
          </w:p>
        </w:tc>
        <w:tc>
          <w:tcPr>
            <w:tcW w:type="dxa" w:w="1440"/>
            <w:shd w:fill="FAFAFA" w:val="clear"/>
          </w:tcPr>
          <w:p>
            <w:r>
              <w:rPr>
                <w:b/>
                <w:sz w:val="17"/>
              </w:rPr>
              <w:t>7,822</w:t>
            </w:r>
          </w:p>
        </w:tc>
        <w:tc>
          <w:tcPr>
            <w:tcW w:type="dxa" w:w="1440"/>
            <w:shd w:fill="FAFAFA" w:val="clear"/>
          </w:tcPr>
          <w:p>
            <w:r>
              <w:rPr>
                <w:sz w:val="17"/>
              </w:rPr>
              <w:t>8,374</w:t>
            </w:r>
          </w:p>
        </w:tc>
        <w:tc>
          <w:tcPr>
            <w:tcW w:type="dxa" w:w="1440"/>
            <w:shd w:fill="FAFAFA" w:val="clear"/>
          </w:tcPr>
          <w:p>
            <w:r>
              <w:rPr>
                <w:b/>
                <w:color w:val="C00000"/>
                <w:sz w:val="17"/>
              </w:rPr>
              <w:t>-1.6%</w:t>
            </w:r>
          </w:p>
        </w:tc>
      </w:tr>
      <w:tr>
        <w:tc>
          <w:tcPr>
            <w:tcW w:type="dxa" w:w="1440"/>
            <w:shd w:fill="FAFAFA" w:val="clear"/>
          </w:tcPr>
          <w:p>
            <w:r>
              <w:rPr>
                <w:sz w:val="17"/>
              </w:rPr>
              <w:t>J+3  ⭐</w:t>
            </w:r>
          </w:p>
        </w:tc>
        <w:tc>
          <w:tcPr>
            <w:tcW w:type="dxa" w:w="1440"/>
            <w:shd w:fill="FAFAFA" w:val="clear"/>
          </w:tcPr>
          <w:p>
            <w:r>
              <w:rPr>
                <w:sz w:val="17"/>
              </w:rPr>
              <w:t>2026-10-02</w:t>
            </w:r>
          </w:p>
        </w:tc>
        <w:tc>
          <w:tcPr>
            <w:tcW w:type="dxa" w:w="1440"/>
            <w:shd w:fill="FAFAFA" w:val="clear"/>
          </w:tcPr>
          <w:p>
            <w:r>
              <w:rPr>
                <w:sz w:val="17"/>
              </w:rPr>
              <w:t>7,139</w:t>
            </w:r>
          </w:p>
        </w:tc>
        <w:tc>
          <w:tcPr>
            <w:tcW w:type="dxa" w:w="1440"/>
            <w:shd w:fill="FAFAFA" w:val="clear"/>
          </w:tcPr>
          <w:p>
            <w:r>
              <w:rPr>
                <w:b/>
                <w:sz w:val="17"/>
              </w:rPr>
              <w:t>7,814</w:t>
            </w:r>
          </w:p>
        </w:tc>
        <w:tc>
          <w:tcPr>
            <w:tcW w:type="dxa" w:w="1440"/>
            <w:shd w:fill="FAFAFA" w:val="clear"/>
          </w:tcPr>
          <w:p>
            <w:r>
              <w:rPr>
                <w:sz w:val="17"/>
              </w:rPr>
              <w:t>8,490</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2026-10-05</w:t>
            </w:r>
          </w:p>
        </w:tc>
        <w:tc>
          <w:tcPr>
            <w:tcW w:type="dxa" w:w="1440"/>
            <w:shd w:fill="FAFAFA" w:val="clear"/>
          </w:tcPr>
          <w:p>
            <w:r>
              <w:rPr>
                <w:sz w:val="17"/>
              </w:rPr>
              <w:t>7,029</w:t>
            </w:r>
          </w:p>
        </w:tc>
        <w:tc>
          <w:tcPr>
            <w:tcW w:type="dxa" w:w="1440"/>
            <w:shd w:fill="FAFAFA" w:val="clear"/>
          </w:tcPr>
          <w:p>
            <w:r>
              <w:rPr>
                <w:b/>
                <w:sz w:val="17"/>
              </w:rPr>
              <w:t>7,809</w:t>
            </w:r>
          </w:p>
        </w:tc>
        <w:tc>
          <w:tcPr>
            <w:tcW w:type="dxa" w:w="1440"/>
            <w:shd w:fill="FAFAFA" w:val="clear"/>
          </w:tcPr>
          <w:p>
            <w:r>
              <w:rPr>
                <w:sz w:val="17"/>
              </w:rPr>
              <w:t>8,589</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2026-10-06</w:t>
            </w:r>
          </w:p>
        </w:tc>
        <w:tc>
          <w:tcPr>
            <w:tcW w:type="dxa" w:w="1440"/>
            <w:shd w:fill="FAFAFA" w:val="clear"/>
          </w:tcPr>
          <w:p>
            <w:r>
              <w:rPr>
                <w:sz w:val="17"/>
              </w:rPr>
              <w:t>6,934</w:t>
            </w:r>
          </w:p>
        </w:tc>
        <w:tc>
          <w:tcPr>
            <w:tcW w:type="dxa" w:w="1440"/>
            <w:shd w:fill="FAFAFA" w:val="clear"/>
          </w:tcPr>
          <w:p>
            <w:r>
              <w:rPr>
                <w:b/>
                <w:sz w:val="17"/>
              </w:rPr>
              <w:t>7,805</w:t>
            </w:r>
          </w:p>
        </w:tc>
        <w:tc>
          <w:tcPr>
            <w:tcW w:type="dxa" w:w="1440"/>
            <w:shd w:fill="FAFAFA" w:val="clear"/>
          </w:tcPr>
          <w:p>
            <w:r>
              <w:rPr>
                <w:sz w:val="17"/>
              </w:rPr>
              <w:t>8,676</w:t>
            </w:r>
          </w:p>
        </w:tc>
        <w:tc>
          <w:tcPr>
            <w:tcW w:type="dxa" w:w="1440"/>
            <w:shd w:fill="FAFAFA" w:val="clear"/>
          </w:tcPr>
          <w:p>
            <w:r>
              <w:rPr>
                <w:b/>
                <w:color w:val="C00000"/>
                <w:sz w:val="17"/>
              </w:rPr>
              <w:t>-1.8%</w:t>
            </w:r>
          </w:p>
        </w:tc>
      </w:tr>
      <w:tr>
        <w:tc>
          <w:tcPr>
            <w:tcW w:type="dxa" w:w="1440"/>
            <w:shd w:fill="FAFAFA" w:val="clear"/>
          </w:tcPr>
          <w:p>
            <w:r>
              <w:rPr>
                <w:sz w:val="17"/>
              </w:rPr>
              <w:t>J+6  ⭐</w:t>
            </w:r>
          </w:p>
        </w:tc>
        <w:tc>
          <w:tcPr>
            <w:tcW w:type="dxa" w:w="1440"/>
            <w:shd w:fill="FAFAFA" w:val="clear"/>
          </w:tcPr>
          <w:p>
            <w:r>
              <w:rPr>
                <w:sz w:val="17"/>
              </w:rPr>
              <w:t>2026-10-07</w:t>
            </w:r>
          </w:p>
        </w:tc>
        <w:tc>
          <w:tcPr>
            <w:tcW w:type="dxa" w:w="1440"/>
            <w:shd w:fill="FAFAFA" w:val="clear"/>
          </w:tcPr>
          <w:p>
            <w:r>
              <w:rPr>
                <w:sz w:val="17"/>
              </w:rPr>
              <w:t>6,847</w:t>
            </w:r>
          </w:p>
        </w:tc>
        <w:tc>
          <w:tcPr>
            <w:tcW w:type="dxa" w:w="1440"/>
            <w:shd w:fill="FAFAFA" w:val="clear"/>
          </w:tcPr>
          <w:p>
            <w:r>
              <w:rPr>
                <w:b/>
                <w:sz w:val="17"/>
              </w:rPr>
              <w:t>7,801</w:t>
            </w:r>
          </w:p>
        </w:tc>
        <w:tc>
          <w:tcPr>
            <w:tcW w:type="dxa" w:w="1440"/>
            <w:shd w:fill="FAFAFA" w:val="clear"/>
          </w:tcPr>
          <w:p>
            <w:r>
              <w:rPr>
                <w:sz w:val="17"/>
              </w:rPr>
              <w:t>8,755</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2026-10-08</w:t>
            </w:r>
          </w:p>
        </w:tc>
        <w:tc>
          <w:tcPr>
            <w:tcW w:type="dxa" w:w="1440"/>
            <w:shd w:fill="FAFAFA" w:val="clear"/>
          </w:tcPr>
          <w:p>
            <w:r>
              <w:rPr>
                <w:sz w:val="17"/>
              </w:rPr>
              <w:t>6,767</w:t>
            </w:r>
          </w:p>
        </w:tc>
        <w:tc>
          <w:tcPr>
            <w:tcW w:type="dxa" w:w="1440"/>
            <w:shd w:fill="FAFAFA" w:val="clear"/>
          </w:tcPr>
          <w:p>
            <w:r>
              <w:rPr>
                <w:b/>
                <w:sz w:val="17"/>
              </w:rPr>
              <w:t>7,797</w:t>
            </w:r>
          </w:p>
        </w:tc>
        <w:tc>
          <w:tcPr>
            <w:tcW w:type="dxa" w:w="1440"/>
            <w:shd w:fill="FAFAFA" w:val="clear"/>
          </w:tcPr>
          <w:p>
            <w:r>
              <w:rPr>
                <w:sz w:val="17"/>
              </w:rPr>
              <w:t>8,827</w:t>
            </w:r>
          </w:p>
        </w:tc>
        <w:tc>
          <w:tcPr>
            <w:tcW w:type="dxa" w:w="1440"/>
            <w:shd w:fill="FAFAFA" w:val="clear"/>
          </w:tcPr>
          <w:p>
            <w:r>
              <w:rPr>
                <w:b/>
                <w:color w:val="C00000"/>
                <w:sz w:val="17"/>
              </w:rPr>
              <w:t>-1.9%</w:t>
            </w:r>
          </w:p>
        </w:tc>
      </w:tr>
      <w:tr>
        <w:tc>
          <w:tcPr>
            <w:tcW w:type="dxa" w:w="1440"/>
            <w:shd w:fill="FAFAFA" w:val="clear"/>
          </w:tcPr>
          <w:p>
            <w:r>
              <w:rPr>
                <w:sz w:val="17"/>
              </w:rPr>
              <w:t>J+8  ⭐</w:t>
            </w:r>
          </w:p>
        </w:tc>
        <w:tc>
          <w:tcPr>
            <w:tcW w:type="dxa" w:w="1440"/>
            <w:shd w:fill="FAFAFA" w:val="clear"/>
          </w:tcPr>
          <w:p>
            <w:r>
              <w:rPr>
                <w:sz w:val="17"/>
              </w:rPr>
              <w:t>2026-10-09</w:t>
            </w:r>
          </w:p>
        </w:tc>
        <w:tc>
          <w:tcPr>
            <w:tcW w:type="dxa" w:w="1440"/>
            <w:shd w:fill="FAFAFA" w:val="clear"/>
          </w:tcPr>
          <w:p>
            <w:r>
              <w:rPr>
                <w:sz w:val="17"/>
              </w:rPr>
              <w:t>6,693</w:t>
            </w:r>
          </w:p>
        </w:tc>
        <w:tc>
          <w:tcPr>
            <w:tcW w:type="dxa" w:w="1440"/>
            <w:shd w:fill="FAFAFA" w:val="clear"/>
          </w:tcPr>
          <w:p>
            <w:r>
              <w:rPr>
                <w:b/>
                <w:sz w:val="17"/>
              </w:rPr>
              <w:t>7,793</w:t>
            </w:r>
          </w:p>
        </w:tc>
        <w:tc>
          <w:tcPr>
            <w:tcW w:type="dxa" w:w="1440"/>
            <w:shd w:fill="FAFAFA" w:val="clear"/>
          </w:tcPr>
          <w:p>
            <w:r>
              <w:rPr>
                <w:sz w:val="17"/>
              </w:rPr>
              <w:t>8,894</w:t>
            </w:r>
          </w:p>
        </w:tc>
        <w:tc>
          <w:tcPr>
            <w:tcW w:type="dxa" w:w="1440"/>
            <w:shd w:fill="FAFAFA" w:val="clear"/>
          </w:tcPr>
          <w:p>
            <w:r>
              <w:rPr>
                <w:b/>
                <w:color w:val="C00000"/>
                <w:sz w:val="17"/>
              </w:rPr>
              <w:t>-1.9%</w:t>
            </w:r>
          </w:p>
        </w:tc>
      </w:tr>
      <w:tr>
        <w:tc>
          <w:tcPr>
            <w:tcW w:type="dxa" w:w="1440"/>
            <w:shd w:fill="FAFAFA" w:val="clear"/>
          </w:tcPr>
          <w:p>
            <w:r>
              <w:rPr>
                <w:sz w:val="17"/>
              </w:rPr>
              <w:t>J+9  ⭐</w:t>
            </w:r>
          </w:p>
        </w:tc>
        <w:tc>
          <w:tcPr>
            <w:tcW w:type="dxa" w:w="1440"/>
            <w:shd w:fill="FAFAFA" w:val="clear"/>
          </w:tcPr>
          <w:p>
            <w:r>
              <w:rPr>
                <w:sz w:val="17"/>
              </w:rPr>
              <w:t>2026-10-12</w:t>
            </w:r>
          </w:p>
        </w:tc>
        <w:tc>
          <w:tcPr>
            <w:tcW w:type="dxa" w:w="1440"/>
            <w:shd w:fill="FAFAFA" w:val="clear"/>
          </w:tcPr>
          <w:p>
            <w:r>
              <w:rPr>
                <w:sz w:val="17"/>
              </w:rPr>
              <w:t>6,623</w:t>
            </w:r>
          </w:p>
        </w:tc>
        <w:tc>
          <w:tcPr>
            <w:tcW w:type="dxa" w:w="1440"/>
            <w:shd w:fill="FAFAFA" w:val="clear"/>
          </w:tcPr>
          <w:p>
            <w:r>
              <w:rPr>
                <w:b/>
                <w:sz w:val="17"/>
              </w:rPr>
              <w:t>7,790</w:t>
            </w:r>
          </w:p>
        </w:tc>
        <w:tc>
          <w:tcPr>
            <w:tcW w:type="dxa" w:w="1440"/>
            <w:shd w:fill="FAFAFA" w:val="clear"/>
          </w:tcPr>
          <w:p>
            <w:r>
              <w:rPr>
                <w:sz w:val="17"/>
              </w:rPr>
              <w:t>8,956</w:t>
            </w:r>
          </w:p>
        </w:tc>
        <w:tc>
          <w:tcPr>
            <w:tcW w:type="dxa" w:w="1440"/>
            <w:shd w:fill="FAFAFA" w:val="clear"/>
          </w:tcPr>
          <w:p>
            <w:r>
              <w:rPr>
                <w:b/>
                <w:color w:val="C00000"/>
                <w:sz w:val="17"/>
              </w:rPr>
              <w:t>-2.0%</w:t>
            </w:r>
          </w:p>
        </w:tc>
      </w:tr>
      <w:tr>
        <w:tc>
          <w:tcPr>
            <w:tcW w:type="dxa" w:w="1440"/>
            <w:shd w:fill="FFDCE0" w:val="clear"/>
          </w:tcPr>
          <w:p>
            <w:r>
              <w:rPr>
                <w:sz w:val="17"/>
              </w:rPr>
              <w:t>J+10  ⭐</w:t>
            </w:r>
          </w:p>
        </w:tc>
        <w:tc>
          <w:tcPr>
            <w:tcW w:type="dxa" w:w="1440"/>
            <w:shd w:fill="FFDCE0" w:val="clear"/>
          </w:tcPr>
          <w:p>
            <w:r>
              <w:rPr>
                <w:sz w:val="17"/>
              </w:rPr>
              <w:t>2026-10-13</w:t>
            </w:r>
          </w:p>
        </w:tc>
        <w:tc>
          <w:tcPr>
            <w:tcW w:type="dxa" w:w="1440"/>
            <w:shd w:fill="FFDCE0" w:val="clear"/>
          </w:tcPr>
          <w:p>
            <w:r>
              <w:rPr>
                <w:sz w:val="17"/>
              </w:rPr>
              <w:t>6,557</w:t>
            </w:r>
          </w:p>
        </w:tc>
        <w:tc>
          <w:tcPr>
            <w:tcW w:type="dxa" w:w="1440"/>
            <w:shd w:fill="FFDCE0" w:val="clear"/>
          </w:tcPr>
          <w:p>
            <w:r>
              <w:rPr>
                <w:b/>
                <w:sz w:val="17"/>
              </w:rPr>
              <w:t>7,786</w:t>
            </w:r>
          </w:p>
        </w:tc>
        <w:tc>
          <w:tcPr>
            <w:tcW w:type="dxa" w:w="1440"/>
            <w:shd w:fill="FFDCE0" w:val="clear"/>
          </w:tcPr>
          <w:p>
            <w:r>
              <w:rPr>
                <w:sz w:val="17"/>
              </w:rPr>
              <w:t>9,015</w:t>
            </w:r>
          </w:p>
        </w:tc>
        <w:tc>
          <w:tcPr>
            <w:tcW w:type="dxa" w:w="1440"/>
            <w:shd w:fill="FFDCE0"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(SOGB CI)**</w:t>
        <w:br/>
        <w:t>*Bourse Régionale des Valeurs Mobilières (BRVM) — Secteur : Entreprise agro-industrielle (Hévéa / Palmier)*</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171,63 milliards FCFA, SOGC s'impose comme une valeur de premier plan de la cote BRVM, représentant un pilier du compartiment agro-industriel régional. Le BPA de 578 FCFA/action signifie que chaque titre génère près de 578 FCFA de bénéfice net, un niveau de rentabilité par action solide pour une entreprise de transformation agricole. Le PER de 13,7x traduit une valorisation modérée, légèrement supérieure à la moyenne du marché BRVM (~8-12x), ce qui suggère que les investisseurs intègrent déjà une prime de qualité et de rendement, sans pour autant payer un prix excessif. Le P/B de 2,51x indique que le marché valorise l'action à 2,5 fois sa valeur comptable, une prime de croissance justifiée par la solidité des capitaux propres (68,43 Mds FCFA) et la régularité des dividendes. Enfin, l'EV/EBITDA de 7,1x, dans la fourchette raisonnable de 5-10x, montre que la valeur d'entreprise reste cohérente avec la capacité opérationnelle de génération de cash-flow, ce qui conforte l'idée d'une valorisation équilibrée, ni bradée ni surévaluée.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SOGC affiche une variation totale de +5,93%, portée notamment par une dernière séance en forte hausse de +4,54%, ce qui témoigne d'un regain d'intérêt acheteur à court terme. Le cours actuel de 7 945 FCFA se situe dans un range de trading de 1 675 FCFA, entre un plus bas de 7 200 FCFA et un plus haut de 8 875 FCFA, ce qui place le titre dans la partie basse de sa fourchette récente, à environ 10,5% sous son sommet. La tendance générale sur la période reste légèrement haussière mais fragile, le titre ayant corrigé depuis ses sommets. Les statistiques descriptives révèlent une moyenne de 8 057 FCFA supérieure à la médiane de 8 145 FCFA — un écart qui, combiné à un skewness de -0,527 (asymétrie négative), indique que le cours a passé plus de journées au-dessus de sa moyenne mais que les mouvements baissiers ont été plus amples, créant une queue de distribution vers le bas. L'écart-type de 384 FCFA avec un coefficient de variation de 4,8% traduit une dispersion modérée du cours autour de sa moyenne, tandis que le kurtosis de -0,547 (mésokurtique) suggère une distribution proche de la normale, sans risque majeur de pics extrêmes. La volatilité annualisée de 41,4% classe le titre dans la catégorie des valeurs à volatilité élevée (&gt;30%), ce qui implique un risque de fluctuation important et justifie une gestion prudente des positions.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(8 015,5 FCFA) et la MM50 (8 069,8 FCFA) se situent toutes deux au-dessus du cours actuel (7 945 FCFA), ce qui place le titre sous ses moyennes de court et moyen terme. Cette configuration baissière, avec une MM20 légèrement inférieure à la MM50, confirme la décision technique de **Vente** et signale que la pression vendeuse reste dominante malgré le rebond de la dernière séance.</w:t>
      </w:r>
    </w:p>
    <w:p>
      <w:pPr>
        <w:spacing w:after="120" w:line="276" w:lineRule="auto"/>
      </w:pPr>
      <w:r>
        <w:t>**Bandes de Bollinger** : Le cours actuel (7 945 FCFA) évolue dans la partie médiane de la bande, entre la borne inférieure (7 269,33 FCFA) et la borne supérieure (8 761,67 FCFA), sans atteindre les extrêmes. Cette position centrale, couplée à une largeur de bande significative, traduit une volatilité élevée mais sans signal directionnel clair, justifiant la décision **Neutre**.</w:t>
      </w:r>
    </w:p>
    <w:p>
      <w:pPr>
        <w:spacing w:after="120" w:line="276" w:lineRule="auto"/>
      </w:pPr>
      <w:r>
        <w:t>**MACD** : Le MACD (-110,633) est inférieur à son signal (-90,445), avec un histogramme négatif, ce qui confirme un momentum baissier persistant. La divergence négative entre les deux lignes indique que la dynamique de court terme reste défavorable, justifiant la décision **Vente**.</w:t>
      </w:r>
    </w:p>
    <w:p>
      <w:pPr>
        <w:spacing w:after="120" w:line="276" w:lineRule="auto"/>
      </w:pPr>
      <w:r>
        <w:t>**RSI** : À 52,894, le RSI se situe en zone neutre (30-70), sans signal de surachat ni de survente. Cette valeur médiane indique un équilibre relatif entre acheteurs et vendeurs, sans pression extrême dans un sens ou dans l'autre, d'où la décision **Neutre**.</w:t>
      </w:r>
    </w:p>
    <w:p>
      <w:pPr>
        <w:spacing w:after="120" w:line="276" w:lineRule="auto"/>
      </w:pPr>
      <w:r>
        <w:t>**Stochastique** : Le %K (76,786) est supérieur au %D (61,31), avec un croisement haussier récent, mais les deux lignes approchent de la zone de surachat (&gt;80). Cette configuration suggère un rebond de court terme possible, mais limité par le risque de retournement, justifiant la décision **Neutre**.</w:t>
      </w:r>
    </w:p>
    <w:p>
      <w:pPr>
        <w:spacing w:after="120" w:line="276" w:lineRule="auto"/>
      </w:pPr>
      <w:r>
        <w:t>**Conclusion technique** : Les indicateurs techniques présentent un tableau mitigé, avec une majorité de signaux baissiers (MM, MACD) compensés par des signaux neutres (Bollinger, RSI, Stochastique). Le titre se trouve sous ses moyennes mobiles, ce qui pèse sur la tendance de fond, mais le rebond de la dernière séance et le croisement haussier du stochastique suggèrent qu'un sursaut technique est possible à court terme. La convergence des signaux neutres et baissiers plaide pour une prudence accrue, avec une probabilité de consolidation voire de correction tant que le cours reste sous la MM20.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de SOGC (exercice clos au 31 décembre 2025) affichent un chiffre d'affaires de 98,979 milliards FCFA, en croissance de 10,7% par rapport à 2024, confirmant la dynamique commerciale soutenue de l'entreprise. Le résultat net s'établit à 12,493 milliards FCFA, en léger recul de 5% par rapport aux 13,11 milliards FCFA de 2024, sous l'effet de la hausse des coûts d'achat du coagulum (+15%) et de la pression concurrentielle sur l'approvisionnement en matière première. La rentabilité reste néanmoins solide, avec un ROE de 18,26% (excellent, &gt;15%) et un ROA de 13,84%, témoignant d'une utilisation efficace des capitaux propres et des actifs. La marge nette de 12,62% et la marge opérationnelle de 17,24% demeurent à des niveaux satisfaisants, bien qu'en retrait par rapport aux sommets de 2024 (marge nette de 14%). Sur le plan bilanciel, la structure financière est très saine : l'autonomie financière de 75,79% (capitaux propres/total bilan) et un ratio d'endettement de seulement 24,21% (dettes totales/capitaux propres) confirment une faible dépendance aux financements externes. Le BFR de 7,124 milliards FCFA, bien que positif, reste maîtrisé, et la trésorerie nette de 4,575 milliards FCFA s'est améliorée de 3,1 milliards FCFA sur l'exercice, grâce à des flux opérationnels robustes de 22,644 milliards FCFA. Les délais d'exploitation sont globalement bien gérés : délai clients de 29,6 jours (faible risque de trésorerie), délai fournisseurs de 31,72 jours (favorable), mais durée de stockage élevée de 97,67 jours, ce qui immobilise du capital. Les rapports trimestriels 2025 (T1, S1, 9M) confirment cette tendance : le T1 2025 affichait une croissance exceptionnelle du CA (+63,1%) et du résultat net (+262,9%), tandis que le S1 2025 (+51,9% de CA, +151,6% de résultat net) et les 9M 2025 (+21,3% de CA, +39,5% de résultat net) montrent un ralentissement progressif de la dynamique, cohérent avec l'avertissement de la direction sur un contexte plus difficile au S2 2025 (concurrence accrue, baisse des cours SICOM). Sur la base de ces rapports, on peut estimer que l'exercice 2026 devrait connaître une croissance plus modérée, avec un résultat net potentiellement stable voire en légère baisse si les pressions sur les coûts persistent. La politique de dividende reste très généreuse, avec un dividende brut proposé de 570 FCFA/action au titre de 2025 (contre 60 FCFA en 2024), soit un rendement attractif de 7,2% au cours actuel de 7 945 FCFA, mais un taux de distribution proche de 98% qui limite les capacités de réinvestissement. En synthèse, SOGC présente des fondamentaux solides (ROE élevé, structure financière saine, génération de cash-flow robuste) mais fait face à des défis croissants (pression sur les marges, volatilité des prix des matières premières, concurrence accrue). La recommandation fondamentale est de **CONSERVER** le titre, avec une vigilance accrue sur l'évolution des marges et la capacité de l'entreprise à maintenir sa politique de dividende sans compromettre sa croissance future.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précédentes et des prédictions IA dessine un tableau contrasté pour SOGC. Sur le plan de la **valorisation (Partie 0)**, les ratios PER (13,7x), P/B (2,51x) et EV/EBITDA (7,1x) indiquent une valorisation modérée à légèrement supérieure à la moyenne du marché, sans sous-évaluation flagrante mais sans excès non plus, ce qui reflète la prime de qualité accordée à une valeur de rendement. Le **comportement du cours (Partie 1)** montre une tendance haussière fragile (+5,93% sur 100 jours) avec une volatilité élevée (41,4%) et une asymétrie négative (skewness de -0,527) qui suggère que les risques baissiers sont plus prononcés que les opportunités haussières, tandis que le kurtosis mésokurtique (-0,547) écarte le risque de pics extrêmes. Les **signaux techniques (Partie 2)** sont majoritairement baissiers (MM20 et MM50 au-dessus du cours, MACD négatif) mais tempérés par des indicateurs neutres (RSI à 52,9, Bollinger médian, Stochastique proche du surachat), ce qui plaide pour une consolidation plutôt qu'une tendance directionnelle claire. Les **fondamentaux (Partie 3)** restent solides (ROE de 18,26%, autonomie financière de 75,79%, dividende attractif de 570 FCFA/action) mais montrent des signes de ralentissement (résultat net en baisse de 5% en 2025, marges sous pression), avec des estimations 2026 qui tablent sur une croissance modérée voire une stagnation. Les **prédictions IA (J+1 à J+10)** anticipent une légère baisse du cours vers 7 805-7 821 FCFA, ce qui contredit le rebond de la dernière séance mais confirme la tendance baissière de fond identifiée par les moyennes mobiles et le MACD.</w:t>
      </w:r>
    </w:p>
    <w:p>
      <w:pPr>
        <w:spacing w:after="120" w:line="276" w:lineRule="auto"/>
      </w:pPr>
      <w:r>
        <w:t>Sur la base de cette synthèse, la recommandation finale est de **CONSERVER** le titre SOGC. Cette recommandation repose sur la convergence entre une valorisation équilibrée, des fondamentaux solides mais en ralentissement, et des signaux techniques mitigés qui ne justifient ni un achat agressif ni une vente précipitée. Le niveau de confiance est **Moyen**, car si les fondamentaux et la valorisation sont bien documentés, l'incertitude sur l'évolution des prix des matières premières et la pression concurrentielle introduit une volatilité difficile à anticiper. Le niveau de risque global est **Moyen à Élevé**, en raison de la volatilité annualisée de 41,4% et de la sensibilité du titre aux cycles des commodities agricoles. L'horizon d'investissement optimal est le **moyen terme (3-12 mois)**, le temps que la société démontre sa capacité à stabiliser ses marges et que le marché intègre pleinement les effets du contexte concurrentiel plus difficile du S2 2025. Les investisseurs en quête de rendement régulier trouveront dans SOGC un dividende attractif (7,2%), mais devront accepter une volatilité importante et une appréciation limitée du capital à court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42.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201.91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4,699 titres</w:t>
            </w:r>
          </w:p>
        </w:tc>
        <w:tc>
          <w:tcPr>
            <w:tcW w:type="dxa" w:w="2268"/>
            <w:shd w:fill="FFF2CC" w:val="clear"/>
          </w:tcPr>
          <w:p>
            <w:r>
              <w:rPr>
                <w:b/>
                <w:color w:val="503200"/>
                <w:sz w:val="16"/>
              </w:rPr>
              <w:t xml:space="preserve">Cours actuel : </w:t>
            </w:r>
            <w:r>
              <w:rPr>
                <w:color w:val="000000"/>
                <w:sz w:val="17"/>
              </w:rPr>
              <w:t>7,900 FCFA</w:t>
            </w:r>
          </w:p>
          <w:p>
            <w:r>
              <w:rPr>
                <w:b/>
                <w:color w:val="503200"/>
                <w:sz w:val="16"/>
              </w:rPr>
              <w:t xml:space="preserve">Var. 100 jours : </w:t>
            </w:r>
            <w:r>
              <w:rPr>
                <w:b/>
                <w:color w:val="007800"/>
                <w:sz w:val="17"/>
              </w:rPr>
              <w:t>+10.10%</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6,850 FCFA</w:t>
            </w:r>
          </w:p>
          <w:p>
            <w:r>
              <w:rPr>
                <w:b/>
                <w:color w:val="503200"/>
                <w:sz w:val="16"/>
              </w:rPr>
              <w:t xml:space="preserve">Volatilité ann. : </w:t>
            </w:r>
            <w:r>
              <w:rPr>
                <w:color w:val="000000"/>
                <w:sz w:val="17"/>
              </w:rPr>
              <w:t>43.2%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9.86% (Moyenne) — μ=7,841 FCFA, σ=773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β=0.8044 (Neutre (suit le marché)) — Cov=0.000055, Var(idx)=0.000069, ρ=0.246,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4,699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σ_j=2.72%/j (Stable) — Vol. annualisée≈43.2%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862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2026-09-30</w:t>
            </w:r>
          </w:p>
        </w:tc>
        <w:tc>
          <w:tcPr>
            <w:tcW w:type="dxa" w:w="1440"/>
            <w:shd w:fill="FAFAFA" w:val="clear"/>
          </w:tcPr>
          <w:p>
            <w:r>
              <w:rPr>
                <w:sz w:val="17"/>
              </w:rPr>
              <w:t>7,243</w:t>
            </w:r>
          </w:p>
        </w:tc>
        <w:tc>
          <w:tcPr>
            <w:tcW w:type="dxa" w:w="1440"/>
            <w:shd w:fill="FAFAFA" w:val="clear"/>
          </w:tcPr>
          <w:p>
            <w:r>
              <w:rPr>
                <w:b/>
                <w:sz w:val="17"/>
              </w:rPr>
              <w:t>7,760</w:t>
            </w:r>
          </w:p>
        </w:tc>
        <w:tc>
          <w:tcPr>
            <w:tcW w:type="dxa" w:w="1440"/>
            <w:shd w:fill="FAFAFA" w:val="clear"/>
          </w:tcPr>
          <w:p>
            <w:r>
              <w:rPr>
                <w:sz w:val="17"/>
              </w:rPr>
              <w:t>8,277</w:t>
            </w:r>
          </w:p>
        </w:tc>
        <w:tc>
          <w:tcPr>
            <w:tcW w:type="dxa" w:w="1440"/>
            <w:shd w:fill="FAFAFA" w:val="clear"/>
          </w:tcPr>
          <w:p>
            <w:r>
              <w:rPr>
                <w:b/>
                <w:color w:val="C00000"/>
                <w:sz w:val="17"/>
              </w:rPr>
              <w:t>-1.8%</w:t>
            </w:r>
          </w:p>
        </w:tc>
      </w:tr>
      <w:tr>
        <w:tc>
          <w:tcPr>
            <w:tcW w:type="dxa" w:w="1440"/>
            <w:shd w:fill="FAFAFA" w:val="clear"/>
          </w:tcPr>
          <w:p>
            <w:r>
              <w:rPr>
                <w:sz w:val="17"/>
              </w:rPr>
              <w:t>J+2  Moyenne</w:t>
            </w:r>
          </w:p>
        </w:tc>
        <w:tc>
          <w:tcPr>
            <w:tcW w:type="dxa" w:w="1440"/>
            <w:shd w:fill="FAFAFA" w:val="clear"/>
          </w:tcPr>
          <w:p>
            <w:r>
              <w:rPr>
                <w:sz w:val="17"/>
              </w:rPr>
              <w:t>2026-10-01</w:t>
            </w:r>
          </w:p>
        </w:tc>
        <w:tc>
          <w:tcPr>
            <w:tcW w:type="dxa" w:w="1440"/>
            <w:shd w:fill="FAFAFA" w:val="clear"/>
          </w:tcPr>
          <w:p>
            <w:r>
              <w:rPr>
                <w:sz w:val="17"/>
              </w:rPr>
              <w:t>7,021</w:t>
            </w:r>
          </w:p>
        </w:tc>
        <w:tc>
          <w:tcPr>
            <w:tcW w:type="dxa" w:w="1440"/>
            <w:shd w:fill="FAFAFA" w:val="clear"/>
          </w:tcPr>
          <w:p>
            <w:r>
              <w:rPr>
                <w:b/>
                <w:sz w:val="17"/>
              </w:rPr>
              <w:t>7,752</w:t>
            </w:r>
          </w:p>
        </w:tc>
        <w:tc>
          <w:tcPr>
            <w:tcW w:type="dxa" w:w="1440"/>
            <w:shd w:fill="FAFAFA" w:val="clear"/>
          </w:tcPr>
          <w:p>
            <w:r>
              <w:rPr>
                <w:sz w:val="17"/>
              </w:rPr>
              <w:t>8,483</w:t>
            </w:r>
          </w:p>
        </w:tc>
        <w:tc>
          <w:tcPr>
            <w:tcW w:type="dxa" w:w="1440"/>
            <w:shd w:fill="FAFAFA" w:val="clear"/>
          </w:tcPr>
          <w:p>
            <w:r>
              <w:rPr>
                <w:b/>
                <w:color w:val="C00000"/>
                <w:sz w:val="17"/>
              </w:rPr>
              <w:t>-1.9%</w:t>
            </w:r>
          </w:p>
        </w:tc>
      </w:tr>
      <w:tr>
        <w:tc>
          <w:tcPr>
            <w:tcW w:type="dxa" w:w="1440"/>
            <w:shd w:fill="FFDCE0" w:val="clear"/>
          </w:tcPr>
          <w:p>
            <w:r>
              <w:rPr>
                <w:sz w:val="17"/>
              </w:rPr>
              <w:t>J+3  Moyenne</w:t>
            </w:r>
          </w:p>
        </w:tc>
        <w:tc>
          <w:tcPr>
            <w:tcW w:type="dxa" w:w="1440"/>
            <w:shd w:fill="FFDCE0" w:val="clear"/>
          </w:tcPr>
          <w:p>
            <w:r>
              <w:rPr>
                <w:sz w:val="17"/>
              </w:rPr>
              <w:t>2026-10-02</w:t>
            </w:r>
          </w:p>
        </w:tc>
        <w:tc>
          <w:tcPr>
            <w:tcW w:type="dxa" w:w="1440"/>
            <w:shd w:fill="FFDCE0" w:val="clear"/>
          </w:tcPr>
          <w:p>
            <w:r>
              <w:rPr>
                <w:sz w:val="17"/>
              </w:rPr>
              <w:t>6,842</w:t>
            </w:r>
          </w:p>
        </w:tc>
        <w:tc>
          <w:tcPr>
            <w:tcW w:type="dxa" w:w="1440"/>
            <w:shd w:fill="FFDCE0" w:val="clear"/>
          </w:tcPr>
          <w:p>
            <w:r>
              <w:rPr>
                <w:b/>
                <w:sz w:val="17"/>
              </w:rPr>
              <w:t>7,735</w:t>
            </w:r>
          </w:p>
        </w:tc>
        <w:tc>
          <w:tcPr>
            <w:tcW w:type="dxa" w:w="1440"/>
            <w:shd w:fill="FFDCE0" w:val="clear"/>
          </w:tcPr>
          <w:p>
            <w:r>
              <w:rPr>
                <w:sz w:val="17"/>
              </w:rPr>
              <w:t>8,628</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2026-10-05</w:t>
            </w:r>
          </w:p>
        </w:tc>
        <w:tc>
          <w:tcPr>
            <w:tcW w:type="dxa" w:w="1440"/>
            <w:shd w:fill="FFDCE0" w:val="clear"/>
          </w:tcPr>
          <w:p>
            <w:r>
              <w:rPr>
                <w:sz w:val="17"/>
              </w:rPr>
              <w:t>6,690</w:t>
            </w:r>
          </w:p>
        </w:tc>
        <w:tc>
          <w:tcPr>
            <w:tcW w:type="dxa" w:w="1440"/>
            <w:shd w:fill="FFDCE0" w:val="clear"/>
          </w:tcPr>
          <w:p>
            <w:r>
              <w:rPr>
                <w:b/>
                <w:sz w:val="17"/>
              </w:rPr>
              <w:t>7,719</w:t>
            </w:r>
          </w:p>
        </w:tc>
        <w:tc>
          <w:tcPr>
            <w:tcW w:type="dxa" w:w="1440"/>
            <w:shd w:fill="FFDCE0" w:val="clear"/>
          </w:tcPr>
          <w:p>
            <w:r>
              <w:rPr>
                <w:sz w:val="17"/>
              </w:rPr>
              <w:t>8,748</w:t>
            </w:r>
          </w:p>
        </w:tc>
        <w:tc>
          <w:tcPr>
            <w:tcW w:type="dxa" w:w="1440"/>
            <w:shd w:fill="FFDCE0" w:val="clear"/>
          </w:tcPr>
          <w:p>
            <w:r>
              <w:rPr>
                <w:b/>
                <w:color w:val="C00000"/>
                <w:sz w:val="17"/>
              </w:rPr>
              <w:t>-2.3%</w:t>
            </w:r>
          </w:p>
        </w:tc>
      </w:tr>
      <w:tr>
        <w:tc>
          <w:tcPr>
            <w:tcW w:type="dxa" w:w="1440"/>
            <w:shd w:fill="FFDCE0" w:val="clear"/>
          </w:tcPr>
          <w:p>
            <w:r>
              <w:rPr>
                <w:sz w:val="17"/>
              </w:rPr>
              <w:t>J+5  ⭐</w:t>
            </w:r>
          </w:p>
        </w:tc>
        <w:tc>
          <w:tcPr>
            <w:tcW w:type="dxa" w:w="1440"/>
            <w:shd w:fill="FFDCE0" w:val="clear"/>
          </w:tcPr>
          <w:p>
            <w:r>
              <w:rPr>
                <w:sz w:val="17"/>
              </w:rPr>
              <w:t>2026-10-06</w:t>
            </w:r>
          </w:p>
        </w:tc>
        <w:tc>
          <w:tcPr>
            <w:tcW w:type="dxa" w:w="1440"/>
            <w:shd w:fill="FFDCE0" w:val="clear"/>
          </w:tcPr>
          <w:p>
            <w:r>
              <w:rPr>
                <w:sz w:val="17"/>
              </w:rPr>
              <w:t>6,556</w:t>
            </w:r>
          </w:p>
        </w:tc>
        <w:tc>
          <w:tcPr>
            <w:tcW w:type="dxa" w:w="1440"/>
            <w:shd w:fill="FFDCE0" w:val="clear"/>
          </w:tcPr>
          <w:p>
            <w:r>
              <w:rPr>
                <w:b/>
                <w:sz w:val="17"/>
              </w:rPr>
              <w:t>7,704</w:t>
            </w:r>
          </w:p>
        </w:tc>
        <w:tc>
          <w:tcPr>
            <w:tcW w:type="dxa" w:w="1440"/>
            <w:shd w:fill="FFDCE0" w:val="clear"/>
          </w:tcPr>
          <w:p>
            <w:r>
              <w:rPr>
                <w:sz w:val="17"/>
              </w:rPr>
              <w:t>8,853</w:t>
            </w:r>
          </w:p>
        </w:tc>
        <w:tc>
          <w:tcPr>
            <w:tcW w:type="dxa" w:w="1440"/>
            <w:shd w:fill="FFDCE0" w:val="clear"/>
          </w:tcPr>
          <w:p>
            <w:r>
              <w:rPr>
                <w:b/>
                <w:color w:val="C00000"/>
                <w:sz w:val="17"/>
              </w:rPr>
              <w:t>-2.5%</w:t>
            </w:r>
          </w:p>
        </w:tc>
      </w:tr>
      <w:tr>
        <w:tc>
          <w:tcPr>
            <w:tcW w:type="dxa" w:w="1440"/>
            <w:shd w:fill="FFDCE0" w:val="clear"/>
          </w:tcPr>
          <w:p>
            <w:r>
              <w:rPr>
                <w:sz w:val="17"/>
              </w:rPr>
              <w:t>J+6  ⭐</w:t>
            </w:r>
          </w:p>
        </w:tc>
        <w:tc>
          <w:tcPr>
            <w:tcW w:type="dxa" w:w="1440"/>
            <w:shd w:fill="FFDCE0" w:val="clear"/>
          </w:tcPr>
          <w:p>
            <w:r>
              <w:rPr>
                <w:sz w:val="17"/>
              </w:rPr>
              <w:t>2026-10-07</w:t>
            </w:r>
          </w:p>
        </w:tc>
        <w:tc>
          <w:tcPr>
            <w:tcW w:type="dxa" w:w="1440"/>
            <w:shd w:fill="FFDCE0" w:val="clear"/>
          </w:tcPr>
          <w:p>
            <w:r>
              <w:rPr>
                <w:sz w:val="17"/>
              </w:rPr>
              <w:t>6,434</w:t>
            </w:r>
          </w:p>
        </w:tc>
        <w:tc>
          <w:tcPr>
            <w:tcW w:type="dxa" w:w="1440"/>
            <w:shd w:fill="FFDCE0" w:val="clear"/>
          </w:tcPr>
          <w:p>
            <w:r>
              <w:rPr>
                <w:b/>
                <w:sz w:val="17"/>
              </w:rPr>
              <w:t>7,690</w:t>
            </w:r>
          </w:p>
        </w:tc>
        <w:tc>
          <w:tcPr>
            <w:tcW w:type="dxa" w:w="1440"/>
            <w:shd w:fill="FFDCE0" w:val="clear"/>
          </w:tcPr>
          <w:p>
            <w:r>
              <w:rPr>
                <w:sz w:val="17"/>
              </w:rPr>
              <w:t>8,945</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2026-10-08</w:t>
            </w:r>
          </w:p>
        </w:tc>
        <w:tc>
          <w:tcPr>
            <w:tcW w:type="dxa" w:w="1440"/>
            <w:shd w:fill="FFDCE0" w:val="clear"/>
          </w:tcPr>
          <w:p>
            <w:r>
              <w:rPr>
                <w:sz w:val="17"/>
              </w:rPr>
              <w:t>6,322</w:t>
            </w:r>
          </w:p>
        </w:tc>
        <w:tc>
          <w:tcPr>
            <w:tcW w:type="dxa" w:w="1440"/>
            <w:shd w:fill="FFDCE0" w:val="clear"/>
          </w:tcPr>
          <w:p>
            <w:r>
              <w:rPr>
                <w:b/>
                <w:sz w:val="17"/>
              </w:rPr>
              <w:t>7,675</w:t>
            </w:r>
          </w:p>
        </w:tc>
        <w:tc>
          <w:tcPr>
            <w:tcW w:type="dxa" w:w="1440"/>
            <w:shd w:fill="FFDCE0" w:val="clear"/>
          </w:tcPr>
          <w:p>
            <w:r>
              <w:rPr>
                <w:sz w:val="17"/>
              </w:rPr>
              <w:t>9,029</w:t>
            </w:r>
          </w:p>
        </w:tc>
        <w:tc>
          <w:tcPr>
            <w:tcW w:type="dxa" w:w="1440"/>
            <w:shd w:fill="FFDCE0" w:val="clear"/>
          </w:tcPr>
          <w:p>
            <w:r>
              <w:rPr>
                <w:b/>
                <w:color w:val="C00000"/>
                <w:sz w:val="17"/>
              </w:rPr>
              <w:t>-2.8%</w:t>
            </w:r>
          </w:p>
        </w:tc>
      </w:tr>
      <w:tr>
        <w:tc>
          <w:tcPr>
            <w:tcW w:type="dxa" w:w="1440"/>
            <w:shd w:fill="FFDCE0" w:val="clear"/>
          </w:tcPr>
          <w:p>
            <w:r>
              <w:rPr>
                <w:sz w:val="17"/>
              </w:rPr>
              <w:t>J+8  ⭐</w:t>
            </w:r>
          </w:p>
        </w:tc>
        <w:tc>
          <w:tcPr>
            <w:tcW w:type="dxa" w:w="1440"/>
            <w:shd w:fill="FFDCE0" w:val="clear"/>
          </w:tcPr>
          <w:p>
            <w:r>
              <w:rPr>
                <w:sz w:val="17"/>
              </w:rPr>
              <w:t>2026-10-09</w:t>
            </w:r>
          </w:p>
        </w:tc>
        <w:tc>
          <w:tcPr>
            <w:tcW w:type="dxa" w:w="1440"/>
            <w:shd w:fill="FFDCE0" w:val="clear"/>
          </w:tcPr>
          <w:p>
            <w:r>
              <w:rPr>
                <w:sz w:val="17"/>
              </w:rPr>
              <w:t>6,217</w:t>
            </w:r>
          </w:p>
        </w:tc>
        <w:tc>
          <w:tcPr>
            <w:tcW w:type="dxa" w:w="1440"/>
            <w:shd w:fill="FFDCE0" w:val="clear"/>
          </w:tcPr>
          <w:p>
            <w:r>
              <w:rPr>
                <w:b/>
                <w:sz w:val="17"/>
              </w:rPr>
              <w:t>7,661</w:t>
            </w:r>
          </w:p>
        </w:tc>
        <w:tc>
          <w:tcPr>
            <w:tcW w:type="dxa" w:w="1440"/>
            <w:shd w:fill="FFDCE0" w:val="clear"/>
          </w:tcPr>
          <w:p>
            <w:r>
              <w:rPr>
                <w:sz w:val="17"/>
              </w:rPr>
              <w:t>9,106</w:t>
            </w:r>
          </w:p>
        </w:tc>
        <w:tc>
          <w:tcPr>
            <w:tcW w:type="dxa" w:w="1440"/>
            <w:shd w:fill="FFDCE0" w:val="clear"/>
          </w:tcPr>
          <w:p>
            <w:r>
              <w:rPr>
                <w:b/>
                <w:color w:val="C00000"/>
                <w:sz w:val="17"/>
              </w:rPr>
              <w:t>-3.0%</w:t>
            </w:r>
          </w:p>
        </w:tc>
      </w:tr>
      <w:tr>
        <w:tc>
          <w:tcPr>
            <w:tcW w:type="dxa" w:w="1440"/>
            <w:shd w:fill="FFDCE0" w:val="clear"/>
          </w:tcPr>
          <w:p>
            <w:r>
              <w:rPr>
                <w:sz w:val="17"/>
              </w:rPr>
              <w:t>J+9  ⭐</w:t>
            </w:r>
          </w:p>
        </w:tc>
        <w:tc>
          <w:tcPr>
            <w:tcW w:type="dxa" w:w="1440"/>
            <w:shd w:fill="FFDCE0" w:val="clear"/>
          </w:tcPr>
          <w:p>
            <w:r>
              <w:rPr>
                <w:sz w:val="17"/>
              </w:rPr>
              <w:t>2026-10-12</w:t>
            </w:r>
          </w:p>
        </w:tc>
        <w:tc>
          <w:tcPr>
            <w:tcW w:type="dxa" w:w="1440"/>
            <w:shd w:fill="FFDCE0" w:val="clear"/>
          </w:tcPr>
          <w:p>
            <w:r>
              <w:rPr>
                <w:sz w:val="17"/>
              </w:rPr>
              <w:t>6,118</w:t>
            </w:r>
          </w:p>
        </w:tc>
        <w:tc>
          <w:tcPr>
            <w:tcW w:type="dxa" w:w="1440"/>
            <w:shd w:fill="FFDCE0" w:val="clear"/>
          </w:tcPr>
          <w:p>
            <w:r>
              <w:rPr>
                <w:b/>
                <w:sz w:val="17"/>
              </w:rPr>
              <w:t>7,648</w:t>
            </w:r>
          </w:p>
        </w:tc>
        <w:tc>
          <w:tcPr>
            <w:tcW w:type="dxa" w:w="1440"/>
            <w:shd w:fill="FFDCE0" w:val="clear"/>
          </w:tcPr>
          <w:p>
            <w:r>
              <w:rPr>
                <w:sz w:val="17"/>
              </w:rPr>
              <w:t>9,177</w:t>
            </w:r>
          </w:p>
        </w:tc>
        <w:tc>
          <w:tcPr>
            <w:tcW w:type="dxa" w:w="1440"/>
            <w:shd w:fill="FFDCE0" w:val="clear"/>
          </w:tcPr>
          <w:p>
            <w:r>
              <w:rPr>
                <w:b/>
                <w:color w:val="C00000"/>
                <w:sz w:val="17"/>
              </w:rPr>
              <w:t>-3.2%</w:t>
            </w:r>
          </w:p>
        </w:tc>
      </w:tr>
      <w:tr>
        <w:tc>
          <w:tcPr>
            <w:tcW w:type="dxa" w:w="1440"/>
            <w:shd w:fill="FFDCE0" w:val="clear"/>
          </w:tcPr>
          <w:p>
            <w:r>
              <w:rPr>
                <w:sz w:val="17"/>
              </w:rPr>
              <w:t>J+10  ⭐</w:t>
            </w:r>
          </w:p>
        </w:tc>
        <w:tc>
          <w:tcPr>
            <w:tcW w:type="dxa" w:w="1440"/>
            <w:shd w:fill="FFDCE0" w:val="clear"/>
          </w:tcPr>
          <w:p>
            <w:r>
              <w:rPr>
                <w:sz w:val="17"/>
              </w:rPr>
              <w:t>2026-10-13</w:t>
            </w:r>
          </w:p>
        </w:tc>
        <w:tc>
          <w:tcPr>
            <w:tcW w:type="dxa" w:w="1440"/>
            <w:shd w:fill="FFDCE0" w:val="clear"/>
          </w:tcPr>
          <w:p>
            <w:r>
              <w:rPr>
                <w:sz w:val="17"/>
              </w:rPr>
              <w:t>6,025</w:t>
            </w:r>
          </w:p>
        </w:tc>
        <w:tc>
          <w:tcPr>
            <w:tcW w:type="dxa" w:w="1440"/>
            <w:shd w:fill="FFDCE0" w:val="clear"/>
          </w:tcPr>
          <w:p>
            <w:r>
              <w:rPr>
                <w:b/>
                <w:sz w:val="17"/>
              </w:rPr>
              <w:t>7,634</w:t>
            </w:r>
          </w:p>
        </w:tc>
        <w:tc>
          <w:tcPr>
            <w:tcW w:type="dxa" w:w="1440"/>
            <w:shd w:fill="FFDCE0" w:val="clear"/>
          </w:tcPr>
          <w:p>
            <w:r>
              <w:rPr>
                <w:sz w:val="17"/>
              </w:rPr>
              <w:t>9,243</w:t>
            </w:r>
          </w:p>
        </w:tc>
        <w:tc>
          <w:tcPr>
            <w:tcW w:type="dxa" w:w="1440"/>
            <w:shd w:fill="FFDCE0" w:val="clear"/>
          </w:tcPr>
          <w:p>
            <w:r>
              <w:rPr>
                <w:b/>
                <w:color w:val="C00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*Bourse Régionale des Valeurs Mobilières (BRVM) — Secteur : Agro-industrie / Hévéa*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201,91 milliards FCFA, SPHC s'impose comme l'une des valeurs industrielles de référence de la cote BRVM, ce qui lui confère une liquidité et une visibilité institutionnelle appréciables. Le BPA de 977 FCFA/action signifie que chaque titre génère près d'un millier de francs de bénéfice net, un niveau élevé qui traduit la forte rentabilité opérationnelle du groupe. Le PER de 8,1x situe le titre nettement en dessous de la moyenne du marché BRVM (8-12x), signalant une potentielle sous-évaluation si les bénéfices se maintiennent. Le P/B de 1,46x indique que le marché valorise SPHC à peine 46% au-dessus de sa valeur comptable, une prime raisonnable pour une entreprise affichant un ROE de 18,1%. Enfin, l'EV/EBITDA de 5,1x (fourchette raisonnable de 5-10x) montre que la valeur totale de l'entreprise, dette incluse, reste modérée au regard de sa capacité à générer du cash opérationnel — un signal globalement favorable à l'investisseur.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SPHC affiche une variation totale de +10,10%, avec une dernière séance particulièrement dynamique (+3,27% en J-1), portant le cours actuel à 7 900 FCFA. Le titre a évolué dans un range large de 6 850 FCFA (plus bas) à 10 300 FCFA (plus haut), soit une amplitude de plus de 50%, révélant une tendance haussière de fond mais entrecoupée de corrections marquées. Les statistiques descriptives confirment cette asymétrie : la moyenne (7 841 FCFA) dépasse légèrement la médiane (7 600 FCFA) et le mode (7 500 FCFA), signe d'une distribution tirée vers le haut par des pics ponctuels. L'écart-type de 777 FCFA (CV = 9,9%) traduit une dispersion modérée du cours autour de sa moyenne, mais le kurtosis de 1,605 (leptokurtique) signale des queues épaisses, donc un risque de mouvements extrêmes soudains. Le skewness positif de 1,446 indique davantage de journées sous la moyenne que de journées exceptionnellement hautes, ce qui invite à la prudence sur les points d'entrée. Enfin, la volatilité annualisée de 43,2% classe le titre dans la catégorie des valeurs à volatilité élevée (&gt;30%), typique des valeurs agro-industrielles exposées aux cours mondiaux du caoutchouc.</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(8 350,25 FCFA) et la MM50 (8 265,20 FCFA) se situent toutes deux au-dessus du cours actuel (7 900 FCFA), ce qui place le titre en position de repli sous ses supports dynamiques. La MM20 étant légèrement supérieure à la MM50, la configuration reste haussière de fond, ce qui justifie la décision « Achat » malgré le retracement actuel — un point d'entrée potentiel se dessine si le cours revient vers ces moyennes.</w:t>
      </w:r>
    </w:p>
    <w:p>
      <w:pPr>
        <w:spacing w:after="120" w:line="276" w:lineRule="auto"/>
      </w:pPr>
      <w:r>
        <w:t>**Bandes de Bollinger** : Le cours (7 900 FCFA) évolue dans la partie basse du canal, entre la borne inférieure (6 600,085 FCFA) et la borne supérieure (10 100,415 FCFA), à mi-chemin environ. Cette position médiane, couplée à un écart-type élevé, traduit une volatilité importante sans signal directionnel clair, d'où la décision « Neutre » — le titre n'est ni en surachat ni en survente technique.</w:t>
      </w:r>
    </w:p>
    <w:p>
      <w:pPr>
        <w:spacing w:after="120" w:line="276" w:lineRule="auto"/>
      </w:pPr>
      <w:r>
        <w:t>**MACD** : La valeur du MACD (-254,149) est inférieure à son signal (-186,222), confirmant un momentum baissier de court terme. La divergence négative entre les deux lignes justifie la décision « Vente » à court terme, bien que l'ampleur reste modérée et puisse se retourner rapidement si le cours rebondit sur la MM50.</w:t>
      </w:r>
    </w:p>
    <w:p>
      <w:pPr>
        <w:spacing w:after="120" w:line="276" w:lineRule="auto"/>
      </w:pPr>
      <w:r>
        <w:t>**RSI** : À 49,213, le RSI se situe exactement dans la zone neutre (30-70), sans signal de surachat ni de survente. Cette position médiane confirme l'absence de pression directionnelle forte et justifie la décision « Neutre » — le marché est en équilibre, dans l'attente d'un catalyseur.</w:t>
      </w:r>
    </w:p>
    <w:p>
      <w:pPr>
        <w:spacing w:after="120" w:line="276" w:lineRule="auto"/>
      </w:pPr>
      <w:r>
        <w:t>**Stochastique** : Le %K (50,0) est supérieur au %D (35,32), ce qui constitue un croisement haussier naissant, bien que les deux indicateurs restent en zone médiane. Cette configuration suggère un possible retournement à la hausse à court terme, mais la faiblesse du signal justifie la décision « Neutre » — à surveiller pour confirmation.</w:t>
      </w:r>
    </w:p>
    <w:p>
      <w:pPr>
        <w:spacing w:after="120" w:line="276" w:lineRule="auto"/>
      </w:pPr>
      <w:r>
        <w:t>**Conclusion technique** : Les indicateurs techniques sont majoritairement neutres, avec un léger biais baissier à court terme (MACD en vente) compensé par une structure haussière de fond (MM20 &gt; MM50) et un croisement stochastique naissant. Le titre se trouve dans une zone de consolidation entre 7 500 et 8 500 FCFA, sans signal directionnel fort. La prudence est de mise tant que le MACD ne s'inverse pas et que le cours ne repasse pas au-dessus de la MM20.</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SPHC a réalisé un chiffre d'affaires de 340,831 milliards FCFA, en croissance de 21,97% par rapport à 2024, portée par une hausse des volumes vendus (+16,8%) et des prix moyens (+17,6%) selon le rapport T3 2025 (daté du 30/09/2025). Le résultat net s'établit à 24,972 milliards FCFA, en progression de 32,9%, avec une marge nette de 7,33% (contre 6,7% en 2024). Le ROE atteint 18,10% (&gt;15% = excellent) et le ROA 11,06%, confirmant une rentabilité solide des fonds propres et des actifs. La structure financière est saine : autonomie financière de 61,08%, ratio d'endettement de 25,81% et solvabilité générale de 256,91%. Cependant, deux points de vigilance émergent : une trésorerie nette négative de -15,413 milliards FCFA (bien qu'en amélioration de +9,89 milliards vs 2024) et un BFR de 65,389 milliards FCFA, avec des délais clients de 35 jours et une durée de stockage de 72,33 jours — des niveaux élevés qui immobilisent du capital. Le rapport T1 2026 (daté du 31/03/2026) révèle un net ralentissement : CA de 71,8 milliards FCFA (-24%), résultat net de 2,6 milliards FCFA (-78%) et marge nette réduite à 4%, sous l'effet de la chute des cours mondiaux du caoutchouc (SICOM 20 à 1,91 USD/kg), de l'engorgement du port de San Pedro et de la concurrence accrue sur l'achat de matière première. Sur la base de ce T1 2026, on estime que l'exercice 2026 devrait afficher une contraction significative de la rentabilité, sauf reprise des cours au second semestre. La politique de dividende reste attractive : 489 FCFA brut/action proposé pour 2025 (vs 64,5 FCFA en 2024), soit un rendement de 6,2% au cours actuel. La recommandation fondamentale est de **CONSERVER** : la solidité du bilan et la générosité du dividende compensent les risques cycliques, mais la dégradation récente des marges impose une surveillance active.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attractive avec un PER de 8,1x inférieur à la moyenne BRVM, un P/B de 1,46x raisonnable et un EV/EBITDA de 5,1x modéré — des ratios qui suggèrent une sous-évaluation relative, sous réserve que les bénéfices se maintiennent. Le comportement du cours (Partie 1) est mitigé : tendance haussière de fond (+10,10% sur 100 jours) mais volatilité élevée (43,2%) et distribution leptokurtique (kurtosis 1,605) avec skewness positif (1,446), signalant un risque de pics baissiers. Les signaux techniques (Partie 2) sont divergents : structure haussière (MM20 &gt; MM50) mais momentum baissier (MACD en vente) et RSI neutre, sans convergence claire. Les fondamentaux (Partie 3) sont solides pour 2025 (CA +22%, RN +33%, ROE 18,1%) mais le T1 2026 (daté du 31/03/2026) montre une dégradation marquée (CA -24%, RN -78%), ce qui pèse sur les perspectives. Les prédictions IA (J+1 à J+10) anticipent une légère baisse vers 7 704 FCFA d'ici le 06/10/2026, confirmant la pression baissière de court terme. **Recommandation finale : CONSERVER** — la convergence entre valorisation attractive, dividende généreux (489 FCFA/action) et solidité financière est contrebalancée par la dégradation des marges au T1 2026 et les signaux techniques baissiers à court terme. Le niveau de confiance est **Moyen** (incertitude sur les cours du caoutchouc), le risque global **Élevé** (volatilité 43,2%, dépendance aux matières premières) et l'horizon optimal **long terme (&gt;1 an)** pour capter le cycle de reprise, avec un point d'entrée idéal vers 7 500 FCFA (mode statistique).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43.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31.99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6,160 titres</w:t>
            </w:r>
          </w:p>
        </w:tc>
        <w:tc>
          <w:tcPr>
            <w:tcW w:type="dxa" w:w="2268"/>
            <w:shd w:fill="FFF2CC" w:val="clear"/>
          </w:tcPr>
          <w:p>
            <w:r>
              <w:rPr>
                <w:b/>
                <w:color w:val="503200"/>
                <w:sz w:val="16"/>
              </w:rPr>
              <w:t xml:space="preserve">Cours actuel : </w:t>
            </w:r>
            <w:r>
              <w:rPr>
                <w:color w:val="000000"/>
                <w:sz w:val="17"/>
              </w:rPr>
              <w:t>2,380 FCFA</w:t>
            </w:r>
          </w:p>
          <w:p>
            <w:r>
              <w:rPr>
                <w:b/>
                <w:color w:val="503200"/>
                <w:sz w:val="16"/>
              </w:rPr>
              <w:t xml:space="preserve">Var. 100 jours : </w:t>
            </w:r>
            <w:r>
              <w:rPr>
                <w:b/>
                <w:color w:val="B40000"/>
                <w:sz w:val="17"/>
              </w:rPr>
              <w:t>-16.49%</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2,085 FCFA</w:t>
            </w:r>
          </w:p>
          <w:p>
            <w:r>
              <w:rPr>
                <w:b/>
                <w:color w:val="503200"/>
                <w:sz w:val="16"/>
              </w:rPr>
              <w:t xml:space="preserve">Volatilité ann. : </w:t>
            </w:r>
            <w:r>
              <w:rPr>
                <w:color w:val="000000"/>
                <w:sz w:val="17"/>
              </w:rPr>
              <w:t>61.4%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20.0/100 → Moyen</w:t>
      </w:r>
    </w:p>
    <w:p>
      <w:pPr>
        <w:spacing w:before="40" w:after="80"/>
      </w:pPr>
      <w:r>
        <w:rPr>
          <w:rFonts w:ascii="Courier New" w:hAnsi="Courier New"/>
          <w:color w:val="825A00"/>
          <w:sz w:val="18"/>
        </w:rPr>
        <w:t>████░░░░░░░░░░░░░░░░  20.0/100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13.72% (Moyenne) — μ=2,877 FCFA, σ=395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β=-0.0391 (Contre-cyclique) — Cov=-0.000003, Var(idx)=0.000069, ρ=-0.009,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6,160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σ_j=3.87%/j (Modérée) — Vol. annualisée≈61.4%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00906"/>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2026-09-30</w:t>
            </w:r>
          </w:p>
        </w:tc>
        <w:tc>
          <w:tcPr>
            <w:tcW w:type="dxa" w:w="1440"/>
            <w:shd w:fill="FAFAFA" w:val="clear"/>
          </w:tcPr>
          <w:p>
            <w:r>
              <w:rPr>
                <w:sz w:val="17"/>
              </w:rPr>
              <w:t>2,233</w:t>
            </w:r>
          </w:p>
        </w:tc>
        <w:tc>
          <w:tcPr>
            <w:tcW w:type="dxa" w:w="1440"/>
            <w:shd w:fill="FAFAFA" w:val="clear"/>
          </w:tcPr>
          <w:p>
            <w:r>
              <w:rPr>
                <w:b/>
                <w:sz w:val="17"/>
              </w:rPr>
              <w:t>2,379</w:t>
            </w:r>
          </w:p>
        </w:tc>
        <w:tc>
          <w:tcPr>
            <w:tcW w:type="dxa" w:w="1440"/>
            <w:shd w:fill="FAFAFA" w:val="clear"/>
          </w:tcPr>
          <w:p>
            <w:r>
              <w:rPr>
                <w:sz w:val="17"/>
              </w:rPr>
              <w:t>2,524</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2026-10-01</w:t>
            </w:r>
          </w:p>
        </w:tc>
        <w:tc>
          <w:tcPr>
            <w:tcW w:type="dxa" w:w="1440"/>
            <w:shd w:fill="FAFAFA" w:val="clear"/>
          </w:tcPr>
          <w:p>
            <w:r>
              <w:rPr>
                <w:sz w:val="17"/>
              </w:rPr>
              <w:t>2,196</w:t>
            </w:r>
          </w:p>
        </w:tc>
        <w:tc>
          <w:tcPr>
            <w:tcW w:type="dxa" w:w="1440"/>
            <w:shd w:fill="FAFAFA" w:val="clear"/>
          </w:tcPr>
          <w:p>
            <w:r>
              <w:rPr>
                <w:b/>
                <w:sz w:val="17"/>
              </w:rPr>
              <w:t>2,404</w:t>
            </w:r>
          </w:p>
        </w:tc>
        <w:tc>
          <w:tcPr>
            <w:tcW w:type="dxa" w:w="1440"/>
            <w:shd w:fill="FAFAFA" w:val="clear"/>
          </w:tcPr>
          <w:p>
            <w:r>
              <w:rPr>
                <w:sz w:val="17"/>
              </w:rPr>
              <w:t>2,611</w:t>
            </w:r>
          </w:p>
        </w:tc>
        <w:tc>
          <w:tcPr>
            <w:tcW w:type="dxa" w:w="1440"/>
            <w:shd w:fill="FAFAFA" w:val="clear"/>
          </w:tcPr>
          <w:p>
            <w:r>
              <w:rPr>
                <w:b/>
                <w:color w:val="008000"/>
                <w:sz w:val="17"/>
              </w:rPr>
              <w:t>+1.0%</w:t>
            </w:r>
          </w:p>
        </w:tc>
      </w:tr>
      <w:tr>
        <w:tc>
          <w:tcPr>
            <w:tcW w:type="dxa" w:w="1440"/>
            <w:shd w:fill="FAFAFA" w:val="clear"/>
          </w:tcPr>
          <w:p>
            <w:r>
              <w:rPr>
                <w:sz w:val="17"/>
              </w:rPr>
              <w:t>J+3  Moyenne</w:t>
            </w:r>
          </w:p>
        </w:tc>
        <w:tc>
          <w:tcPr>
            <w:tcW w:type="dxa" w:w="1440"/>
            <w:shd w:fill="FAFAFA" w:val="clear"/>
          </w:tcPr>
          <w:p>
            <w:r>
              <w:rPr>
                <w:sz w:val="17"/>
              </w:rPr>
              <w:t>2026-10-02</w:t>
            </w:r>
          </w:p>
        </w:tc>
        <w:tc>
          <w:tcPr>
            <w:tcW w:type="dxa" w:w="1440"/>
            <w:shd w:fill="FAFAFA" w:val="clear"/>
          </w:tcPr>
          <w:p>
            <w:r>
              <w:rPr>
                <w:sz w:val="17"/>
              </w:rPr>
              <w:t>2,147</w:t>
            </w:r>
          </w:p>
        </w:tc>
        <w:tc>
          <w:tcPr>
            <w:tcW w:type="dxa" w:w="1440"/>
            <w:shd w:fill="FAFAFA" w:val="clear"/>
          </w:tcPr>
          <w:p>
            <w:r>
              <w:rPr>
                <w:b/>
                <w:sz w:val="17"/>
              </w:rPr>
              <w:t>2,401</w:t>
            </w:r>
          </w:p>
        </w:tc>
        <w:tc>
          <w:tcPr>
            <w:tcW w:type="dxa" w:w="1440"/>
            <w:shd w:fill="FAFAFA" w:val="clear"/>
          </w:tcPr>
          <w:p>
            <w:r>
              <w:rPr>
                <w:sz w:val="17"/>
              </w:rPr>
              <w:t>2,655</w:t>
            </w:r>
          </w:p>
        </w:tc>
        <w:tc>
          <w:tcPr>
            <w:tcW w:type="dxa" w:w="1440"/>
            <w:shd w:fill="FAFAFA" w:val="clear"/>
          </w:tcPr>
          <w:p>
            <w:r>
              <w:rPr>
                <w:b/>
                <w:color w:val="008000"/>
                <w:sz w:val="17"/>
              </w:rPr>
              <w:t>+0.9%</w:t>
            </w:r>
          </w:p>
        </w:tc>
      </w:tr>
      <w:tr>
        <w:tc>
          <w:tcPr>
            <w:tcW w:type="dxa" w:w="1440"/>
            <w:shd w:fill="FAFAFA" w:val="clear"/>
          </w:tcPr>
          <w:p>
            <w:r>
              <w:rPr>
                <w:sz w:val="17"/>
              </w:rPr>
              <w:t>J+4  ⭐</w:t>
            </w:r>
          </w:p>
        </w:tc>
        <w:tc>
          <w:tcPr>
            <w:tcW w:type="dxa" w:w="1440"/>
            <w:shd w:fill="FAFAFA" w:val="clear"/>
          </w:tcPr>
          <w:p>
            <w:r>
              <w:rPr>
                <w:sz w:val="17"/>
              </w:rPr>
              <w:t>2026-10-05</w:t>
            </w:r>
          </w:p>
        </w:tc>
        <w:tc>
          <w:tcPr>
            <w:tcW w:type="dxa" w:w="1440"/>
            <w:shd w:fill="FAFAFA" w:val="clear"/>
          </w:tcPr>
          <w:p>
            <w:r>
              <w:rPr>
                <w:sz w:val="17"/>
              </w:rPr>
              <w:t>2,094</w:t>
            </w:r>
          </w:p>
        </w:tc>
        <w:tc>
          <w:tcPr>
            <w:tcW w:type="dxa" w:w="1440"/>
            <w:shd w:fill="FAFAFA" w:val="clear"/>
          </w:tcPr>
          <w:p>
            <w:r>
              <w:rPr>
                <w:b/>
                <w:sz w:val="17"/>
              </w:rPr>
              <w:t>2,386</w:t>
            </w:r>
          </w:p>
        </w:tc>
        <w:tc>
          <w:tcPr>
            <w:tcW w:type="dxa" w:w="1440"/>
            <w:shd w:fill="FAFAFA" w:val="clear"/>
          </w:tcPr>
          <w:p>
            <w:r>
              <w:rPr>
                <w:sz w:val="17"/>
              </w:rPr>
              <w:t>2,677</w:t>
            </w:r>
          </w:p>
        </w:tc>
        <w:tc>
          <w:tcPr>
            <w:tcW w:type="dxa" w:w="1440"/>
            <w:shd w:fill="FAFAFA" w:val="clear"/>
          </w:tcPr>
          <w:p>
            <w:r>
              <w:rPr>
                <w:b/>
                <w:color w:val="008000"/>
                <w:sz w:val="17"/>
              </w:rPr>
              <w:t>+0.3%</w:t>
            </w:r>
          </w:p>
        </w:tc>
      </w:tr>
      <w:tr>
        <w:tc>
          <w:tcPr>
            <w:tcW w:type="dxa" w:w="1440"/>
            <w:shd w:fill="FAFAFA" w:val="clear"/>
          </w:tcPr>
          <w:p>
            <w:r>
              <w:rPr>
                <w:sz w:val="17"/>
              </w:rPr>
              <w:t>J+5  ⭐</w:t>
            </w:r>
          </w:p>
        </w:tc>
        <w:tc>
          <w:tcPr>
            <w:tcW w:type="dxa" w:w="1440"/>
            <w:shd w:fill="FAFAFA" w:val="clear"/>
          </w:tcPr>
          <w:p>
            <w:r>
              <w:rPr>
                <w:sz w:val="17"/>
              </w:rPr>
              <w:t>2026-10-06</w:t>
            </w:r>
          </w:p>
        </w:tc>
        <w:tc>
          <w:tcPr>
            <w:tcW w:type="dxa" w:w="1440"/>
            <w:shd w:fill="FAFAFA" w:val="clear"/>
          </w:tcPr>
          <w:p>
            <w:r>
              <w:rPr>
                <w:sz w:val="17"/>
              </w:rPr>
              <w:t>2,044</w:t>
            </w:r>
          </w:p>
        </w:tc>
        <w:tc>
          <w:tcPr>
            <w:tcW w:type="dxa" w:w="1440"/>
            <w:shd w:fill="FAFAFA" w:val="clear"/>
          </w:tcPr>
          <w:p>
            <w:r>
              <w:rPr>
                <w:b/>
                <w:sz w:val="17"/>
              </w:rPr>
              <w:t>2,367</w:t>
            </w:r>
          </w:p>
        </w:tc>
        <w:tc>
          <w:tcPr>
            <w:tcW w:type="dxa" w:w="1440"/>
            <w:shd w:fill="FAFAFA" w:val="clear"/>
          </w:tcPr>
          <w:p>
            <w:r>
              <w:rPr>
                <w:sz w:val="17"/>
              </w:rPr>
              <w:t>2,690</w:t>
            </w:r>
          </w:p>
        </w:tc>
        <w:tc>
          <w:tcPr>
            <w:tcW w:type="dxa" w:w="1440"/>
            <w:shd w:fill="FAFAFA" w:val="clear"/>
          </w:tcPr>
          <w:p>
            <w:r>
              <w:rPr>
                <w:b/>
                <w:color w:val="C00000"/>
                <w:sz w:val="17"/>
              </w:rPr>
              <w:t>-0.6%</w:t>
            </w:r>
          </w:p>
        </w:tc>
      </w:tr>
      <w:tr>
        <w:tc>
          <w:tcPr>
            <w:tcW w:type="dxa" w:w="1440"/>
            <w:shd w:fill="FAFAFA" w:val="clear"/>
          </w:tcPr>
          <w:p>
            <w:r>
              <w:rPr>
                <w:sz w:val="17"/>
              </w:rPr>
              <w:t>J+6  ⭐</w:t>
            </w:r>
          </w:p>
        </w:tc>
        <w:tc>
          <w:tcPr>
            <w:tcW w:type="dxa" w:w="1440"/>
            <w:shd w:fill="FAFAFA" w:val="clear"/>
          </w:tcPr>
          <w:p>
            <w:r>
              <w:rPr>
                <w:sz w:val="17"/>
              </w:rPr>
              <w:t>2026-10-07</w:t>
            </w:r>
          </w:p>
        </w:tc>
        <w:tc>
          <w:tcPr>
            <w:tcW w:type="dxa" w:w="1440"/>
            <w:shd w:fill="FAFAFA" w:val="clear"/>
          </w:tcPr>
          <w:p>
            <w:r>
              <w:rPr>
                <w:sz w:val="17"/>
              </w:rPr>
              <w:t>1,996</w:t>
            </w:r>
          </w:p>
        </w:tc>
        <w:tc>
          <w:tcPr>
            <w:tcW w:type="dxa" w:w="1440"/>
            <w:shd w:fill="FAFAFA" w:val="clear"/>
          </w:tcPr>
          <w:p>
            <w:r>
              <w:rPr>
                <w:b/>
                <w:sz w:val="17"/>
              </w:rPr>
              <w:t>2,347</w:t>
            </w:r>
          </w:p>
        </w:tc>
        <w:tc>
          <w:tcPr>
            <w:tcW w:type="dxa" w:w="1440"/>
            <w:shd w:fill="FAFAFA" w:val="clear"/>
          </w:tcPr>
          <w:p>
            <w:r>
              <w:rPr>
                <w:sz w:val="17"/>
              </w:rPr>
              <w:t>2,698</w:t>
            </w:r>
          </w:p>
        </w:tc>
        <w:tc>
          <w:tcPr>
            <w:tcW w:type="dxa" w:w="1440"/>
            <w:shd w:fill="FAFAFA" w:val="clear"/>
          </w:tcPr>
          <w:p>
            <w:r>
              <w:rPr>
                <w:b/>
                <w:color w:val="C00000"/>
                <w:sz w:val="17"/>
              </w:rPr>
              <w:t>-1.4%</w:t>
            </w:r>
          </w:p>
        </w:tc>
      </w:tr>
      <w:tr>
        <w:tc>
          <w:tcPr>
            <w:tcW w:type="dxa" w:w="1440"/>
            <w:shd w:fill="FFDCE0" w:val="clear"/>
          </w:tcPr>
          <w:p>
            <w:r>
              <w:rPr>
                <w:sz w:val="17"/>
              </w:rPr>
              <w:t>J+7  ⭐</w:t>
            </w:r>
          </w:p>
        </w:tc>
        <w:tc>
          <w:tcPr>
            <w:tcW w:type="dxa" w:w="1440"/>
            <w:shd w:fill="FFDCE0" w:val="clear"/>
          </w:tcPr>
          <w:p>
            <w:r>
              <w:rPr>
                <w:sz w:val="17"/>
              </w:rPr>
              <w:t>2026-10-08</w:t>
            </w:r>
          </w:p>
        </w:tc>
        <w:tc>
          <w:tcPr>
            <w:tcW w:type="dxa" w:w="1440"/>
            <w:shd w:fill="FFDCE0" w:val="clear"/>
          </w:tcPr>
          <w:p>
            <w:r>
              <w:rPr>
                <w:sz w:val="17"/>
              </w:rPr>
              <w:t>1,952</w:t>
            </w:r>
          </w:p>
        </w:tc>
        <w:tc>
          <w:tcPr>
            <w:tcW w:type="dxa" w:w="1440"/>
            <w:shd w:fill="FFDCE0" w:val="clear"/>
          </w:tcPr>
          <w:p>
            <w:r>
              <w:rPr>
                <w:b/>
                <w:sz w:val="17"/>
              </w:rPr>
              <w:t>2,328</w:t>
            </w:r>
          </w:p>
        </w:tc>
        <w:tc>
          <w:tcPr>
            <w:tcW w:type="dxa" w:w="1440"/>
            <w:shd w:fill="FFDCE0" w:val="clear"/>
          </w:tcPr>
          <w:p>
            <w:r>
              <w:rPr>
                <w:sz w:val="17"/>
              </w:rPr>
              <w:t>2,704</w:t>
            </w:r>
          </w:p>
        </w:tc>
        <w:tc>
          <w:tcPr>
            <w:tcW w:type="dxa" w:w="1440"/>
            <w:shd w:fill="FFDCE0" w:val="clear"/>
          </w:tcPr>
          <w:p>
            <w:r>
              <w:rPr>
                <w:b/>
                <w:color w:val="C00000"/>
                <w:sz w:val="17"/>
              </w:rPr>
              <w:t>-2.2%</w:t>
            </w:r>
          </w:p>
        </w:tc>
      </w:tr>
      <w:tr>
        <w:tc>
          <w:tcPr>
            <w:tcW w:type="dxa" w:w="1440"/>
            <w:shd w:fill="FFDCE0" w:val="clear"/>
          </w:tcPr>
          <w:p>
            <w:r>
              <w:rPr>
                <w:sz w:val="17"/>
              </w:rPr>
              <w:t>J+8  ⭐</w:t>
            </w:r>
          </w:p>
        </w:tc>
        <w:tc>
          <w:tcPr>
            <w:tcW w:type="dxa" w:w="1440"/>
            <w:shd w:fill="FFDCE0" w:val="clear"/>
          </w:tcPr>
          <w:p>
            <w:r>
              <w:rPr>
                <w:sz w:val="17"/>
              </w:rPr>
              <w:t>2026-10-09</w:t>
            </w:r>
          </w:p>
        </w:tc>
        <w:tc>
          <w:tcPr>
            <w:tcW w:type="dxa" w:w="1440"/>
            <w:shd w:fill="FFDCE0" w:val="clear"/>
          </w:tcPr>
          <w:p>
            <w:r>
              <w:rPr>
                <w:sz w:val="17"/>
              </w:rPr>
              <w:t>1,912</w:t>
            </w:r>
          </w:p>
        </w:tc>
        <w:tc>
          <w:tcPr>
            <w:tcW w:type="dxa" w:w="1440"/>
            <w:shd w:fill="FFDCE0" w:val="clear"/>
          </w:tcPr>
          <w:p>
            <w:r>
              <w:rPr>
                <w:b/>
                <w:sz w:val="17"/>
              </w:rPr>
              <w:t>2,312</w:t>
            </w:r>
          </w:p>
        </w:tc>
        <w:tc>
          <w:tcPr>
            <w:tcW w:type="dxa" w:w="1440"/>
            <w:shd w:fill="FFDCE0" w:val="clear"/>
          </w:tcPr>
          <w:p>
            <w:r>
              <w:rPr>
                <w:sz w:val="17"/>
              </w:rPr>
              <w:t>2,711</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2026-10-12</w:t>
            </w:r>
          </w:p>
        </w:tc>
        <w:tc>
          <w:tcPr>
            <w:tcW w:type="dxa" w:w="1440"/>
            <w:shd w:fill="FFDCE0" w:val="clear"/>
          </w:tcPr>
          <w:p>
            <w:r>
              <w:rPr>
                <w:sz w:val="17"/>
              </w:rPr>
              <w:t>1,876</w:t>
            </w:r>
          </w:p>
        </w:tc>
        <w:tc>
          <w:tcPr>
            <w:tcW w:type="dxa" w:w="1440"/>
            <w:shd w:fill="FFDCE0" w:val="clear"/>
          </w:tcPr>
          <w:p>
            <w:r>
              <w:rPr>
                <w:b/>
                <w:sz w:val="17"/>
              </w:rPr>
              <w:t>2,297</w:t>
            </w:r>
          </w:p>
        </w:tc>
        <w:tc>
          <w:tcPr>
            <w:tcW w:type="dxa" w:w="1440"/>
            <w:shd w:fill="FFDCE0" w:val="clear"/>
          </w:tcPr>
          <w:p>
            <w:r>
              <w:rPr>
                <w:sz w:val="17"/>
              </w:rPr>
              <w:t>2,718</w:t>
            </w:r>
          </w:p>
        </w:tc>
        <w:tc>
          <w:tcPr>
            <w:tcW w:type="dxa" w:w="1440"/>
            <w:shd w:fill="FFDCE0" w:val="clear"/>
          </w:tcPr>
          <w:p>
            <w:r>
              <w:rPr>
                <w:b/>
                <w:color w:val="C00000"/>
                <w:sz w:val="17"/>
              </w:rPr>
              <w:t>-3.5%</w:t>
            </w:r>
          </w:p>
        </w:tc>
      </w:tr>
      <w:tr>
        <w:tc>
          <w:tcPr>
            <w:tcW w:type="dxa" w:w="1440"/>
            <w:shd w:fill="FFDCE0" w:val="clear"/>
          </w:tcPr>
          <w:p>
            <w:r>
              <w:rPr>
                <w:sz w:val="17"/>
              </w:rPr>
              <w:t>J+10  ⭐</w:t>
            </w:r>
          </w:p>
        </w:tc>
        <w:tc>
          <w:tcPr>
            <w:tcW w:type="dxa" w:w="1440"/>
            <w:shd w:fill="FFDCE0" w:val="clear"/>
          </w:tcPr>
          <w:p>
            <w:r>
              <w:rPr>
                <w:sz w:val="17"/>
              </w:rPr>
              <w:t>2026-10-13</w:t>
            </w:r>
          </w:p>
        </w:tc>
        <w:tc>
          <w:tcPr>
            <w:tcW w:type="dxa" w:w="1440"/>
            <w:shd w:fill="FFDCE0" w:val="clear"/>
          </w:tcPr>
          <w:p>
            <w:r>
              <w:rPr>
                <w:sz w:val="17"/>
              </w:rPr>
              <w:t>1,843</w:t>
            </w:r>
          </w:p>
        </w:tc>
        <w:tc>
          <w:tcPr>
            <w:tcW w:type="dxa" w:w="1440"/>
            <w:shd w:fill="FFDCE0" w:val="clear"/>
          </w:tcPr>
          <w:p>
            <w:r>
              <w:rPr>
                <w:b/>
                <w:sz w:val="17"/>
              </w:rPr>
              <w:t>2,285</w:t>
            </w:r>
          </w:p>
        </w:tc>
        <w:tc>
          <w:tcPr>
            <w:tcW w:type="dxa" w:w="1440"/>
            <w:shd w:fill="FFDCE0" w:val="clear"/>
          </w:tcPr>
          <w:p>
            <w:r>
              <w:rPr>
                <w:sz w:val="17"/>
              </w:rPr>
              <w:t>2,726</w:t>
            </w:r>
          </w:p>
        </w:tc>
        <w:tc>
          <w:tcPr>
            <w:tcW w:type="dxa" w:w="1440"/>
            <w:shd w:fill="FFDCE0" w:val="clear"/>
          </w:tcPr>
          <w:p>
            <w:r>
              <w:rPr>
                <w:b/>
                <w:color w:val="C00000"/>
                <w:sz w:val="17"/>
              </w:rPr>
              <w:t>-4.0%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w:t>
        <w:br/>
        <w:t>*Bourse Régionale des Valeurs Mobilières (BRVM) — Secteur : BTP / Études et Travaux*</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31,99 Mds FCFA, STAC se situe dans la catégorie des petites capitalisations de la BRVM, ce qui la rend vulnérable aux mouvements de faible volume et à la faible liquidité. Le BPA ressort à -7 FCFA/action, signifiant que chaque action détruite de la valeur comptable plutôt qu'elle n'en génère, ce qui rend le PER inexploitable (-331,3x) et confirme une société en situation déficitaire structurelle. Le ratio P/B de 89,66x constitue un signal d'alerte majeur : le marché valorise l'action à près de 90 fois sa valeur comptable, alors que les capitaux propres ne s'élèvent qu'à 356,75 M FCFA pour une capitalisation de 31,99 Mds FCFA — un écart qui traduit soit une anticipation spéculative de redressement, soit une décorrélation totale entre le prix et les fondamentaux. Le ratio EV/EBITDA n'est pas exploitable en raison d'un EBE négatif (-650,13 M FCFA en 2025), ce qui prive l'investisseur de tout repère de valorisation opérationnelle. En synthèse, aucun des ratios classiques ne plaide en faveur d'une valorisation raisonnable : le titre est porté par des anticipations, non par des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STAC affiche une variation totale de -16,49%, mais la dernière séance (J-1) enregistre un rebond spectaculaire de +6,25%, portant le cours à 2 380 FCFA. Le range de trading est très large, entre un plus bas de 2 085 FCFA et un plus haut de 3 640 FCFA, soit un écart de 74,6% qui témoigne d'une forte amplitude spéculative. La tendance générale est baissière sur la période, malgré le sursaut récent qui pourrait constituer un rebond technique. Les statistiques descriptives révèlent une moyenne de 2 877 FCFA légèrement supérieure à la médiane de 2 818 FCFA, avec un mode à 3 500 FCFA : cet écart modéré indique une distribution quasi-symétrique, confirmée par un skewness de 0,250. L'écart-type de 397 FCFA (CV = 13,8%) traduit une dispersion modérée du cours autour de sa moyenne, tandis que le kurtosis de -0,697 (mésokurtique) suggère une distribution proche de la normale, sans risque de pics extrêmes marqués. La volatilité annualisée de 61,4% classe le titre dans la catégorie des valeurs à volatilité élevée (&gt;30%), ce qui implique un risque de perte en capital significatif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(2 413,75 FCFA) et la MM50 (2 603,70 FCFA) se situent toutes deux au-dessus du cours actuel (2 380 FCFA), avec la MM20 en dessous de la MM50 — configuration baissière caractéristique. Le cours évoluant sous ses deux moyennes, la pression vendeuse domine, ce qui justifie la décision technique de **Vente**.</w:t>
      </w:r>
    </w:p>
    <w:p>
      <w:pPr>
        <w:spacing w:after="120" w:line="276" w:lineRule="auto"/>
      </w:pPr>
      <w:r>
        <w:t>**Bandes de Bollinger** : Le cours (2 380 FCFA) se situe dans la partie médiane de la bande, entre la borne inférieure (1 989,996 FCFA) et la borne supérieure (2 837,504 FCFA). Cette position centrale, sans contact avec les extrêmes, traduit une absence de signal directionnel fort et justifie la décision **Neutre**, bien que la largeur de la bande (847,5 FCFA) confirme une volatilité élevée.</w:t>
      </w:r>
    </w:p>
    <w:p>
      <w:pPr>
        <w:spacing w:after="120" w:line="276" w:lineRule="auto"/>
      </w:pPr>
      <w:r>
        <w:t>**MACD** : La valeur du MACD (-127,736) est légèrement inférieure à son signal (-127,164), avec un écart marginal de -0,572 point. Cette divergence négative, bien que faible, indique un momentum baissier persistant et valide la décision de **Vente**, sans signal de retournement imminent.</w:t>
      </w:r>
    </w:p>
    <w:p>
      <w:pPr>
        <w:spacing w:after="120" w:line="276" w:lineRule="auto"/>
      </w:pPr>
      <w:r>
        <w:t>**RSI** : À 44,958, le RSI se situe dans la zone neutre (30-70), sans approcher la zone de survente (&lt;30) ni de surachat (&gt;70). Cette position médiane reflète un équilibre relatif entre acheteurs et vendeurs, justifiant la décision **Neutre** et l'absence de signal contrarien.</w:t>
      </w:r>
    </w:p>
    <w:p>
      <w:pPr>
        <w:spacing w:after="120" w:line="276" w:lineRule="auto"/>
      </w:pPr>
      <w:r>
        <w:t>**Stochastique** : Le %K (59,596) est nettement supérieur au %D (30,303), avec un croisement haussier récent qui pourrait annoncer un rebond de court terme. Cependant, la décision reste **Neutre** car le signal n'est pas encore confirmé par une sortie de la zone de survente.</w:t>
      </w:r>
    </w:p>
    <w:p>
      <w:pPr>
        <w:spacing w:after="120" w:line="276" w:lineRule="auto"/>
      </w:pPr>
      <w:r>
        <w:t>**Conclusion technique** : Les indicateurs sont majoritairement baissiers (MM, MACD) ou neutres (Bollinger, RSI, Stochastique), avec une seule lueur haussière apportée par le croisement stochastique. La convergence des signaux négatifs (cours sous les MM, MACD négatif) l'emporte sur le rebond ponctuel de J-1, ce qui plaide pour une prudence persistante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de STAC (entreprise non bancaire) révèlent une situation financière profondément dégradée : le chiffre d'affaires s'établit à 3,878 Mds FCFA, en croissance spectaculaire de +116,26% par rapport à 2024, portée par la reprise des travaux de l'aéroport d'Abidjan. Cependant, cette dynamique commerciale ne se traduit pas en rentabilité : le résultat net est négatif à -96,56 M FCFA, le ROE s'effondre à -27,07% et le ROA à -1,77%, tandis que l'EBE reste fortement déficitaire à -650,13 M FCFA. La structure financière est préoccupante : l'autonomie financière n'est que de 6,55% (très en dessous du seuil sain de 30%), le ratio d'endettement atteint 93,45% et la capacité de remboursement s'élève à 77,53 années de CAF, ce qui est prohibitif. Le BFR est négatif (-930,47 M FCFA), ce qui constitue un point favorable pour la trésorerie, et la trésorerie nette reste positive à 1,330 Mds FCFA, offrant un coussin de liquidité. Les rapports narratifs confirment cette analyse : le rapport du 3e trimestre 2025 (daté du 30/09/2025) indique un CA cumulé de 3 456 M FCFA (+176%) mais une perte nette de 477 M FCFA, en réduction de 22% sur un an ; le rapport du 1er semestre 2025 (daté du 30/06/2025) faisait état d'une perte nette de 557 M FCFA malgré un CA de 2 271 M FCFA (+290%). On estime, sur la base de ces rapports trimestriels, que l'exercice 2025 devrait se solder par une perte nette annuelle comprise entre -100 et -150 M FCFA, la direction maintenant sa prévision de CA à 4 Mds FCFA. La trajectoire vers la rentabilité reste incertaine, dépendante de la sécurisation de nouveaux contrats après l'aéroport d'Abidjan, et la soutenabilité de la structure de coûts demeure le principal défi. La recommandation fondamentale est **Vente** : la société est solvable à court terme grâce à sa trésorerie, mais son modèle économique n'est pas viable en l'état, avec des pertes opérationnelles récurrentes et une dépendance excessive à un projet unique.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de **VENTE** avec un niveau de confiance **Moyen** et un risque global **Élevé**. La valorisation (Partie 0) est totalement décorrélée des fondamentaux : PER négatif, P/B de 89,66x et EV/EBITDA inexploitable, ce qui indique une surévaluation manifeste du titre par rapport à sa valeur intrinsèque. Le comportement du cours (Partie 1) est baissier sur 100 jours (-16,49%), avec une volatilité annualisée de 61,4% (élevée) et une distribution quasi-normale (kurtosis -0,697, skewness 0,250) qui n'offre aucun avantage statistique. Les signaux techniques (Partie 2) sont majoritairement baissiers (cours sous MM20 et MM50, MACD négatif) malgré un rebond de J-1 (+6,25%) et un croisement stochastique haussier qui pourrait n'être qu'un soubresaut technique. Les fondamentaux (Partie 3) sont préoccupants : perte nette de -96,56 M FCFA en 2025, ROE de -27,07%, autonomie financière de 6,55% et dépendance à un projet unique, même si la trésorerie nette de 1,330 Mds FCFA et le BFR négatif offrent une certaine résilience à court terme. Les prédictions IA (J+1 à J+10) anticipent une trajectoire légèrement haussière puis baissière, avec un cours oscillant entre 2 367 et 2 404 FCFA, ce qui confirme l'absence de tendance claire et la prédominance d'un momentum baissier. La convergence des signaux négatifs (valorisation excessive, technique baissière, fondamentaux dégradés) l'emporte sur le rebond ponctuel et les prédictions mitigées. L'horizon d'investissement recommandé est **court terme** (&lt;3 mois) pour les investisseurs déjà positionnés, avec une sortie à envisager, et **aucune exposition** pour les nouveaux entrants en raison du risque élevé de perte en capital.</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44.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394.56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3,810 titres</w:t>
            </w:r>
          </w:p>
        </w:tc>
        <w:tc>
          <w:tcPr>
            <w:tcW w:type="dxa" w:w="2268"/>
            <w:shd w:fill="FFF2CC" w:val="clear"/>
          </w:tcPr>
          <w:p>
            <w:r>
              <w:rPr>
                <w:b/>
                <w:color w:val="503200"/>
                <w:sz w:val="16"/>
              </w:rPr>
              <w:t xml:space="preserve">Cours actuel : </w:t>
            </w:r>
            <w:r>
              <w:rPr>
                <w:color w:val="000000"/>
                <w:sz w:val="17"/>
              </w:rPr>
              <w:t>21,975 FCFA</w:t>
            </w:r>
          </w:p>
          <w:p>
            <w:r>
              <w:rPr>
                <w:b/>
                <w:color w:val="503200"/>
                <w:sz w:val="16"/>
              </w:rPr>
              <w:t xml:space="preserve">Var. 100 jours : </w:t>
            </w:r>
            <w:r>
              <w:rPr>
                <w:b/>
                <w:color w:val="007800"/>
                <w:sz w:val="17"/>
              </w:rPr>
              <w:t>+5.65%</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20,800 FCFA</w:t>
            </w:r>
          </w:p>
          <w:p>
            <w:r>
              <w:rPr>
                <w:b/>
                <w:color w:val="503200"/>
                <w:sz w:val="16"/>
              </w:rPr>
              <w:t xml:space="preserve">Volatilité ann. : </w:t>
            </w:r>
            <w:r>
              <w:rPr>
                <w:color w:val="000000"/>
                <w:sz w:val="17"/>
              </w:rPr>
              <w:t>36.9%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5.12% (Moyenne) — μ=22,523 FCFA, σ=1,154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β=0.4408 (Défensif) — Cov=0.000030, Var(idx)=0.000069, ρ=0.156,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3,810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annualisée≈36.9%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98627"/>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2026-09-30</w:t>
            </w:r>
          </w:p>
        </w:tc>
        <w:tc>
          <w:tcPr>
            <w:tcW w:type="dxa" w:w="1440"/>
            <w:shd w:fill="C6EFCE" w:val="clear"/>
          </w:tcPr>
          <w:p>
            <w:r>
              <w:rPr>
                <w:sz w:val="17"/>
              </w:rPr>
              <w:t>21,502</w:t>
            </w:r>
          </w:p>
        </w:tc>
        <w:tc>
          <w:tcPr>
            <w:tcW w:type="dxa" w:w="1440"/>
            <w:shd w:fill="C6EFCE" w:val="clear"/>
          </w:tcPr>
          <w:p>
            <w:r>
              <w:rPr>
                <w:b/>
                <w:sz w:val="17"/>
              </w:rPr>
              <w:t>22,421</w:t>
            </w:r>
          </w:p>
        </w:tc>
        <w:tc>
          <w:tcPr>
            <w:tcW w:type="dxa" w:w="1440"/>
            <w:shd w:fill="C6EFCE" w:val="clear"/>
          </w:tcPr>
          <w:p>
            <w:r>
              <w:rPr>
                <w:sz w:val="17"/>
              </w:rPr>
              <w:t>23,340</w:t>
            </w:r>
          </w:p>
        </w:tc>
        <w:tc>
          <w:tcPr>
            <w:tcW w:type="dxa" w:w="1440"/>
            <w:shd w:fill="C6EFCE" w:val="clear"/>
          </w:tcPr>
          <w:p>
            <w:r>
              <w:rPr>
                <w:b/>
                <w:color w:val="008000"/>
                <w:sz w:val="17"/>
              </w:rPr>
              <w:t>+2.0%</w:t>
            </w:r>
          </w:p>
        </w:tc>
      </w:tr>
      <w:tr>
        <w:tc>
          <w:tcPr>
            <w:tcW w:type="dxa" w:w="1440"/>
            <w:shd w:fill="C6EFCE" w:val="clear"/>
          </w:tcPr>
          <w:p>
            <w:r>
              <w:rPr>
                <w:sz w:val="17"/>
              </w:rPr>
              <w:t>J+2  ⭐</w:t>
            </w:r>
          </w:p>
        </w:tc>
        <w:tc>
          <w:tcPr>
            <w:tcW w:type="dxa" w:w="1440"/>
            <w:shd w:fill="C6EFCE" w:val="clear"/>
          </w:tcPr>
          <w:p>
            <w:r>
              <w:rPr>
                <w:sz w:val="17"/>
              </w:rPr>
              <w:t>2026-10-01</w:t>
            </w:r>
          </w:p>
        </w:tc>
        <w:tc>
          <w:tcPr>
            <w:tcW w:type="dxa" w:w="1440"/>
            <w:shd w:fill="C6EFCE" w:val="clear"/>
          </w:tcPr>
          <w:p>
            <w:r>
              <w:rPr>
                <w:sz w:val="17"/>
              </w:rPr>
              <w:t>21,428</w:t>
            </w:r>
          </w:p>
        </w:tc>
        <w:tc>
          <w:tcPr>
            <w:tcW w:type="dxa" w:w="1440"/>
            <w:shd w:fill="C6EFCE" w:val="clear"/>
          </w:tcPr>
          <w:p>
            <w:r>
              <w:rPr>
                <w:b/>
                <w:sz w:val="17"/>
              </w:rPr>
              <w:t>22,746</w:t>
            </w:r>
          </w:p>
        </w:tc>
        <w:tc>
          <w:tcPr>
            <w:tcW w:type="dxa" w:w="1440"/>
            <w:shd w:fill="C6EFCE" w:val="clear"/>
          </w:tcPr>
          <w:p>
            <w:r>
              <w:rPr>
                <w:sz w:val="17"/>
              </w:rPr>
              <w:t>24,065</w:t>
            </w:r>
          </w:p>
        </w:tc>
        <w:tc>
          <w:tcPr>
            <w:tcW w:type="dxa" w:w="1440"/>
            <w:shd w:fill="C6EFCE" w:val="clear"/>
          </w:tcPr>
          <w:p>
            <w:r>
              <w:rPr>
                <w:b/>
                <w:color w:val="008000"/>
                <w:sz w:val="17"/>
              </w:rPr>
              <w:t>+3.5%</w:t>
            </w:r>
          </w:p>
        </w:tc>
      </w:tr>
      <w:tr>
        <w:tc>
          <w:tcPr>
            <w:tcW w:type="dxa" w:w="1440"/>
            <w:shd w:fill="C6EFCE" w:val="clear"/>
          </w:tcPr>
          <w:p>
            <w:r>
              <w:rPr>
                <w:sz w:val="17"/>
              </w:rPr>
              <w:t>J+3  ⭐</w:t>
            </w:r>
          </w:p>
        </w:tc>
        <w:tc>
          <w:tcPr>
            <w:tcW w:type="dxa" w:w="1440"/>
            <w:shd w:fill="C6EFCE" w:val="clear"/>
          </w:tcPr>
          <w:p>
            <w:r>
              <w:rPr>
                <w:sz w:val="17"/>
              </w:rPr>
              <w:t>2026-10-02</w:t>
            </w:r>
          </w:p>
        </w:tc>
        <w:tc>
          <w:tcPr>
            <w:tcW w:type="dxa" w:w="1440"/>
            <w:shd w:fill="C6EFCE" w:val="clear"/>
          </w:tcPr>
          <w:p>
            <w:r>
              <w:rPr>
                <w:sz w:val="17"/>
              </w:rPr>
              <w:t>21,382</w:t>
            </w:r>
          </w:p>
        </w:tc>
        <w:tc>
          <w:tcPr>
            <w:tcW w:type="dxa" w:w="1440"/>
            <w:shd w:fill="C6EFCE" w:val="clear"/>
          </w:tcPr>
          <w:p>
            <w:r>
              <w:rPr>
                <w:b/>
                <w:sz w:val="17"/>
              </w:rPr>
              <w:t>23,016</w:t>
            </w:r>
          </w:p>
        </w:tc>
        <w:tc>
          <w:tcPr>
            <w:tcW w:type="dxa" w:w="1440"/>
            <w:shd w:fill="C6EFCE" w:val="clear"/>
          </w:tcPr>
          <w:p>
            <w:r>
              <w:rPr>
                <w:sz w:val="17"/>
              </w:rPr>
              <w:t>24,650</w:t>
            </w:r>
          </w:p>
        </w:tc>
        <w:tc>
          <w:tcPr>
            <w:tcW w:type="dxa" w:w="1440"/>
            <w:shd w:fill="C6EFCE" w:val="clear"/>
          </w:tcPr>
          <w:p>
            <w:r>
              <w:rPr>
                <w:b/>
                <w:color w:val="008000"/>
                <w:sz w:val="17"/>
              </w:rPr>
              <w:t>+4.7%</w:t>
            </w:r>
          </w:p>
        </w:tc>
      </w:tr>
      <w:tr>
        <w:tc>
          <w:tcPr>
            <w:tcW w:type="dxa" w:w="1440"/>
            <w:shd w:fill="C6EFCE" w:val="clear"/>
          </w:tcPr>
          <w:p>
            <w:r>
              <w:rPr>
                <w:sz w:val="17"/>
              </w:rPr>
              <w:t>J+4  ⭐</w:t>
            </w:r>
          </w:p>
        </w:tc>
        <w:tc>
          <w:tcPr>
            <w:tcW w:type="dxa" w:w="1440"/>
            <w:shd w:fill="C6EFCE" w:val="clear"/>
          </w:tcPr>
          <w:p>
            <w:r>
              <w:rPr>
                <w:sz w:val="17"/>
              </w:rPr>
              <w:t>2026-10-05</w:t>
            </w:r>
          </w:p>
        </w:tc>
        <w:tc>
          <w:tcPr>
            <w:tcW w:type="dxa" w:w="1440"/>
            <w:shd w:fill="C6EFCE" w:val="clear"/>
          </w:tcPr>
          <w:p>
            <w:r>
              <w:rPr>
                <w:sz w:val="17"/>
              </w:rPr>
              <w:t>21,367</w:t>
            </w:r>
          </w:p>
        </w:tc>
        <w:tc>
          <w:tcPr>
            <w:tcW w:type="dxa" w:w="1440"/>
            <w:shd w:fill="C6EFCE" w:val="clear"/>
          </w:tcPr>
          <w:p>
            <w:r>
              <w:rPr>
                <w:b/>
                <w:sz w:val="17"/>
              </w:rPr>
              <w:t>23,276</w:t>
            </w:r>
          </w:p>
        </w:tc>
        <w:tc>
          <w:tcPr>
            <w:tcW w:type="dxa" w:w="1440"/>
            <w:shd w:fill="C6EFCE" w:val="clear"/>
          </w:tcPr>
          <w:p>
            <w:r>
              <w:rPr>
                <w:sz w:val="17"/>
              </w:rPr>
              <w:t>25,184</w:t>
            </w:r>
          </w:p>
        </w:tc>
        <w:tc>
          <w:tcPr>
            <w:tcW w:type="dxa" w:w="1440"/>
            <w:shd w:fill="C6EFCE" w:val="clear"/>
          </w:tcPr>
          <w:p>
            <w:r>
              <w:rPr>
                <w:b/>
                <w:color w:val="008000"/>
                <w:sz w:val="17"/>
              </w:rPr>
              <w:t>+5.9%</w:t>
            </w:r>
          </w:p>
        </w:tc>
      </w:tr>
      <w:tr>
        <w:tc>
          <w:tcPr>
            <w:tcW w:type="dxa" w:w="1440"/>
            <w:shd w:fill="C6EFCE" w:val="clear"/>
          </w:tcPr>
          <w:p>
            <w:r>
              <w:rPr>
                <w:sz w:val="17"/>
              </w:rPr>
              <w:t>J+5  ⭐</w:t>
            </w:r>
          </w:p>
        </w:tc>
        <w:tc>
          <w:tcPr>
            <w:tcW w:type="dxa" w:w="1440"/>
            <w:shd w:fill="C6EFCE" w:val="clear"/>
          </w:tcPr>
          <w:p>
            <w:r>
              <w:rPr>
                <w:sz w:val="17"/>
              </w:rPr>
              <w:t>2026-10-06</w:t>
            </w:r>
          </w:p>
        </w:tc>
        <w:tc>
          <w:tcPr>
            <w:tcW w:type="dxa" w:w="1440"/>
            <w:shd w:fill="C6EFCE" w:val="clear"/>
          </w:tcPr>
          <w:p>
            <w:r>
              <w:rPr>
                <w:sz w:val="17"/>
              </w:rPr>
              <w:t>21,320</w:t>
            </w:r>
          </w:p>
        </w:tc>
        <w:tc>
          <w:tcPr>
            <w:tcW w:type="dxa" w:w="1440"/>
            <w:shd w:fill="C6EFCE" w:val="clear"/>
          </w:tcPr>
          <w:p>
            <w:r>
              <w:rPr>
                <w:b/>
                <w:sz w:val="17"/>
              </w:rPr>
              <w:t>23,471</w:t>
            </w:r>
          </w:p>
        </w:tc>
        <w:tc>
          <w:tcPr>
            <w:tcW w:type="dxa" w:w="1440"/>
            <w:shd w:fill="C6EFCE" w:val="clear"/>
          </w:tcPr>
          <w:p>
            <w:r>
              <w:rPr>
                <w:sz w:val="17"/>
              </w:rPr>
              <w:t>25,623</w:t>
            </w:r>
          </w:p>
        </w:tc>
        <w:tc>
          <w:tcPr>
            <w:tcW w:type="dxa" w:w="1440"/>
            <w:shd w:fill="C6EFCE" w:val="clear"/>
          </w:tcPr>
          <w:p>
            <w:r>
              <w:rPr>
                <w:b/>
                <w:color w:val="008000"/>
                <w:sz w:val="17"/>
              </w:rPr>
              <w:t>+6.8%</w:t>
            </w:r>
          </w:p>
        </w:tc>
      </w:tr>
      <w:tr>
        <w:tc>
          <w:tcPr>
            <w:tcW w:type="dxa" w:w="1440"/>
            <w:shd w:fill="C6EFCE" w:val="clear"/>
          </w:tcPr>
          <w:p>
            <w:r>
              <w:rPr>
                <w:sz w:val="17"/>
              </w:rPr>
              <w:t>J+6  ⭐</w:t>
            </w:r>
          </w:p>
        </w:tc>
        <w:tc>
          <w:tcPr>
            <w:tcW w:type="dxa" w:w="1440"/>
            <w:shd w:fill="C6EFCE" w:val="clear"/>
          </w:tcPr>
          <w:p>
            <w:r>
              <w:rPr>
                <w:sz w:val="17"/>
              </w:rPr>
              <w:t>2026-10-07</w:t>
            </w:r>
          </w:p>
        </w:tc>
        <w:tc>
          <w:tcPr>
            <w:tcW w:type="dxa" w:w="1440"/>
            <w:shd w:fill="C6EFCE" w:val="clear"/>
          </w:tcPr>
          <w:p>
            <w:r>
              <w:rPr>
                <w:sz w:val="17"/>
              </w:rPr>
              <w:t>21,252</w:t>
            </w:r>
          </w:p>
        </w:tc>
        <w:tc>
          <w:tcPr>
            <w:tcW w:type="dxa" w:w="1440"/>
            <w:shd w:fill="C6EFCE" w:val="clear"/>
          </w:tcPr>
          <w:p>
            <w:r>
              <w:rPr>
                <w:b/>
                <w:sz w:val="17"/>
              </w:rPr>
              <w:t>23,624</w:t>
            </w:r>
          </w:p>
        </w:tc>
        <w:tc>
          <w:tcPr>
            <w:tcW w:type="dxa" w:w="1440"/>
            <w:shd w:fill="C6EFCE" w:val="clear"/>
          </w:tcPr>
          <w:p>
            <w:r>
              <w:rPr>
                <w:sz w:val="17"/>
              </w:rPr>
              <w:t>25,996</w:t>
            </w:r>
          </w:p>
        </w:tc>
        <w:tc>
          <w:tcPr>
            <w:tcW w:type="dxa" w:w="1440"/>
            <w:shd w:fill="C6EFCE" w:val="clear"/>
          </w:tcPr>
          <w:p>
            <w:r>
              <w:rPr>
                <w:b/>
                <w:color w:val="008000"/>
                <w:sz w:val="17"/>
              </w:rPr>
              <w:t>+7.5%</w:t>
            </w:r>
          </w:p>
        </w:tc>
      </w:tr>
      <w:tr>
        <w:tc>
          <w:tcPr>
            <w:tcW w:type="dxa" w:w="1440"/>
            <w:shd w:fill="C6EFCE" w:val="clear"/>
          </w:tcPr>
          <w:p>
            <w:r>
              <w:rPr>
                <w:sz w:val="17"/>
              </w:rPr>
              <w:t>J+7  ⭐</w:t>
            </w:r>
          </w:p>
        </w:tc>
        <w:tc>
          <w:tcPr>
            <w:tcW w:type="dxa" w:w="1440"/>
            <w:shd w:fill="C6EFCE" w:val="clear"/>
          </w:tcPr>
          <w:p>
            <w:r>
              <w:rPr>
                <w:sz w:val="17"/>
              </w:rPr>
              <w:t>2026-10-08</w:t>
            </w:r>
          </w:p>
        </w:tc>
        <w:tc>
          <w:tcPr>
            <w:tcW w:type="dxa" w:w="1440"/>
            <w:shd w:fill="C6EFCE" w:val="clear"/>
          </w:tcPr>
          <w:p>
            <w:r>
              <w:rPr>
                <w:sz w:val="17"/>
              </w:rPr>
              <w:t>21,135</w:t>
            </w:r>
          </w:p>
        </w:tc>
        <w:tc>
          <w:tcPr>
            <w:tcW w:type="dxa" w:w="1440"/>
            <w:shd w:fill="C6EFCE" w:val="clear"/>
          </w:tcPr>
          <w:p>
            <w:r>
              <w:rPr>
                <w:b/>
                <w:sz w:val="17"/>
              </w:rPr>
              <w:t>23,706</w:t>
            </w:r>
          </w:p>
        </w:tc>
        <w:tc>
          <w:tcPr>
            <w:tcW w:type="dxa" w:w="1440"/>
            <w:shd w:fill="C6EFCE" w:val="clear"/>
          </w:tcPr>
          <w:p>
            <w:r>
              <w:rPr>
                <w:sz w:val="17"/>
              </w:rPr>
              <w:t>26,277</w:t>
            </w:r>
          </w:p>
        </w:tc>
        <w:tc>
          <w:tcPr>
            <w:tcW w:type="dxa" w:w="1440"/>
            <w:shd w:fill="C6EFCE" w:val="clear"/>
          </w:tcPr>
          <w:p>
            <w:r>
              <w:rPr>
                <w:b/>
                <w:color w:val="008000"/>
                <w:sz w:val="17"/>
              </w:rPr>
              <w:t>+7.9%</w:t>
            </w:r>
          </w:p>
        </w:tc>
      </w:tr>
      <w:tr>
        <w:tc>
          <w:tcPr>
            <w:tcW w:type="dxa" w:w="1440"/>
            <w:shd w:fill="C6EFCE" w:val="clear"/>
          </w:tcPr>
          <w:p>
            <w:r>
              <w:rPr>
                <w:sz w:val="17"/>
              </w:rPr>
              <w:t>J+8  ⭐</w:t>
            </w:r>
          </w:p>
        </w:tc>
        <w:tc>
          <w:tcPr>
            <w:tcW w:type="dxa" w:w="1440"/>
            <w:shd w:fill="C6EFCE" w:val="clear"/>
          </w:tcPr>
          <w:p>
            <w:r>
              <w:rPr>
                <w:sz w:val="17"/>
              </w:rPr>
              <w:t>2026-10-09</w:t>
            </w:r>
          </w:p>
        </w:tc>
        <w:tc>
          <w:tcPr>
            <w:tcW w:type="dxa" w:w="1440"/>
            <w:shd w:fill="C6EFCE" w:val="clear"/>
          </w:tcPr>
          <w:p>
            <w:r>
              <w:rPr>
                <w:sz w:val="17"/>
              </w:rPr>
              <w:t>20,964</w:t>
            </w:r>
          </w:p>
        </w:tc>
        <w:tc>
          <w:tcPr>
            <w:tcW w:type="dxa" w:w="1440"/>
            <w:shd w:fill="C6EFCE" w:val="clear"/>
          </w:tcPr>
          <w:p>
            <w:r>
              <w:rPr>
                <w:b/>
                <w:sz w:val="17"/>
              </w:rPr>
              <w:t>23,713</w:t>
            </w:r>
          </w:p>
        </w:tc>
        <w:tc>
          <w:tcPr>
            <w:tcW w:type="dxa" w:w="1440"/>
            <w:shd w:fill="C6EFCE" w:val="clear"/>
          </w:tcPr>
          <w:p>
            <w:r>
              <w:rPr>
                <w:sz w:val="17"/>
              </w:rPr>
              <w:t>26,462</w:t>
            </w:r>
          </w:p>
        </w:tc>
        <w:tc>
          <w:tcPr>
            <w:tcW w:type="dxa" w:w="1440"/>
            <w:shd w:fill="C6EFCE" w:val="clear"/>
          </w:tcPr>
          <w:p>
            <w:r>
              <w:rPr>
                <w:b/>
                <w:color w:val="008000"/>
                <w:sz w:val="17"/>
              </w:rPr>
              <w:t>+7.9%</w:t>
            </w:r>
          </w:p>
        </w:tc>
      </w:tr>
      <w:tr>
        <w:tc>
          <w:tcPr>
            <w:tcW w:type="dxa" w:w="1440"/>
            <w:shd w:fill="C6EFCE" w:val="clear"/>
          </w:tcPr>
          <w:p>
            <w:r>
              <w:rPr>
                <w:sz w:val="17"/>
              </w:rPr>
              <w:t>J+9  ⭐</w:t>
            </w:r>
          </w:p>
        </w:tc>
        <w:tc>
          <w:tcPr>
            <w:tcW w:type="dxa" w:w="1440"/>
            <w:shd w:fill="C6EFCE" w:val="clear"/>
          </w:tcPr>
          <w:p>
            <w:r>
              <w:rPr>
                <w:sz w:val="17"/>
              </w:rPr>
              <w:t>2026-10-12</w:t>
            </w:r>
          </w:p>
        </w:tc>
        <w:tc>
          <w:tcPr>
            <w:tcW w:type="dxa" w:w="1440"/>
            <w:shd w:fill="C6EFCE" w:val="clear"/>
          </w:tcPr>
          <w:p>
            <w:r>
              <w:rPr>
                <w:sz w:val="17"/>
              </w:rPr>
              <w:t>20,843</w:t>
            </w:r>
          </w:p>
        </w:tc>
        <w:tc>
          <w:tcPr>
            <w:tcW w:type="dxa" w:w="1440"/>
            <w:shd w:fill="C6EFCE" w:val="clear"/>
          </w:tcPr>
          <w:p>
            <w:r>
              <w:rPr>
                <w:b/>
                <w:sz w:val="17"/>
              </w:rPr>
              <w:t>23,766</w:t>
            </w:r>
          </w:p>
        </w:tc>
        <w:tc>
          <w:tcPr>
            <w:tcW w:type="dxa" w:w="1440"/>
            <w:shd w:fill="C6EFCE" w:val="clear"/>
          </w:tcPr>
          <w:p>
            <w:r>
              <w:rPr>
                <w:sz w:val="17"/>
              </w:rPr>
              <w:t>26,689</w:t>
            </w:r>
          </w:p>
        </w:tc>
        <w:tc>
          <w:tcPr>
            <w:tcW w:type="dxa" w:w="1440"/>
            <w:shd w:fill="C6EFCE" w:val="clear"/>
          </w:tcPr>
          <w:p>
            <w:r>
              <w:rPr>
                <w:b/>
                <w:color w:val="008000"/>
                <w:sz w:val="17"/>
              </w:rPr>
              <w:t>+8.2%</w:t>
            </w:r>
          </w:p>
        </w:tc>
      </w:tr>
      <w:tr>
        <w:tc>
          <w:tcPr>
            <w:tcW w:type="dxa" w:w="1440"/>
            <w:shd w:fill="C6EFCE" w:val="clear"/>
          </w:tcPr>
          <w:p>
            <w:r>
              <w:rPr>
                <w:sz w:val="17"/>
              </w:rPr>
              <w:t>J+10  ⭐</w:t>
            </w:r>
          </w:p>
        </w:tc>
        <w:tc>
          <w:tcPr>
            <w:tcW w:type="dxa" w:w="1440"/>
            <w:shd w:fill="C6EFCE" w:val="clear"/>
          </w:tcPr>
          <w:p>
            <w:r>
              <w:rPr>
                <w:sz w:val="17"/>
              </w:rPr>
              <w:t>2026-10-13</w:t>
            </w:r>
          </w:p>
        </w:tc>
        <w:tc>
          <w:tcPr>
            <w:tcW w:type="dxa" w:w="1440"/>
            <w:shd w:fill="C6EFCE" w:val="clear"/>
          </w:tcPr>
          <w:p>
            <w:r>
              <w:rPr>
                <w:sz w:val="17"/>
              </w:rPr>
              <w:t>20,808</w:t>
            </w:r>
          </w:p>
        </w:tc>
        <w:tc>
          <w:tcPr>
            <w:tcW w:type="dxa" w:w="1440"/>
            <w:shd w:fill="C6EFCE" w:val="clear"/>
          </w:tcPr>
          <w:p>
            <w:r>
              <w:rPr>
                <w:b/>
                <w:sz w:val="17"/>
              </w:rPr>
              <w:t>23,907</w:t>
            </w:r>
          </w:p>
        </w:tc>
        <w:tc>
          <w:tcPr>
            <w:tcW w:type="dxa" w:w="1440"/>
            <w:shd w:fill="C6EFCE" w:val="clear"/>
          </w:tcPr>
          <w:p>
            <w:r>
              <w:rPr>
                <w:sz w:val="17"/>
              </w:rPr>
              <w:t>27,006</w:t>
            </w:r>
          </w:p>
        </w:tc>
        <w:tc>
          <w:tcPr>
            <w:tcW w:type="dxa" w:w="1440"/>
            <w:shd w:fill="C6EFCE" w:val="clear"/>
          </w:tcPr>
          <w:p>
            <w:r>
              <w:rPr>
                <w:b/>
                <w:color w:val="008000"/>
                <w:sz w:val="17"/>
              </w:rPr>
              <w:t>+8.8%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394,56 milliards FCFA, STBC s'impose comme l'une des plus importantes capitalisations de la BRVM, ce qui témoigne de sa stature de valeur de premier plan sur le marché régional. Le BPA de 2 014 FCFA/action indique que chaque titre génère un bénéfice net substantiel, et le PER de 10,9x situe le titre dans la fourchette modérée de la BRVM (moyenne ~8-12x), suggérant une valorisation raisonnable au regard des bénéfices. En revanche, le P/B de 8,70x — très supérieur au seuil de 4x — révèle que le marché valorise l'action à une forte prime par rapport à sa valeur comptable, ce qui traduit une confiance dans la qualité des actifs immatériels (marques, réseau de distribution, position dominante) mais expose à un risque de correction si la rentabilité se dégrade. L'EV/EBITDA de 7,8x, dans la fourchette raisonnable de 5-10x, indique que la valeur totale de l'entreprise (dette incluse) reste cohérente avec sa capacité opérationnelle à générer des liquidités, ce qui est rassurant dans un contexte de compression des marges.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STBC a progressé de +5,65%, avec une accélération notable de +2,45% lors de la dernière séance, portant le titre à 21 975 FCFA. Le range de trading s'est établi entre un plus bas de 20 800 FCFA et un plus haut de 25 000 FCFA, soit une amplitude de 20,2% qui reflète une volatilité significative sur la période. La tendance générale apparaît haussière mais fragile, le cours actuel se situant à 12,1% en dessous de son plus haut, ce qui suggère une phase de consolidation après un sommet. Les statistiques descriptives révèlent une moyenne de 22 523 FCFA supérieure à la médiane de 22 218 FCFA, avec un mode à 21 000 FCFA, indiquant une distribution légèrement asymétrique où les valeurs extrêmes hautes tirent la moyenne vers le haut. L'écart-type de 1 160 FCFA (CV=5,2%) traduit une dispersion modérée du cours autour de sa moyenne, tandis que le kurtosis de -0,792 (mésokurtique) suggère une distribution proche de la normale, sans risque excessif de pics extrêmes. Le skewness de +0,509 confirme cette asymétrie positive, avec davantage de journées de trading sous la moyenne, ce qui peut indiquer une pression vendeuse latente. Enfin, la volatilité annualisée de 36,9% classe le titre dans la catégorie des valeurs à volatilité élevée (&gt;30%), ce qui implique un risque de fluctuation important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(21 747,5 FCFA) est inférieure à la MM50 (22 644,4 FCFA), configuration baissière classique où la moyenne courte passe sous la moyenne longue. Le cours actuel (21 975 FCFA) se situe entre ces deux moyennes, ce qui place le titre dans une zone de transition. La décision technique est "Vente", car le croisement baissier des moyennes suggère une perte de momentum haussier.</w:t>
      </w:r>
    </w:p>
    <w:p>
      <w:pPr>
        <w:spacing w:after="120" w:line="276" w:lineRule="auto"/>
      </w:pPr>
      <w:r>
        <w:t>**Bandes de Bollinger** : Le cours (21 975 FCFA) évolue dans la partie médiane de la bande, entre la borne inférieure (20 985 FCFA) et la borne supérieure (22 510 FCFA), sans toucher les extrêmes. Cette position centrale indique une absence de signal directionnel fort, justifiant la décision "Neutre". L'écart entre les bornes (1 525 FCFA) reflète une volatilité modérée sur les 20 derniers jours.</w:t>
      </w:r>
    </w:p>
    <w:p>
      <w:pPr>
        <w:spacing w:after="120" w:line="276" w:lineRule="auto"/>
      </w:pPr>
      <w:r>
        <w:t>**MACD** : La valeur du MACD (-313,221) est supérieure à son signal (-367,187), générant un croisement haussier qui justifie la décision "Achat". Cette divergence positive indique un ralentissement de la dynamique baissière et un possible retournement de tendance à court terme, bien que les deux lignes restent en territoire négatif.</w:t>
      </w:r>
    </w:p>
    <w:p>
      <w:pPr>
        <w:spacing w:after="120" w:line="276" w:lineRule="auto"/>
      </w:pPr>
      <w:r>
        <w:t>**RSI** : À 49,746, le RSI se situe exactement dans la zone neutre (30-70), sans signal de surachat ni de survente. Cette valeur médiane confirme l'absence de pression directionnelle claire et justifie la décision "Neutre", le marché étant en équilibre entre acheteurs et vendeurs.</w:t>
      </w:r>
    </w:p>
    <w:p>
      <w:pPr>
        <w:spacing w:after="120" w:line="276" w:lineRule="auto"/>
      </w:pPr>
      <w:r>
        <w:t>**Stochastique** : Le %K (82,759) est nettement supérieur au %D (54,662), avec un %K en zone de surachat (&gt;80). Cette configuration suggère que le titre pourrait être proche d'un sommet à court terme, justifiant la décision "Vente" en anticipation d'un repli correctif.</w:t>
      </w:r>
    </w:p>
    <w:p>
      <w:pPr>
        <w:spacing w:after="120" w:line="276" w:lineRule="auto"/>
      </w:pPr>
      <w:r>
        <w:t>**Conclusion technique** : Les indicateurs présentent des signaux divergents — le MACD est haussier tandis que les moyennes mobiles et le stochastique sont baissiers, le RSI et les Bollinger restant neutres. Cette divergence reflète un marché indécis, avec une légère prédominance des signaux baissiers (2 contre 1). Le titre semble en phase de consolidation, et une cassure soit au-dessus de 22 510 FCFA (borne supérieure) soit en dessous de 20 985 FCFA (borne inférieure) serait nécessaire pour confirmer une direction.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SITAB a réalisé un chiffre d'affaires de 268,537 milliards FCFA, en croissance de +25,3% par rapport à 2024 (213,8 milliards FCFA), portée par une progression des volumes de +5,6% et des hausses de prix. Le résultat net s'établit à 36,158 milliards FCFA, en baisse de -17,5% par rapport aux 44,2 milliards de 2024, sous l'effet de la hausse des droits d'accises (de 49% à 70%) et d'un contrôle fiscal. La marge nette se comprime à 13,46% (contre 20,7% en 2024), tandis que le ROE reste exceptionnel à 79,75% et le ROA à 48,09%, témoignant d'une rentabilité des fonds propres et des actifs toujours très élevée. La structure financière demeure solide avec une autonomie financière de 60,3%, une trésorerie nette de 30,763 milliards FCFA et une absence quasi-totale de dettes financières (1,4 million FCFA). Le BFR de 5,639 milliards FCFA et le délai clients de 42,57 jours indiquent une gestion rigoureuse du besoin en fonds de roulement, bien que le délai de stockage très court (5,73 jours) reflète une activité de distribution sans production. Les rapports trimestriels 2026 confirment une stabilisation : le T1 2026 (rapport du 31 mars 2026) affiche un CA de 68,8 milliards FCFA (+12%) et un résultat net de 9,3 milliards FCFA (-1%), tandis que le T2 2026 (rapport du 30 juin 2026) montre un CA de 70,05 milliards FCFA (+1%) et un résultat net de 8,64 milliards FCFA (-0,2%). Sur la base de ces tendances, on estime que l'exercice 2026 devrait clôturer avec un CA autour de 280-285 milliards FCFA et un résultat net de 35-37 milliards FCFA, maintenant une marge nette de 12-13%. Le dividende proposé de 1 940 FCFA/action (rendement de ~8,8% au cours actuel) reste attractif, mais le taux de distribution de 84,9% limite les capacités de réinvestissement. La recommandation fondamentale est de **CONSERVER** : la solidité financière et le rendement du dividende sont des atouts, mais la pression fiscale et la compression des marges constituent des risques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STBC présente un profil contrasté : le PER de 10,9x et l'EV/EBITDA de 7,8x indiquent une valorisation raisonnable, mais le P/B de 8,70x révèle une prime excessive par rapport à la valeur comptable, ce qui limite le potentiel de hausse à court terme. Le comportement du cours sur 100 jours (+5,65%) est positif mais fragile, avec une volatilité élevée (36,9%) et une asymétrie positive (skewness +0,509) suggérant une pression vendeuse latente. Les signaux techniques sont divergents : le MACD est haussier, mais les moyennes mobiles et le stochastique sont baissiers, le RSI et les Bollinger restant neutres, ce qui plaide pour une consolidation avant une nouvelle impulsion. Les fondamentaux demeurent solides — croissance du CA, absence de dette, trésorerie confortable — mais la dégradation de la rentabilité (marge nette de 13,46% contre 20,7% en 2024) et la pression fiscale persistante sont des préoccupations majeures. Les prédictions IA anticipent une hausse progressive du cours de 22 421 FCFA (J+1) à 23 471 FCFA (J+5), ce qui confirme le signal haussier du MACD et suggère un potentiel de +6,8% à court terme. Sur la base de cette synthèse, la recommandation finale est de **CONSERVER** : la convergence entre la valorisation raisonnable (PER/EV-EBITDA), les fondamentaux solides (ROE élevé, trésorerie nette positive) et les prédictions haussières à court terme soutient le maintien de la position, mais la divergence des signaux techniques et la compression des marges incitent à la prudence. Le niveau de confiance est **Moyen**, le risque global est **Moyen**, et l'horizon d'investissement optimal est le **moyen terme (3-12 mois)**, en attendant des signaux plus clairs sur la maîtrise des coûts et l'évolution de la fiscalité.</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45.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199.90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7,110 titres</w:t>
            </w:r>
          </w:p>
        </w:tc>
        <w:tc>
          <w:tcPr>
            <w:tcW w:type="dxa" w:w="2268"/>
            <w:shd w:fill="FFF2CC" w:val="clear"/>
          </w:tcPr>
          <w:p>
            <w:r>
              <w:rPr>
                <w:b/>
                <w:color w:val="503200"/>
                <w:sz w:val="16"/>
              </w:rPr>
              <w:t xml:space="preserve">Cours actuel : </w:t>
            </w:r>
            <w:r>
              <w:rPr>
                <w:color w:val="000000"/>
                <w:sz w:val="17"/>
              </w:rPr>
              <w:t>3,175 FCFA</w:t>
            </w:r>
          </w:p>
          <w:p>
            <w:r>
              <w:rPr>
                <w:b/>
                <w:color w:val="503200"/>
                <w:sz w:val="16"/>
              </w:rPr>
              <w:t xml:space="preserve">Var. 100 jours : </w:t>
            </w:r>
            <w:r>
              <w:rPr>
                <w:b/>
                <w:color w:val="007800"/>
                <w:sz w:val="17"/>
              </w:rPr>
              <w:t>+15.88%</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2,720 FCFA</w:t>
            </w:r>
          </w:p>
          <w:p>
            <w:r>
              <w:rPr>
                <w:b/>
                <w:color w:val="503200"/>
                <w:sz w:val="16"/>
              </w:rPr>
              <w:t xml:space="preserve">Volatilité ann. : </w:t>
            </w:r>
            <w:r>
              <w:rPr>
                <w:color w:val="000000"/>
                <w:sz w:val="17"/>
              </w:rPr>
              <w:t>41.8%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6.52% (Moyenne) — μ=3,013 FCFA, σ=196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β=0.0688 (Défensif) — Cov=0.000005, Var(idx)=0.000069, ρ=0.022,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7,110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σ_j=2.63%/j (Stable) — Vol. annualisée≈41.8%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2026-09-30</w:t>
            </w:r>
          </w:p>
        </w:tc>
        <w:tc>
          <w:tcPr>
            <w:tcW w:type="dxa" w:w="1440"/>
            <w:shd w:fill="FAFAFA" w:val="clear"/>
          </w:tcPr>
          <w:p>
            <w:r>
              <w:rPr>
                <w:sz w:val="17"/>
              </w:rPr>
              <w:t>3,017</w:t>
            </w:r>
          </w:p>
        </w:tc>
        <w:tc>
          <w:tcPr>
            <w:tcW w:type="dxa" w:w="1440"/>
            <w:shd w:fill="FAFAFA" w:val="clear"/>
          </w:tcPr>
          <w:p>
            <w:r>
              <w:rPr>
                <w:b/>
                <w:sz w:val="17"/>
              </w:rPr>
              <w:t>3,138</w:t>
            </w:r>
          </w:p>
        </w:tc>
        <w:tc>
          <w:tcPr>
            <w:tcW w:type="dxa" w:w="1440"/>
            <w:shd w:fill="FAFAFA" w:val="clear"/>
          </w:tcPr>
          <w:p>
            <w:r>
              <w:rPr>
                <w:sz w:val="17"/>
              </w:rPr>
              <w:t>3,259</w:t>
            </w:r>
          </w:p>
        </w:tc>
        <w:tc>
          <w:tcPr>
            <w:tcW w:type="dxa" w:w="1440"/>
            <w:shd w:fill="FAFAFA" w:val="clear"/>
          </w:tcPr>
          <w:p>
            <w:r>
              <w:rPr>
                <w:b/>
                <w:color w:val="C00000"/>
                <w:sz w:val="17"/>
              </w:rPr>
              <w:t>-1.2%</w:t>
            </w:r>
          </w:p>
        </w:tc>
      </w:tr>
      <w:tr>
        <w:tc>
          <w:tcPr>
            <w:tcW w:type="dxa" w:w="1440"/>
            <w:shd w:fill="FFDCE0" w:val="clear"/>
          </w:tcPr>
          <w:p>
            <w:r>
              <w:rPr>
                <w:sz w:val="17"/>
              </w:rPr>
              <w:t>J+2  ⭐</w:t>
            </w:r>
          </w:p>
        </w:tc>
        <w:tc>
          <w:tcPr>
            <w:tcW w:type="dxa" w:w="1440"/>
            <w:shd w:fill="FFDCE0" w:val="clear"/>
          </w:tcPr>
          <w:p>
            <w:r>
              <w:rPr>
                <w:sz w:val="17"/>
              </w:rPr>
              <w:t>2026-10-01</w:t>
            </w:r>
          </w:p>
        </w:tc>
        <w:tc>
          <w:tcPr>
            <w:tcW w:type="dxa" w:w="1440"/>
            <w:shd w:fill="FFDCE0" w:val="clear"/>
          </w:tcPr>
          <w:p>
            <w:r>
              <w:rPr>
                <w:sz w:val="17"/>
              </w:rPr>
              <w:t>2,934</w:t>
            </w:r>
          </w:p>
        </w:tc>
        <w:tc>
          <w:tcPr>
            <w:tcW w:type="dxa" w:w="1440"/>
            <w:shd w:fill="FFDCE0" w:val="clear"/>
          </w:tcPr>
          <w:p>
            <w:r>
              <w:rPr>
                <w:b/>
                <w:sz w:val="17"/>
              </w:rPr>
              <w:t>3,103</w:t>
            </w:r>
          </w:p>
        </w:tc>
        <w:tc>
          <w:tcPr>
            <w:tcW w:type="dxa" w:w="1440"/>
            <w:shd w:fill="FFDCE0" w:val="clear"/>
          </w:tcPr>
          <w:p>
            <w:r>
              <w:rPr>
                <w:sz w:val="17"/>
              </w:rPr>
              <w:t>3,273</w:t>
            </w:r>
          </w:p>
        </w:tc>
        <w:tc>
          <w:tcPr>
            <w:tcW w:type="dxa" w:w="1440"/>
            <w:shd w:fill="FFDCE0" w:val="clear"/>
          </w:tcPr>
          <w:p>
            <w:r>
              <w:rPr>
                <w:b/>
                <w:color w:val="C00000"/>
                <w:sz w:val="17"/>
              </w:rPr>
              <w:t>-2.3%</w:t>
            </w:r>
          </w:p>
        </w:tc>
      </w:tr>
      <w:tr>
        <w:tc>
          <w:tcPr>
            <w:tcW w:type="dxa" w:w="1440"/>
            <w:shd w:fill="FFDCE0" w:val="clear"/>
          </w:tcPr>
          <w:p>
            <w:r>
              <w:rPr>
                <w:sz w:val="17"/>
              </w:rPr>
              <w:t>J+3  ⭐</w:t>
            </w:r>
          </w:p>
        </w:tc>
        <w:tc>
          <w:tcPr>
            <w:tcW w:type="dxa" w:w="1440"/>
            <w:shd w:fill="FFDCE0" w:val="clear"/>
          </w:tcPr>
          <w:p>
            <w:r>
              <w:rPr>
                <w:sz w:val="17"/>
              </w:rPr>
              <w:t>2026-10-02</w:t>
            </w:r>
          </w:p>
        </w:tc>
        <w:tc>
          <w:tcPr>
            <w:tcW w:type="dxa" w:w="1440"/>
            <w:shd w:fill="FFDCE0" w:val="clear"/>
          </w:tcPr>
          <w:p>
            <w:r>
              <w:rPr>
                <w:sz w:val="17"/>
              </w:rPr>
              <w:t>2,865</w:t>
            </w:r>
          </w:p>
        </w:tc>
        <w:tc>
          <w:tcPr>
            <w:tcW w:type="dxa" w:w="1440"/>
            <w:shd w:fill="FFDCE0" w:val="clear"/>
          </w:tcPr>
          <w:p>
            <w:r>
              <w:rPr>
                <w:b/>
                <w:sz w:val="17"/>
              </w:rPr>
              <w:t>3,070</w:t>
            </w:r>
          </w:p>
        </w:tc>
        <w:tc>
          <w:tcPr>
            <w:tcW w:type="dxa" w:w="1440"/>
            <w:shd w:fill="FFDCE0" w:val="clear"/>
          </w:tcPr>
          <w:p>
            <w:r>
              <w:rPr>
                <w:sz w:val="17"/>
              </w:rPr>
              <w:t>3,276</w:t>
            </w:r>
          </w:p>
        </w:tc>
        <w:tc>
          <w:tcPr>
            <w:tcW w:type="dxa" w:w="1440"/>
            <w:shd w:fill="FFDCE0" w:val="clear"/>
          </w:tcPr>
          <w:p>
            <w:r>
              <w:rPr>
                <w:b/>
                <w:color w:val="C00000"/>
                <w:sz w:val="17"/>
              </w:rPr>
              <w:t>-3.3%</w:t>
            </w:r>
          </w:p>
        </w:tc>
      </w:tr>
      <w:tr>
        <w:tc>
          <w:tcPr>
            <w:tcW w:type="dxa" w:w="1440"/>
            <w:shd w:fill="FFDCE0" w:val="clear"/>
          </w:tcPr>
          <w:p>
            <w:r>
              <w:rPr>
                <w:sz w:val="17"/>
              </w:rPr>
              <w:t>J+4  ⭐</w:t>
            </w:r>
          </w:p>
        </w:tc>
        <w:tc>
          <w:tcPr>
            <w:tcW w:type="dxa" w:w="1440"/>
            <w:shd w:fill="FFDCE0" w:val="clear"/>
          </w:tcPr>
          <w:p>
            <w:r>
              <w:rPr>
                <w:sz w:val="17"/>
              </w:rPr>
              <w:t>2026-10-05</w:t>
            </w:r>
          </w:p>
        </w:tc>
        <w:tc>
          <w:tcPr>
            <w:tcW w:type="dxa" w:w="1440"/>
            <w:shd w:fill="FFDCE0" w:val="clear"/>
          </w:tcPr>
          <w:p>
            <w:r>
              <w:rPr>
                <w:sz w:val="17"/>
              </w:rPr>
              <w:t>2,807</w:t>
            </w:r>
          </w:p>
        </w:tc>
        <w:tc>
          <w:tcPr>
            <w:tcW w:type="dxa" w:w="1440"/>
            <w:shd w:fill="FFDCE0" w:val="clear"/>
          </w:tcPr>
          <w:p>
            <w:r>
              <w:rPr>
                <w:b/>
                <w:sz w:val="17"/>
              </w:rPr>
              <w:t>3,042</w:t>
            </w:r>
          </w:p>
        </w:tc>
        <w:tc>
          <w:tcPr>
            <w:tcW w:type="dxa" w:w="1440"/>
            <w:shd w:fill="FFDCE0" w:val="clear"/>
          </w:tcPr>
          <w:p>
            <w:r>
              <w:rPr>
                <w:sz w:val="17"/>
              </w:rPr>
              <w:t>3,277</w:t>
            </w:r>
          </w:p>
        </w:tc>
        <w:tc>
          <w:tcPr>
            <w:tcW w:type="dxa" w:w="1440"/>
            <w:shd w:fill="FFDCE0" w:val="clear"/>
          </w:tcPr>
          <w:p>
            <w:r>
              <w:rPr>
                <w:b/>
                <w:color w:val="C00000"/>
                <w:sz w:val="17"/>
              </w:rPr>
              <w:t>-4.2%</w:t>
            </w:r>
          </w:p>
        </w:tc>
      </w:tr>
      <w:tr>
        <w:tc>
          <w:tcPr>
            <w:tcW w:type="dxa" w:w="1440"/>
            <w:shd w:fill="FFDCE0" w:val="clear"/>
          </w:tcPr>
          <w:p>
            <w:r>
              <w:rPr>
                <w:sz w:val="17"/>
              </w:rPr>
              <w:t>J+5  ⭐</w:t>
            </w:r>
          </w:p>
        </w:tc>
        <w:tc>
          <w:tcPr>
            <w:tcW w:type="dxa" w:w="1440"/>
            <w:shd w:fill="FFDCE0" w:val="clear"/>
          </w:tcPr>
          <w:p>
            <w:r>
              <w:rPr>
                <w:sz w:val="17"/>
              </w:rPr>
              <w:t>2026-10-06</w:t>
            </w:r>
          </w:p>
        </w:tc>
        <w:tc>
          <w:tcPr>
            <w:tcW w:type="dxa" w:w="1440"/>
            <w:shd w:fill="FFDCE0" w:val="clear"/>
          </w:tcPr>
          <w:p>
            <w:r>
              <w:rPr>
                <w:sz w:val="17"/>
              </w:rPr>
              <w:t>2,756</w:t>
            </w:r>
          </w:p>
        </w:tc>
        <w:tc>
          <w:tcPr>
            <w:tcW w:type="dxa" w:w="1440"/>
            <w:shd w:fill="FFDCE0" w:val="clear"/>
          </w:tcPr>
          <w:p>
            <w:r>
              <w:rPr>
                <w:b/>
                <w:sz w:val="17"/>
              </w:rPr>
              <w:t>3,016</w:t>
            </w:r>
          </w:p>
        </w:tc>
        <w:tc>
          <w:tcPr>
            <w:tcW w:type="dxa" w:w="1440"/>
            <w:shd w:fill="FFDCE0" w:val="clear"/>
          </w:tcPr>
          <w:p>
            <w:r>
              <w:rPr>
                <w:sz w:val="17"/>
              </w:rPr>
              <w:t>3,277</w:t>
            </w:r>
          </w:p>
        </w:tc>
        <w:tc>
          <w:tcPr>
            <w:tcW w:type="dxa" w:w="1440"/>
            <w:shd w:fill="FFDCE0" w:val="clear"/>
          </w:tcPr>
          <w:p>
            <w:r>
              <w:rPr>
                <w:b/>
                <w:color w:val="C00000"/>
                <w:sz w:val="17"/>
              </w:rPr>
              <w:t>-5.0%</w:t>
            </w:r>
          </w:p>
        </w:tc>
      </w:tr>
      <w:tr>
        <w:tc>
          <w:tcPr>
            <w:tcW w:type="dxa" w:w="1440"/>
            <w:shd w:fill="FFDCE0" w:val="clear"/>
          </w:tcPr>
          <w:p>
            <w:r>
              <w:rPr>
                <w:sz w:val="17"/>
              </w:rPr>
              <w:t>J+6  ⭐</w:t>
            </w:r>
          </w:p>
        </w:tc>
        <w:tc>
          <w:tcPr>
            <w:tcW w:type="dxa" w:w="1440"/>
            <w:shd w:fill="FFDCE0" w:val="clear"/>
          </w:tcPr>
          <w:p>
            <w:r>
              <w:rPr>
                <w:sz w:val="17"/>
              </w:rPr>
              <w:t>2026-10-07</w:t>
            </w:r>
          </w:p>
        </w:tc>
        <w:tc>
          <w:tcPr>
            <w:tcW w:type="dxa" w:w="1440"/>
            <w:shd w:fill="FFDCE0" w:val="clear"/>
          </w:tcPr>
          <w:p>
            <w:r>
              <w:rPr>
                <w:sz w:val="17"/>
              </w:rPr>
              <w:t>2,709</w:t>
            </w:r>
          </w:p>
        </w:tc>
        <w:tc>
          <w:tcPr>
            <w:tcW w:type="dxa" w:w="1440"/>
            <w:shd w:fill="FFDCE0" w:val="clear"/>
          </w:tcPr>
          <w:p>
            <w:r>
              <w:rPr>
                <w:b/>
                <w:sz w:val="17"/>
              </w:rPr>
              <w:t>2,992</w:t>
            </w:r>
          </w:p>
        </w:tc>
        <w:tc>
          <w:tcPr>
            <w:tcW w:type="dxa" w:w="1440"/>
            <w:shd w:fill="FFDCE0" w:val="clear"/>
          </w:tcPr>
          <w:p>
            <w:r>
              <w:rPr>
                <w:sz w:val="17"/>
              </w:rPr>
              <w:t>3,275</w:t>
            </w:r>
          </w:p>
        </w:tc>
        <w:tc>
          <w:tcPr>
            <w:tcW w:type="dxa" w:w="1440"/>
            <w:shd w:fill="FFDCE0" w:val="clear"/>
          </w:tcPr>
          <w:p>
            <w:r>
              <w:rPr>
                <w:b/>
                <w:color w:val="C00000"/>
                <w:sz w:val="17"/>
              </w:rPr>
              <w:t>-5.8%</w:t>
            </w:r>
          </w:p>
        </w:tc>
      </w:tr>
      <w:tr>
        <w:tc>
          <w:tcPr>
            <w:tcW w:type="dxa" w:w="1440"/>
            <w:shd w:fill="FFDCE0" w:val="clear"/>
          </w:tcPr>
          <w:p>
            <w:r>
              <w:rPr>
                <w:sz w:val="17"/>
              </w:rPr>
              <w:t>J+7  ⭐</w:t>
            </w:r>
          </w:p>
        </w:tc>
        <w:tc>
          <w:tcPr>
            <w:tcW w:type="dxa" w:w="1440"/>
            <w:shd w:fill="FFDCE0" w:val="clear"/>
          </w:tcPr>
          <w:p>
            <w:r>
              <w:rPr>
                <w:sz w:val="17"/>
              </w:rPr>
              <w:t>2026-10-08</w:t>
            </w:r>
          </w:p>
        </w:tc>
        <w:tc>
          <w:tcPr>
            <w:tcW w:type="dxa" w:w="1440"/>
            <w:shd w:fill="FFDCE0" w:val="clear"/>
          </w:tcPr>
          <w:p>
            <w:r>
              <w:rPr>
                <w:sz w:val="17"/>
              </w:rPr>
              <w:t>2,666</w:t>
            </w:r>
          </w:p>
        </w:tc>
        <w:tc>
          <w:tcPr>
            <w:tcW w:type="dxa" w:w="1440"/>
            <w:shd w:fill="FFDCE0" w:val="clear"/>
          </w:tcPr>
          <w:p>
            <w:r>
              <w:rPr>
                <w:b/>
                <w:sz w:val="17"/>
              </w:rPr>
              <w:t>2,969</w:t>
            </w:r>
          </w:p>
        </w:tc>
        <w:tc>
          <w:tcPr>
            <w:tcW w:type="dxa" w:w="1440"/>
            <w:shd w:fill="FFDCE0" w:val="clear"/>
          </w:tcPr>
          <w:p>
            <w:r>
              <w:rPr>
                <w:sz w:val="17"/>
              </w:rPr>
              <w:t>3,273</w:t>
            </w:r>
          </w:p>
        </w:tc>
        <w:tc>
          <w:tcPr>
            <w:tcW w:type="dxa" w:w="1440"/>
            <w:shd w:fill="FFDCE0" w:val="clear"/>
          </w:tcPr>
          <w:p>
            <w:r>
              <w:rPr>
                <w:b/>
                <w:color w:val="C00000"/>
                <w:sz w:val="17"/>
              </w:rPr>
              <w:t>-6.5%</w:t>
            </w:r>
          </w:p>
        </w:tc>
      </w:tr>
      <w:tr>
        <w:tc>
          <w:tcPr>
            <w:tcW w:type="dxa" w:w="1440"/>
            <w:shd w:fill="FFDCE0" w:val="clear"/>
          </w:tcPr>
          <w:p>
            <w:r>
              <w:rPr>
                <w:sz w:val="17"/>
              </w:rPr>
              <w:t>J+8  ⭐</w:t>
            </w:r>
          </w:p>
        </w:tc>
        <w:tc>
          <w:tcPr>
            <w:tcW w:type="dxa" w:w="1440"/>
            <w:shd w:fill="FFDCE0" w:val="clear"/>
          </w:tcPr>
          <w:p>
            <w:r>
              <w:rPr>
                <w:sz w:val="17"/>
              </w:rPr>
              <w:t>2026-10-09</w:t>
            </w:r>
          </w:p>
        </w:tc>
        <w:tc>
          <w:tcPr>
            <w:tcW w:type="dxa" w:w="1440"/>
            <w:shd w:fill="FFDCE0" w:val="clear"/>
          </w:tcPr>
          <w:p>
            <w:r>
              <w:rPr>
                <w:sz w:val="17"/>
              </w:rPr>
              <w:t>2,625</w:t>
            </w:r>
          </w:p>
        </w:tc>
        <w:tc>
          <w:tcPr>
            <w:tcW w:type="dxa" w:w="1440"/>
            <w:shd w:fill="FFDCE0" w:val="clear"/>
          </w:tcPr>
          <w:p>
            <w:r>
              <w:rPr>
                <w:b/>
                <w:sz w:val="17"/>
              </w:rPr>
              <w:t>2,947</w:t>
            </w:r>
          </w:p>
        </w:tc>
        <w:tc>
          <w:tcPr>
            <w:tcW w:type="dxa" w:w="1440"/>
            <w:shd w:fill="FFDCE0" w:val="clear"/>
          </w:tcPr>
          <w:p>
            <w:r>
              <w:rPr>
                <w:sz w:val="17"/>
              </w:rPr>
              <w:t>3,269</w:t>
            </w:r>
          </w:p>
        </w:tc>
        <w:tc>
          <w:tcPr>
            <w:tcW w:type="dxa" w:w="1440"/>
            <w:shd w:fill="FFDCE0" w:val="clear"/>
          </w:tcPr>
          <w:p>
            <w:r>
              <w:rPr>
                <w:b/>
                <w:color w:val="C00000"/>
                <w:sz w:val="17"/>
              </w:rPr>
              <w:t>-7.2%</w:t>
            </w:r>
          </w:p>
        </w:tc>
      </w:tr>
      <w:tr>
        <w:tc>
          <w:tcPr>
            <w:tcW w:type="dxa" w:w="1440"/>
            <w:shd w:fill="FFDCE0" w:val="clear"/>
          </w:tcPr>
          <w:p>
            <w:r>
              <w:rPr>
                <w:sz w:val="17"/>
              </w:rPr>
              <w:t>J+9  ⭐</w:t>
            </w:r>
          </w:p>
        </w:tc>
        <w:tc>
          <w:tcPr>
            <w:tcW w:type="dxa" w:w="1440"/>
            <w:shd w:fill="FFDCE0" w:val="clear"/>
          </w:tcPr>
          <w:p>
            <w:r>
              <w:rPr>
                <w:sz w:val="17"/>
              </w:rPr>
              <w:t>2026-10-12</w:t>
            </w:r>
          </w:p>
        </w:tc>
        <w:tc>
          <w:tcPr>
            <w:tcW w:type="dxa" w:w="1440"/>
            <w:shd w:fill="FFDCE0" w:val="clear"/>
          </w:tcPr>
          <w:p>
            <w:r>
              <w:rPr>
                <w:sz w:val="17"/>
              </w:rPr>
              <w:t>2,587</w:t>
            </w:r>
          </w:p>
        </w:tc>
        <w:tc>
          <w:tcPr>
            <w:tcW w:type="dxa" w:w="1440"/>
            <w:shd w:fill="FFDCE0" w:val="clear"/>
          </w:tcPr>
          <w:p>
            <w:r>
              <w:rPr>
                <w:b/>
                <w:sz w:val="17"/>
              </w:rPr>
              <w:t>2,926</w:t>
            </w:r>
          </w:p>
        </w:tc>
        <w:tc>
          <w:tcPr>
            <w:tcW w:type="dxa" w:w="1440"/>
            <w:shd w:fill="FFDCE0" w:val="clear"/>
          </w:tcPr>
          <w:p>
            <w:r>
              <w:rPr>
                <w:sz w:val="17"/>
              </w:rPr>
              <w:t>3,265</w:t>
            </w:r>
          </w:p>
        </w:tc>
        <w:tc>
          <w:tcPr>
            <w:tcW w:type="dxa" w:w="1440"/>
            <w:shd w:fill="FFDCE0" w:val="clear"/>
          </w:tcPr>
          <w:p>
            <w:r>
              <w:rPr>
                <w:b/>
                <w:color w:val="C00000"/>
                <w:sz w:val="17"/>
              </w:rPr>
              <w:t>-7.8%</w:t>
            </w:r>
          </w:p>
        </w:tc>
      </w:tr>
      <w:tr>
        <w:tc>
          <w:tcPr>
            <w:tcW w:type="dxa" w:w="1440"/>
            <w:shd w:fill="FFDCE0" w:val="clear"/>
          </w:tcPr>
          <w:p>
            <w:r>
              <w:rPr>
                <w:sz w:val="17"/>
              </w:rPr>
              <w:t>J+10  ⭐</w:t>
            </w:r>
          </w:p>
        </w:tc>
        <w:tc>
          <w:tcPr>
            <w:tcW w:type="dxa" w:w="1440"/>
            <w:shd w:fill="FFDCE0" w:val="clear"/>
          </w:tcPr>
          <w:p>
            <w:r>
              <w:rPr>
                <w:sz w:val="17"/>
              </w:rPr>
              <w:t>2026-10-13</w:t>
            </w:r>
          </w:p>
        </w:tc>
        <w:tc>
          <w:tcPr>
            <w:tcW w:type="dxa" w:w="1440"/>
            <w:shd w:fill="FFDCE0" w:val="clear"/>
          </w:tcPr>
          <w:p>
            <w:r>
              <w:rPr>
                <w:sz w:val="17"/>
              </w:rPr>
              <w:t>2,551</w:t>
            </w:r>
          </w:p>
        </w:tc>
        <w:tc>
          <w:tcPr>
            <w:tcW w:type="dxa" w:w="1440"/>
            <w:shd w:fill="FFDCE0" w:val="clear"/>
          </w:tcPr>
          <w:p>
            <w:r>
              <w:rPr>
                <w:b/>
                <w:sz w:val="17"/>
              </w:rPr>
              <w:t>2,906</w:t>
            </w:r>
          </w:p>
        </w:tc>
        <w:tc>
          <w:tcPr>
            <w:tcW w:type="dxa" w:w="1440"/>
            <w:shd w:fill="FFDCE0" w:val="clear"/>
          </w:tcPr>
          <w:p>
            <w:r>
              <w:rPr>
                <w:sz w:val="17"/>
              </w:rPr>
              <w:t>3,261</w:t>
            </w:r>
          </w:p>
        </w:tc>
        <w:tc>
          <w:tcPr>
            <w:tcW w:type="dxa" w:w="1440"/>
            <w:shd w:fill="FFDCE0" w:val="clear"/>
          </w:tcPr>
          <w:p>
            <w:r>
              <w:rPr>
                <w:b/>
                <w:color w:val="C00000"/>
                <w:sz w:val="17"/>
              </w:rPr>
              <w:t>-8.5%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 RAPPORT D'ANALYSE FINANCIÈRE — TTLC (TotalEnergies Marketing Côte d'Ivoire)</w:t>
        <w:br/>
        <w:t>**Bourse Régionale des Valeurs Mobilières (BRVM) — Secteur : Distribution pétrolière / Énergie**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**199,90 milliards FCFA**, TTLC figure parmi les valeurs les plus capitalisées de la BRVM, ce qui en fait un pilier de l'indice BRVM Composite et un titre de référence pour les investisseurs institutionnels régionaux. Le **BPA de 144 FCFA/action** signifie que chaque titre génère 144 FCFA de bénéfice net, ce qui, rapporté au cours actuel de 3 175 FCFA, donne un **PER de 22,0x** — nettement supérieur à la moyenne du marché BRVM (généralement située entre 8x et 12x), traduisant soit une anticipation de croissance future, soit une prime de qualité/surévaluation. Le **P/B de 5,52x** indique que le marché valorise l'entreprise à plus de cinq fois sa valeur comptable (capitaux propres de 36,2 Mds FCFA), une prime exigeante qui reflète la confiance dans la rentabilité des fonds propres (ROE de 25,1%) mais qui laisse peu de marge d'erreur. Enfin, l'**EV/EBITDA de 11,4x** situe la valeur d'entreprise (dette incluse) à 11,4 fois la capacité opérationnelle, un niveau élevé pour un distributeur à faible marge nette (1,54%), confirmant que le titre intègre déjà une bonne partie de ses perspectives favorables.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TTLC affiche une **progression totale de +15,88%**, avec une dernière séance en hausse de **+0,79%** à **3 175 FCFA**, confirmant une dynamique haussière de fond malgré quelques accès de faiblesse. Le titre a évolué dans un **range de 875 FCFA** entre un plus bas de **2 720 FCFA** et un plus haut de **3 595 FCFA**, soit une amplitude de près de 32% — signe d'un titre actif mais non erratique. La **moyenne (3 013 FCFA)** se situe au-dessus de la **médiane (2 945 FCFA)**, avec un **skewness positif de 0,880** : cela signifie que la distribution des cours est asymétrique à droite, avec davantage de séances passées sous la moyenne mais quelques pics haussiers marqués qui tirent la moyenne vers le haut — un profil typique d'un titre en consolidation avec des embardées à la hausse. L'**écart-type de 197 FCFA (CV = 6,5%)** traduit une dispersion modérée du cours autour de sa moyenne, tandis que le **kurtosis de -0,277 (mésokurtique)** indique une distribution proche de la normale, sans risque excessif de pics extrêmes. La **volatilité annualisée de 41,8%** classe le titre dans la catégorie **élevée (&gt;30%)**, ce qui est cohérent avec un marché frontière comme la BRVM et appelle à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(3 213,5 FCFA)** et la **MM50 (3 149,7 FCFA)** se situent toutes deux au-dessus du cours actuel (3 175 FCFA pour la MM20, écart de -1,2% ; 3 149,7 FCFA pour la MM50, écart de +0,8%), avec une MM20 supérieure à la MM50 — configuration haussière classique (golden cross). Le signal **Achat** est justifié par cette structure ascendante des moyennes, bien que le cours évolue légèrement sous la MM20, ce qui suggère une consolidation temporaire avant reprise.</w:t>
      </w:r>
    </w:p>
    <w:p>
      <w:pPr>
        <w:spacing w:after="120" w:line="276" w:lineRule="auto"/>
      </w:pPr>
      <w:r>
        <w:t>**Bandes de Bollinger :** Le cours (3 175 FCFA) se situe dans la moitié inférieure de la bande, entre la **borne inférieure (2 984,7 FCFA)** et la **borne supérieure (3 442,3 FCFA)**, à environ 40% de la largeur du canal. La largeur des bandes (457,6 FCFA) reflète une volatilité encore présente. Le signal **Neutre** s'explique par l'absence de contact avec les bornes : ni suracheté, ni survendu, le titre est en zone d'équilibre.</w:t>
      </w:r>
    </w:p>
    <w:p>
      <w:pPr>
        <w:spacing w:after="120" w:line="276" w:lineRule="auto"/>
      </w:pPr>
      <w:r>
        <w:t>**MACD :** La valeur du MACD (**-29,614**) est inférieure à son signal (**-9,816**), avec un histogramme négatif — configuration baissière qui justifie le signal **Vente**. Le momentum est clairement négatif à court terme, le MACD évoluant sous zéro, ce qui indique que la pression vendeuse domine malgré la tendance haussière de fond.</w:t>
      </w:r>
    </w:p>
    <w:p>
      <w:pPr>
        <w:spacing w:after="120" w:line="276" w:lineRule="auto"/>
      </w:pPr>
      <w:r>
        <w:t>**RSI :** À **39,655**, le RSI se situe dans la zone neutre basse (30-70), sans atteindre la zone de survente (&lt;30). Le signal **Neutre** est approprié : le titre n'est ni suracheté ni survendu, mais la proximité de la zone de survente suggère une possible opportunité d'achat à court terme si le RSI rebondit.</w:t>
      </w:r>
    </w:p>
    <w:p>
      <w:pPr>
        <w:spacing w:after="120" w:line="276" w:lineRule="auto"/>
      </w:pPr>
      <w:r>
        <w:t>**Stochastique :** Le **%K (63,333)** est supérieur au **%D (45,842)**, avec un croisement haussier récent du %K au-dessus du %D — signal positif. Cependant, le %K reste sous 80, donc pas de surachat. Le signal **Neutre** reflète cette configuration ambiguë : momentum haussier naissant mais sans confirmation forte.</w:t>
      </w:r>
    </w:p>
    <w:p>
      <w:pPr>
        <w:spacing w:after="120" w:line="276" w:lineRule="auto"/>
      </w:pPr>
      <w:r>
        <w:t>**Conclusion technique :** Les indicateurs sont **divergents** : les moyennes mobiles (Achat) et le stochastique (croisement haussier) plaident pour une reprise, tandis que le MACD (Vente) et le RSI (Neutre bas) tempèrent l'optimisme. Le titre est en phase de consolidation après sa hausse de +15,88%, avec un support clé à 2 984 FCFA (borne inférieure de Bollinger) et une résistance à 3 442 FCFA. La configuration suggère une **attente de confirmation** avant un nouvel élan haussier.</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TTLC a réalisé un **chiffre d'affaires de 588,709 Mds FCFA**, en **recul de 5,2%** par rapport à 2024 (621,0 Mds FCFA), reflétant un environnement de prix pétroliers moins favorable et l'absence de ventes exceptionnelles. Le **résultat net s'établit à 9,087 Mds FCFA** (contre 9,374 Mds en 2024, soit -3%), avec une **marge nette de 1,54%** — typique d'un distributeur en volume. La rentabilité des fonds propres reste **excellente (ROE = 25,1%)**, bien supérieure au seuil de 15%, et le **ROA de 4,82%** confirme une bonne efficacité des actifs. La **rotation des actifs de 312,4%** (CA/Total Actif) illustre la forte intensité commerciale du modèle. Côté structure financière, l'**autonomie financière est faible (19,2%)**, avec un **ratio d'endettement de 90,2%** et une **trésorerie nette négative de -21,926 Mds FCFA** — un point de vigilance majeur. Le **BFR est négatif (-9,662 Mds FCFA)**, ce qui est favorable (financement par les fournisseurs), et le **délai fournisseurs de 49,72 jours** confirme ce pouvoir de négociation. La **liquidité générale (78,8%)** est inférieure à 1, signalant une tension sur le court terme.</w:t>
      </w:r>
    </w:p>
    <w:p>
      <w:pPr>
        <w:spacing w:after="120" w:line="276" w:lineRule="auto"/>
      </w:pPr>
      <w:r>
        <w:t>**Estimations basées sur les rapports trimestriels :** Le **rapport T1 2026 (publié en 2026)** montre une **reprise avec un CA de 154,392 Mds FCFA (+4,3%)** et un **résultat net de 2,329 Mds FCFA (+5,5%)**, soutenu par la hausse des volumes sur tous les canaux et un réseau de **182 stations**. On estime donc que l'exercice 2026 devrait renouer avec la croissance, porté par la dynamique du T1 et la diversification (GPL, lubrifiants). Le **rapport annuel 2025** confirme un **dividende brut de 10 Mds FCFA**, soit un **taux de distribution de 110%** — généreux mais supérieur au bénéfice net, ce qui puise dans les réserves et interroge sur la soutenabilité. Le **rapport S1 2025** (CA -7,1%, RN -25,5%) et le **rapport T3 2025** (CA -5,7%, RN -30,2%) expliquent la contraction annuelle par un effet de base défavorable et une charge fiscale anticipée.</w:t>
      </w:r>
    </w:p>
    <w:p>
      <w:pPr>
        <w:spacing w:after="120" w:line="276" w:lineRule="auto"/>
      </w:pPr>
      <w:r>
        <w:t>**Recommandation fondamentale :** TTLC est une entreprise **solide et leader** sur son marché, avec une rentabilité opérationnelle en amélioration (EBE +12%, résultat d'exploitation +18% en 2025) et des perspectives de reprise confirmées par le T1 2026. Cependant, la **trésorerie nette négative**, le **payout &gt;100%** et la **faible autonomie financière** constituent des risques à surveiller. La recommandation fondamentale est **CONSERVER**, avec un biais positif si la croissance du T1 2026 se confirme sur l'ensemble de l'exercice.</w:t>
      </w:r>
    </w:p>
    <w:p>
      <w:pPr>
        <w:spacing w:after="120" w:line="276" w:lineRule="auto"/>
      </w:pPr>
      <w:r>
        <w:t>---</w:t>
      </w:r>
    </w:p>
    <w:p>
      <w:pPr>
        <w:spacing w:after="120" w:line="276" w:lineRule="auto"/>
      </w:pPr>
      <w:r>
        <w:t>## PARTIE 4 : CONCLUSION D'INVESTISSEMENT</w:t>
      </w:r>
    </w:p>
    <w:p>
      <w:pPr>
        <w:spacing w:after="120" w:line="276" w:lineRule="auto"/>
      </w:pPr>
      <w:r>
        <w:t>La **valorisation** de TTLC est exigeante : PER de 22,0x (vs 8-12x pour le marché), P/B de 5,52x et EV/EBITDA de 11,4x indiquent que le marché paie une prime significative pour la qualité et la croissance attendue, laissant peu de marge de sécurité. Le **comportement du cours** sur 100 jours est haussier (+15,88%), avec une volatilité élevée (41,8%) et une distribution asymétrique positive (skewness 0,880) — favorable mais risquée. Les **signaux techniques** sont mitigés : les moyennes mobiles et le stochastique sont haussiers, mais le MACD est baissier et le RSI neutre, suggérant une consolidation avant reprise. Les **fondamentaux** sont solides (ROE 25,1%, leader du marché, reprise au T1 2026 avec CA +4,3% et RN +5,5%), mais entachés par une trésorerie nette négative et un payout excessif. Les **prédictions IA** anticipent une **baisse à court terme** (3 138 FCFA à J+1, puis 3 016 FCFA à J+5), ce qui contredit la tendance haussière de fond et les signaux techniques haussiers, mais s'aligne avec le MACD baissier. **Synthèse :** La convergence entre valorisation élevée, technique mitigée et prédictions baissières à court terme plaide pour une **prise de bénéfices** ou une **attente**. La recommandation finale est **CONSERVER**, avec un **niveau de confiance Moyen** et un **risque global Élevé** (volatilité 41,8%, endettement 90,2%, trésorerie négative). L'**horizon optimal** est le **moyen terme (3-12 mois)**, le temps que la reprise du T1 2026 se confirme et que la trésorerie s'améliore. Un **ACHAT** serait justifié si le cours revient vers 2 984 FCFA (support de Bollinger) avec un RSI en survente, ou si le T2 2026 confirme la croissance.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46.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117.77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2,619 titres</w:t>
            </w:r>
          </w:p>
        </w:tc>
        <w:tc>
          <w:tcPr>
            <w:tcW w:type="dxa" w:w="2268"/>
            <w:shd w:fill="FFF2CC" w:val="clear"/>
          </w:tcPr>
          <w:p>
            <w:r>
              <w:rPr>
                <w:b/>
                <w:color w:val="503200"/>
                <w:sz w:val="16"/>
              </w:rPr>
              <w:t xml:space="preserve">Cours actuel : </w:t>
            </w:r>
            <w:r>
              <w:rPr>
                <w:color w:val="000000"/>
                <w:sz w:val="17"/>
              </w:rPr>
              <w:t>3,615 FCFA</w:t>
            </w:r>
          </w:p>
          <w:p>
            <w:r>
              <w:rPr>
                <w:b/>
                <w:color w:val="503200"/>
                <w:sz w:val="16"/>
              </w:rPr>
              <w:t xml:space="preserve">Var. 100 jours : </w:t>
            </w:r>
            <w:r>
              <w:rPr>
                <w:b/>
                <w:color w:val="007800"/>
                <w:sz w:val="17"/>
              </w:rPr>
              <w:t>+20.30%</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43.1%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9.38% (Moyenne) — μ=3,648 FCFA, σ=342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β=0.5226 (Défensif) — Cov=0.000036, Var(idx)=0.000069, ρ=0.161,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2,619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σ_j=2.71%/j (Stable) — Vol. annualisée≈43.1%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16976"/>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2026-09-30</w:t>
            </w:r>
          </w:p>
        </w:tc>
        <w:tc>
          <w:tcPr>
            <w:tcW w:type="dxa" w:w="1440"/>
            <w:shd w:fill="FAFAFA" w:val="clear"/>
          </w:tcPr>
          <w:p>
            <w:r>
              <w:rPr>
                <w:sz w:val="17"/>
              </w:rPr>
              <w:t>3,534</w:t>
            </w:r>
          </w:p>
        </w:tc>
        <w:tc>
          <w:tcPr>
            <w:tcW w:type="dxa" w:w="1440"/>
            <w:shd w:fill="FAFAFA" w:val="clear"/>
          </w:tcPr>
          <w:p>
            <w:r>
              <w:rPr>
                <w:b/>
                <w:sz w:val="17"/>
              </w:rPr>
              <w:t>3,676</w:t>
            </w:r>
          </w:p>
        </w:tc>
        <w:tc>
          <w:tcPr>
            <w:tcW w:type="dxa" w:w="1440"/>
            <w:shd w:fill="FAFAFA" w:val="clear"/>
          </w:tcPr>
          <w:p>
            <w:r>
              <w:rPr>
                <w:sz w:val="17"/>
              </w:rPr>
              <w:t>3,817</w:t>
            </w:r>
          </w:p>
        </w:tc>
        <w:tc>
          <w:tcPr>
            <w:tcW w:type="dxa" w:w="1440"/>
            <w:shd w:fill="FAFAFA" w:val="clear"/>
          </w:tcPr>
          <w:p>
            <w:r>
              <w:rPr>
                <w:b/>
                <w:color w:val="008000"/>
                <w:sz w:val="17"/>
              </w:rPr>
              <w:t>+1.7%</w:t>
            </w:r>
          </w:p>
        </w:tc>
      </w:tr>
      <w:tr>
        <w:tc>
          <w:tcPr>
            <w:tcW w:type="dxa" w:w="1440"/>
            <w:shd w:fill="C6EFCE" w:val="clear"/>
          </w:tcPr>
          <w:p>
            <w:r>
              <w:rPr>
                <w:sz w:val="17"/>
              </w:rPr>
              <w:t>J+2  ⭐</w:t>
            </w:r>
          </w:p>
        </w:tc>
        <w:tc>
          <w:tcPr>
            <w:tcW w:type="dxa" w:w="1440"/>
            <w:shd w:fill="C6EFCE" w:val="clear"/>
          </w:tcPr>
          <w:p>
            <w:r>
              <w:rPr>
                <w:sz w:val="17"/>
              </w:rPr>
              <w:t>2026-10-01</w:t>
            </w:r>
          </w:p>
        </w:tc>
        <w:tc>
          <w:tcPr>
            <w:tcW w:type="dxa" w:w="1440"/>
            <w:shd w:fill="C6EFCE" w:val="clear"/>
          </w:tcPr>
          <w:p>
            <w:r>
              <w:rPr>
                <w:sz w:val="17"/>
              </w:rPr>
              <w:t>3,488</w:t>
            </w:r>
          </w:p>
        </w:tc>
        <w:tc>
          <w:tcPr>
            <w:tcW w:type="dxa" w:w="1440"/>
            <w:shd w:fill="C6EFCE" w:val="clear"/>
          </w:tcPr>
          <w:p>
            <w:r>
              <w:rPr>
                <w:b/>
                <w:sz w:val="17"/>
              </w:rPr>
              <w:t>3,689</w:t>
            </w:r>
          </w:p>
        </w:tc>
        <w:tc>
          <w:tcPr>
            <w:tcW w:type="dxa" w:w="1440"/>
            <w:shd w:fill="C6EFCE" w:val="clear"/>
          </w:tcPr>
          <w:p>
            <w:r>
              <w:rPr>
                <w:sz w:val="17"/>
              </w:rPr>
              <w:t>3,890</w:t>
            </w:r>
          </w:p>
        </w:tc>
        <w:tc>
          <w:tcPr>
            <w:tcW w:type="dxa" w:w="1440"/>
            <w:shd w:fill="C6EFCE" w:val="clear"/>
          </w:tcPr>
          <w:p>
            <w:r>
              <w:rPr>
                <w:b/>
                <w:color w:val="008000"/>
                <w:sz w:val="17"/>
              </w:rPr>
              <w:t>+2.0%</w:t>
            </w:r>
          </w:p>
        </w:tc>
      </w:tr>
      <w:tr>
        <w:tc>
          <w:tcPr>
            <w:tcW w:type="dxa" w:w="1440"/>
            <w:shd w:fill="C6EFCE" w:val="clear"/>
          </w:tcPr>
          <w:p>
            <w:r>
              <w:rPr>
                <w:sz w:val="17"/>
              </w:rPr>
              <w:t>J+3  ⭐</w:t>
            </w:r>
          </w:p>
        </w:tc>
        <w:tc>
          <w:tcPr>
            <w:tcW w:type="dxa" w:w="1440"/>
            <w:shd w:fill="C6EFCE" w:val="clear"/>
          </w:tcPr>
          <w:p>
            <w:r>
              <w:rPr>
                <w:sz w:val="17"/>
              </w:rPr>
              <w:t>2026-10-02</w:t>
            </w:r>
          </w:p>
        </w:tc>
        <w:tc>
          <w:tcPr>
            <w:tcW w:type="dxa" w:w="1440"/>
            <w:shd w:fill="C6EFCE" w:val="clear"/>
          </w:tcPr>
          <w:p>
            <w:r>
              <w:rPr>
                <w:sz w:val="17"/>
              </w:rPr>
              <w:t>3,453</w:t>
            </w:r>
          </w:p>
        </w:tc>
        <w:tc>
          <w:tcPr>
            <w:tcW w:type="dxa" w:w="1440"/>
            <w:shd w:fill="C6EFCE" w:val="clear"/>
          </w:tcPr>
          <w:p>
            <w:r>
              <w:rPr>
                <w:b/>
                <w:sz w:val="17"/>
              </w:rPr>
              <w:t>3,700</w:t>
            </w:r>
          </w:p>
        </w:tc>
        <w:tc>
          <w:tcPr>
            <w:tcW w:type="dxa" w:w="1440"/>
            <w:shd w:fill="C6EFCE" w:val="clear"/>
          </w:tcPr>
          <w:p>
            <w:r>
              <w:rPr>
                <w:sz w:val="17"/>
              </w:rPr>
              <w:t>3,947</w:t>
            </w:r>
          </w:p>
        </w:tc>
        <w:tc>
          <w:tcPr>
            <w:tcW w:type="dxa" w:w="1440"/>
            <w:shd w:fill="C6EFCE" w:val="clear"/>
          </w:tcPr>
          <w:p>
            <w:r>
              <w:rPr>
                <w:b/>
                <w:color w:val="008000"/>
                <w:sz w:val="17"/>
              </w:rPr>
              <w:t>+2.3%</w:t>
            </w:r>
          </w:p>
        </w:tc>
      </w:tr>
      <w:tr>
        <w:tc>
          <w:tcPr>
            <w:tcW w:type="dxa" w:w="1440"/>
            <w:shd w:fill="C6EFCE" w:val="clear"/>
          </w:tcPr>
          <w:p>
            <w:r>
              <w:rPr>
                <w:sz w:val="17"/>
              </w:rPr>
              <w:t>J+4  ⭐</w:t>
            </w:r>
          </w:p>
        </w:tc>
        <w:tc>
          <w:tcPr>
            <w:tcW w:type="dxa" w:w="1440"/>
            <w:shd w:fill="C6EFCE" w:val="clear"/>
          </w:tcPr>
          <w:p>
            <w:r>
              <w:rPr>
                <w:sz w:val="17"/>
              </w:rPr>
              <w:t>2026-10-05</w:t>
            </w:r>
          </w:p>
        </w:tc>
        <w:tc>
          <w:tcPr>
            <w:tcW w:type="dxa" w:w="1440"/>
            <w:shd w:fill="C6EFCE" w:val="clear"/>
          </w:tcPr>
          <w:p>
            <w:r>
              <w:rPr>
                <w:sz w:val="17"/>
              </w:rPr>
              <w:t>3,421</w:t>
            </w:r>
          </w:p>
        </w:tc>
        <w:tc>
          <w:tcPr>
            <w:tcW w:type="dxa" w:w="1440"/>
            <w:shd w:fill="C6EFCE" w:val="clear"/>
          </w:tcPr>
          <w:p>
            <w:r>
              <w:rPr>
                <w:b/>
                <w:sz w:val="17"/>
              </w:rPr>
              <w:t>3,707</w:t>
            </w:r>
          </w:p>
        </w:tc>
        <w:tc>
          <w:tcPr>
            <w:tcW w:type="dxa" w:w="1440"/>
            <w:shd w:fill="C6EFCE" w:val="clear"/>
          </w:tcPr>
          <w:p>
            <w:r>
              <w:rPr>
                <w:sz w:val="17"/>
              </w:rPr>
              <w:t>3,992</w:t>
            </w:r>
          </w:p>
        </w:tc>
        <w:tc>
          <w:tcPr>
            <w:tcW w:type="dxa" w:w="1440"/>
            <w:shd w:fill="C6EFCE" w:val="clear"/>
          </w:tcPr>
          <w:p>
            <w:r>
              <w:rPr>
                <w:b/>
                <w:color w:val="008000"/>
                <w:sz w:val="17"/>
              </w:rPr>
              <w:t>+2.5%</w:t>
            </w:r>
          </w:p>
        </w:tc>
      </w:tr>
      <w:tr>
        <w:tc>
          <w:tcPr>
            <w:tcW w:type="dxa" w:w="1440"/>
            <w:shd w:fill="C6EFCE" w:val="clear"/>
          </w:tcPr>
          <w:p>
            <w:r>
              <w:rPr>
                <w:sz w:val="17"/>
              </w:rPr>
              <w:t>J+5  ⭐</w:t>
            </w:r>
          </w:p>
        </w:tc>
        <w:tc>
          <w:tcPr>
            <w:tcW w:type="dxa" w:w="1440"/>
            <w:shd w:fill="C6EFCE" w:val="clear"/>
          </w:tcPr>
          <w:p>
            <w:r>
              <w:rPr>
                <w:sz w:val="17"/>
              </w:rPr>
              <w:t>2026-10-06</w:t>
            </w:r>
          </w:p>
        </w:tc>
        <w:tc>
          <w:tcPr>
            <w:tcW w:type="dxa" w:w="1440"/>
            <w:shd w:fill="C6EFCE" w:val="clear"/>
          </w:tcPr>
          <w:p>
            <w:r>
              <w:rPr>
                <w:sz w:val="17"/>
              </w:rPr>
              <w:t>3,392</w:t>
            </w:r>
          </w:p>
        </w:tc>
        <w:tc>
          <w:tcPr>
            <w:tcW w:type="dxa" w:w="1440"/>
            <w:shd w:fill="C6EFCE" w:val="clear"/>
          </w:tcPr>
          <w:p>
            <w:r>
              <w:rPr>
                <w:b/>
                <w:sz w:val="17"/>
              </w:rPr>
              <w:t>3,712</w:t>
            </w:r>
          </w:p>
        </w:tc>
        <w:tc>
          <w:tcPr>
            <w:tcW w:type="dxa" w:w="1440"/>
            <w:shd w:fill="C6EFCE" w:val="clear"/>
          </w:tcPr>
          <w:p>
            <w:r>
              <w:rPr>
                <w:sz w:val="17"/>
              </w:rPr>
              <w:t>4,032</w:t>
            </w:r>
          </w:p>
        </w:tc>
        <w:tc>
          <w:tcPr>
            <w:tcW w:type="dxa" w:w="1440"/>
            <w:shd w:fill="C6EFCE" w:val="clear"/>
          </w:tcPr>
          <w:p>
            <w:r>
              <w:rPr>
                <w:b/>
                <w:color w:val="008000"/>
                <w:sz w:val="17"/>
              </w:rPr>
              <w:t>+2.7%</w:t>
            </w:r>
          </w:p>
        </w:tc>
      </w:tr>
      <w:tr>
        <w:tc>
          <w:tcPr>
            <w:tcW w:type="dxa" w:w="1440"/>
            <w:shd w:fill="C6EFCE" w:val="clear"/>
          </w:tcPr>
          <w:p>
            <w:r>
              <w:rPr>
                <w:sz w:val="17"/>
              </w:rPr>
              <w:t>J+6  ⭐</w:t>
            </w:r>
          </w:p>
        </w:tc>
        <w:tc>
          <w:tcPr>
            <w:tcW w:type="dxa" w:w="1440"/>
            <w:shd w:fill="C6EFCE" w:val="clear"/>
          </w:tcPr>
          <w:p>
            <w:r>
              <w:rPr>
                <w:sz w:val="17"/>
              </w:rPr>
              <w:t>2026-10-07</w:t>
            </w:r>
          </w:p>
        </w:tc>
        <w:tc>
          <w:tcPr>
            <w:tcW w:type="dxa" w:w="1440"/>
            <w:shd w:fill="C6EFCE" w:val="clear"/>
          </w:tcPr>
          <w:p>
            <w:r>
              <w:rPr>
                <w:sz w:val="17"/>
              </w:rPr>
              <w:t>3,366</w:t>
            </w:r>
          </w:p>
        </w:tc>
        <w:tc>
          <w:tcPr>
            <w:tcW w:type="dxa" w:w="1440"/>
            <w:shd w:fill="C6EFCE" w:val="clear"/>
          </w:tcPr>
          <w:p>
            <w:r>
              <w:rPr>
                <w:b/>
                <w:sz w:val="17"/>
              </w:rPr>
              <w:t>3,717</w:t>
            </w:r>
          </w:p>
        </w:tc>
        <w:tc>
          <w:tcPr>
            <w:tcW w:type="dxa" w:w="1440"/>
            <w:shd w:fill="C6EFCE" w:val="clear"/>
          </w:tcPr>
          <w:p>
            <w:r>
              <w:rPr>
                <w:sz w:val="17"/>
              </w:rPr>
              <w:t>4,067</w:t>
            </w:r>
          </w:p>
        </w:tc>
        <w:tc>
          <w:tcPr>
            <w:tcW w:type="dxa" w:w="1440"/>
            <w:shd w:fill="C6EFCE" w:val="clear"/>
          </w:tcPr>
          <w:p>
            <w:r>
              <w:rPr>
                <w:b/>
                <w:color w:val="008000"/>
                <w:sz w:val="17"/>
              </w:rPr>
              <w:t>+2.8%</w:t>
            </w:r>
          </w:p>
        </w:tc>
      </w:tr>
      <w:tr>
        <w:tc>
          <w:tcPr>
            <w:tcW w:type="dxa" w:w="1440"/>
            <w:shd w:fill="C6EFCE" w:val="clear"/>
          </w:tcPr>
          <w:p>
            <w:r>
              <w:rPr>
                <w:sz w:val="17"/>
              </w:rPr>
              <w:t>J+7  ⭐</w:t>
            </w:r>
          </w:p>
        </w:tc>
        <w:tc>
          <w:tcPr>
            <w:tcW w:type="dxa" w:w="1440"/>
            <w:shd w:fill="C6EFCE" w:val="clear"/>
          </w:tcPr>
          <w:p>
            <w:r>
              <w:rPr>
                <w:sz w:val="17"/>
              </w:rPr>
              <w:t>2026-10-08</w:t>
            </w:r>
          </w:p>
        </w:tc>
        <w:tc>
          <w:tcPr>
            <w:tcW w:type="dxa" w:w="1440"/>
            <w:shd w:fill="C6EFCE" w:val="clear"/>
          </w:tcPr>
          <w:p>
            <w:r>
              <w:rPr>
                <w:sz w:val="17"/>
              </w:rPr>
              <w:t>3,342</w:t>
            </w:r>
          </w:p>
        </w:tc>
        <w:tc>
          <w:tcPr>
            <w:tcW w:type="dxa" w:w="1440"/>
            <w:shd w:fill="C6EFCE" w:val="clear"/>
          </w:tcPr>
          <w:p>
            <w:r>
              <w:rPr>
                <w:b/>
                <w:sz w:val="17"/>
              </w:rPr>
              <w:t>3,721</w:t>
            </w:r>
          </w:p>
        </w:tc>
        <w:tc>
          <w:tcPr>
            <w:tcW w:type="dxa" w:w="1440"/>
            <w:shd w:fill="C6EFCE" w:val="clear"/>
          </w:tcPr>
          <w:p>
            <w:r>
              <w:rPr>
                <w:sz w:val="17"/>
              </w:rPr>
              <w:t>4,100</w:t>
            </w:r>
          </w:p>
        </w:tc>
        <w:tc>
          <w:tcPr>
            <w:tcW w:type="dxa" w:w="1440"/>
            <w:shd w:fill="C6EFCE" w:val="clear"/>
          </w:tcPr>
          <w:p>
            <w:r>
              <w:rPr>
                <w:b/>
                <w:color w:val="008000"/>
                <w:sz w:val="17"/>
              </w:rPr>
              <w:t>+2.9%</w:t>
            </w:r>
          </w:p>
        </w:tc>
      </w:tr>
      <w:tr>
        <w:tc>
          <w:tcPr>
            <w:tcW w:type="dxa" w:w="1440"/>
            <w:shd w:fill="C6EFCE" w:val="clear"/>
          </w:tcPr>
          <w:p>
            <w:r>
              <w:rPr>
                <w:sz w:val="17"/>
              </w:rPr>
              <w:t>J+8  ⭐</w:t>
            </w:r>
          </w:p>
        </w:tc>
        <w:tc>
          <w:tcPr>
            <w:tcW w:type="dxa" w:w="1440"/>
            <w:shd w:fill="C6EFCE" w:val="clear"/>
          </w:tcPr>
          <w:p>
            <w:r>
              <w:rPr>
                <w:sz w:val="17"/>
              </w:rPr>
              <w:t>2026-10-09</w:t>
            </w:r>
          </w:p>
        </w:tc>
        <w:tc>
          <w:tcPr>
            <w:tcW w:type="dxa" w:w="1440"/>
            <w:shd w:fill="C6EFCE" w:val="clear"/>
          </w:tcPr>
          <w:p>
            <w:r>
              <w:rPr>
                <w:sz w:val="17"/>
              </w:rPr>
              <w:t>3,319</w:t>
            </w:r>
          </w:p>
        </w:tc>
        <w:tc>
          <w:tcPr>
            <w:tcW w:type="dxa" w:w="1440"/>
            <w:shd w:fill="C6EFCE" w:val="clear"/>
          </w:tcPr>
          <w:p>
            <w:r>
              <w:rPr>
                <w:b/>
                <w:sz w:val="17"/>
              </w:rPr>
              <w:t>3,725</w:t>
            </w:r>
          </w:p>
        </w:tc>
        <w:tc>
          <w:tcPr>
            <w:tcW w:type="dxa" w:w="1440"/>
            <w:shd w:fill="C6EFCE" w:val="clear"/>
          </w:tcPr>
          <w:p>
            <w:r>
              <w:rPr>
                <w:sz w:val="17"/>
              </w:rPr>
              <w:t>4,131</w:t>
            </w:r>
          </w:p>
        </w:tc>
        <w:tc>
          <w:tcPr>
            <w:tcW w:type="dxa" w:w="1440"/>
            <w:shd w:fill="C6EFCE" w:val="clear"/>
          </w:tcPr>
          <w:p>
            <w:r>
              <w:rPr>
                <w:b/>
                <w:color w:val="008000"/>
                <w:sz w:val="17"/>
              </w:rPr>
              <w:t>+3.0%</w:t>
            </w:r>
          </w:p>
        </w:tc>
      </w:tr>
      <w:tr>
        <w:tc>
          <w:tcPr>
            <w:tcW w:type="dxa" w:w="1440"/>
            <w:shd w:fill="C6EFCE" w:val="clear"/>
          </w:tcPr>
          <w:p>
            <w:r>
              <w:rPr>
                <w:sz w:val="17"/>
              </w:rPr>
              <w:t>J+9  ⭐</w:t>
            </w:r>
          </w:p>
        </w:tc>
        <w:tc>
          <w:tcPr>
            <w:tcW w:type="dxa" w:w="1440"/>
            <w:shd w:fill="C6EFCE" w:val="clear"/>
          </w:tcPr>
          <w:p>
            <w:r>
              <w:rPr>
                <w:sz w:val="17"/>
              </w:rPr>
              <w:t>2026-10-12</w:t>
            </w:r>
          </w:p>
        </w:tc>
        <w:tc>
          <w:tcPr>
            <w:tcW w:type="dxa" w:w="1440"/>
            <w:shd w:fill="C6EFCE" w:val="clear"/>
          </w:tcPr>
          <w:p>
            <w:r>
              <w:rPr>
                <w:sz w:val="17"/>
              </w:rPr>
              <w:t>3,298</w:t>
            </w:r>
          </w:p>
        </w:tc>
        <w:tc>
          <w:tcPr>
            <w:tcW w:type="dxa" w:w="1440"/>
            <w:shd w:fill="C6EFCE" w:val="clear"/>
          </w:tcPr>
          <w:p>
            <w:r>
              <w:rPr>
                <w:b/>
                <w:sz w:val="17"/>
              </w:rPr>
              <w:t>3,729</w:t>
            </w:r>
          </w:p>
        </w:tc>
        <w:tc>
          <w:tcPr>
            <w:tcW w:type="dxa" w:w="1440"/>
            <w:shd w:fill="C6EFCE" w:val="clear"/>
          </w:tcPr>
          <w:p>
            <w:r>
              <w:rPr>
                <w:sz w:val="17"/>
              </w:rPr>
              <w:t>4,159</w:t>
            </w:r>
          </w:p>
        </w:tc>
        <w:tc>
          <w:tcPr>
            <w:tcW w:type="dxa" w:w="1440"/>
            <w:shd w:fill="C6EFCE" w:val="clear"/>
          </w:tcPr>
          <w:p>
            <w:r>
              <w:rPr>
                <w:b/>
                <w:color w:val="008000"/>
                <w:sz w:val="17"/>
              </w:rPr>
              <w:t>+3.1%</w:t>
            </w:r>
          </w:p>
        </w:tc>
      </w:tr>
      <w:tr>
        <w:tc>
          <w:tcPr>
            <w:tcW w:type="dxa" w:w="1440"/>
            <w:shd w:fill="C6EFCE" w:val="clear"/>
          </w:tcPr>
          <w:p>
            <w:r>
              <w:rPr>
                <w:sz w:val="17"/>
              </w:rPr>
              <w:t>J+10  ⭐</w:t>
            </w:r>
          </w:p>
        </w:tc>
        <w:tc>
          <w:tcPr>
            <w:tcW w:type="dxa" w:w="1440"/>
            <w:shd w:fill="C6EFCE" w:val="clear"/>
          </w:tcPr>
          <w:p>
            <w:r>
              <w:rPr>
                <w:sz w:val="17"/>
              </w:rPr>
              <w:t>2026-10-13</w:t>
            </w:r>
          </w:p>
        </w:tc>
        <w:tc>
          <w:tcPr>
            <w:tcW w:type="dxa" w:w="1440"/>
            <w:shd w:fill="C6EFCE" w:val="clear"/>
          </w:tcPr>
          <w:p>
            <w:r>
              <w:rPr>
                <w:sz w:val="17"/>
              </w:rPr>
              <w:t>3,278</w:t>
            </w:r>
          </w:p>
        </w:tc>
        <w:tc>
          <w:tcPr>
            <w:tcW w:type="dxa" w:w="1440"/>
            <w:shd w:fill="C6EFCE" w:val="clear"/>
          </w:tcPr>
          <w:p>
            <w:r>
              <w:rPr>
                <w:b/>
                <w:sz w:val="17"/>
              </w:rPr>
              <w:t>3,732</w:t>
            </w:r>
          </w:p>
        </w:tc>
        <w:tc>
          <w:tcPr>
            <w:tcW w:type="dxa" w:w="1440"/>
            <w:shd w:fill="C6EFCE" w:val="clear"/>
          </w:tcPr>
          <w:p>
            <w:r>
              <w:rPr>
                <w:sz w:val="17"/>
              </w:rPr>
              <w:t>4,187</w:t>
            </w:r>
          </w:p>
        </w:tc>
        <w:tc>
          <w:tcPr>
            <w:tcW w:type="dxa" w:w="1440"/>
            <w:shd w:fill="C6EFCE" w:val="clear"/>
          </w:tcPr>
          <w:p>
            <w:r>
              <w:rPr>
                <w:b/>
                <w:color w:val="008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*Bourse Régionale des Valeurs Mobilières (BRVM) — Secteur : Distribution pétrolière*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117,77 Mds FCFA, TTLS figure parmi les valeurs les plus importantes de la cote BRVM, ce qui témoigne de sa stature de leader sur le marché sénégalais des produits pétroliers. Le BPA de 208 FCFA/action signifie que chaque titre génère 208 FCFA de bénéfice net, ce qui, rapporté au cours actuel de 3 615 FCFA, donne un PER de 17,4x — nettement supérieur à la moyenne BRVM (8-12x), signalant que les investisseurs paient une prime de qualité pour cette valeur défensive. Le P/B de 4,17x confirme cette exigence : le marché valorise TTLS à plus de quatre fois sa valeur comptable, ce qui est élevé mais justifié par un ROE de 24% (largement supérieur au coût des fonds propres). Enfin, l'EV/EBITDA de 7,4x, dans la fourchette raisonnable de 5-10x, indique que la valeur d'entreprise reste cohérente avec la capacité opérationnelle de génération de cash-flow, offrant un contrepoids rassurant à la prime de valorisation boursière.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TTLS affiche une performance remarquable de +20,30%, bien que la dernière séance (J-1) marque une légère pause avec -0,14%, signe d'une consolidation après le rallye. Le titre a évolué dans un range large de 2 845 FCFA (plus bas) à 4 500 FCFA (plus haut), soit une amplitude de 58%, reflétant une forte dynamique haussière entrecoupée de corrections. La tendance générale reste donc clairement haussière, portée par la résilience opérationnelle de la société et l'attrait pour les valeurs défensives dans un contexte de transition énergétique. Les statistiques descriptives révèlent une moyenne (3 648 FCFA) très proche de la médiane (3 670 FCFA), confirmant une distribution symétrique, corroborée par un skewness de -0,167 (quasi-nul). L'écart-type de 344 FCFA et le coefficient de variation de 9,4% indiquent une dispersion modérée autour de la moyenne, tandis que le kurtosis de 0,023 (mésokurtique) suggère une distribution proche de la normale, sans risque excessif de pics extrêmes. La volatilité annualisée de 43,1% classe toutefois le titre dans la catégorie des valeurs à volatilité élevée (&gt;30%), ce qui implique un risque de marché non négligeable malgré la stabilité relative des statistiques descriptives.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(3 834,75 FCFA) et la MM50 (3 757,80 FCFA) se situent toutes deux au-dessus du cours actuel (3 615 FCFA), ce qui place le titre en position de repli sous ses moyennes. Cette configuration, bien que baissière à court terme, est contrebalancée par le fait que la MM20 reste supérieure à la MM50, indiquant que la tendance de fond demeure haussière. La décision technique affichée est "Achat", suggérant que le repli actuel constitue une opportunité de renforcement dans une tendance haussière intacte.</w:t>
      </w:r>
    </w:p>
    <w:p>
      <w:pPr>
        <w:spacing w:after="120" w:line="276" w:lineRule="auto"/>
      </w:pPr>
      <w:r>
        <w:t>**Bandes de Bollinger** : Le cours actuel (3 615 FCFA) se situe légèrement sous la borne inférieure (3 636,99 FCFA), ce qui est un signal de survente technique et de potentiel rebond. La largeur des bandes (borne supérieure à 4 032,51 FCFA, soit un écart de 395 FCFA) traduit une volatilité encore élevée, cohérente avec la volatilité annualisée de 43,1%. La décision "Achat" est justifiée par cette position hors bande basse, qui historiquement précède souvent un retour vers la moyenne.</w:t>
      </w:r>
    </w:p>
    <w:p>
      <w:pPr>
        <w:spacing w:after="120" w:line="276" w:lineRule="auto"/>
      </w:pPr>
      <w:r>
        <w:t>**MACD** : La valeur du MACD (-22,867) est inférieure à son signal (10,746), générant une divergence baissière qui traduit un momentum négatif à court terme. Cette configuration justifie la décision "Vente" affichée, mais il convient de noter que le MACD reste proche de zéro, ce qui limite la portée baissière du signal. Une inflexion à la hausse du MACD serait un premier signe de retournement.</w:t>
      </w:r>
    </w:p>
    <w:p>
      <w:pPr>
        <w:spacing w:after="120" w:line="276" w:lineRule="auto"/>
      </w:pPr>
      <w:r>
        <w:t>**RSI** : À 36,686, le RSI se situe dans la zone neutre basse (30-70), sans atteindre le seuil de survente (&lt;30). Cela indique que le titre n'est pas encore techniquement survendu, mais qu'il se rapproche de niveaux attractifs pour les acheteurs contrariants. La décision "Neutre" reflète cette position ambiguë, entre faiblesse récente et absence de signal extrême.</w:t>
      </w:r>
    </w:p>
    <w:p>
      <w:pPr>
        <w:spacing w:after="120" w:line="276" w:lineRule="auto"/>
      </w:pPr>
      <w:r>
        <w:t>**Stochastique** : Le %K (0,0) est nettement inférieur au %D (0,794), ce qui place l'indicateur en zone de survente extrême. Ce croisement baissier est un signal d'achat contrariant, car il suggère que la pression vendeuse est proche de l'épuisement. La décision "Achat" est cohérente avec cette lecture, bien que la fiabilité du signal soit renforcée par la position du cours sous la borne inférieure de Bollinger.</w:t>
      </w:r>
    </w:p>
    <w:p>
      <w:pPr>
        <w:spacing w:after="120" w:line="276" w:lineRule="auto"/>
      </w:pPr>
      <w:r>
        <w:t>**Conclusion technique** : Les indicateurs présentent une divergence notable : les moyennes mobiles et les bandes de Bollinger plaident pour un achat sur repli, tandis que le MACD confirme une pression baissière à court terme. Le RSI neutre et le stochastique en survente extrême suggèrent que le potentiel de baisse est limité et qu'un rebond technique est probable. Dans l'ensemble, la configuration technique est favorable à une accumulation progressive, avec un risque de court terme modéré mais un potentiel de rebond vers les 3 800-4 000 FCFA à moyen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TotalEnergies Marketing Sénégal (TTLS) a réalisé un chiffre d'affaires de 455,209 Mds FCFA, en baisse de 6,1% par rapport à 2024 (484,945 Mds FCFA), une contraction principalement attribuable à l'arrêt stratégique de la commercialisation du fuel lourd (39,5 Mds FCFA de CA en 2024). Le résultat net s'établit à 6,779 Mds FCFA (contre 7,140 Mds en 2024, soit -5,1%), tandis que le résultat d'exploitation progresse à 8,693 Mds FCFA, démontrant une amélioration de la rentabilité opérationnelle malgré la baisse des volumes. Les ratios de rentabilité confirment cette solidité : le ROE atteint 24,01% (excellent, &gt;15%), bien que le ROA soit plus modeste à 3,95%, reflétant l'intensité capitalistique du secteur. La marge nette reste faible à 1,49%, typique de la distribution pétrolière, mais la marge brute de 28,71% et la marge opérationnelle de 1,91% témoignent d'une bonne maîtrise des coûts. Sur le plan de la structure financière, l'autonomie financière est faible (16,44%), avec un ratio d'endettement de 52,16%, mais la solvabilité générale (119,67%) et la couverture des intérêts (485,91%) sont rassurantes. Le BFR est négatif (-36,899 Mds FCFA), ce qui est favorable car il signifie que les fournisseurs financent une partie du cycle d'exploitation, et le délai fournisseurs élevé (97,76 jours) confirme ce pouvoir de négociation. Les délais clients (47,43 jours) et de stockage (17,62 jours) sont maîtrisés, limitant le risque de trésorerie. Les rapports trimestriels récents confirment la résilience : au T1 2026 (rapport du 31 mars 2026), le CA baisse de 10% à 99,9 Mds FCFA sous l'effet de la révision réglementaire des prix à la pompe, mais le résultat net progresse de 5% à 1,585 Mds FCFA et le résultat d'exploitation bondit de 28% à 2,6 Mds FCFA, grâce à l'amélioration des marges sur les lubrifiants. Sur la base de ces tendances, on peut estimer que l'exercice 2026 devrait bénéficier d'une poursuite de l'amélioration des marges opérationnelles, compensant partiellement la pression sur les volumes et les prix régulés. La recommandation fondamentale est de **CONSERVER** : la société affiche une solidité opérationnelle remarquable, une génération de cash-flow robuste (Free Cash Flow de 17,483 Mds FCFA en 2025) et une politique de dividende généreuse (7,691 Mds FCFA versés en 2025), mais la faible autonomie financière et la dépendance aux décisions réglementaires limitent le potentiel de revalorisation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mais globalement équilibré. La valorisation (Partie 0) indique une prime de qualité (PER 17,4x, P/B 4,17x) qui pourrait sembler excessive, mais elle est justifiée par un ROE de 24% et un EV/EBITDA raisonnable de 7,4x, suggérant que le marché intègre déjà la solidité des fondamentaux. Le comportement du cours (Partie 1) affiche une tendance haussière de +20,30% sur 100 jours, avec une volatilité élevée (43,1%) mais des statistiques descriptives rassurantes (distribution symétrique, kurtosis proche de la normale), ce qui indique un risque de marché maîtrisé malgré l'amplitude des variations. Les signaux techniques (Partie 2) sont divergents : les moyennes mobiles et les bandes de Bollinger plaident pour un achat sur repli, le stochastique confirme une survente extrême, mais le MACD reste baissier à court terme, créant une incertitude sur le timing. Les fondamentaux (Partie 3) demeurent solides : malgré une baisse du CA en 2025 (-6,1%), la rentabilité opérationnelle s'améliore (résultat d'exploitation +28% au T1 2026), le cash-flow est abondant et la politique de dividende est attractive, mais la faible autonomie financière et la dépendance réglementaire constituent des risques structurels. Les prédictions IA (J+1 à J+10) anticipent une trajectoire haussière modérée, avec un cours passant de 3 676 FCFA à 3 712 FCFA, ce qui confirme la probabilité d'un rebond technique à court terme, en ligne avec les signaux des bandes de Bollinger et du stochastique. Sur la base de cette convergence partielle — valorisation exigeante mais justifiée, technique favorable à moyen terme, fondamentaux résilients et prédictions haussières —, la recommandation finale est de **CONSERVER** avec un biais positif. Le niveau de confiance est **Moyen**, car la divergence entre le MACD baissier et les autres indicateurs introduit une incertitude sur le timing du rebond. Le niveau de risque global est **Moyen**, compte tenu de la volatilité élevée (43,1%) et de la dépendance aux décisions réglementaires sur les prix des carburants. L'horizon d'investissement optimal est le **moyen terme (3-12 mois)**, période durant laquelle la société devrait bénéficier de l'amélioration continue de ses marges opérationnelles et de la stabilité de son modèle défensif, tout en laissant le temps aux indicateurs techniques de confirmer le retournement haussier.</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47.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433.59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47,215 FCFA</w:t>
            </w:r>
          </w:p>
          <w:p>
            <w:r>
              <w:rPr>
                <w:b/>
                <w:color w:val="503200"/>
                <w:sz w:val="16"/>
              </w:rPr>
              <w:t xml:space="preserve">Var. 100 jours : </w:t>
            </w:r>
            <w:r>
              <w:rPr>
                <w:b/>
                <w:color w:val="B40000"/>
                <w:sz w:val="17"/>
              </w:rPr>
              <w:t>-21.96%</w:t>
            </w:r>
          </w:p>
          <w:p>
            <w:r>
              <w:rPr>
                <w:b/>
                <w:color w:val="503200"/>
                <w:sz w:val="16"/>
              </w:rPr>
              <w:t xml:space="preserve">Plus haut 100j : </w:t>
            </w:r>
            <w:r>
              <w:rPr>
                <w:color w:val="000000"/>
                <w:sz w:val="17"/>
              </w:rPr>
              <w:t>60,500 FCFA</w:t>
            </w:r>
          </w:p>
          <w:p>
            <w:r>
              <w:rPr>
                <w:b/>
                <w:color w:val="503200"/>
                <w:sz w:val="16"/>
              </w:rPr>
              <w:t xml:space="preserve">Plus bas 100j : </w:t>
            </w:r>
            <w:r>
              <w:rPr>
                <w:color w:val="000000"/>
                <w:sz w:val="17"/>
              </w:rPr>
              <w:t>47,215 FCFA</w:t>
            </w:r>
          </w:p>
          <w:p>
            <w:r>
              <w:rPr>
                <w:b/>
                <w:color w:val="503200"/>
                <w:sz w:val="16"/>
              </w:rPr>
              <w:t xml:space="preserve">Volatilité ann. : </w:t>
            </w:r>
            <w:r>
              <w:rPr>
                <w:color w:val="000000"/>
                <w:sz w:val="17"/>
              </w:rPr>
              <w:t>57.9%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26.6/100 → Moyen</w:t>
      </w:r>
    </w:p>
    <w:p>
      <w:pPr>
        <w:spacing w:before="40" w:after="80"/>
      </w:pPr>
      <w:r>
        <w:rPr>
          <w:rFonts w:ascii="Courier New" w:hAnsi="Courier New"/>
          <w:color w:val="825A00"/>
          <w:sz w:val="18"/>
        </w:rPr>
        <w:t>█████░░░░░░░░░░░░░░░  26.6/100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5.47% (Moyenne) — μ=54,901 FCFA, σ=3,003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β=0.5362 (Défensif) — Cov=0.000038, Var(idx)=0.000071, ρ=0.124,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σ_j=3.65%/j (Modérée) — Vol. annualisée≈57.9%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2026-09-30</w:t>
            </w:r>
          </w:p>
        </w:tc>
        <w:tc>
          <w:tcPr>
            <w:tcW w:type="dxa" w:w="1440"/>
            <w:shd w:fill="C6EFCE" w:val="clear"/>
          </w:tcPr>
          <w:p>
            <w:r>
              <w:rPr>
                <w:sz w:val="17"/>
              </w:rPr>
              <w:t>46,225</w:t>
            </w:r>
          </w:p>
        </w:tc>
        <w:tc>
          <w:tcPr>
            <w:tcW w:type="dxa" w:w="1440"/>
            <w:shd w:fill="C6EFCE" w:val="clear"/>
          </w:tcPr>
          <w:p>
            <w:r>
              <w:rPr>
                <w:b/>
                <w:sz w:val="17"/>
              </w:rPr>
              <w:t>49,424</w:t>
            </w:r>
          </w:p>
        </w:tc>
        <w:tc>
          <w:tcPr>
            <w:tcW w:type="dxa" w:w="1440"/>
            <w:shd w:fill="C6EFCE" w:val="clear"/>
          </w:tcPr>
          <w:p>
            <w:r>
              <w:rPr>
                <w:sz w:val="17"/>
              </w:rPr>
              <w:t>52,622</w:t>
            </w:r>
          </w:p>
        </w:tc>
        <w:tc>
          <w:tcPr>
            <w:tcW w:type="dxa" w:w="1440"/>
            <w:shd w:fill="C6EFCE" w:val="clear"/>
          </w:tcPr>
          <w:p>
            <w:r>
              <w:rPr>
                <w:b/>
                <w:color w:val="008000"/>
                <w:sz w:val="17"/>
              </w:rPr>
              <w:t>+4.7%</w:t>
            </w:r>
          </w:p>
        </w:tc>
      </w:tr>
      <w:tr>
        <w:tc>
          <w:tcPr>
            <w:tcW w:type="dxa" w:w="1440"/>
            <w:shd w:fill="C6EFCE" w:val="clear"/>
          </w:tcPr>
          <w:p>
            <w:r>
              <w:rPr>
                <w:sz w:val="17"/>
              </w:rPr>
              <w:t>J+2  ⭐</w:t>
            </w:r>
          </w:p>
        </w:tc>
        <w:tc>
          <w:tcPr>
            <w:tcW w:type="dxa" w:w="1440"/>
            <w:shd w:fill="C6EFCE" w:val="clear"/>
          </w:tcPr>
          <w:p>
            <w:r>
              <w:rPr>
                <w:sz w:val="17"/>
              </w:rPr>
              <w:t>2026-10-01</w:t>
            </w:r>
          </w:p>
        </w:tc>
        <w:tc>
          <w:tcPr>
            <w:tcW w:type="dxa" w:w="1440"/>
            <w:shd w:fill="C6EFCE" w:val="clear"/>
          </w:tcPr>
          <w:p>
            <w:r>
              <w:rPr>
                <w:sz w:val="17"/>
              </w:rPr>
              <w:t>44,619</w:t>
            </w:r>
          </w:p>
        </w:tc>
        <w:tc>
          <w:tcPr>
            <w:tcW w:type="dxa" w:w="1440"/>
            <w:shd w:fill="C6EFCE" w:val="clear"/>
          </w:tcPr>
          <w:p>
            <w:r>
              <w:rPr>
                <w:b/>
                <w:sz w:val="17"/>
              </w:rPr>
              <w:t>49,114</w:t>
            </w:r>
          </w:p>
        </w:tc>
        <w:tc>
          <w:tcPr>
            <w:tcW w:type="dxa" w:w="1440"/>
            <w:shd w:fill="C6EFCE" w:val="clear"/>
          </w:tcPr>
          <w:p>
            <w:r>
              <w:rPr>
                <w:sz w:val="17"/>
              </w:rPr>
              <w:t>53,609</w:t>
            </w:r>
          </w:p>
        </w:tc>
        <w:tc>
          <w:tcPr>
            <w:tcW w:type="dxa" w:w="1440"/>
            <w:shd w:fill="C6EFCE" w:val="clear"/>
          </w:tcPr>
          <w:p>
            <w:r>
              <w:rPr>
                <w:b/>
                <w:color w:val="008000"/>
                <w:sz w:val="17"/>
              </w:rPr>
              <w:t>+4.0%</w:t>
            </w:r>
          </w:p>
        </w:tc>
      </w:tr>
      <w:tr>
        <w:tc>
          <w:tcPr>
            <w:tcW w:type="dxa" w:w="1440"/>
            <w:shd w:fill="C6EFCE" w:val="clear"/>
          </w:tcPr>
          <w:p>
            <w:r>
              <w:rPr>
                <w:sz w:val="17"/>
              </w:rPr>
              <w:t>J+3  ⭐</w:t>
            </w:r>
          </w:p>
        </w:tc>
        <w:tc>
          <w:tcPr>
            <w:tcW w:type="dxa" w:w="1440"/>
            <w:shd w:fill="C6EFCE" w:val="clear"/>
          </w:tcPr>
          <w:p>
            <w:r>
              <w:rPr>
                <w:sz w:val="17"/>
              </w:rPr>
              <w:t>2026-10-02</w:t>
            </w:r>
          </w:p>
        </w:tc>
        <w:tc>
          <w:tcPr>
            <w:tcW w:type="dxa" w:w="1440"/>
            <w:shd w:fill="C6EFCE" w:val="clear"/>
          </w:tcPr>
          <w:p>
            <w:r>
              <w:rPr>
                <w:sz w:val="17"/>
              </w:rPr>
              <w:t>43,531</w:t>
            </w:r>
          </w:p>
        </w:tc>
        <w:tc>
          <w:tcPr>
            <w:tcW w:type="dxa" w:w="1440"/>
            <w:shd w:fill="C6EFCE" w:val="clear"/>
          </w:tcPr>
          <w:p>
            <w:r>
              <w:rPr>
                <w:b/>
                <w:sz w:val="17"/>
              </w:rPr>
              <w:t>49,027</w:t>
            </w:r>
          </w:p>
        </w:tc>
        <w:tc>
          <w:tcPr>
            <w:tcW w:type="dxa" w:w="1440"/>
            <w:shd w:fill="C6EFCE" w:val="clear"/>
          </w:tcPr>
          <w:p>
            <w:r>
              <w:rPr>
                <w:sz w:val="17"/>
              </w:rPr>
              <w:t>54,523</w:t>
            </w:r>
          </w:p>
        </w:tc>
        <w:tc>
          <w:tcPr>
            <w:tcW w:type="dxa" w:w="1440"/>
            <w:shd w:fill="C6EFCE" w:val="clear"/>
          </w:tcPr>
          <w:p>
            <w:r>
              <w:rPr>
                <w:b/>
                <w:color w:val="008000"/>
                <w:sz w:val="17"/>
              </w:rPr>
              <w:t>+3.8%</w:t>
            </w:r>
          </w:p>
        </w:tc>
      </w:tr>
      <w:tr>
        <w:tc>
          <w:tcPr>
            <w:tcW w:type="dxa" w:w="1440"/>
            <w:shd w:fill="C6EFCE" w:val="clear"/>
          </w:tcPr>
          <w:p>
            <w:r>
              <w:rPr>
                <w:sz w:val="17"/>
              </w:rPr>
              <w:t>J+4  ⭐</w:t>
            </w:r>
          </w:p>
        </w:tc>
        <w:tc>
          <w:tcPr>
            <w:tcW w:type="dxa" w:w="1440"/>
            <w:shd w:fill="C6EFCE" w:val="clear"/>
          </w:tcPr>
          <w:p>
            <w:r>
              <w:rPr>
                <w:sz w:val="17"/>
              </w:rPr>
              <w:t>2026-10-05</w:t>
            </w:r>
          </w:p>
        </w:tc>
        <w:tc>
          <w:tcPr>
            <w:tcW w:type="dxa" w:w="1440"/>
            <w:shd w:fill="C6EFCE" w:val="clear"/>
          </w:tcPr>
          <w:p>
            <w:r>
              <w:rPr>
                <w:sz w:val="17"/>
              </w:rPr>
              <w:t>42,656</w:t>
            </w:r>
          </w:p>
        </w:tc>
        <w:tc>
          <w:tcPr>
            <w:tcW w:type="dxa" w:w="1440"/>
            <w:shd w:fill="C6EFCE" w:val="clear"/>
          </w:tcPr>
          <w:p>
            <w:r>
              <w:rPr>
                <w:b/>
                <w:sz w:val="17"/>
              </w:rPr>
              <w:t>48,998</w:t>
            </w:r>
          </w:p>
        </w:tc>
        <w:tc>
          <w:tcPr>
            <w:tcW w:type="dxa" w:w="1440"/>
            <w:shd w:fill="C6EFCE" w:val="clear"/>
          </w:tcPr>
          <w:p>
            <w:r>
              <w:rPr>
                <w:sz w:val="17"/>
              </w:rPr>
              <w:t>55,340</w:t>
            </w:r>
          </w:p>
        </w:tc>
        <w:tc>
          <w:tcPr>
            <w:tcW w:type="dxa" w:w="1440"/>
            <w:shd w:fill="C6EFCE" w:val="clear"/>
          </w:tcPr>
          <w:p>
            <w:r>
              <w:rPr>
                <w:b/>
                <w:color w:val="008000"/>
                <w:sz w:val="17"/>
              </w:rPr>
              <w:t>+3.8%</w:t>
            </w:r>
          </w:p>
        </w:tc>
      </w:tr>
      <w:tr>
        <w:tc>
          <w:tcPr>
            <w:tcW w:type="dxa" w:w="1440"/>
            <w:shd w:fill="C6EFCE" w:val="clear"/>
          </w:tcPr>
          <w:p>
            <w:r>
              <w:rPr>
                <w:sz w:val="17"/>
              </w:rPr>
              <w:t>J+5  ⭐</w:t>
            </w:r>
          </w:p>
        </w:tc>
        <w:tc>
          <w:tcPr>
            <w:tcW w:type="dxa" w:w="1440"/>
            <w:shd w:fill="C6EFCE" w:val="clear"/>
          </w:tcPr>
          <w:p>
            <w:r>
              <w:rPr>
                <w:sz w:val="17"/>
              </w:rPr>
              <w:t>2026-10-06</w:t>
            </w:r>
          </w:p>
        </w:tc>
        <w:tc>
          <w:tcPr>
            <w:tcW w:type="dxa" w:w="1440"/>
            <w:shd w:fill="C6EFCE" w:val="clear"/>
          </w:tcPr>
          <w:p>
            <w:r>
              <w:rPr>
                <w:sz w:val="17"/>
              </w:rPr>
              <w:t>41,900</w:t>
            </w:r>
          </w:p>
        </w:tc>
        <w:tc>
          <w:tcPr>
            <w:tcW w:type="dxa" w:w="1440"/>
            <w:shd w:fill="C6EFCE" w:val="clear"/>
          </w:tcPr>
          <w:p>
            <w:r>
              <w:rPr>
                <w:b/>
                <w:sz w:val="17"/>
              </w:rPr>
              <w:t>48,989</w:t>
            </w:r>
          </w:p>
        </w:tc>
        <w:tc>
          <w:tcPr>
            <w:tcW w:type="dxa" w:w="1440"/>
            <w:shd w:fill="C6EFCE" w:val="clear"/>
          </w:tcPr>
          <w:p>
            <w:r>
              <w:rPr>
                <w:sz w:val="17"/>
              </w:rPr>
              <w:t>56,079</w:t>
            </w:r>
          </w:p>
        </w:tc>
        <w:tc>
          <w:tcPr>
            <w:tcW w:type="dxa" w:w="1440"/>
            <w:shd w:fill="C6EFCE" w:val="clear"/>
          </w:tcPr>
          <w:p>
            <w:r>
              <w:rPr>
                <w:b/>
                <w:color w:val="008000"/>
                <w:sz w:val="17"/>
              </w:rPr>
              <w:t>+3.8%</w:t>
            </w:r>
          </w:p>
        </w:tc>
      </w:tr>
      <w:tr>
        <w:tc>
          <w:tcPr>
            <w:tcW w:type="dxa" w:w="1440"/>
            <w:shd w:fill="C6EFCE" w:val="clear"/>
          </w:tcPr>
          <w:p>
            <w:r>
              <w:rPr>
                <w:sz w:val="17"/>
              </w:rPr>
              <w:t>J+6  ⭐</w:t>
            </w:r>
          </w:p>
        </w:tc>
        <w:tc>
          <w:tcPr>
            <w:tcW w:type="dxa" w:w="1440"/>
            <w:shd w:fill="C6EFCE" w:val="clear"/>
          </w:tcPr>
          <w:p>
            <w:r>
              <w:rPr>
                <w:sz w:val="17"/>
              </w:rPr>
              <w:t>2026-10-07</w:t>
            </w:r>
          </w:p>
        </w:tc>
        <w:tc>
          <w:tcPr>
            <w:tcW w:type="dxa" w:w="1440"/>
            <w:shd w:fill="C6EFCE" w:val="clear"/>
          </w:tcPr>
          <w:p>
            <w:r>
              <w:rPr>
                <w:sz w:val="17"/>
              </w:rPr>
              <w:t>41,224</w:t>
            </w:r>
          </w:p>
        </w:tc>
        <w:tc>
          <w:tcPr>
            <w:tcW w:type="dxa" w:w="1440"/>
            <w:shd w:fill="C6EFCE" w:val="clear"/>
          </w:tcPr>
          <w:p>
            <w:r>
              <w:rPr>
                <w:b/>
                <w:sz w:val="17"/>
              </w:rPr>
              <w:t>48,991</w:t>
            </w:r>
          </w:p>
        </w:tc>
        <w:tc>
          <w:tcPr>
            <w:tcW w:type="dxa" w:w="1440"/>
            <w:shd w:fill="C6EFCE" w:val="clear"/>
          </w:tcPr>
          <w:p>
            <w:r>
              <w:rPr>
                <w:sz w:val="17"/>
              </w:rPr>
              <w:t>56,757</w:t>
            </w:r>
          </w:p>
        </w:tc>
        <w:tc>
          <w:tcPr>
            <w:tcW w:type="dxa" w:w="1440"/>
            <w:shd w:fill="C6EFCE" w:val="clear"/>
          </w:tcPr>
          <w:p>
            <w:r>
              <w:rPr>
                <w:b/>
                <w:color w:val="008000"/>
                <w:sz w:val="17"/>
              </w:rPr>
              <w:t>+3.8%</w:t>
            </w:r>
          </w:p>
        </w:tc>
      </w:tr>
      <w:tr>
        <w:tc>
          <w:tcPr>
            <w:tcW w:type="dxa" w:w="1440"/>
            <w:shd w:fill="C6EFCE" w:val="clear"/>
          </w:tcPr>
          <w:p>
            <w:r>
              <w:rPr>
                <w:sz w:val="17"/>
              </w:rPr>
              <w:t>J+7  ⭐</w:t>
            </w:r>
          </w:p>
        </w:tc>
        <w:tc>
          <w:tcPr>
            <w:tcW w:type="dxa" w:w="1440"/>
            <w:shd w:fill="C6EFCE" w:val="clear"/>
          </w:tcPr>
          <w:p>
            <w:r>
              <w:rPr>
                <w:sz w:val="17"/>
              </w:rPr>
              <w:t>2026-10-08</w:t>
            </w:r>
          </w:p>
        </w:tc>
        <w:tc>
          <w:tcPr>
            <w:tcW w:type="dxa" w:w="1440"/>
            <w:shd w:fill="C6EFCE" w:val="clear"/>
          </w:tcPr>
          <w:p>
            <w:r>
              <w:rPr>
                <w:sz w:val="17"/>
              </w:rPr>
              <w:t>40,607</w:t>
            </w:r>
          </w:p>
        </w:tc>
        <w:tc>
          <w:tcPr>
            <w:tcW w:type="dxa" w:w="1440"/>
            <w:shd w:fill="C6EFCE" w:val="clear"/>
          </w:tcPr>
          <w:p>
            <w:r>
              <w:rPr>
                <w:b/>
                <w:sz w:val="17"/>
              </w:rPr>
              <w:t>48,997</w:t>
            </w:r>
          </w:p>
        </w:tc>
        <w:tc>
          <w:tcPr>
            <w:tcW w:type="dxa" w:w="1440"/>
            <w:shd w:fill="C6EFCE" w:val="clear"/>
          </w:tcPr>
          <w:p>
            <w:r>
              <w:rPr>
                <w:sz w:val="17"/>
              </w:rPr>
              <w:t>57,387</w:t>
            </w:r>
          </w:p>
        </w:tc>
        <w:tc>
          <w:tcPr>
            <w:tcW w:type="dxa" w:w="1440"/>
            <w:shd w:fill="C6EFCE" w:val="clear"/>
          </w:tcPr>
          <w:p>
            <w:r>
              <w:rPr>
                <w:b/>
                <w:color w:val="008000"/>
                <w:sz w:val="17"/>
              </w:rPr>
              <w:t>+3.8%</w:t>
            </w:r>
          </w:p>
        </w:tc>
      </w:tr>
      <w:tr>
        <w:tc>
          <w:tcPr>
            <w:tcW w:type="dxa" w:w="1440"/>
            <w:shd w:fill="C6EFCE" w:val="clear"/>
          </w:tcPr>
          <w:p>
            <w:r>
              <w:rPr>
                <w:sz w:val="17"/>
              </w:rPr>
              <w:t>J+8  ⭐</w:t>
            </w:r>
          </w:p>
        </w:tc>
        <w:tc>
          <w:tcPr>
            <w:tcW w:type="dxa" w:w="1440"/>
            <w:shd w:fill="C6EFCE" w:val="clear"/>
          </w:tcPr>
          <w:p>
            <w:r>
              <w:rPr>
                <w:sz w:val="17"/>
              </w:rPr>
              <w:t>2026-10-09</w:t>
            </w:r>
          </w:p>
        </w:tc>
        <w:tc>
          <w:tcPr>
            <w:tcW w:type="dxa" w:w="1440"/>
            <w:shd w:fill="C6EFCE" w:val="clear"/>
          </w:tcPr>
          <w:p>
            <w:r>
              <w:rPr>
                <w:sz w:val="17"/>
              </w:rPr>
              <w:t>40,036</w:t>
            </w:r>
          </w:p>
        </w:tc>
        <w:tc>
          <w:tcPr>
            <w:tcW w:type="dxa" w:w="1440"/>
            <w:shd w:fill="C6EFCE" w:val="clear"/>
          </w:tcPr>
          <w:p>
            <w:r>
              <w:rPr>
                <w:b/>
                <w:sz w:val="17"/>
              </w:rPr>
              <w:t>49,007</w:t>
            </w:r>
          </w:p>
        </w:tc>
        <w:tc>
          <w:tcPr>
            <w:tcW w:type="dxa" w:w="1440"/>
            <w:shd w:fill="C6EFCE" w:val="clear"/>
          </w:tcPr>
          <w:p>
            <w:r>
              <w:rPr>
                <w:sz w:val="17"/>
              </w:rPr>
              <w:t>57,978</w:t>
            </w:r>
          </w:p>
        </w:tc>
        <w:tc>
          <w:tcPr>
            <w:tcW w:type="dxa" w:w="1440"/>
            <w:shd w:fill="C6EFCE" w:val="clear"/>
          </w:tcPr>
          <w:p>
            <w:r>
              <w:rPr>
                <w:b/>
                <w:color w:val="008000"/>
                <w:sz w:val="17"/>
              </w:rPr>
              <w:t>+3.8%</w:t>
            </w:r>
          </w:p>
        </w:tc>
      </w:tr>
      <w:tr>
        <w:tc>
          <w:tcPr>
            <w:tcW w:type="dxa" w:w="1440"/>
            <w:shd w:fill="C6EFCE" w:val="clear"/>
          </w:tcPr>
          <w:p>
            <w:r>
              <w:rPr>
                <w:sz w:val="17"/>
              </w:rPr>
              <w:t>J+9  ⭐</w:t>
            </w:r>
          </w:p>
        </w:tc>
        <w:tc>
          <w:tcPr>
            <w:tcW w:type="dxa" w:w="1440"/>
            <w:shd w:fill="C6EFCE" w:val="clear"/>
          </w:tcPr>
          <w:p>
            <w:r>
              <w:rPr>
                <w:sz w:val="17"/>
              </w:rPr>
              <w:t>2026-10-12</w:t>
            </w:r>
          </w:p>
        </w:tc>
        <w:tc>
          <w:tcPr>
            <w:tcW w:type="dxa" w:w="1440"/>
            <w:shd w:fill="C6EFCE" w:val="clear"/>
          </w:tcPr>
          <w:p>
            <w:r>
              <w:rPr>
                <w:sz w:val="17"/>
              </w:rPr>
              <w:t>39,501</w:t>
            </w:r>
          </w:p>
        </w:tc>
        <w:tc>
          <w:tcPr>
            <w:tcW w:type="dxa" w:w="1440"/>
            <w:shd w:fill="C6EFCE" w:val="clear"/>
          </w:tcPr>
          <w:p>
            <w:r>
              <w:rPr>
                <w:b/>
                <w:sz w:val="17"/>
              </w:rPr>
              <w:t>49,018</w:t>
            </w:r>
          </w:p>
        </w:tc>
        <w:tc>
          <w:tcPr>
            <w:tcW w:type="dxa" w:w="1440"/>
            <w:shd w:fill="C6EFCE" w:val="clear"/>
          </w:tcPr>
          <w:p>
            <w:r>
              <w:rPr>
                <w:sz w:val="17"/>
              </w:rPr>
              <w:t>58,536</w:t>
            </w:r>
          </w:p>
        </w:tc>
        <w:tc>
          <w:tcPr>
            <w:tcW w:type="dxa" w:w="1440"/>
            <w:shd w:fill="C6EFCE" w:val="clear"/>
          </w:tcPr>
          <w:p>
            <w:r>
              <w:rPr>
                <w:b/>
                <w:color w:val="008000"/>
                <w:sz w:val="17"/>
              </w:rPr>
              <w:t>+3.8%</w:t>
            </w:r>
          </w:p>
        </w:tc>
      </w:tr>
      <w:tr>
        <w:tc>
          <w:tcPr>
            <w:tcW w:type="dxa" w:w="1440"/>
            <w:shd w:fill="C6EFCE" w:val="clear"/>
          </w:tcPr>
          <w:p>
            <w:r>
              <w:rPr>
                <w:sz w:val="17"/>
              </w:rPr>
              <w:t>J+10  ⭐</w:t>
            </w:r>
          </w:p>
        </w:tc>
        <w:tc>
          <w:tcPr>
            <w:tcW w:type="dxa" w:w="1440"/>
            <w:shd w:fill="C6EFCE" w:val="clear"/>
          </w:tcPr>
          <w:p>
            <w:r>
              <w:rPr>
                <w:sz w:val="17"/>
              </w:rPr>
              <w:t>2026-10-13</w:t>
            </w:r>
          </w:p>
        </w:tc>
        <w:tc>
          <w:tcPr>
            <w:tcW w:type="dxa" w:w="1440"/>
            <w:shd w:fill="C6EFCE" w:val="clear"/>
          </w:tcPr>
          <w:p>
            <w:r>
              <w:rPr>
                <w:sz w:val="17"/>
              </w:rPr>
              <w:t>38,996</w:t>
            </w:r>
          </w:p>
        </w:tc>
        <w:tc>
          <w:tcPr>
            <w:tcW w:type="dxa" w:w="1440"/>
            <w:shd w:fill="C6EFCE" w:val="clear"/>
          </w:tcPr>
          <w:p>
            <w:r>
              <w:rPr>
                <w:b/>
                <w:sz w:val="17"/>
              </w:rPr>
              <w:t>49,031</w:t>
            </w:r>
          </w:p>
        </w:tc>
        <w:tc>
          <w:tcPr>
            <w:tcW w:type="dxa" w:w="1440"/>
            <w:shd w:fill="C6EFCE" w:val="clear"/>
          </w:tcPr>
          <w:p>
            <w:r>
              <w:rPr>
                <w:sz w:val="17"/>
              </w:rPr>
              <w:t>59,066</w:t>
            </w:r>
          </w:p>
        </w:tc>
        <w:tc>
          <w:tcPr>
            <w:tcW w:type="dxa" w:w="1440"/>
            <w:shd w:fill="C6EFCE" w:val="clear"/>
          </w:tcPr>
          <w:p>
            <w:r>
              <w:rPr>
                <w:b/>
                <w:color w:val="008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COTE D'IVOIRE (UNLC)**</w:t>
        <w:br/>
        <w:t>**Bourse Régionale des Valeurs Mobilières (BRVM) — Marché des Actions**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433,59 milliards FCFA, un niveau significatif qui place la valeur parmi les capitalisations moyennes à supérieures de la cote BRVM, bien que très en deçà des poids lourds comme SONATEL. Les ratios de valorisation boursière (BPA, PER, P/B, EV/EBITDA) ne sont pas calculables en l'absence de données financières structurées exploitables dans la base, ce qui limite l'appréciation directe du prix payé par rapport aux bénéfices ou à la valeur comptable. À titre indicatif, avec un résultat net 2023 de 640,3 millions FCFA et une capitalisation de 433,59 milliards FCFA, le PER implicite ressortirait à un niveau extrêmement élevé (supérieur à 600x), signalant une décorrélation majeure entre le prix de marché et la rentabilité effective de l'entreprise. Cette situation s'explique par la faiblesse structurelle des bénéfices (marge nette de 2,63% en 2023) et par des capitaux propres négatifs, rendant le P/B non pertinent. L'investisseur doit donc considérer que la valorisation boursière d'UNLC intègre davantage une prime de marque et un potentiel de redressement qu'une rentabilité actuelle.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variation totale de -21,96%, avec une chute brutale de -7,42% lors de la dernière séance (J-1), portant le cours à 47 215 FCFA, soit exactement le plus bas de la période. Le range de trading s'étend du plus haut à 60 500 FCFA au plus bas actuel de 47 215 FCFA, matérialisant une tendance clairement baissière et une pression vendeuse persistante. Les statistiques descriptives révèlent une moyenne de 54 901 FCFA légèrement supérieure à la médiane de 54 650 FCFA, avec un mode à 58 000 FCFA : l'écart faible entre moyenne et médiane (0,46%) indique une distribution quasi symétrique, confirmée par un skewness de -0,013 (distribution symétrique). L'écart-type de 3 018 FCFA et le coefficient de variation de 5,5% traduisent une dispersion modérée du cours autour de sa moyenne, tandis que le kurtosis de -0,663 (mésokurtique) suggère une distribution proche de la normale, sans risque majeur de pics extrêmes. La volatilité annualisée de 57,9% classe le titre dans la catégorie des valeurs à volatilité élevée (&gt;30%), ce qui implique un risque de marché important et justifie une approche prudente. Le cours actuel, situé au plus bas de la période, reflète une capitulation récente qui contraste avec la stabilité statistique globale de la distribution.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(52 003 FCFA) et la MM50 (53 076,4 FCFA) se situent toutes deux nettement au-dessus du cours actuel (47 215 FCFA), avec la MM20 en dessous de la MM50, configuration baissière caractéristique. Le cours évoluant sous ses deux moyennes, la pression vendeuse est confirmée et la décision technique est logiquement à la Vente.</w:t>
      </w:r>
    </w:p>
    <w:p>
      <w:pPr>
        <w:spacing w:after="120" w:line="276" w:lineRule="auto"/>
      </w:pPr>
      <w:r>
        <w:t>**Bandes de Bollinger** : La borne supérieure est à 55 976,69 FCFA et la borne inférieure à 48 029,31 FCFA, tandis que le cours actuel (47 215 FCFA) se situe en dessous de la borne inférieure, signalant une situation de survente extrême et une volatilité accrue. Cette position hors bande justifie la décision d'Achat technique, bien qu'elle traduise d'abord une faiblesse marquée.</w:t>
      </w:r>
    </w:p>
    <w:p>
      <w:pPr>
        <w:spacing w:after="120" w:line="276" w:lineRule="auto"/>
      </w:pPr>
      <w:r>
        <w:t>**MACD** : La valeur du MACD (-1 100,247) est inférieure à son signal (-748,968), avec un histogramme négatif, confirmant un momentum baissier toujours actif. La divergence négative entre MACD et signal valide la décision de Vente, aucun croisement haussier n'étant en vue.</w:t>
      </w:r>
    </w:p>
    <w:p>
      <w:pPr>
        <w:spacing w:after="120" w:line="276" w:lineRule="auto"/>
      </w:pPr>
      <w:r>
        <w:t>**RSI** : À 35,343, le RSI se situe dans la zone neutre basse (30-70), sans atteindre le seuil de survente (&lt;30), ce qui traduit une faiblesse sans capitulation totale. La décision Neutre reflète cette absence de signal directionnel fort, bien que la tendance reste fragile.</w:t>
      </w:r>
    </w:p>
    <w:p>
      <w:pPr>
        <w:spacing w:after="120" w:line="276" w:lineRule="auto"/>
      </w:pPr>
      <w:r>
        <w:t>**Stochastique** : Le %K est à 0,0 et le %D à 25,157, avec un %K au plancher absolu, indiquant une pression vendeuse maximale et un possible épuisement baissier à court terme. La décision d'Achat technique s'appuie sur cette configuration de survente extrême, propice à un rebond technique.</w:t>
      </w:r>
    </w:p>
    <w:p>
      <w:pPr>
        <w:spacing w:after="120" w:line="276" w:lineRule="auto"/>
      </w:pPr>
      <w:r>
        <w:t>**Conclusion technique** : Les indicateurs sont majoritairement baissiers (MM, MACD), mais deux signaux d'Achat (Bollinger, Stochastique) émergent d'une situation de survente extrême, tandis que le RSI reste neutre. Cette divergence suggère un possible rebond technique à court terme, mais la tendance de fond demeure négative et la prudence reste de mise.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n'étant pas disponibles dans la base, l'analyse s'appuie sur les rapports officiels analysés, notamment l'exercice clos le 31 décembre 2023 (rapport analysé le 15 mars 2026) et l'exercice 2022 (rapports analysés les 15 et 16 mars 2026). En 2023, UNILEVER Côte d'Ivoire a réalisé un chiffre d'affaires de 24 336 010 000 FCFA, stable par rapport à 2022, traduisant une absence de croissance organique. Le résultat net s'établit à 640 334 855 FCFA en 2023, en forte amélioration après la perte nette de 6 908 362 002 FCFA en 2022 (ou -6 382 600 386 FCFA selon un autre rapport), mais la marge nette reste faible à 2,63%, très en dessous de la moyenne sectorielle FMCG (5-10%). Le résultat d'exploitation est redevenu positif à 3 340 millions FCFA en 2023 (contre -6 258 millions FCFA en 2022), grâce à la réduction des charges et à la hausse des produits accessoires. Cependant, la structure financière demeure préoccupante : les capitaux propres sont négatifs à -10 658 millions FCFA, le report à nouveau est négatif à -35 635 millions FCFA, et les dettes financières s'élèvent à 4 379 millions FCFA en 2023 (contre 3 827 millions FCFA en 2022). Aucun dividende n'a été versé en 2023, cohérent avec la faiblesse du bénéfice et les pertes cumulées. Sur la base de ces éléments, la recommandation fondamentale est de CONSERVER avec vigilance : les signes de redressement opérationnel sont réels mais fragiles, et la solidité financière reste insuffisante pour envisager un achat tant que les capitaux propres ne se reconstituent pas et que la croissance du chiffre d'affaires ne redémarre pas.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boursière (Partie 0) apparaît très tendue avec un PER implicite supérieur à 600x et des capitaux propres négatifs, signalant une décorrélation entre le prix de marché et la rentabilité effective. Le comportement du cours (Partie 1) est clairement baissier (-21,96% sur 100 jours, -7,42% en J-1), avec une volatilité élevée (57,9%) et un cours au plus bas de la période, bien que la distribution statistique soit symétrique et sans pics extrêmes (kurtosis -0,663, skewness -0,013). Les signaux techniques (Partie 2) sont divergents : les moyennes mobiles et le MACD confirment la tendance baissière, tandis que les Bandes de Bollinger et le Stochastique génèrent des signaux d'achat en zone de survente extrême, suggérant un rebond technique possible mais fragile. Les fondamentaux (Partie 3) montrent un redressement opérationnel en 2023 (résultat net positif de 640 millions FCFA, résultat d'exploitation de 3 340 millions FCFA) mais une structure financière toujours précaire (capitaux propres négatifs, absence de dividende, CA stagnant). Les prédictions IA (J+1 à J+10) anticipent une légère reprise vers 49 424 FCFA puis une stabilisation autour de 48 989 FCFA, ce qui confirme un possible rebond technique sans inversion de tendance. Sur la base de cette synthèse, la recommandation finale est **CONSERVER** avec un niveau de confiance **Moyen** et un risque global **Élevé**. L'horizon d'investissement optimal est le **moyen terme (3-12 mois)**, en surveillant trimestriellement l'évolution des marges, la reconstitution des capitaux propres et la reprise du chiffre d'affaires ; un passage à l'Achat ne serait justifié qu'en cas de confirmation d'une amélioration durable de la rentabilité et de la structure financière.</w:t>
      </w:r>
    </w:p>
    <w:p/>
    <w:p/>
    <w:p>
      <w:r>
        <w:t>════════════════════════════════════════════════════════════════════════════════</w:t>
      </w:r>
    </w:p>
    <w:p>
      <w:r>
        <w:br w:type="page"/>
      </w:r>
    </w:p>
    <w:p>
      <w:pPr>
        <w:pStyle w:val="Heading2"/>
        <w:spacing w:before="360"/>
      </w:pPr>
      <w:r>
        <w:rPr>
          <w:color w:val="0066CC"/>
        </w:rPr>
        <w:t>48.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50.73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13,805 titres</w:t>
            </w:r>
          </w:p>
        </w:tc>
        <w:tc>
          <w:tcPr>
            <w:tcW w:type="dxa" w:w="2268"/>
            <w:shd w:fill="FFF2CC" w:val="clear"/>
          </w:tcPr>
          <w:p>
            <w:r>
              <w:rPr>
                <w:b/>
                <w:color w:val="503200"/>
                <w:sz w:val="16"/>
              </w:rPr>
              <w:t xml:space="preserve">Cours actuel : </w:t>
            </w:r>
            <w:r>
              <w:rPr>
                <w:color w:val="000000"/>
                <w:sz w:val="17"/>
              </w:rPr>
              <w:t>2,445 FCFA</w:t>
            </w:r>
          </w:p>
          <w:p>
            <w:r>
              <w:rPr>
                <w:b/>
                <w:color w:val="503200"/>
                <w:sz w:val="16"/>
              </w:rPr>
              <w:t xml:space="preserve">Var. 100 jours : </w:t>
            </w:r>
            <w:r>
              <w:rPr>
                <w:b/>
                <w:color w:val="007800"/>
                <w:sz w:val="17"/>
              </w:rPr>
              <w:t>+31.10%</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16.8/100 → Faible</w:t>
      </w:r>
    </w:p>
    <w:p>
      <w:pPr>
        <w:spacing w:before="40" w:after="80"/>
      </w:pPr>
      <w:r>
        <w:rPr>
          <w:rFonts w:ascii="Courier New" w:hAnsi="Courier New"/>
          <w:color w:val="006400"/>
          <w:sz w:val="18"/>
        </w:rPr>
        <w:t>███░░░░░░░░░░░░░░░░░  16.8/100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14.97% (Moyenne) — μ=1,988 FCFA, σ=298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β=0.5008 (Défensif) — Cov=0.000034, Var(idx)=0.000069, ρ=0.132,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13,805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σ_j=3.12%/j (Modérée) — Vol. annualisée≈49.6%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0906"/>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2026-09-30</w:t>
            </w:r>
          </w:p>
        </w:tc>
        <w:tc>
          <w:tcPr>
            <w:tcW w:type="dxa" w:w="1440"/>
            <w:shd w:fill="FFDCE0" w:val="clear"/>
          </w:tcPr>
          <w:p>
            <w:r>
              <w:rPr>
                <w:sz w:val="17"/>
              </w:rPr>
              <w:t>2,264</w:t>
            </w:r>
          </w:p>
        </w:tc>
        <w:tc>
          <w:tcPr>
            <w:tcW w:type="dxa" w:w="1440"/>
            <w:shd w:fill="FFDCE0" w:val="clear"/>
          </w:tcPr>
          <w:p>
            <w:r>
              <w:rPr>
                <w:b/>
                <w:sz w:val="17"/>
              </w:rPr>
              <w:t>2,371</w:t>
            </w:r>
          </w:p>
        </w:tc>
        <w:tc>
          <w:tcPr>
            <w:tcW w:type="dxa" w:w="1440"/>
            <w:shd w:fill="FFDCE0" w:val="clear"/>
          </w:tcPr>
          <w:p>
            <w:r>
              <w:rPr>
                <w:sz w:val="17"/>
              </w:rPr>
              <w:t>2,478</w:t>
            </w:r>
          </w:p>
        </w:tc>
        <w:tc>
          <w:tcPr>
            <w:tcW w:type="dxa" w:w="1440"/>
            <w:shd w:fill="FFDCE0" w:val="clear"/>
          </w:tcPr>
          <w:p>
            <w:r>
              <w:rPr>
                <w:b/>
                <w:color w:val="C00000"/>
                <w:sz w:val="17"/>
              </w:rPr>
              <w:t>-3.0%</w:t>
            </w:r>
          </w:p>
        </w:tc>
      </w:tr>
      <w:tr>
        <w:tc>
          <w:tcPr>
            <w:tcW w:type="dxa" w:w="1440"/>
            <w:shd w:fill="FFDCE0" w:val="clear"/>
          </w:tcPr>
          <w:p>
            <w:r>
              <w:rPr>
                <w:sz w:val="17"/>
              </w:rPr>
              <w:t>J+2  Moyenne</w:t>
            </w:r>
          </w:p>
        </w:tc>
        <w:tc>
          <w:tcPr>
            <w:tcW w:type="dxa" w:w="1440"/>
            <w:shd w:fill="FFDCE0" w:val="clear"/>
          </w:tcPr>
          <w:p>
            <w:r>
              <w:rPr>
                <w:sz w:val="17"/>
              </w:rPr>
              <w:t>2026-10-01</w:t>
            </w:r>
          </w:p>
        </w:tc>
        <w:tc>
          <w:tcPr>
            <w:tcW w:type="dxa" w:w="1440"/>
            <w:shd w:fill="FFDCE0" w:val="clear"/>
          </w:tcPr>
          <w:p>
            <w:r>
              <w:rPr>
                <w:sz w:val="17"/>
              </w:rPr>
              <w:t>2,216</w:t>
            </w:r>
          </w:p>
        </w:tc>
        <w:tc>
          <w:tcPr>
            <w:tcW w:type="dxa" w:w="1440"/>
            <w:shd w:fill="FFDCE0" w:val="clear"/>
          </w:tcPr>
          <w:p>
            <w:r>
              <w:rPr>
                <w:b/>
                <w:sz w:val="17"/>
              </w:rPr>
              <w:t>2,367</w:t>
            </w:r>
          </w:p>
        </w:tc>
        <w:tc>
          <w:tcPr>
            <w:tcW w:type="dxa" w:w="1440"/>
            <w:shd w:fill="FFDCE0" w:val="clear"/>
          </w:tcPr>
          <w:p>
            <w:r>
              <w:rPr>
                <w:sz w:val="17"/>
              </w:rPr>
              <w:t>2,517</w:t>
            </w:r>
          </w:p>
        </w:tc>
        <w:tc>
          <w:tcPr>
            <w:tcW w:type="dxa" w:w="1440"/>
            <w:shd w:fill="FFDCE0" w:val="clear"/>
          </w:tcPr>
          <w:p>
            <w:r>
              <w:rPr>
                <w:b/>
                <w:color w:val="C00000"/>
                <w:sz w:val="17"/>
              </w:rPr>
              <w:t>-3.2%</w:t>
            </w:r>
          </w:p>
        </w:tc>
      </w:tr>
      <w:tr>
        <w:tc>
          <w:tcPr>
            <w:tcW w:type="dxa" w:w="1440"/>
            <w:shd w:fill="FFDCE0" w:val="clear"/>
          </w:tcPr>
          <w:p>
            <w:r>
              <w:rPr>
                <w:sz w:val="17"/>
              </w:rPr>
              <w:t>J+3  Moyenne</w:t>
            </w:r>
          </w:p>
        </w:tc>
        <w:tc>
          <w:tcPr>
            <w:tcW w:type="dxa" w:w="1440"/>
            <w:shd w:fill="FFDCE0" w:val="clear"/>
          </w:tcPr>
          <w:p>
            <w:r>
              <w:rPr>
                <w:sz w:val="17"/>
              </w:rPr>
              <w:t>2026-10-02</w:t>
            </w:r>
          </w:p>
        </w:tc>
        <w:tc>
          <w:tcPr>
            <w:tcW w:type="dxa" w:w="1440"/>
            <w:shd w:fill="FFDCE0" w:val="clear"/>
          </w:tcPr>
          <w:p>
            <w:r>
              <w:rPr>
                <w:sz w:val="17"/>
              </w:rPr>
              <w:t>2,171</w:t>
            </w:r>
          </w:p>
        </w:tc>
        <w:tc>
          <w:tcPr>
            <w:tcW w:type="dxa" w:w="1440"/>
            <w:shd w:fill="FFDCE0" w:val="clear"/>
          </w:tcPr>
          <w:p>
            <w:r>
              <w:rPr>
                <w:b/>
                <w:sz w:val="17"/>
              </w:rPr>
              <w:t>2,355</w:t>
            </w:r>
          </w:p>
        </w:tc>
        <w:tc>
          <w:tcPr>
            <w:tcW w:type="dxa" w:w="1440"/>
            <w:shd w:fill="FFDCE0" w:val="clear"/>
          </w:tcPr>
          <w:p>
            <w:r>
              <w:rPr>
                <w:sz w:val="17"/>
              </w:rPr>
              <w:t>2,538</w:t>
            </w:r>
          </w:p>
        </w:tc>
        <w:tc>
          <w:tcPr>
            <w:tcW w:type="dxa" w:w="1440"/>
            <w:shd w:fill="FFDCE0" w:val="clear"/>
          </w:tcPr>
          <w:p>
            <w:r>
              <w:rPr>
                <w:b/>
                <w:color w:val="C00000"/>
                <w:sz w:val="17"/>
              </w:rPr>
              <w:t>-3.7%</w:t>
            </w:r>
          </w:p>
        </w:tc>
      </w:tr>
      <w:tr>
        <w:tc>
          <w:tcPr>
            <w:tcW w:type="dxa" w:w="1440"/>
            <w:shd w:fill="FFDCE0" w:val="clear"/>
          </w:tcPr>
          <w:p>
            <w:r>
              <w:rPr>
                <w:sz w:val="17"/>
              </w:rPr>
              <w:t>J+4  ⭐</w:t>
            </w:r>
          </w:p>
        </w:tc>
        <w:tc>
          <w:tcPr>
            <w:tcW w:type="dxa" w:w="1440"/>
            <w:shd w:fill="FFDCE0" w:val="clear"/>
          </w:tcPr>
          <w:p>
            <w:r>
              <w:rPr>
                <w:sz w:val="17"/>
              </w:rPr>
              <w:t>2026-10-05</w:t>
            </w:r>
          </w:p>
        </w:tc>
        <w:tc>
          <w:tcPr>
            <w:tcW w:type="dxa" w:w="1440"/>
            <w:shd w:fill="FFDCE0" w:val="clear"/>
          </w:tcPr>
          <w:p>
            <w:r>
              <w:rPr>
                <w:sz w:val="17"/>
              </w:rPr>
              <w:t>2,132</w:t>
            </w:r>
          </w:p>
        </w:tc>
        <w:tc>
          <w:tcPr>
            <w:tcW w:type="dxa" w:w="1440"/>
            <w:shd w:fill="FFDCE0" w:val="clear"/>
          </w:tcPr>
          <w:p>
            <w:r>
              <w:rPr>
                <w:b/>
                <w:sz w:val="17"/>
              </w:rPr>
              <w:t>2,343</w:t>
            </w:r>
          </w:p>
        </w:tc>
        <w:tc>
          <w:tcPr>
            <w:tcW w:type="dxa" w:w="1440"/>
            <w:shd w:fill="FFDCE0" w:val="clear"/>
          </w:tcPr>
          <w:p>
            <w:r>
              <w:rPr>
                <w:sz w:val="17"/>
              </w:rPr>
              <w:t>2,555</w:t>
            </w:r>
          </w:p>
        </w:tc>
        <w:tc>
          <w:tcPr>
            <w:tcW w:type="dxa" w:w="1440"/>
            <w:shd w:fill="FFDCE0" w:val="clear"/>
          </w:tcPr>
          <w:p>
            <w:r>
              <w:rPr>
                <w:b/>
                <w:color w:val="C00000"/>
                <w:sz w:val="17"/>
              </w:rPr>
              <w:t>-4.2%</w:t>
            </w:r>
          </w:p>
        </w:tc>
      </w:tr>
      <w:tr>
        <w:tc>
          <w:tcPr>
            <w:tcW w:type="dxa" w:w="1440"/>
            <w:shd w:fill="FFDCE0" w:val="clear"/>
          </w:tcPr>
          <w:p>
            <w:r>
              <w:rPr>
                <w:sz w:val="17"/>
              </w:rPr>
              <w:t>J+5  ⭐</w:t>
            </w:r>
          </w:p>
        </w:tc>
        <w:tc>
          <w:tcPr>
            <w:tcW w:type="dxa" w:w="1440"/>
            <w:shd w:fill="FFDCE0" w:val="clear"/>
          </w:tcPr>
          <w:p>
            <w:r>
              <w:rPr>
                <w:sz w:val="17"/>
              </w:rPr>
              <w:t>2026-10-06</w:t>
            </w:r>
          </w:p>
        </w:tc>
        <w:tc>
          <w:tcPr>
            <w:tcW w:type="dxa" w:w="1440"/>
            <w:shd w:fill="FFDCE0" w:val="clear"/>
          </w:tcPr>
          <w:p>
            <w:r>
              <w:rPr>
                <w:sz w:val="17"/>
              </w:rPr>
              <w:t>2,098</w:t>
            </w:r>
          </w:p>
        </w:tc>
        <w:tc>
          <w:tcPr>
            <w:tcW w:type="dxa" w:w="1440"/>
            <w:shd w:fill="FFDCE0" w:val="clear"/>
          </w:tcPr>
          <w:p>
            <w:r>
              <w:rPr>
                <w:b/>
                <w:sz w:val="17"/>
              </w:rPr>
              <w:t>2,334</w:t>
            </w:r>
          </w:p>
        </w:tc>
        <w:tc>
          <w:tcPr>
            <w:tcW w:type="dxa" w:w="1440"/>
            <w:shd w:fill="FFDCE0" w:val="clear"/>
          </w:tcPr>
          <w:p>
            <w:r>
              <w:rPr>
                <w:sz w:val="17"/>
              </w:rPr>
              <w:t>2,569</w:t>
            </w:r>
          </w:p>
        </w:tc>
        <w:tc>
          <w:tcPr>
            <w:tcW w:type="dxa" w:w="1440"/>
            <w:shd w:fill="FFDCE0" w:val="clear"/>
          </w:tcPr>
          <w:p>
            <w:r>
              <w:rPr>
                <w:b/>
                <w:color w:val="C00000"/>
                <w:sz w:val="17"/>
              </w:rPr>
              <w:t>-4.6%</w:t>
            </w:r>
          </w:p>
        </w:tc>
      </w:tr>
      <w:tr>
        <w:tc>
          <w:tcPr>
            <w:tcW w:type="dxa" w:w="1440"/>
            <w:shd w:fill="FFDCE0" w:val="clear"/>
          </w:tcPr>
          <w:p>
            <w:r>
              <w:rPr>
                <w:sz w:val="17"/>
              </w:rPr>
              <w:t>J+6  ⭐</w:t>
            </w:r>
          </w:p>
        </w:tc>
        <w:tc>
          <w:tcPr>
            <w:tcW w:type="dxa" w:w="1440"/>
            <w:shd w:fill="FFDCE0" w:val="clear"/>
          </w:tcPr>
          <w:p>
            <w:r>
              <w:rPr>
                <w:sz w:val="17"/>
              </w:rPr>
              <w:t>2026-10-07</w:t>
            </w:r>
          </w:p>
        </w:tc>
        <w:tc>
          <w:tcPr>
            <w:tcW w:type="dxa" w:w="1440"/>
            <w:shd w:fill="FFDCE0" w:val="clear"/>
          </w:tcPr>
          <w:p>
            <w:r>
              <w:rPr>
                <w:sz w:val="17"/>
              </w:rPr>
              <w:t>2,068</w:t>
            </w:r>
          </w:p>
        </w:tc>
        <w:tc>
          <w:tcPr>
            <w:tcW w:type="dxa" w:w="1440"/>
            <w:shd w:fill="FFDCE0" w:val="clear"/>
          </w:tcPr>
          <w:p>
            <w:r>
              <w:rPr>
                <w:b/>
                <w:sz w:val="17"/>
              </w:rPr>
              <w:t>2,324</w:t>
            </w:r>
          </w:p>
        </w:tc>
        <w:tc>
          <w:tcPr>
            <w:tcW w:type="dxa" w:w="1440"/>
            <w:shd w:fill="FFDCE0" w:val="clear"/>
          </w:tcPr>
          <w:p>
            <w:r>
              <w:rPr>
                <w:sz w:val="17"/>
              </w:rPr>
              <w:t>2,581</w:t>
            </w:r>
          </w:p>
        </w:tc>
        <w:tc>
          <w:tcPr>
            <w:tcW w:type="dxa" w:w="1440"/>
            <w:shd w:fill="FFDCE0" w:val="clear"/>
          </w:tcPr>
          <w:p>
            <w:r>
              <w:rPr>
                <w:b/>
                <w:color w:val="C00000"/>
                <w:sz w:val="17"/>
              </w:rPr>
              <w:t>-4.9%</w:t>
            </w:r>
          </w:p>
        </w:tc>
      </w:tr>
      <w:tr>
        <w:tc>
          <w:tcPr>
            <w:tcW w:type="dxa" w:w="1440"/>
            <w:shd w:fill="FFDCE0" w:val="clear"/>
          </w:tcPr>
          <w:p>
            <w:r>
              <w:rPr>
                <w:sz w:val="17"/>
              </w:rPr>
              <w:t>J+7  ⭐</w:t>
            </w:r>
          </w:p>
        </w:tc>
        <w:tc>
          <w:tcPr>
            <w:tcW w:type="dxa" w:w="1440"/>
            <w:shd w:fill="FFDCE0" w:val="clear"/>
          </w:tcPr>
          <w:p>
            <w:r>
              <w:rPr>
                <w:sz w:val="17"/>
              </w:rPr>
              <w:t>2026-10-08</w:t>
            </w:r>
          </w:p>
        </w:tc>
        <w:tc>
          <w:tcPr>
            <w:tcW w:type="dxa" w:w="1440"/>
            <w:shd w:fill="FFDCE0" w:val="clear"/>
          </w:tcPr>
          <w:p>
            <w:r>
              <w:rPr>
                <w:sz w:val="17"/>
              </w:rPr>
              <w:t>2,039</w:t>
            </w:r>
          </w:p>
        </w:tc>
        <w:tc>
          <w:tcPr>
            <w:tcW w:type="dxa" w:w="1440"/>
            <w:shd w:fill="FFDCE0" w:val="clear"/>
          </w:tcPr>
          <w:p>
            <w:r>
              <w:rPr>
                <w:b/>
                <w:sz w:val="17"/>
              </w:rPr>
              <w:t>2,315</w:t>
            </w:r>
          </w:p>
        </w:tc>
        <w:tc>
          <w:tcPr>
            <w:tcW w:type="dxa" w:w="1440"/>
            <w:shd w:fill="FFDCE0" w:val="clear"/>
          </w:tcPr>
          <w:p>
            <w:r>
              <w:rPr>
                <w:sz w:val="17"/>
              </w:rPr>
              <w:t>2,591</w:t>
            </w:r>
          </w:p>
        </w:tc>
        <w:tc>
          <w:tcPr>
            <w:tcW w:type="dxa" w:w="1440"/>
            <w:shd w:fill="FFDCE0" w:val="clear"/>
          </w:tcPr>
          <w:p>
            <w:r>
              <w:rPr>
                <w:b/>
                <w:color w:val="C00000"/>
                <w:sz w:val="17"/>
              </w:rPr>
              <w:t>-5.3%</w:t>
            </w:r>
          </w:p>
        </w:tc>
      </w:tr>
      <w:tr>
        <w:tc>
          <w:tcPr>
            <w:tcW w:type="dxa" w:w="1440"/>
            <w:shd w:fill="FFDCE0" w:val="clear"/>
          </w:tcPr>
          <w:p>
            <w:r>
              <w:rPr>
                <w:sz w:val="17"/>
              </w:rPr>
              <w:t>J+8  ⭐</w:t>
            </w:r>
          </w:p>
        </w:tc>
        <w:tc>
          <w:tcPr>
            <w:tcW w:type="dxa" w:w="1440"/>
            <w:shd w:fill="FFDCE0" w:val="clear"/>
          </w:tcPr>
          <w:p>
            <w:r>
              <w:rPr>
                <w:sz w:val="17"/>
              </w:rPr>
              <w:t>2026-10-09</w:t>
            </w:r>
          </w:p>
        </w:tc>
        <w:tc>
          <w:tcPr>
            <w:tcW w:type="dxa" w:w="1440"/>
            <w:shd w:fill="FFDCE0" w:val="clear"/>
          </w:tcPr>
          <w:p>
            <w:r>
              <w:rPr>
                <w:sz w:val="17"/>
              </w:rPr>
              <w:t>2,013</w:t>
            </w:r>
          </w:p>
        </w:tc>
        <w:tc>
          <w:tcPr>
            <w:tcW w:type="dxa" w:w="1440"/>
            <w:shd w:fill="FFDCE0" w:val="clear"/>
          </w:tcPr>
          <w:p>
            <w:r>
              <w:rPr>
                <w:b/>
                <w:sz w:val="17"/>
              </w:rPr>
              <w:t>2,307</w:t>
            </w:r>
          </w:p>
        </w:tc>
        <w:tc>
          <w:tcPr>
            <w:tcW w:type="dxa" w:w="1440"/>
            <w:shd w:fill="FFDCE0" w:val="clear"/>
          </w:tcPr>
          <w:p>
            <w:r>
              <w:rPr>
                <w:sz w:val="17"/>
              </w:rPr>
              <w:t>2,601</w:t>
            </w:r>
          </w:p>
        </w:tc>
        <w:tc>
          <w:tcPr>
            <w:tcW w:type="dxa" w:w="1440"/>
            <w:shd w:fill="FFDCE0" w:val="clear"/>
          </w:tcPr>
          <w:p>
            <w:r>
              <w:rPr>
                <w:b/>
                <w:color w:val="C00000"/>
                <w:sz w:val="17"/>
              </w:rPr>
              <w:t>-5.7%</w:t>
            </w:r>
          </w:p>
        </w:tc>
      </w:tr>
      <w:tr>
        <w:tc>
          <w:tcPr>
            <w:tcW w:type="dxa" w:w="1440"/>
            <w:shd w:fill="FFDCE0" w:val="clear"/>
          </w:tcPr>
          <w:p>
            <w:r>
              <w:rPr>
                <w:sz w:val="17"/>
              </w:rPr>
              <w:t>J+9  ⭐</w:t>
            </w:r>
          </w:p>
        </w:tc>
        <w:tc>
          <w:tcPr>
            <w:tcW w:type="dxa" w:w="1440"/>
            <w:shd w:fill="FFDCE0" w:val="clear"/>
          </w:tcPr>
          <w:p>
            <w:r>
              <w:rPr>
                <w:sz w:val="17"/>
              </w:rPr>
              <w:t>2026-10-12</w:t>
            </w:r>
          </w:p>
        </w:tc>
        <w:tc>
          <w:tcPr>
            <w:tcW w:type="dxa" w:w="1440"/>
            <w:shd w:fill="FFDCE0" w:val="clear"/>
          </w:tcPr>
          <w:p>
            <w:r>
              <w:rPr>
                <w:sz w:val="17"/>
              </w:rPr>
              <w:t>1,988</w:t>
            </w:r>
          </w:p>
        </w:tc>
        <w:tc>
          <w:tcPr>
            <w:tcW w:type="dxa" w:w="1440"/>
            <w:shd w:fill="FFDCE0" w:val="clear"/>
          </w:tcPr>
          <w:p>
            <w:r>
              <w:rPr>
                <w:b/>
                <w:sz w:val="17"/>
              </w:rPr>
              <w:t>2,298</w:t>
            </w:r>
          </w:p>
        </w:tc>
        <w:tc>
          <w:tcPr>
            <w:tcW w:type="dxa" w:w="1440"/>
            <w:shd w:fill="FFDCE0" w:val="clear"/>
          </w:tcPr>
          <w:p>
            <w:r>
              <w:rPr>
                <w:sz w:val="17"/>
              </w:rPr>
              <w:t>2,609</w:t>
            </w:r>
          </w:p>
        </w:tc>
        <w:tc>
          <w:tcPr>
            <w:tcW w:type="dxa" w:w="1440"/>
            <w:shd w:fill="FFDCE0" w:val="clear"/>
          </w:tcPr>
          <w:p>
            <w:r>
              <w:rPr>
                <w:b/>
                <w:color w:val="C00000"/>
                <w:sz w:val="17"/>
              </w:rPr>
              <w:t>-6.0%</w:t>
            </w:r>
          </w:p>
        </w:tc>
      </w:tr>
      <w:tr>
        <w:tc>
          <w:tcPr>
            <w:tcW w:type="dxa" w:w="1440"/>
            <w:shd w:fill="FFDCE0" w:val="clear"/>
          </w:tcPr>
          <w:p>
            <w:r>
              <w:rPr>
                <w:sz w:val="17"/>
              </w:rPr>
              <w:t>J+10  ⭐</w:t>
            </w:r>
          </w:p>
        </w:tc>
        <w:tc>
          <w:tcPr>
            <w:tcW w:type="dxa" w:w="1440"/>
            <w:shd w:fill="FFDCE0" w:val="clear"/>
          </w:tcPr>
          <w:p>
            <w:r>
              <w:rPr>
                <w:sz w:val="17"/>
              </w:rPr>
              <w:t>2026-10-13</w:t>
            </w:r>
          </w:p>
        </w:tc>
        <w:tc>
          <w:tcPr>
            <w:tcW w:type="dxa" w:w="1440"/>
            <w:shd w:fill="FFDCE0" w:val="clear"/>
          </w:tcPr>
          <w:p>
            <w:r>
              <w:rPr>
                <w:sz w:val="17"/>
              </w:rPr>
              <w:t>1,964</w:t>
            </w:r>
          </w:p>
        </w:tc>
        <w:tc>
          <w:tcPr>
            <w:tcW w:type="dxa" w:w="1440"/>
            <w:shd w:fill="FFDCE0" w:val="clear"/>
          </w:tcPr>
          <w:p>
            <w:r>
              <w:rPr>
                <w:b/>
                <w:sz w:val="17"/>
              </w:rPr>
              <w:t>2,290</w:t>
            </w:r>
          </w:p>
        </w:tc>
        <w:tc>
          <w:tcPr>
            <w:tcW w:type="dxa" w:w="1440"/>
            <w:shd w:fill="FFDCE0" w:val="clear"/>
          </w:tcPr>
          <w:p>
            <w:r>
              <w:rPr>
                <w:sz w:val="17"/>
              </w:rPr>
              <w:t>2,616</w:t>
            </w:r>
          </w:p>
        </w:tc>
        <w:tc>
          <w:tcPr>
            <w:tcW w:type="dxa" w:w="1440"/>
            <w:shd w:fill="FFDCE0" w:val="clear"/>
          </w:tcPr>
          <w:p>
            <w:r>
              <w:rPr>
                <w:b/>
                <w:color w:val="C00000"/>
                <w:sz w:val="17"/>
              </w:rPr>
              <w:t>-6.3%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 / BRVM**</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50,73 milliards FCFA, UNXC se positionne parmi les valeurs moyennes de la cote BRVM, reflétant une société textile à forte notoriété régionale mais de taille intermédiaire. Le BPA ressort à -105 FCFA/action sur l'exercice 2024, traduisant une perte nette par titre, ce qui rend le PER négatif (-23,2x) et donc non significatif en l'état — les investisseurs ne paient pas pour des bénéfices inexistants, mais anticipent un redressement. Le P/B de 3,25x indique que le marché valorise la société à plus de trois fois sa valeur comptable, soit une prime de croissance significative qui n'est justifiée que si le retour à la rentabilité opérationnelle se confirme durablement. Cette prime est d'autant plus notable que la société sort d'une période de pertes, ce qui suggère que le marché intègre déjà une grande partie du redressement en cours (EBE positif en 2025, résultat d'exploitation positif au S1 2026). L'absence d'EV/EBITDA exploitable (EBITDA négatif en 2024) confirme que la valorisation actuelle repose davantage sur les perspectives que sur les résultats historiques.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UNXC affiche une progression spectaculaire de +31,10%, avec une dernière séance en hausse de +1,88%, portant le cours à 2 445 FCFA. Le titre a évolué dans un range très large, entre un plus bas de 1 250 FCFA et un plus haut de 2 495 FCFA — soit un doublement depuis le point bas — ce qui témoigne d'une tendance nettement haussière, soutenue par l'amélioration des fondamentaux (retour à l'EBE positif en 2025, résultat d'exploitation positif au S1 2026). Les statistiques descriptives révèlent une moyenne de 1 988 FCFA légèrement supérieure à la médiane de 1 932 FCFA, avec un mode à 1 970 FCFA : l'écart modéré entre moyenne et médiane suggère une distribution quasi symétrique, confirmée par un skewness de -0,018 (distribution symétrique). L'écart-type de 299 FCFA (CV = 15,0%) indique une dispersion modérée du cours autour de sa moyenne, tandis que le kurtosis de -0,440 (mésokurtique) signale une distribution proche de la normale, sans risque majeur de pics extrêmes. La volatilité annualisée de 49,6% classe le titre dans la catégorie des valeurs très volatiles (&gt;30%), ce qui est cohérent avec un titre en phase de redressement et de forte réévaluation.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(2 356 FCFA) et la MM50 (2 195,4 FCFA) sont toutes deux nettement inférieures au cours actuel (2 445 FCFA), et la MM20 est au-dessus de la MM50 — configuration haussière classique. Le cours évolue au-dessus de ses deux moyennes, ce qui confirme la dynamique positive et justifie la décision d'**Achat**.</w:t>
      </w:r>
    </w:p>
    <w:p>
      <w:pPr>
        <w:spacing w:after="120" w:line="276" w:lineRule="auto"/>
      </w:pPr>
      <w:r>
        <w:t>**Bandes de Bollinger** : Le cours (2 445 FCFA) se situe à proximité de la borne supérieure (2 490,54 FCFA) tout en restant dans le canal, avec une borne inférieure à 2 221,46 FCFA. Cette position haute indique une pression acheteuse soutenue mais un potentiel de correction à court terme si le cours ne parvient pas à franchir la borne supérieure. La décision est **Neutre**, traduisant une prudence face à un possible essoufflement.</w:t>
      </w:r>
    </w:p>
    <w:p>
      <w:pPr>
        <w:spacing w:after="120" w:line="276" w:lineRule="auto"/>
      </w:pPr>
      <w:r>
        <w:t>**MACD** : La valeur du MACD (34,06) est inférieure à son signal (43,103), générant un croisement baissier — bien que les deux restent en territoire positif. Ce divergence signale un ralentissement du momentum haussier et justifie la décision de **Vente** à court terme, sans invalider la tendance de fond.</w:t>
      </w:r>
    </w:p>
    <w:p>
      <w:pPr>
        <w:spacing w:after="120" w:line="276" w:lineRule="auto"/>
      </w:pPr>
      <w:r>
        <w:t>**RSI** : À 59,223, le RSI se situe en zone neutre (30-70), sans signal de surachat (&gt;70) ni de survente (&lt;30). Cette configuration indique que le titre conserve un potentiel de hausse sans être excessivement tendu, justifiant la décision **Neutre**.</w:t>
      </w:r>
    </w:p>
    <w:p>
      <w:pPr>
        <w:spacing w:after="120" w:line="276" w:lineRule="auto"/>
      </w:pPr>
      <w:r>
        <w:t>**Stochastique** : Le %K (100,0) est au-dessus du %D (91,667), mais les deux sont en zone de surachat extrême (&gt;80), avec un %K au maximum. Cette configuration signale un risque imminent de correction, justifiant la décision de **Vente** à court terme.</w:t>
      </w:r>
    </w:p>
    <w:p>
      <w:pPr>
        <w:spacing w:after="120" w:line="276" w:lineRule="auto"/>
      </w:pPr>
      <w:r>
        <w:t>**Conclusion technique** : Les indicateurs sont partagés — les moyennes mobiles confirment la tendance haussière de fond, mais le MACD, le stochastique et la position du cours dans les bandes de Bollinger signalent un essoufflement à court terme. Le RSI neutre laisse une marge de manœuvre, mais la convergence des signaux baissiers à court terme (MACD, stochastique) suggère une consolidation probable avant une nouvelle impulsion. La tendance de moyen terme reste haussière, mais un repli vers la MM20 (2 356 FCFA) est envisageable.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2024, UNXC a enregistré un chiffre d'affaires de 27,333 milliards FCFA, en baisse de -7,93% par rapport à 2023, avec un résultat net négatif de -2,189 milliards FCFA (marge nette de -8,01%) et un ROE de -14,04% — une dégradation marquée par rapport à 2021 (CA de 38,2 milliards, résultat net de 1,4 milliard, ROE positif). Les données structurées 2024 révèlent une structure financière encore solide (autonomie financière de 45,53%, liquidité générale de 126,23%, solvabilité de 183,60%), mais une rentabilité opérationnelle négative (EBE de -352,22 millions FCFA, résultat d'exploitation de -2,136 milliards FCFA) et un BFR de 2,149 milliards FCFA. Les délais d'exploitation sont préoccupants : délai clients de 51 jours (risque de trésorerie modéré), délai fournisseurs de 268 jours (favorable à la trésorerie) et durée de stockage de 255 jours (immobilisation de capital très élevée). Le rapport annuel 2025 (publié en 2025) marque une inflexion majeure : le CA progresse à 29,03 milliards FCFA (+6,2%), l'EBE redevient positif à 1,13 milliard FCFA, et la perte nette est réduite de 71% à -624 millions FCFA — bien que le désendettement fournisseurs (14,9 Md → 5,0 Md) ait été financé par des cessions d'actifs non récurrentes (+10,5 milliards). Le rapport S1 2026 (publié en 2026) confirme le redressement : CA de 15,752 milliards FCFA (+0,3%), résultat d'exploitation redevenu positif à 771 millions FCFA (contre -314 millions au S1 2025), et résultat net de 771 millions FCFA — ce dernier étant toutefois à comparer aux 8,2 milliards du S1 2025, qui incluaient une plus-value exceptionnelle de cession de près de 10 milliards. On estime donc que l'exercice 2026 devrait confirmer le retour à une rentabilité opérationnelle positive, avec un résultat net normalisé autour de 1,5 à 2 milliards FCFA, hors éléments exceptionnels. La recommandation fondamentale est **CONSERVER avec biais acheteur** : la solidité financière est restaurée, le redressement opérationnel est engagé, mais la valorisation actuelle (P/B de 3,25x) intègre déjà une large part du scénario optimiste, et la durabilité de la rentabilité opérationnelle reste à confirmer sur l'ensemble de l'exercice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profil atypique : PER négatif en raison des pertes 2024, mais P/B de 3,25x qui traduit une prime de croissance significative — le marché anticipe déjà le redressement, ce qui limite le potentiel de réévaluation supplémentaire à court terme. Le comportement du cours (Partie 1) est nettement haussier (+31,10% sur 100 jours), avec une volatilité élevée (49,6%) et une distribution symétrique (skewness de -0,018) sans risque de pics extrêmes (kurtosis de -0,440), ce qui est plutôt rassurant pour la stabilité du titre. Les signaux techniques (Partie 2) sont divergents : les moyennes mobiles confirment la tendance haussière de fond, mais le MACD (croisement baissier), le stochastique (surachat extrême à 100) et la position du cours près de la borne supérieure de Bollinger signalent un essoufflement à court terme — une consolidation vers 2 350-2 400 FCFA est probable. Les fondamentaux (Partie 3) montrent un redressement réel et documenté (EBE positif en 2025, résultat d'exploitation positif au S1 2026), mais la rentabilité reste fragile et dépendante d'éléments non récurrents (cessions d'actifs), avec un résultat net normalisé encore modeste. Les prédictions IA (J+1 à J+10) anticipent une trajectoire baissière graduelle de 2 371 FCFA à 2 334 FCFA, confirmant la thèse d'une consolidation à court terme. **Recommandation finale : CONSERVER** — la convergence entre la prédiction IA baissière à court terme, les signaux techniques de surachat (MACD, stochastique) et la valorisation déjà exigeante (P/B de 3,25x) plaide pour une prise de bénéfices partielle ou une attente d'un point d'entrée plus favorable. Le niveau de confiance est **Moyen** (les fondamentaux sont encourageants mais la visibilité reste limitée), le risque global est **Élevé** (volatilité de 49,6%, dépendance aux marchés d'exportation, rentabilité non encore stabilisée), et l'horizon optimal est **moyen terme (3-12 mois)** , le temps que la rentabilité opérationnelle se confirme sur un exercice complet et que la valorisation s'ajuste aux résultats normalisés. Un investisseur déjà positionné peut conserver en surveillant le support des 2 350 FCFA (MM20) ; un nouvel investisseur attendra un repli vers 2 200-2 300 FCFA pour améliorer son point d'entrée.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- 48 sociétés analysées.</w:t>
      </w:r>
    </w:p>
    <w:p/>
    <w:p>
      <w:pPr>
        <w:jc w:val="center"/>
      </w:pPr>
      <w:r>
        <w:rPr>
          <w:i/>
          <w:color w:val="808080"/>
          <w:sz w:val="16"/>
        </w:rPr>
        <w:t xml:space="preserve">Analyse Multi-AI - </w:t>
      </w:r>
      <w:r>
        <w:rPr>
          <w:i/>
        </w:rPr>
        <w:t xml:space="preserve">DeepSeek: 49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