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16/09/2026 à 09:25</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BOAC  (score 80/100)</w:t>
      </w:r>
    </w:p>
    <w:p>
      <w:pPr>
        <w:spacing w:before="20" w:after="20"/>
        <w:ind w:left="360" w:right="360"/>
        <w:shd w:val="clear" w:color="auto" w:fill="EBF5FB"/>
      </w:pPr>
      <w:r>
        <w:rPr>
          <w:b/>
          <w:sz w:val="19"/>
        </w:rPr>
        <w:t xml:space="preserve">Secteur surperformant :  </w:t>
      </w:r>
      <w:r>
        <w:rPr>
          <w:color w:val="008000"/>
          <w:sz w:val="19"/>
        </w:rPr>
        <w:t>SERVICES PUBLICS  (+104.0%)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6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552.96 points </w:t>
      </w:r>
      <w:r>
        <w:rPr>
          <w:color w:val="C00000"/>
        </w:rPr>
        <w:t>(-0.53%)</w:t>
      </w:r>
      <w:r>
        <w:t xml:space="preserve"> sur la séance. </w:t>
      </w:r>
      <w:r>
        <w:t>La capitalisation globale du marché atteint 21 322,837 milliards FCFA.</w:t>
      </w:r>
    </w:p>
    <w:p/>
    <w:p>
      <w:pPr>
        <w:pStyle w:val="Heading3"/>
      </w:pPr>
      <w:r>
        <w:t>📊 Évolution de l'indice BRVM Composite (100 derniers jours)</w:t>
      </w:r>
    </w:p>
    <w:p>
      <w:r>
        <w:rPr>
          <w:b/>
        </w:rPr>
        <w:t xml:space="preserve">BRVM Composite — </w:t>
      </w:r>
      <w:r>
        <w:t xml:space="preserve">Sur les 100 derniers jours de cotation (2026-04-21 au 2026-09-15), l'indice BRVM Composite a évolué de </w:t>
      </w:r>
      <w:r>
        <w:rPr>
          <w:b/>
          <w:color w:val="008000"/>
        </w:rPr>
        <w:t>+37.37%</w:t>
      </w:r>
      <w:r>
        <w:t>, passant de 402.52 pts à 552.96 pts. Le plus haut atteint est 555.90 pts et le plus bas 400.91 pts. Sur l'ensemble de la période, la moyenne de l'indice s'établit à 464.85 pts, la médiane à 460.38 pts et le mode à 400.91 pts</w:t>
      </w:r>
      <w:r>
        <w:t xml:space="preserve"> (asymétrie positive — plus de jours sous la moyenne). </w:t>
      </w:r>
      <w:r>
        <w:t xml:space="preserve">L'écart-type de 46.65 pts (CV=10.0%) traduit une modérée dispersion des cotations. Le kurtosis de -0.89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+37.39%</w:t>
      </w:r>
      <w:r>
        <w:t xml:space="preserve"> sur la période, passant de 15 519,675 Mds FCFA à 21 322,837 Mds FCFA. Le pic de capitalisation observé est de 21 436,336 Mds FCFA et le plancher de 15 457,261 Mds FCFA. La moyenne de la capitalisation sur la période s'établit à 17 916,070 Mds FCFA, la médiane à 17 735,249 Mds FCFA et le mode à 15 457,261 Mds FCFA</w:t>
      </w:r>
      <w:r>
        <w:t xml:space="preserve"> (asymétrie positive). </w:t>
      </w:r>
      <w:r>
        <w:t>L'écart-type de 1 800,522 Mds FCFA (CV=10.0%) reflète une modérée variabilité de la valorisation du marché. Le kurtosis de -0.88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LNBB - LNBB - LOTERIE NATIONALE DU BENIN</w:t>
      </w:r>
      <w:r>
        <w:t xml:space="preserve"> | Prix: 3955 FCFA | </w:t>
      </w:r>
      <w:r>
        <w:rPr>
          <w:b/>
          <w:color w:val="008000"/>
        </w:rPr>
        <w:t>ACHAT FORT</w:t>
      </w:r>
      <w:r>
        <w:t xml:space="preserve"> | Confiance: Faible | Risque: Faible</w:t>
      </w:r>
    </w:p>
    <w:p>
      <w:pPr>
        <w:pStyle w:val="ListNumber"/>
      </w:pPr>
      <w:r>
        <w:rPr>
          <w:b/>
        </w:rPr>
        <w:t>ABJC - ABJC - SERVAIR ABIDJAN CI</w:t>
      </w:r>
      <w:r>
        <w:t xml:space="preserve"> | Prix: 4015 FCFA | </w:t>
      </w:r>
      <w:r>
        <w:rPr>
          <w:b/>
          <w:color w:val="008000"/>
        </w:rPr>
        <w:t>ACHAT</w:t>
      </w:r>
      <w:r>
        <w:t xml:space="preserve"> | Confiance: Moyen | Risque: Moyen</w:t>
      </w:r>
    </w:p>
    <w:p>
      <w:pPr>
        <w:pStyle w:val="ListNumber"/>
      </w:pPr>
      <w:r>
        <w:rPr>
          <w:b/>
        </w:rPr>
        <w:t>BICB - BIIC BN - Banque internationale pour le commerce du benin</w:t>
      </w:r>
      <w:r>
        <w:t xml:space="preserve"> | Prix: 10550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31050 FCFA | </w:t>
      </w:r>
      <w:r>
        <w:rPr>
          <w:b/>
          <w:color w:val="008000"/>
        </w:rPr>
        <w:t>ACHAT</w:t>
      </w:r>
      <w:r>
        <w:t xml:space="preserve"> | Confiance: Élevée | Risque: Faible</w:t>
      </w:r>
    </w:p>
    <w:p>
      <w:pPr>
        <w:pStyle w:val="ListNumber"/>
      </w:pPr>
      <w:r>
        <w:rPr>
          <w:b/>
        </w:rPr>
        <w:t>BNBC - BNBC - BERNABE CI</w:t>
      </w:r>
      <w:r>
        <w:t xml:space="preserve"> | Prix: 2275 FCFA | </w:t>
      </w:r>
      <w:r>
        <w:rPr>
          <w:b/>
          <w:color w:val="008000"/>
        </w:rPr>
        <w:t>ACHAT</w:t>
      </w:r>
      <w:r>
        <w:t xml:space="preserve"> | Confiance: Moyen | Risque: Moyen</w:t>
      </w:r>
    </w:p>
    <w:p>
      <w:pPr>
        <w:pStyle w:val="ListNumber"/>
      </w:pPr>
      <w:r>
        <w:rPr>
          <w:b/>
        </w:rPr>
        <w:t>BOAB - BANK OF AFRICA BENIN</w:t>
      </w:r>
      <w:r>
        <w:t xml:space="preserve"> | Prix: 10200 FCFA | </w:t>
      </w:r>
      <w:r>
        <w:rPr>
          <w:b/>
          <w:color w:val="008000"/>
        </w:rPr>
        <w:t>ACHAT</w:t>
      </w:r>
      <w:r>
        <w:t xml:space="preserve"> | Confiance: Moyen | Risque: Moyen</w:t>
      </w:r>
    </w:p>
    <w:p>
      <w:pPr>
        <w:pStyle w:val="ListNumber"/>
      </w:pPr>
      <w:r>
        <w:rPr>
          <w:b/>
        </w:rPr>
        <w:t>BOABF - BANK OF AFRICA BURKINA FASO</w:t>
      </w:r>
      <w:r>
        <w:t xml:space="preserve"> | Prix: 8495 FCFA | </w:t>
      </w:r>
      <w:r>
        <w:rPr>
          <w:b/>
          <w:color w:val="008000"/>
        </w:rPr>
        <w:t>ACHAT</w:t>
      </w:r>
      <w:r>
        <w:t xml:space="preserve"> | Confiance: Élevée | Risque: Moyen</w:t>
      </w:r>
    </w:p>
    <w:p>
      <w:pPr>
        <w:pStyle w:val="ListNumber"/>
      </w:pPr>
      <w:r>
        <w:rPr>
          <w:b/>
        </w:rPr>
        <w:t>BOAC - BANK OF AFRICA COTE D'IVOIRE</w:t>
      </w:r>
      <w:r>
        <w:t xml:space="preserve"> | Prix: 12200 FCFA | </w:t>
      </w:r>
      <w:r>
        <w:rPr>
          <w:b/>
          <w:color w:val="008000"/>
        </w:rPr>
        <w:t>ACHAT</w:t>
      </w:r>
      <w:r>
        <w:t xml:space="preserve"> | Confiance: Élevée | Risque: Moyen</w:t>
      </w:r>
    </w:p>
    <w:p>
      <w:pPr>
        <w:pStyle w:val="ListNumber"/>
      </w:pPr>
      <w:r>
        <w:rPr>
          <w:b/>
        </w:rPr>
        <w:t>BOAM - BANK OF AFRICA MALI</w:t>
      </w:r>
      <w:r>
        <w:t xml:space="preserve"> | Prix: 7000 FCFA | </w:t>
      </w:r>
      <w:r>
        <w:rPr>
          <w:b/>
          <w:color w:val="008000"/>
        </w:rPr>
        <w:t>ACHAT</w:t>
      </w:r>
      <w:r>
        <w:t xml:space="preserve"> | Confiance: Élevée | Risque: Faible</w:t>
      </w:r>
    </w:p>
    <w:p>
      <w:pPr>
        <w:pStyle w:val="ListNumber"/>
      </w:pPr>
      <w:r>
        <w:rPr>
          <w:b/>
        </w:rPr>
        <w:t>BOAN - BANK OF AFRICA NIGER</w:t>
      </w:r>
      <w:r>
        <w:t xml:space="preserve"> | Prix: 5360 FCFA | </w:t>
      </w:r>
      <w:r>
        <w:rPr>
          <w:b/>
          <w:color w:val="008000"/>
        </w:rPr>
        <w:t>ACHAT</w:t>
      </w:r>
      <w:r>
        <w:t xml:space="preserve"> | Confiance: Élevée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104.05%</w:t>
      </w:r>
      <w:r>
        <w:t xml:space="preserve">  |  </w:t>
      </w:r>
      <w:r>
        <w:rPr>
          <w:b/>
        </w:rPr>
        <w:t xml:space="preserve">vs BRVM Composite: </w:t>
      </w:r>
      <w:r>
        <w:rPr>
          <w:b/>
          <w:color w:val="008000"/>
        </w:rPr>
        <w:t>+66.67%  🟢 Surperformance</w:t>
      </w:r>
      <w:r>
        <w:br/>
      </w:r>
      <w:r>
        <w:rPr>
          <w:b/>
        </w:rPr>
        <w:t xml:space="preserve">Sentiment général: </w:t>
      </w:r>
      <w:r>
        <w:t xml:space="preserve">ACHAT  |  </w:t>
      </w:r>
      <w:r>
        <w:rPr>
          <w:b/>
        </w:rPr>
        <w:t xml:space="preserve">Risque moyen: </w:t>
      </w:r>
      <w:r>
        <w:t xml:space="preserve">Moyen  |  </w:t>
      </w:r>
      <w:r>
        <w:rPr>
          <w:b/>
        </w:rPr>
        <w:t xml:space="preserve">Prix moyen: </w:t>
      </w:r>
      <w:r>
        <w:t>10342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46.45%</w:t>
      </w:r>
      <w:r>
        <w:t xml:space="preserve">  |  </w:t>
      </w:r>
      <w:r>
        <w:rPr>
          <w:b/>
        </w:rPr>
        <w:t xml:space="preserve">vs BRVM Composite: </w:t>
      </w:r>
      <w:r>
        <w:rPr>
          <w:b/>
          <w:color w:val="008000"/>
        </w:rPr>
        <w:t>+9.07%  🟢 Surperformance</w:t>
      </w:r>
      <w:r>
        <w:br/>
      </w:r>
      <w:r>
        <w:rPr>
          <w:b/>
        </w:rPr>
        <w:t xml:space="preserve">Sentiment général: </w:t>
      </w:r>
      <w:r>
        <w:t xml:space="preserve">ACHAT  |  </w:t>
      </w:r>
      <w:r>
        <w:rPr>
          <w:b/>
        </w:rPr>
        <w:t xml:space="preserve">Risque moyen: </w:t>
      </w:r>
      <w:r>
        <w:t xml:space="preserve">Moyen  |  </w:t>
      </w:r>
      <w:r>
        <w:rPr>
          <w:b/>
        </w:rPr>
        <w:t xml:space="preserve">Prix moyen: </w:t>
      </w:r>
      <w:r>
        <w:t>14012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37.45%</w:t>
      </w:r>
      <w:r>
        <w:t xml:space="preserve">  |  </w:t>
      </w:r>
      <w:r>
        <w:rPr>
          <w:b/>
        </w:rPr>
        <w:t xml:space="preserve">vs BRVM Composite: </w:t>
      </w:r>
      <w:r>
        <w:rPr>
          <w:b/>
          <w:color w:val="008000"/>
        </w:rPr>
        <w:t>+0.08%  🟢 Surperformance</w:t>
      </w:r>
      <w:r>
        <w:br/>
      </w:r>
      <w:r>
        <w:rPr>
          <w:b/>
        </w:rPr>
        <w:t xml:space="preserve">Sentiment général: </w:t>
      </w:r>
      <w:r>
        <w:t xml:space="preserve">ACHAT  |  </w:t>
      </w:r>
      <w:r>
        <w:rPr>
          <w:b/>
        </w:rPr>
        <w:t xml:space="preserve">Risque moyen: </w:t>
      </w:r>
      <w:r>
        <w:t xml:space="preserve">Moyen  |  </w:t>
      </w:r>
      <w:r>
        <w:rPr>
          <w:b/>
        </w:rPr>
        <w:t xml:space="preserve">Prix moyen: </w:t>
      </w:r>
      <w:r>
        <w:t>7166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31.52%</w:t>
      </w:r>
      <w:r>
        <w:t xml:space="preserve">  |  </w:t>
      </w:r>
      <w:r>
        <w:rPr>
          <w:b/>
        </w:rPr>
        <w:t xml:space="preserve">vs BRVM Composite: </w:t>
      </w:r>
      <w:r>
        <w:rPr>
          <w:b/>
          <w:color w:val="C00000"/>
        </w:rPr>
        <w:t>-5.85%  🔴 Sous-performance</w:t>
      </w:r>
      <w:r>
        <w:br/>
      </w:r>
      <w:r>
        <w:rPr>
          <w:b/>
        </w:rPr>
        <w:t xml:space="preserve">Sentiment général: </w:t>
      </w:r>
      <w:r>
        <w:t xml:space="preserve">ACHAT  |  </w:t>
      </w:r>
      <w:r>
        <w:rPr>
          <w:b/>
        </w:rPr>
        <w:t xml:space="preserve">Risque moyen: </w:t>
      </w:r>
      <w:r>
        <w:t xml:space="preserve">Moyen  |  </w:t>
      </w:r>
      <w:r>
        <w:rPr>
          <w:b/>
        </w:rPr>
        <w:t xml:space="preserve">Prix moyen: </w:t>
      </w:r>
      <w:r>
        <w:t>21538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28.46%</w:t>
      </w:r>
      <w:r>
        <w:t xml:space="preserve">  |  </w:t>
      </w:r>
      <w:r>
        <w:rPr>
          <w:b/>
        </w:rPr>
        <w:t xml:space="preserve">vs BRVM Composite: </w:t>
      </w:r>
      <w:r>
        <w:rPr>
          <w:b/>
          <w:color w:val="C00000"/>
        </w:rPr>
        <w:t>-8.91%  🔴 Sous-performance</w:t>
      </w:r>
      <w:r>
        <w:br/>
      </w:r>
      <w:r>
        <w:rPr>
          <w:b/>
        </w:rPr>
        <w:t xml:space="preserve">Sentiment général: </w:t>
      </w:r>
      <w:r>
        <w:t xml:space="preserve">ACHAT  |  </w:t>
      </w:r>
      <w:r>
        <w:rPr>
          <w:b/>
        </w:rPr>
        <w:t xml:space="preserve">Risque moyen: </w:t>
      </w:r>
      <w:r>
        <w:t xml:space="preserve">Moyen  |  </w:t>
      </w:r>
      <w:r>
        <w:rPr>
          <w:b/>
        </w:rPr>
        <w:t xml:space="preserve">Prix moyen: </w:t>
      </w:r>
      <w:r>
        <w:t>3075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22.75%</w:t>
      </w:r>
      <w:r>
        <w:t xml:space="preserve">  |  </w:t>
      </w:r>
      <w:r>
        <w:rPr>
          <w:b/>
        </w:rPr>
        <w:t xml:space="preserve">vs BRVM Composite: </w:t>
      </w:r>
      <w:r>
        <w:rPr>
          <w:b/>
          <w:color w:val="C00000"/>
        </w:rPr>
        <w:t>-14.62%  🔴 Sous-performance</w:t>
      </w:r>
      <w:r>
        <w:br/>
      </w:r>
      <w:r>
        <w:rPr>
          <w:b/>
        </w:rPr>
        <w:t xml:space="preserve">Sentiment général: </w:t>
      </w:r>
      <w:r>
        <w:t xml:space="preserve">ACHAT  |  </w:t>
      </w:r>
      <w:r>
        <w:rPr>
          <w:b/>
        </w:rPr>
        <w:t xml:space="preserve">Risque moyen: </w:t>
      </w:r>
      <w:r>
        <w:t xml:space="preserve">Faible  |  </w:t>
      </w:r>
      <w:r>
        <w:rPr>
          <w:b/>
        </w:rPr>
        <w:t xml:space="preserve">Prix moyen: </w:t>
      </w:r>
      <w:r>
        <w:t>18423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2.20%</w:t>
      </w:r>
      <w:r>
        <w:t xml:space="preserve">  |  </w:t>
      </w:r>
      <w:r>
        <w:rPr>
          <w:b/>
        </w:rPr>
        <w:t xml:space="preserve">vs BRVM Composite: </w:t>
      </w:r>
      <w:r>
        <w:rPr>
          <w:b/>
          <w:color w:val="C00000"/>
        </w:rPr>
        <w:t>-35.17%  🔴 Sous-performance</w:t>
      </w:r>
      <w:r>
        <w:br/>
      </w:r>
      <w:r>
        <w:rPr>
          <w:b/>
        </w:rPr>
        <w:t xml:space="preserve">Sentiment général: </w:t>
      </w:r>
      <w:r>
        <w:t xml:space="preserve">ACHAT  |  </w:t>
      </w:r>
      <w:r>
        <w:rPr>
          <w:b/>
        </w:rPr>
        <w:t xml:space="preserve">Risque moyen: </w:t>
      </w:r>
      <w:r>
        <w:t xml:space="preserve">Faible  |  </w:t>
      </w:r>
      <w:r>
        <w:rPr>
          <w:b/>
        </w:rPr>
        <w:t xml:space="preserve">Prix moyen: </w:t>
      </w:r>
      <w:r>
        <w:t>2464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BOABF, BOAC, BOAM, BOAN, CABC, ETIT, FTSC, ORAC, SAFC, SDCC, SDSC, SGBC, SPHC, STAC, STBC, TTLC, UNLC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BNBC, BOAB, BOAS, CBIBF, CFAC, CIEC, ECOC, NEIC, NSBC, NTLC, ONTBF, ORGT, PALC, SCRC, SEMC, SIBC, SIVC, SMBC, SNTS, SOGC,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LNBB, PRSC, SHEC, SICC, SLBC, TTLS</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1239328</w:t>
            </w:r>
          </w:p>
        </w:tc>
        <w:tc>
          <w:tcPr>
            <w:tcW w:type="dxa" w:w="1728"/>
          </w:tcPr>
          <w:p>
            <w:r>
              <w:t>83841049 FCFA</w:t>
            </w:r>
          </w:p>
        </w:tc>
        <w:tc>
          <w:tcPr>
            <w:tcW w:type="dxa" w:w="1728"/>
          </w:tcPr>
          <w:p>
            <w:r>
              <w:t>144.83%</w:t>
            </w:r>
          </w:p>
        </w:tc>
        <w:tc>
          <w:tcPr>
            <w:tcW w:type="dxa" w:w="1728"/>
          </w:tcPr>
          <w:p>
            <w:r>
              <w:t>ACHAT</w:t>
            </w:r>
          </w:p>
        </w:tc>
      </w:tr>
      <w:tr>
        <w:tc>
          <w:tcPr>
            <w:tcW w:type="dxa" w:w="1728"/>
          </w:tcPr>
          <w:p>
            <w:r>
              <w:t>BICB (BIIC BN - Banque internationale pour le commerce du benin)</w:t>
            </w:r>
          </w:p>
        </w:tc>
        <w:tc>
          <w:tcPr>
            <w:tcW w:type="dxa" w:w="1728"/>
          </w:tcPr>
          <w:p>
            <w:r>
              <w:t>19192</w:t>
            </w:r>
          </w:p>
        </w:tc>
        <w:tc>
          <w:tcPr>
            <w:tcW w:type="dxa" w:w="1728"/>
          </w:tcPr>
          <w:p>
            <w:r>
              <w:t>170634133 FCFA</w:t>
            </w:r>
          </w:p>
        </w:tc>
        <w:tc>
          <w:tcPr>
            <w:tcW w:type="dxa" w:w="1728"/>
          </w:tcPr>
          <w:p>
            <w:r>
              <w:t>106.86%</w:t>
            </w:r>
          </w:p>
        </w:tc>
        <w:tc>
          <w:tcPr>
            <w:tcW w:type="dxa" w:w="1728"/>
          </w:tcPr>
          <w:p>
            <w:r>
              <w:t>ACHAT</w:t>
            </w:r>
          </w:p>
        </w:tc>
      </w:tr>
      <w:tr>
        <w:tc>
          <w:tcPr>
            <w:tcW w:type="dxa" w:w="1728"/>
          </w:tcPr>
          <w:p>
            <w:r>
              <w:t>SDSC (SDSC - AFRICA GLOBAL LOGISTICS CI)</w:t>
            </w:r>
          </w:p>
        </w:tc>
        <w:tc>
          <w:tcPr>
            <w:tcW w:type="dxa" w:w="1728"/>
          </w:tcPr>
          <w:p>
            <w:r>
              <w:t>18411</w:t>
            </w:r>
          </w:p>
        </w:tc>
        <w:tc>
          <w:tcPr>
            <w:tcW w:type="dxa" w:w="1728"/>
          </w:tcPr>
          <w:p>
            <w:r>
              <w:t>52006719 FCFA</w:t>
            </w:r>
          </w:p>
        </w:tc>
        <w:tc>
          <w:tcPr>
            <w:tcW w:type="dxa" w:w="1728"/>
          </w:tcPr>
          <w:p>
            <w:r>
              <w:t>66.20%</w:t>
            </w:r>
          </w:p>
        </w:tc>
        <w:tc>
          <w:tcPr>
            <w:tcW w:type="dxa" w:w="1728"/>
          </w:tcPr>
          <w:p>
            <w:r>
              <w:t>ACHAT</w:t>
            </w:r>
          </w:p>
        </w:tc>
      </w:tr>
      <w:tr>
        <w:tc>
          <w:tcPr>
            <w:tcW w:type="dxa" w:w="1728"/>
          </w:tcPr>
          <w:p>
            <w:r>
              <w:t>SIBC (SIBC - SOCIETE IVOIRIENNE DE BANQUE)</w:t>
            </w:r>
          </w:p>
        </w:tc>
        <w:tc>
          <w:tcPr>
            <w:tcW w:type="dxa" w:w="1728"/>
          </w:tcPr>
          <w:p>
            <w:r>
              <w:t>15136</w:t>
            </w:r>
          </w:p>
        </w:tc>
        <w:tc>
          <w:tcPr>
            <w:tcW w:type="dxa" w:w="1728"/>
          </w:tcPr>
          <w:p>
            <w:r>
              <w:t>138347242 FCFA</w:t>
            </w:r>
          </w:p>
        </w:tc>
        <w:tc>
          <w:tcPr>
            <w:tcW w:type="dxa" w:w="1728"/>
          </w:tcPr>
          <w:p>
            <w:r>
              <w:t>31.24%</w:t>
            </w:r>
          </w:p>
        </w:tc>
        <w:tc>
          <w:tcPr>
            <w:tcW w:type="dxa" w:w="1728"/>
          </w:tcPr>
          <w:p>
            <w:r>
              <w:t>ACHAT</w:t>
            </w:r>
          </w:p>
        </w:tc>
      </w:tr>
      <w:tr>
        <w:tc>
          <w:tcPr>
            <w:tcW w:type="dxa" w:w="1728"/>
          </w:tcPr>
          <w:p>
            <w:r>
              <w:t>BOAS (BANK OF AFRICA SENEGAL)</w:t>
            </w:r>
          </w:p>
        </w:tc>
        <w:tc>
          <w:tcPr>
            <w:tcW w:type="dxa" w:w="1728"/>
          </w:tcPr>
          <w:p>
            <w:r>
              <w:t>15105</w:t>
            </w:r>
          </w:p>
        </w:tc>
        <w:tc>
          <w:tcPr>
            <w:tcW w:type="dxa" w:w="1728"/>
          </w:tcPr>
          <w:p>
            <w:r>
              <w:t>122632733 FCFA</w:t>
            </w:r>
          </w:p>
        </w:tc>
        <w:tc>
          <w:tcPr>
            <w:tcW w:type="dxa" w:w="1728"/>
          </w:tcPr>
          <w:p>
            <w:r>
              <w:t>22.24%</w:t>
            </w:r>
          </w:p>
        </w:tc>
        <w:tc>
          <w:tcPr>
            <w:tcW w:type="dxa" w:w="1728"/>
          </w:tcPr>
          <w:p>
            <w:r>
              <w:t>ACHAT</w:t>
            </w:r>
          </w:p>
        </w:tc>
      </w:tr>
      <w:tr>
        <w:tc>
          <w:tcPr>
            <w:tcW w:type="dxa" w:w="1728"/>
          </w:tcPr>
          <w:p>
            <w:r>
              <w:t>UNXC (UNXC - UNIWAX COTE D'IVOIRE)</w:t>
            </w:r>
          </w:p>
        </w:tc>
        <w:tc>
          <w:tcPr>
            <w:tcW w:type="dxa" w:w="1728"/>
          </w:tcPr>
          <w:p>
            <w:r>
              <w:t>14302</w:t>
            </w:r>
          </w:p>
        </w:tc>
        <w:tc>
          <w:tcPr>
            <w:tcW w:type="dxa" w:w="1728"/>
          </w:tcPr>
          <w:p>
            <w:r>
              <w:t>34140459 FCFA</w:t>
            </w:r>
          </w:p>
        </w:tc>
        <w:tc>
          <w:tcPr>
            <w:tcW w:type="dxa" w:w="1728"/>
          </w:tcPr>
          <w:p>
            <w:r>
              <w:t>26.93%</w:t>
            </w:r>
          </w:p>
        </w:tc>
        <w:tc>
          <w:tcPr>
            <w:tcW w:type="dxa" w:w="1728"/>
          </w:tcPr>
          <w:p>
            <w:r>
              <w:t>ACHAT</w:t>
            </w:r>
          </w:p>
        </w:tc>
      </w:tr>
      <w:tr>
        <w:tc>
          <w:tcPr>
            <w:tcW w:type="dxa" w:w="1728"/>
          </w:tcPr>
          <w:p>
            <w:r>
              <w:t>SNTS (SNTS - SONATEL SN)</w:t>
            </w:r>
          </w:p>
        </w:tc>
        <w:tc>
          <w:tcPr>
            <w:tcW w:type="dxa" w:w="1728"/>
          </w:tcPr>
          <w:p>
            <w:r>
              <w:t>12416</w:t>
            </w:r>
          </w:p>
        </w:tc>
        <w:tc>
          <w:tcPr>
            <w:tcW w:type="dxa" w:w="1728"/>
          </w:tcPr>
          <w:p>
            <w:r>
              <w:t>456651975 FCFA</w:t>
            </w:r>
          </w:p>
        </w:tc>
        <w:tc>
          <w:tcPr>
            <w:tcW w:type="dxa" w:w="1728"/>
          </w:tcPr>
          <w:p>
            <w:r>
              <w:t>37.70%</w:t>
            </w:r>
          </w:p>
        </w:tc>
        <w:tc>
          <w:tcPr>
            <w:tcW w:type="dxa" w:w="1728"/>
          </w:tcPr>
          <w:p>
            <w:r>
              <w:t>ACHAT</w:t>
            </w:r>
          </w:p>
        </w:tc>
      </w:tr>
      <w:tr>
        <w:tc>
          <w:tcPr>
            <w:tcW w:type="dxa" w:w="1728"/>
          </w:tcPr>
          <w:p>
            <w:r>
              <w:t>BOAC (BANK OF AFRICA COTE D'IVOIRE)</w:t>
            </w:r>
          </w:p>
        </w:tc>
        <w:tc>
          <w:tcPr>
            <w:tcW w:type="dxa" w:w="1728"/>
          </w:tcPr>
          <w:p>
            <w:r>
              <w:t>11645</w:t>
            </w:r>
          </w:p>
        </w:tc>
        <w:tc>
          <w:tcPr>
            <w:tcW w:type="dxa" w:w="1728"/>
          </w:tcPr>
          <w:p>
            <w:r>
              <w:t>147389926 FCFA</w:t>
            </w:r>
          </w:p>
        </w:tc>
        <w:tc>
          <w:tcPr>
            <w:tcW w:type="dxa" w:w="1728"/>
          </w:tcPr>
          <w:p>
            <w:r>
              <w:t>43.61%</w:t>
            </w:r>
          </w:p>
        </w:tc>
        <w:tc>
          <w:tcPr>
            <w:tcW w:type="dxa" w:w="1728"/>
          </w:tcPr>
          <w:p>
            <w:r>
              <w:t>ACHAT</w:t>
            </w:r>
          </w:p>
        </w:tc>
      </w:tr>
      <w:tr>
        <w:tc>
          <w:tcPr>
            <w:tcW w:type="dxa" w:w="1728"/>
          </w:tcPr>
          <w:p>
            <w:r>
              <w:t>SPHC (SPHC - Société Africaine de Plantation d'Hévéas de Côte d'Ivoire)</w:t>
            </w:r>
          </w:p>
        </w:tc>
        <w:tc>
          <w:tcPr>
            <w:tcW w:type="dxa" w:w="1728"/>
          </w:tcPr>
          <w:p>
            <w:r>
              <w:t>10575</w:t>
            </w:r>
          </w:p>
        </w:tc>
        <w:tc>
          <w:tcPr>
            <w:tcW w:type="dxa" w:w="1728"/>
          </w:tcPr>
          <w:p>
            <w:r>
              <w:t>93232450 FCFA</w:t>
            </w:r>
          </w:p>
        </w:tc>
        <w:tc>
          <w:tcPr>
            <w:tcW w:type="dxa" w:w="1728"/>
          </w:tcPr>
          <w:p>
            <w:r>
              <w:t>11.22%</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SOGC (SOGC - Société des caoutchoucs de Grand-Béréby)</w:t>
            </w:r>
          </w:p>
        </w:tc>
        <w:tc>
          <w:tcPr>
            <w:tcW w:type="dxa" w:w="1728"/>
          </w:tcPr>
          <w:p>
            <w:r>
              <w:t>4245</w:t>
            </w:r>
          </w:p>
        </w:tc>
        <w:tc>
          <w:tcPr>
            <w:tcW w:type="dxa" w:w="1728"/>
          </w:tcPr>
          <w:p>
            <w:r>
              <w:t>34963642 FCFA</w:t>
            </w:r>
          </w:p>
        </w:tc>
        <w:tc>
          <w:tcPr>
            <w:tcW w:type="dxa" w:w="1728"/>
          </w:tcPr>
          <w:p>
            <w:r>
              <w:t>5.99%</w:t>
            </w:r>
          </w:p>
        </w:tc>
        <w:tc>
          <w:tcPr>
            <w:tcW w:type="dxa" w:w="1728"/>
          </w:tcPr>
          <w:p>
            <w:r>
              <w:t>ACHAT</w:t>
            </w:r>
          </w:p>
        </w:tc>
      </w:tr>
      <w:tr>
        <w:tc>
          <w:tcPr>
            <w:tcW w:type="dxa" w:w="1728"/>
          </w:tcPr>
          <w:p>
            <w:r>
              <w:t>NSBC (NSBC - NSIA BANQUE COTE D'IVOIRE)</w:t>
            </w:r>
          </w:p>
        </w:tc>
        <w:tc>
          <w:tcPr>
            <w:tcW w:type="dxa" w:w="1728"/>
          </w:tcPr>
          <w:p>
            <w:r>
              <w:t>4035</w:t>
            </w:r>
          </w:p>
        </w:tc>
        <w:tc>
          <w:tcPr>
            <w:tcW w:type="dxa" w:w="1728"/>
          </w:tcPr>
          <w:p>
            <w:r>
              <w:t>93969370 FCFA</w:t>
            </w:r>
          </w:p>
        </w:tc>
        <w:tc>
          <w:tcPr>
            <w:tcW w:type="dxa" w:w="1728"/>
          </w:tcPr>
          <w:p>
            <w:r>
              <w:t>73.70%</w:t>
            </w:r>
          </w:p>
        </w:tc>
        <w:tc>
          <w:tcPr>
            <w:tcW w:type="dxa" w:w="1728"/>
          </w:tcPr>
          <w:p>
            <w:r>
              <w:t>ACHAT</w:t>
            </w:r>
          </w:p>
        </w:tc>
      </w:tr>
      <w:tr>
        <w:tc>
          <w:tcPr>
            <w:tcW w:type="dxa" w:w="1728"/>
          </w:tcPr>
          <w:p>
            <w:r>
              <w:t>ECOC (ECOC - ECOBANK COTE D'IVOIRE)</w:t>
            </w:r>
          </w:p>
        </w:tc>
        <w:tc>
          <w:tcPr>
            <w:tcW w:type="dxa" w:w="1728"/>
          </w:tcPr>
          <w:p>
            <w:r>
              <w:t>4026</w:t>
            </w:r>
          </w:p>
        </w:tc>
        <w:tc>
          <w:tcPr>
            <w:tcW w:type="dxa" w:w="1728"/>
          </w:tcPr>
          <w:p>
            <w:r>
              <w:t>67122586 FCFA</w:t>
            </w:r>
          </w:p>
        </w:tc>
        <w:tc>
          <w:tcPr>
            <w:tcW w:type="dxa" w:w="1728"/>
          </w:tcPr>
          <w:p>
            <w:r>
              <w:t>7.21%</w:t>
            </w:r>
          </w:p>
        </w:tc>
        <w:tc>
          <w:tcPr>
            <w:tcW w:type="dxa" w:w="1728"/>
          </w:tcPr>
          <w:p>
            <w:r>
              <w:t>ACHAT</w:t>
            </w:r>
          </w:p>
        </w:tc>
      </w:tr>
      <w:tr>
        <w:tc>
          <w:tcPr>
            <w:tcW w:type="dxa" w:w="1728"/>
          </w:tcPr>
          <w:p>
            <w:r>
              <w:t>STBC (STBC - SITAB COTE D'IVOIRE)</w:t>
            </w:r>
          </w:p>
        </w:tc>
        <w:tc>
          <w:tcPr>
            <w:tcW w:type="dxa" w:w="1728"/>
          </w:tcPr>
          <w:p>
            <w:r>
              <w:t>3802</w:t>
            </w:r>
          </w:p>
        </w:tc>
        <w:tc>
          <w:tcPr>
            <w:tcW w:type="dxa" w:w="1728"/>
          </w:tcPr>
          <w:p>
            <w:r>
              <w:t>84257243 FCFA</w:t>
            </w:r>
          </w:p>
        </w:tc>
        <w:tc>
          <w:tcPr>
            <w:tcW w:type="dxa" w:w="1728"/>
          </w:tcPr>
          <w:p>
            <w:r>
              <w:t>4.78%</w:t>
            </w:r>
          </w:p>
        </w:tc>
        <w:tc>
          <w:tcPr>
            <w:tcW w:type="dxa" w:w="1728"/>
          </w:tcPr>
          <w:p>
            <w:r>
              <w:t>ACHAT</w:t>
            </w:r>
          </w:p>
        </w:tc>
      </w:tr>
      <w:tr>
        <w:tc>
          <w:tcPr>
            <w:tcW w:type="dxa" w:w="1728"/>
          </w:tcPr>
          <w:p>
            <w:r>
              <w:t>CFAC (CFAC - CFAO MOTORS CI)</w:t>
            </w:r>
          </w:p>
        </w:tc>
        <w:tc>
          <w:tcPr>
            <w:tcW w:type="dxa" w:w="1728"/>
          </w:tcPr>
          <w:p>
            <w:r>
              <w:t>3656</w:t>
            </w:r>
          </w:p>
        </w:tc>
        <w:tc>
          <w:tcPr>
            <w:tcW w:type="dxa" w:w="1728"/>
          </w:tcPr>
          <w:p>
            <w:r>
              <w:t>6249184 FCFA</w:t>
            </w:r>
          </w:p>
        </w:tc>
        <w:tc>
          <w:tcPr>
            <w:tcW w:type="dxa" w:w="1728"/>
          </w:tcPr>
          <w:p>
            <w:r>
              <w:t>8.81%</w:t>
            </w:r>
          </w:p>
        </w:tc>
        <w:tc>
          <w:tcPr>
            <w:tcW w:type="dxa" w:w="1728"/>
          </w:tcPr>
          <w:p>
            <w:r>
              <w:t>ACHAT</w:t>
            </w:r>
          </w:p>
        </w:tc>
      </w:tr>
      <w:tr>
        <w:tc>
          <w:tcPr>
            <w:tcW w:type="dxa" w:w="1728"/>
          </w:tcPr>
          <w:p>
            <w:r>
              <w:t>FTSC (FTSC - FILTISAC COTE D'IVOIRE)</w:t>
            </w:r>
          </w:p>
        </w:tc>
        <w:tc>
          <w:tcPr>
            <w:tcW w:type="dxa" w:w="1728"/>
          </w:tcPr>
          <w:p>
            <w:r>
              <w:t>3207</w:t>
            </w:r>
          </w:p>
        </w:tc>
        <w:tc>
          <w:tcPr>
            <w:tcW w:type="dxa" w:w="1728"/>
          </w:tcPr>
          <w:p>
            <w:r>
              <w:t>6833888 FCFA</w:t>
            </w:r>
          </w:p>
        </w:tc>
        <w:tc>
          <w:tcPr>
            <w:tcW w:type="dxa" w:w="1728"/>
          </w:tcPr>
          <w:p>
            <w:r>
              <w:t>-5.41%</w:t>
            </w:r>
          </w:p>
        </w:tc>
        <w:tc>
          <w:tcPr>
            <w:tcW w:type="dxa" w:w="1728"/>
          </w:tcPr>
          <w:p>
            <w:r>
              <w:t>ACHAT</w:t>
            </w:r>
          </w:p>
        </w:tc>
      </w:tr>
      <w:tr>
        <w:tc>
          <w:tcPr>
            <w:tcW w:type="dxa" w:w="1728"/>
          </w:tcPr>
          <w:p>
            <w:r>
              <w:t>PALC (PALC - PALM COTE D'IVOIRE)</w:t>
            </w:r>
          </w:p>
        </w:tc>
        <w:tc>
          <w:tcPr>
            <w:tcW w:type="dxa" w:w="1728"/>
          </w:tcPr>
          <w:p>
            <w:r>
              <w:t>3165</w:t>
            </w:r>
          </w:p>
        </w:tc>
        <w:tc>
          <w:tcPr>
            <w:tcW w:type="dxa" w:w="1728"/>
          </w:tcPr>
          <w:p>
            <w:r>
              <w:t>28266294 FCFA</w:t>
            </w:r>
          </w:p>
        </w:tc>
        <w:tc>
          <w:tcPr>
            <w:tcW w:type="dxa" w:w="1728"/>
          </w:tcPr>
          <w:p>
            <w:r>
              <w:t>6.70%</w:t>
            </w:r>
          </w:p>
        </w:tc>
        <w:tc>
          <w:tcPr>
            <w:tcW w:type="dxa" w:w="1728"/>
          </w:tcPr>
          <w:p>
            <w:r>
              <w:t>ACHAT</w:t>
            </w:r>
          </w:p>
        </w:tc>
      </w:tr>
      <w:tr>
        <w:tc>
          <w:tcPr>
            <w:tcW w:type="dxa" w:w="1728"/>
          </w:tcPr>
          <w:p>
            <w:r>
              <w:t>NEIC (NEIC - NEI-CEDA CI)</w:t>
            </w:r>
          </w:p>
        </w:tc>
        <w:tc>
          <w:tcPr>
            <w:tcW w:type="dxa" w:w="1728"/>
          </w:tcPr>
          <w:p>
            <w:r>
              <w:t>2536</w:t>
            </w:r>
          </w:p>
        </w:tc>
        <w:tc>
          <w:tcPr>
            <w:tcW w:type="dxa" w:w="1728"/>
          </w:tcPr>
          <w:p>
            <w:r>
              <w:t>7052328 FCFA</w:t>
            </w:r>
          </w:p>
        </w:tc>
        <w:tc>
          <w:tcPr>
            <w:tcW w:type="dxa" w:w="1728"/>
          </w:tcPr>
          <w:p>
            <w:r>
              <w:t>99.28%</w:t>
            </w:r>
          </w:p>
        </w:tc>
        <w:tc>
          <w:tcPr>
            <w:tcW w:type="dxa" w:w="1728"/>
          </w:tcPr>
          <w:p>
            <w:r>
              <w:t>ACHAT</w:t>
            </w:r>
          </w:p>
        </w:tc>
      </w:tr>
      <w:tr>
        <w:tc>
          <w:tcPr>
            <w:tcW w:type="dxa" w:w="1728"/>
          </w:tcPr>
          <w:p>
            <w:r>
              <w:t>TTLS (TTLS - TOTAL ENERGIES MARKETING SENEGAL)</w:t>
            </w:r>
          </w:p>
        </w:tc>
        <w:tc>
          <w:tcPr>
            <w:tcW w:type="dxa" w:w="1728"/>
          </w:tcPr>
          <w:p>
            <w:r>
              <w:t>2439</w:t>
            </w:r>
          </w:p>
        </w:tc>
        <w:tc>
          <w:tcPr>
            <w:tcW w:type="dxa" w:w="1728"/>
          </w:tcPr>
          <w:p>
            <w:r>
              <w:t>9308818 FCFA</w:t>
            </w:r>
          </w:p>
        </w:tc>
        <w:tc>
          <w:tcPr>
            <w:tcW w:type="dxa" w:w="1728"/>
          </w:tcPr>
          <w:p>
            <w:r>
              <w:t>24.69%</w:t>
            </w:r>
          </w:p>
        </w:tc>
        <w:tc>
          <w:tcPr>
            <w:tcW w:type="dxa" w:w="1728"/>
          </w:tcPr>
          <w:p>
            <w:r>
              <w:t>ACHAT</w:t>
            </w:r>
          </w:p>
        </w:tc>
      </w:tr>
      <w:tr>
        <w:tc>
          <w:tcPr>
            <w:tcW w:type="dxa" w:w="1728"/>
          </w:tcPr>
          <w:p>
            <w:r>
              <w:t>SDCC (SDCC - Société de Distribution d'Eau de Côte d'Ivoire)</w:t>
            </w:r>
          </w:p>
        </w:tc>
        <w:tc>
          <w:tcPr>
            <w:tcW w:type="dxa" w:w="1728"/>
          </w:tcPr>
          <w:p>
            <w:r>
              <w:t>2309</w:t>
            </w:r>
          </w:p>
        </w:tc>
        <w:tc>
          <w:tcPr>
            <w:tcW w:type="dxa" w:w="1728"/>
          </w:tcPr>
          <w:p>
            <w:r>
              <w:t>30086771 FCFA</w:t>
            </w:r>
          </w:p>
        </w:tc>
        <w:tc>
          <w:tcPr>
            <w:tcW w:type="dxa" w:w="1728"/>
          </w:tcPr>
          <w:p>
            <w:r>
              <w:t>85.50%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LNBB - LNBB - LOTERIE NATIONALE DU BENIN</w:t>
      </w:r>
    </w:p>
    <w:p>
      <w:r>
        <w:rPr>
          <w:b/>
        </w:rPr>
        <w:t xml:space="preserve">Score de divergence: </w:t>
      </w:r>
      <w:r>
        <w:t>5/8</w:t>
        <w:br/>
      </w:r>
      <w:r>
        <w:rPr>
          <w:b/>
        </w:rPr>
        <w:t xml:space="preserve">Description: </w:t>
      </w:r>
      <w:r>
        <w:t>Signaux de vente: MM, MACD | Recommandation finale: ACHAT FORT</w:t>
        <w:br/>
      </w:r>
    </w:p>
    <w:p/>
    <w:p>
      <w:pPr>
        <w:pStyle w:val="Heading3"/>
      </w:pPr>
      <w:r>
        <w:t>2.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3. SHEC - SHEC - VIVO ENERGY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4.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5.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6. TTLS - TTLS - TOTAL ENERGIES MARKETING SENEGAL</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7. BICC - BICI CI - Banque internationale pour le commerce et l'industrie de la Côte d'Ivoire</w:t>
      </w:r>
    </w:p>
    <w:p>
      <w:r>
        <w:rPr>
          <w:b/>
        </w:rPr>
        <w:t xml:space="preserve">Score de divergence: </w:t>
      </w:r>
      <w:r>
        <w:t>2/8</w:t>
        <w:br/>
      </w:r>
      <w:r>
        <w:rPr>
          <w:b/>
        </w:rPr>
        <w:t xml:space="preserve">Description: </w:t>
      </w:r>
      <w:r>
        <w:t>Signaux d'achat: MM, MACD | Recommandation finale: ACHAT</w:t>
        <w:br/>
      </w:r>
    </w:p>
    <w:p/>
    <w:p>
      <w:pPr>
        <w:pStyle w:val="Heading3"/>
      </w:pPr>
      <w:r>
        <w:t>8. BOAC - BANK OF AFRICA COTE D'IVOIRE</w:t>
      </w:r>
    </w:p>
    <w:p>
      <w:r>
        <w:rPr>
          <w:b/>
        </w:rPr>
        <w:t xml:space="preserve">Score de divergence: </w:t>
      </w:r>
      <w:r>
        <w:t>2/8</w:t>
        <w:br/>
      </w:r>
      <w:r>
        <w:rPr>
          <w:b/>
        </w:rPr>
        <w:t xml:space="preserve">Description: </w:t>
      </w:r>
      <w:r>
        <w:t>Signaux d'achat: MM, RSI, Stochastique | Signaux de vente: MACD | Recommandation finale: ACHAT</w:t>
        <w:br/>
      </w:r>
    </w:p>
    <w:p/>
    <w:p>
      <w:pPr>
        <w:pStyle w:val="Heading3"/>
      </w:pPr>
      <w:r>
        <w:t>9. BOAM - BANK OF AFRICA MALI</w:t>
      </w:r>
    </w:p>
    <w:p>
      <w:r>
        <w:rPr>
          <w:b/>
        </w:rPr>
        <w:t xml:space="preserve">Score de divergence: </w:t>
      </w:r>
      <w:r>
        <w:t>2/8</w:t>
        <w:br/>
      </w:r>
      <w:r>
        <w:rPr>
          <w:b/>
        </w:rPr>
        <w:t xml:space="preserve">Description: </w:t>
      </w:r>
      <w:r>
        <w:t>Signaux d'achat: MM, MACD | Recommandation finale: ACHAT</w:t>
        <w:br/>
      </w:r>
    </w:p>
    <w:p/>
    <w:p>
      <w:pPr>
        <w:pStyle w:val="Heading3"/>
      </w:pPr>
      <w:r>
        <w:t>10. SAFC - SAFCA CI</w:t>
      </w:r>
    </w:p>
    <w:p>
      <w:r>
        <w:rPr>
          <w:b/>
        </w:rPr>
        <w:t xml:space="preserve">Score de divergence: </w:t>
      </w:r>
      <w:r>
        <w:t>2/8</w:t>
        <w:br/>
      </w:r>
      <w:r>
        <w:rPr>
          <w:b/>
        </w:rPr>
        <w:t xml:space="preserve">Description: </w:t>
      </w:r>
      <w:r>
        <w:t>Signaux d'achat: MM, Bollinger,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22</w:t>
            </w:r>
          </w:p>
        </w:tc>
        <w:tc>
          <w:tcPr>
            <w:tcW w:type="dxa" w:w="2160"/>
          </w:tcPr>
          <w:p>
            <w:r>
              <w:t>0</w:t>
            </w:r>
          </w:p>
        </w:tc>
      </w:tr>
      <w:tr>
        <w:tc>
          <w:tcPr>
            <w:tcW w:type="dxa" w:w="2160"/>
          </w:tcPr>
          <w:p>
            <w:r>
              <w:t>Risque Moyen</w:t>
            </w:r>
          </w:p>
        </w:tc>
        <w:tc>
          <w:tcPr>
            <w:tcW w:type="dxa" w:w="2160"/>
          </w:tcPr>
          <w:p>
            <w:r>
              <w:t>0</w:t>
            </w:r>
          </w:p>
        </w:tc>
        <w:tc>
          <w:tcPr>
            <w:tcW w:type="dxa" w:w="2160"/>
          </w:tcPr>
          <w:p>
            <w:r>
              <w:t>25</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BICC (BICI CI - Banque internationale pour le commerce et l'industrie de la Côte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BNBC (BNBC - BERNABE CI)</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SHEC (SHEC - VIVO ENERGY COTE D'IVOIRE)</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sz w:val="18"/>
        </w:rPr>
        <w:t>**Pétrole** : flambée des prix du brut suite aux perturbations des chaînes d'approvisionnement et à l'escalade des tensions au Moyen-Orient (Canada, 15/09).</w:t>
      </w:r>
    </w:p>
    <w:p>
      <w:pPr>
        <w:pStyle w:val="ListBullet"/>
        <w:spacing w:before="20" w:after="20"/>
        <w:ind w:left="360"/>
      </w:pPr>
      <w:r>
        <w:rPr>
          <w:sz w:val="18"/>
        </w:rPr>
        <w:t>**Matières premières** : l'indice MXV atteint son plus haut en 4 mois, porté par le pétrole et le soja (16/09).</w:t>
      </w:r>
    </w:p>
    <w:p>
      <w:pPr>
        <w:pStyle w:val="ListBullet"/>
        <w:spacing w:before="20" w:after="20"/>
        <w:ind w:left="360"/>
      </w:pPr>
      <w:r>
        <w:rPr>
          <w:sz w:val="18"/>
        </w:rPr>
        <w:t>**Fed** : réunion de politique monétaire le 16 septembre, marchés en attente de décisions impactant les actions (14/09).</w:t>
      </w:r>
    </w:p>
    <w:p>
      <w:pPr>
        <w:pStyle w:val="ListBullet"/>
        <w:spacing w:before="20" w:after="20"/>
        <w:ind w:left="360"/>
      </w:pPr>
      <w:r>
        <w:rPr>
          <w:color w:val="008000"/>
          <w:sz w:val="18"/>
        </w:rPr>
        <w:t>**Sentiment global** : mitigé — hausse des matières premières (positif producteurs) mais tensions logistiques (négatif importateurs).</w:t>
      </w:r>
    </w:p>
    <w:p>
      <w:pPr>
        <w:pStyle w:val="Heading3"/>
      </w:pPr>
      <w:r>
        <w:rPr>
          <w:color w:val="500050"/>
        </w:rPr>
        <w:t>⚡ Impact estimé sur la BRVM</w:t>
      </w:r>
    </w:p>
    <w:p>
      <w:pPr>
        <w:pStyle w:val="ListBullet"/>
        <w:spacing w:before="20" w:after="20"/>
        <w:ind w:left="560"/>
      </w:pPr>
      <w:r>
        <w:rPr>
          <w:color w:val="008000"/>
          <w:sz w:val="18"/>
        </w:rPr>
        <w:t>**SHEC (ENERGIE)** : bénéficie directement de la hausse du pétrole — potentiel de revalorisation.</w:t>
      </w:r>
    </w:p>
    <w:p>
      <w:pPr>
        <w:pStyle w:val="ListBullet"/>
        <w:spacing w:before="20" w:after="20"/>
        <w:ind w:left="560"/>
      </w:pPr>
      <w:r>
        <w:rPr>
          <w:color w:val="C00000"/>
          <w:sz w:val="18"/>
        </w:rPr>
        <w:t>**Secteurs gros consommateurs d'énergie (SDSC, CABC, FTSC)** : pression sur les marges via coûts logistiques et énergétiques.</w:t>
      </w:r>
    </w:p>
    <w:p>
      <w:pPr>
        <w:pStyle w:val="ListBullet"/>
        <w:spacing w:before="20" w:after="20"/>
        <w:ind w:left="560"/>
      </w:pPr>
      <w:r>
        <w:rPr>
          <w:color w:val="500050"/>
          <w:sz w:val="18"/>
        </w:rPr>
        <w:t>**SCRC, STBC (agro)** : le rallye du soja et des matières premières agricoles soutient les prix de vente.</w:t>
      </w:r>
    </w:p>
    <w:p>
      <w:pPr>
        <w:pStyle w:val="Heading2"/>
      </w:pPr>
      <w:r>
        <w:rPr>
          <w:color w:val="006E32"/>
        </w:rPr>
        <w:t>🌍 Plan Africain</w:t>
      </w:r>
    </w:p>
    <w:p>
      <w:pPr>
        <w:pStyle w:val="ListBullet"/>
        <w:spacing w:before="20" w:after="20"/>
        <w:ind w:left="360"/>
      </w:pPr>
      <w:r>
        <w:rPr>
          <w:sz w:val="18"/>
        </w:rPr>
        <w:t>**Sénégal-FMI** : accord sur un programme d'aide de ~1,9 Md€ (01-02/09) — soutien budgétaire et confiance retrouvée.</w:t>
      </w:r>
    </w:p>
    <w:p>
      <w:pPr>
        <w:pStyle w:val="ListBullet"/>
        <w:spacing w:before="20" w:after="20"/>
        <w:ind w:left="360"/>
      </w:pPr>
      <w:r>
        <w:rPr>
          <w:sz w:val="18"/>
        </w:rPr>
        <w:t>**Afrique du Sud** : Goldman Sachs anticipe un retour en "Investment grade" dès 2028 (02/09).</w:t>
      </w:r>
    </w:p>
    <w:p>
      <w:pPr>
        <w:pStyle w:val="ListBullet"/>
        <w:spacing w:before="20" w:after="20"/>
        <w:ind w:left="360"/>
      </w:pPr>
      <w:r>
        <w:rPr>
          <w:color w:val="C00000"/>
          <w:sz w:val="18"/>
        </w:rPr>
        <w:t>**Dynamique** : amélioration progressive de la perception risque du continent.</w:t>
      </w:r>
    </w:p>
    <w:p>
      <w:pPr>
        <w:pStyle w:val="Heading3"/>
      </w:pPr>
      <w:r>
        <w:rPr>
          <w:color w:val="500050"/>
        </w:rPr>
        <w:t>⚡ Impact estimé sur la BRVM</w:t>
      </w:r>
    </w:p>
    <w:p>
      <w:pPr>
        <w:pStyle w:val="ListBullet"/>
        <w:spacing w:before="20" w:after="20"/>
        <w:ind w:left="560"/>
      </w:pPr>
      <w:r>
        <w:rPr>
          <w:color w:val="008000"/>
          <w:sz w:val="18"/>
        </w:rPr>
        <w:t>**SGBC, BICB, BOAC, BOAM, ETIT** : exposition sénégalaise et régionale — climat des affaires plus favorable, baisse du risque souverain régional.</w:t>
      </w:r>
    </w:p>
    <w:p>
      <w:pPr>
        <w:pStyle w:val="ListBullet"/>
        <w:spacing w:before="20" w:after="20"/>
        <w:ind w:left="560"/>
      </w:pPr>
      <w:r>
        <w:rPr>
          <w:color w:val="500050"/>
          <w:sz w:val="18"/>
        </w:rPr>
        <w:t>Effet de contagion positive sur les valorisations bancaires de la cote.</w:t>
      </w:r>
    </w:p>
    <w:p>
      <w:pPr>
        <w:pStyle w:val="Heading2"/>
      </w:pPr>
      <w:r>
        <w:rPr>
          <w:color w:val="145A28"/>
        </w:rPr>
        <w:t>🌍 Plan Afrique de l'Ouest</w:t>
      </w:r>
    </w:p>
    <w:p>
      <w:pPr>
        <w:pStyle w:val="ListBullet"/>
        <w:spacing w:before="20" w:after="20"/>
        <w:ind w:left="360"/>
      </w:pPr>
      <w:r>
        <w:rPr>
          <w:sz w:val="18"/>
        </w:rPr>
        <w:t>**CEDEAO-Tunisie** : engagement pour une coopération économique renforcée (15/09).</w:t>
      </w:r>
    </w:p>
    <w:p>
      <w:pPr>
        <w:pStyle w:val="ListBullet"/>
        <w:spacing w:before="20" w:after="20"/>
        <w:ind w:left="360"/>
      </w:pPr>
      <w:r>
        <w:rPr>
          <w:sz w:val="18"/>
        </w:rPr>
        <w:t>**CEDEAO-Bénin** : audit de terrain des projets structurants dans l'Ouémé (15/09).</w:t>
      </w:r>
    </w:p>
    <w:p>
      <w:pPr>
        <w:pStyle w:val="ListBullet"/>
        <w:spacing w:before="20" w:after="20"/>
        <w:ind w:left="360"/>
      </w:pPr>
      <w:r>
        <w:rPr>
          <w:sz w:val="18"/>
        </w:rPr>
        <w:t>**CEDEAO-Sénégal** : leadership régional du président Faye mis en avant (11/09).</w:t>
      </w:r>
    </w:p>
    <w:p>
      <w:pPr>
        <w:pStyle w:val="Heading3"/>
      </w:pPr>
      <w:r>
        <w:rPr>
          <w:color w:val="500050"/>
        </w:rPr>
        <w:t>⚡ Impact estimé sur la BRVM</w:t>
      </w:r>
    </w:p>
    <w:p>
      <w:pPr>
        <w:pStyle w:val="ListBullet"/>
        <w:spacing w:before="20" w:after="20"/>
        <w:ind w:left="560"/>
      </w:pPr>
      <w:r>
        <w:rPr>
          <w:color w:val="500050"/>
          <w:sz w:val="18"/>
        </w:rPr>
        <w:t>**SDCC (SERVICES PUBLICS)** : projets d'infrastructures CEDEAO = carnet de commandes potentiel.</w:t>
      </w:r>
    </w:p>
    <w:p>
      <w:pPr>
        <w:pStyle w:val="ListBullet"/>
        <w:spacing w:before="20" w:after="20"/>
        <w:ind w:left="560"/>
      </w:pPr>
      <w:r>
        <w:rPr>
          <w:color w:val="500050"/>
          <w:sz w:val="18"/>
        </w:rPr>
        <w:t>**CABC, FTSC (INDUSTRIELS)** : opportunités BTP liées aux projets structurants régionaux.</w:t>
      </w:r>
    </w:p>
    <w:p>
      <w:pPr>
        <w:pStyle w:val="Heading2"/>
      </w:pPr>
      <w:r>
        <w:rPr>
          <w:color w:val="8C4600"/>
        </w:rPr>
        <w:t>🏦 Plan UEMOA / Zone Franc</w:t>
      </w:r>
    </w:p>
    <w:p>
      <w:pPr>
        <w:pStyle w:val="ListBullet"/>
        <w:spacing w:before="20" w:after="20"/>
        <w:ind w:left="360"/>
      </w:pPr>
      <w:r>
        <w:rPr>
          <w:sz w:val="18"/>
        </w:rPr>
        <w:t>**Burkina Faso** : inspiration du modèle chinois de développement (15/09).</w:t>
      </w:r>
    </w:p>
    <w:p>
      <w:pPr>
        <w:pStyle w:val="ListBullet"/>
        <w:spacing w:before="20" w:after="20"/>
        <w:ind w:left="360"/>
      </w:pPr>
      <w:r>
        <w:rPr>
          <w:sz w:val="18"/>
        </w:rPr>
        <w:t>**Mali-Algérie** : rapprochement diplomatique et économique (15/09).</w:t>
      </w:r>
    </w:p>
    <w:p>
      <w:pPr>
        <w:pStyle w:val="ListBullet"/>
        <w:spacing w:before="20" w:after="20"/>
        <w:ind w:left="360"/>
      </w:pPr>
      <w:r>
        <w:rPr>
          <w:sz w:val="18"/>
        </w:rPr>
        <w:t>**Données BCEAO/inflation/FCFA** : non fournies dans le corpus.</w:t>
      </w:r>
    </w:p>
    <w:p>
      <w:pPr>
        <w:pStyle w:val="Heading3"/>
      </w:pPr>
      <w:r>
        <w:rPr>
          <w:color w:val="500050"/>
        </w:rPr>
        <w:t>⚡ Impact estimé sur la BRVM</w:t>
      </w:r>
    </w:p>
    <w:p>
      <w:pPr>
        <w:pStyle w:val="ListBullet"/>
        <w:spacing w:before="20" w:after="20"/>
        <w:ind w:left="560"/>
      </w:pPr>
      <w:r>
        <w:rPr>
          <w:color w:val="008000"/>
          <w:sz w:val="18"/>
        </w:rPr>
        <w:t>**Secteur bancaire (SGBC, BICB, BOAC, BOAM, ETIT)** : stabilité monétaire FCFA = cadre favorable au crédit.</w:t>
      </w:r>
    </w:p>
    <w:p>
      <w:pPr>
        <w:pStyle w:val="ListBullet"/>
        <w:spacing w:before="20" w:after="20"/>
        <w:ind w:left="560"/>
      </w:pPr>
      <w:r>
        <w:rPr>
          <w:color w:val="500050"/>
          <w:sz w:val="18"/>
        </w:rPr>
        <w:t>**SCRC, STBC** : matières premières agricoles (cacao, caoutchouc) non documentées ici — impact neutre faute de données.</w:t>
      </w:r>
    </w:p>
    <w:p>
      <w:pPr>
        <w:pStyle w:val="Heading2"/>
      </w:pPr>
      <w:r>
        <w:rPr>
          <w:color w:val="003366"/>
        </w:rPr>
        <w:t>📈 Plan BRVM</w:t>
      </w:r>
    </w:p>
    <w:p>
      <w:pPr>
        <w:pStyle w:val="ListBullet"/>
        <w:spacing w:before="20" w:after="20"/>
        <w:ind w:left="360"/>
      </w:pPr>
      <w:r>
        <w:rPr>
          <w:sz w:val="18"/>
        </w:rPr>
        <w:t>**Sociétés ivoiriennes** : résultats encourageants des sociétés cotées (La Tribune, 09/06).</w:t>
      </w:r>
    </w:p>
    <w:p>
      <w:pPr>
        <w:pStyle w:val="ListBullet"/>
        <w:spacing w:before="20" w:after="20"/>
        <w:ind w:left="360"/>
      </w:pPr>
      <w:r>
        <w:rPr>
          <w:sz w:val="18"/>
        </w:rPr>
        <w:t>**Indice BRVM Composite** : 552,96 points.</w:t>
      </w:r>
    </w:p>
    <w:p>
      <w:pPr>
        <w:pStyle w:val="ListBullet"/>
        <w:spacing w:before="20" w:after="20"/>
        <w:ind w:left="360"/>
      </w:pPr>
      <w:r>
        <w:rPr>
          <w:sz w:val="18"/>
        </w:rPr>
        <w:t>**IPO/dividendes** : données insuffisantes.</w:t>
      </w:r>
    </w:p>
    <w:p>
      <w:pPr>
        <w:pStyle w:val="Heading3"/>
      </w:pPr>
      <w:r>
        <w:rPr>
          <w:color w:val="500050"/>
        </w:rPr>
        <w:t>⚡ Impact estimé sur la BRVM</w:t>
      </w:r>
    </w:p>
    <w:p>
      <w:pPr>
        <w:pStyle w:val="ListBullet"/>
        <w:spacing w:before="20" w:after="20"/>
        <w:ind w:left="560"/>
      </w:pPr>
      <w:r>
        <w:rPr>
          <w:color w:val="008000"/>
          <w:sz w:val="18"/>
        </w:rPr>
        <w:t>**SGBC, BICB, ETIT** : résultats positifs = soutien aux cours bancaires.</w:t>
      </w:r>
    </w:p>
    <w:p>
      <w:pPr>
        <w:pStyle w:val="ListBullet"/>
        <w:spacing w:before="20" w:after="20"/>
        <w:ind w:left="560"/>
      </w:pPr>
      <w:r>
        <w:rPr>
          <w:color w:val="008000"/>
          <w:sz w:val="18"/>
        </w:rPr>
        <w:t>**SDSC, CABC, FTSC** : dynamique industrielle ivoirienne favorable.</w:t>
      </w:r>
    </w:p>
    <w:p>
      <w:pPr>
        <w:pStyle w:val="ListBullet"/>
        <w:spacing w:before="20" w:after="20"/>
        <w:ind w:left="560"/>
      </w:pPr>
      <w:r>
        <w:rPr>
          <w:color w:val="500050"/>
          <w:sz w:val="18"/>
        </w:rPr>
        <w:t>Recommandation : conserver les valeurs bancaires et industrielles de qualité.</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color w:val="008000"/>
          <w:sz w:val="18"/>
        </w:rPr>
        <w:t>**Moyen-Orient** : escalade des tensions = hausse du pétrole (15/09).</w:t>
      </w:r>
    </w:p>
    <w:p>
      <w:pPr>
        <w:pStyle w:val="ListBullet"/>
        <w:spacing w:before="20" w:after="20"/>
        <w:ind w:left="360"/>
      </w:pPr>
      <w:r>
        <w:rPr>
          <w:sz w:val="18"/>
        </w:rPr>
        <w:t>**Chaînes d'approvisionnement** : perturbations logistiques mondiales (16/09).</w:t>
      </w:r>
    </w:p>
    <w:p>
      <w:pPr>
        <w:pStyle w:val="ListBullet"/>
        <w:spacing w:before="20" w:after="20"/>
        <w:ind w:left="360"/>
      </w:pPr>
      <w:r>
        <w:rPr>
          <w:sz w:val="18"/>
        </w:rPr>
        <w:t>**Fed** : décision monétaire du 16/09 scrutée par les marchés.</w:t>
      </w:r>
    </w:p>
    <w:p>
      <w:pPr>
        <w:pStyle w:val="Heading3"/>
      </w:pPr>
      <w:r>
        <w:rPr>
          <w:color w:val="500050"/>
        </w:rPr>
        <w:t>⚡ Impact estimé sur la BRVM</w:t>
      </w:r>
    </w:p>
    <w:p>
      <w:pPr>
        <w:pStyle w:val="ListBullet"/>
        <w:spacing w:before="20" w:after="20"/>
        <w:ind w:left="560"/>
      </w:pPr>
      <w:r>
        <w:rPr>
          <w:color w:val="C00000"/>
          <w:sz w:val="18"/>
        </w:rPr>
        <w:t>Volatilité accrue sur les matières premières = opportunités sur SHEC mais risque inflationniste importé pour les autres secteurs.</w:t>
      </w:r>
    </w:p>
    <w:p>
      <w:pPr>
        <w:pStyle w:val="Heading2"/>
      </w:pPr>
      <w:r>
        <w:rPr>
          <w:color w:val="006E32"/>
        </w:rPr>
        <w:t>🌍 Plan Africain</w:t>
      </w:r>
    </w:p>
    <w:p>
      <w:pPr>
        <w:pStyle w:val="ListBullet"/>
        <w:spacing w:before="20" w:after="20"/>
        <w:ind w:left="360"/>
      </w:pPr>
      <w:r>
        <w:rPr>
          <w:sz w:val="18"/>
        </w:rPr>
        <w:t>**Sénégal-FMI** : coopération renforcée (02/09).</w:t>
      </w:r>
    </w:p>
    <w:p>
      <w:pPr>
        <w:pStyle w:val="ListBullet"/>
        <w:spacing w:before="20" w:after="20"/>
        <w:ind w:left="360"/>
      </w:pPr>
      <w:r>
        <w:rPr>
          <w:sz w:val="18"/>
        </w:rPr>
        <w:t>**Mali-Algérie** : visite officielle de Goïta à Alger (15/09).</w:t>
      </w:r>
    </w:p>
    <w:p>
      <w:pPr>
        <w:pStyle w:val="ListBullet"/>
        <w:spacing w:before="20" w:after="20"/>
        <w:ind w:left="360"/>
      </w:pPr>
      <w:r>
        <w:rPr>
          <w:sz w:val="18"/>
        </w:rPr>
        <w:t>**Mali-Palestine** : initiative de solidarité (neutre).</w:t>
      </w:r>
    </w:p>
    <w:p>
      <w:pPr>
        <w:pStyle w:val="Heading3"/>
      </w:pPr>
      <w:r>
        <w:rPr>
          <w:color w:val="500050"/>
        </w:rPr>
        <w:t>⚡ Impact estimé sur la BRVM</w:t>
      </w:r>
    </w:p>
    <w:p>
      <w:pPr>
        <w:pStyle w:val="ListBullet"/>
        <w:spacing w:before="20" w:after="20"/>
        <w:ind w:left="560"/>
      </w:pPr>
      <w:r>
        <w:rPr>
          <w:color w:val="500050"/>
          <w:sz w:val="18"/>
        </w:rPr>
        <w:t>Amélioration de la stabilité régionale = flux de capitaux plus confiants vers les valeurs UEMOA.</w:t>
      </w:r>
    </w:p>
    <w:p>
      <w:pPr>
        <w:pStyle w:val="Heading2"/>
      </w:pPr>
      <w:r>
        <w:rPr>
          <w:color w:val="145A28"/>
        </w:rPr>
        <w:t>🌍 Plan Afrique de l'Ouest</w:t>
      </w:r>
    </w:p>
    <w:p>
      <w:pPr>
        <w:pStyle w:val="ListBullet"/>
        <w:spacing w:before="20" w:after="20"/>
        <w:ind w:left="360"/>
      </w:pPr>
      <w:r>
        <w:rPr>
          <w:sz w:val="18"/>
        </w:rPr>
        <w:t>**CEDEAO** : dynamique de coopération renforcée (Tunisie, Bénin).</w:t>
      </w:r>
    </w:p>
    <w:p>
      <w:pPr>
        <w:pStyle w:val="ListBullet"/>
        <w:spacing w:before="20" w:after="20"/>
        <w:ind w:left="360"/>
      </w:pPr>
      <w:r>
        <w:rPr>
          <w:sz w:val="18"/>
        </w:rPr>
        <w:t>**AES (Mali, Burkina, Niger)** : non documenté explicitement.</w:t>
      </w:r>
    </w:p>
    <w:p>
      <w:pPr>
        <w:pStyle w:val="ListBullet"/>
        <w:spacing w:before="20" w:after="20"/>
        <w:ind w:left="360"/>
      </w:pPr>
      <w:r>
        <w:rPr>
          <w:sz w:val="18"/>
        </w:rPr>
        <w:t>**Sécurité régionale** : données insuffisantes.</w:t>
      </w:r>
    </w:p>
    <w:p>
      <w:pPr>
        <w:pStyle w:val="Heading3"/>
      </w:pPr>
      <w:r>
        <w:rPr>
          <w:color w:val="500050"/>
        </w:rPr>
        <w:t>⚡ Impact estimé sur la BRVM</w:t>
      </w:r>
    </w:p>
    <w:p>
      <w:pPr>
        <w:pStyle w:val="ListBullet"/>
        <w:spacing w:before="20" w:after="20"/>
        <w:ind w:left="560"/>
      </w:pPr>
      <w:r>
        <w:rPr>
          <w:color w:val="C00000"/>
          <w:sz w:val="18"/>
        </w:rPr>
        <w:t>Risque limité à court terme pour les sociétés cotées opérant dans les pays stables (Côte d'Ivoire, Sénégal).</w:t>
      </w:r>
    </w:p>
    <w:p>
      <w:pPr>
        <w:pStyle w:val="Heading2"/>
      </w:pPr>
      <w:r>
        <w:rPr>
          <w:color w:val="8C4600"/>
        </w:rPr>
        <w:t>🏦 Plan UEMOA / Zone Franc</w:t>
      </w:r>
    </w:p>
    <w:p>
      <w:pPr>
        <w:pStyle w:val="ListBullet"/>
        <w:spacing w:before="20" w:after="20"/>
        <w:ind w:left="360"/>
      </w:pPr>
      <w:r>
        <w:rPr>
          <w:sz w:val="18"/>
        </w:rPr>
        <w:t>**Burkina Faso** : orientation vers modèle chinois (15/09).</w:t>
      </w:r>
    </w:p>
    <w:p>
      <w:pPr>
        <w:pStyle w:val="ListBullet"/>
        <w:spacing w:before="20" w:after="20"/>
        <w:ind w:left="360"/>
      </w:pPr>
      <w:r>
        <w:rPr>
          <w:sz w:val="18"/>
        </w:rPr>
        <w:t>**Mali** : rapprochement Algérie (15/09).</w:t>
      </w:r>
    </w:p>
    <w:p>
      <w:pPr>
        <w:pStyle w:val="ListBullet"/>
        <w:spacing w:before="20" w:after="20"/>
        <w:ind w:left="360"/>
      </w:pPr>
      <w:r>
        <w:rPr>
          <w:sz w:val="18"/>
        </w:rPr>
        <w:t>**Réformes institutionnelles** : non documentées.</w:t>
      </w:r>
    </w:p>
    <w:p>
      <w:pPr>
        <w:pStyle w:val="Heading3"/>
      </w:pPr>
      <w:r>
        <w:rPr>
          <w:color w:val="500050"/>
        </w:rPr>
        <w:t>⚡ Impact estimé sur la BRVM</w:t>
      </w:r>
    </w:p>
    <w:p>
      <w:pPr>
        <w:pStyle w:val="ListBullet"/>
        <w:spacing w:before="20" w:after="20"/>
        <w:ind w:left="560"/>
      </w:pPr>
      <w:r>
        <w:rPr>
          <w:color w:val="C00000"/>
          <w:sz w:val="18"/>
        </w:rPr>
        <w:t>Risque réglementaire modéré ; stabilité ivoirienne et sénégalaise = socle pour la BRVM.</w:t>
      </w:r>
    </w:p>
    <w:p>
      <w:pPr>
        <w:pStyle w:val="Heading2"/>
      </w:pPr>
      <w:r>
        <w:rPr>
          <w:color w:val="003366"/>
        </w:rPr>
        <w:t>📈 Plan BRVM</w:t>
      </w:r>
    </w:p>
    <w:p>
      <w:pPr>
        <w:pStyle w:val="ListBullet"/>
        <w:spacing w:before="20" w:after="20"/>
        <w:ind w:left="360"/>
      </w:pPr>
      <w:r>
        <w:rPr>
          <w:sz w:val="18"/>
        </w:rPr>
        <w:t>**Réglementation CREPMF** : données insuffisantes.</w:t>
      </w:r>
    </w:p>
    <w:p>
      <w:pPr>
        <w:pStyle w:val="ListBullet"/>
        <w:spacing w:before="20" w:after="20"/>
        <w:ind w:left="360"/>
      </w:pPr>
      <w:r>
        <w:rPr>
          <w:color w:val="008000"/>
          <w:sz w:val="18"/>
        </w:rPr>
        <w:t>**Gouvernance** : résultats positifs des sociétés ivoiriennes (09/06).</w:t>
      </w:r>
    </w:p>
    <w:p>
      <w:pPr>
        <w:pStyle w:val="Heading3"/>
      </w:pPr>
      <w:r>
        <w:rPr>
          <w:color w:val="500050"/>
        </w:rPr>
        <w:t>⚡ Impact estimé sur la BRVM</w:t>
      </w:r>
    </w:p>
    <w:p>
      <w:pPr>
        <w:pStyle w:val="ListBullet"/>
        <w:spacing w:before="20" w:after="20"/>
        <w:ind w:left="560"/>
      </w:pPr>
      <w:r>
        <w:rPr>
          <w:color w:val="500050"/>
          <w:sz w:val="18"/>
        </w:rPr>
        <w:t>Climat de confiance maintenu ; pas de choc réglementaire identifié.</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**Matières premières** : indice MXV au plus haut sur 4 mois (16/09).</w:t>
      </w:r>
    </w:p>
    <w:p>
      <w:pPr>
        <w:pStyle w:val="ListBullet"/>
        <w:spacing w:before="20" w:after="20"/>
        <w:ind w:left="360"/>
      </w:pPr>
      <w:r>
        <w:rPr>
          <w:color w:val="008000"/>
          <w:sz w:val="18"/>
        </w:rPr>
        <w:t>**Pétrole** : poursuite de la hausse (Canada, 15/09).</w:t>
      </w:r>
    </w:p>
    <w:p>
      <w:pPr>
        <w:pStyle w:val="ListBullet"/>
        <w:spacing w:before="20" w:after="20"/>
        <w:ind w:left="360"/>
      </w:pPr>
      <w:r>
        <w:rPr>
          <w:sz w:val="18"/>
        </w:rPr>
        <w:t>**Fed** : réunion du 16/09 = potentiel mouvement de taux.</w:t>
      </w:r>
    </w:p>
    <w:p>
      <w:pPr>
        <w:pStyle w:val="Heading3"/>
      </w:pPr>
      <w:r>
        <w:rPr>
          <w:color w:val="500050"/>
        </w:rPr>
        <w:t>⚡ Impact estimé sur la BRVM</w:t>
      </w:r>
    </w:p>
    <w:p>
      <w:pPr>
        <w:pStyle w:val="ListBullet"/>
        <w:spacing w:before="20" w:after="20"/>
        <w:ind w:left="560"/>
      </w:pPr>
      <w:r>
        <w:rPr>
          <w:color w:val="008000"/>
          <w:sz w:val="18"/>
        </w:rPr>
        <w:t>Corrélation modérée ; hausse pétrole = soutien à SHEC, pression sur les autres secteurs.</w:t>
      </w:r>
    </w:p>
    <w:p>
      <w:pPr>
        <w:pStyle w:val="Heading2"/>
      </w:pPr>
      <w:r>
        <w:rPr>
          <w:color w:val="006E32"/>
        </w:rPr>
        <w:t>🌍 Plan Africain</w:t>
      </w:r>
    </w:p>
    <w:p>
      <w:pPr>
        <w:pStyle w:val="ListBullet"/>
        <w:spacing w:before="20" w:after="20"/>
        <w:ind w:left="360"/>
      </w:pPr>
      <w:r>
        <w:rPr>
          <w:color w:val="008000"/>
          <w:sz w:val="18"/>
        </w:rPr>
        <w:t>**Sénégal** : programme FMI 1,9 Md€ = signal positif pour les eurobonds régionaux.</w:t>
      </w:r>
    </w:p>
    <w:p>
      <w:pPr>
        <w:pStyle w:val="ListBullet"/>
        <w:spacing w:before="20" w:after="20"/>
        <w:ind w:left="360"/>
      </w:pPr>
      <w:r>
        <w:rPr>
          <w:sz w:val="18"/>
        </w:rPr>
        <w:t>**Afrique du Sud** : perspective Investment grade 2028.</w:t>
      </w:r>
    </w:p>
    <w:p>
      <w:pPr>
        <w:pStyle w:val="Heading3"/>
      </w:pPr>
      <w:r>
        <w:rPr>
          <w:color w:val="500050"/>
        </w:rPr>
        <w:t>⚡ Impact estimé sur la BRVM</w:t>
      </w:r>
    </w:p>
    <w:p>
      <w:pPr>
        <w:pStyle w:val="ListBullet"/>
        <w:spacing w:before="20" w:after="20"/>
        <w:ind w:left="560"/>
      </w:pPr>
      <w:r>
        <w:rPr>
          <w:color w:val="008000"/>
          <w:sz w:val="18"/>
        </w:rPr>
        <w:t>Concurrence accrue pour les capitaux si l'Afrique du Sud redevient investment grade — mais effet d'entraînement positif sur la perception du continent.</w:t>
      </w:r>
    </w:p>
    <w:p>
      <w:pPr>
        <w:pStyle w:val="Heading2"/>
      </w:pPr>
      <w:r>
        <w:rPr>
          <w:color w:val="145A28"/>
        </w:rPr>
        <w:t>🌍 Plan Afrique de l'Ouest</w:t>
      </w:r>
    </w:p>
    <w:p>
      <w:pPr>
        <w:pStyle w:val="ListBullet"/>
        <w:spacing w:before="20" w:after="20"/>
        <w:ind w:left="360"/>
      </w:pPr>
      <w:r>
        <w:rPr>
          <w:sz w:val="18"/>
        </w:rPr>
        <w:t>**Bourses concurrentes** : données insuffisantes.</w:t>
      </w:r>
    </w:p>
    <w:p>
      <w:pPr>
        <w:pStyle w:val="ListBullet"/>
        <w:spacing w:before="20" w:after="20"/>
        <w:ind w:left="360"/>
      </w:pPr>
      <w:r>
        <w:rPr>
          <w:sz w:val="18"/>
        </w:rPr>
        <w:t>**Flux sous-régionaux** : non documentés.</w:t>
      </w:r>
    </w:p>
    <w:p>
      <w:pPr>
        <w:pStyle w:val="Heading3"/>
      </w:pPr>
      <w:r>
        <w:rPr>
          <w:color w:val="500050"/>
        </w:rPr>
        <w:t>⚡ Impact estimé sur la BRVM</w:t>
      </w:r>
    </w:p>
    <w:p>
      <w:pPr>
        <w:pStyle w:val="ListBullet"/>
        <w:spacing w:before="20" w:after="20"/>
        <w:ind w:left="560"/>
      </w:pPr>
      <w:r>
        <w:rPr>
          <w:color w:val="500050"/>
          <w:sz w:val="18"/>
        </w:rPr>
        <w:t>Données insuffisantes.</w:t>
      </w:r>
    </w:p>
    <w:p>
      <w:pPr>
        <w:pStyle w:val="Heading2"/>
      </w:pPr>
      <w:r>
        <w:rPr>
          <w:color w:val="8C4600"/>
        </w:rPr>
        <w:t>🏦 Plan UEMOA / Zone Franc</w:t>
      </w:r>
    </w:p>
    <w:p>
      <w:pPr>
        <w:pStyle w:val="ListBullet"/>
        <w:spacing w:before="20" w:after="20"/>
        <w:ind w:left="360"/>
      </w:pPr>
      <w:r>
        <w:rPr>
          <w:sz w:val="18"/>
        </w:rPr>
        <w:t>**Titres publics / taux interbancaire** : données insuffisantes.</w:t>
      </w:r>
    </w:p>
    <w:p>
      <w:pPr>
        <w:pStyle w:val="ListBullet"/>
        <w:spacing w:before="20" w:after="20"/>
        <w:ind w:left="360"/>
      </w:pPr>
      <w:r>
        <w:rPr>
          <w:sz w:val="18"/>
        </w:rPr>
        <w:t>**Liquidité** : non documentée.</w:t>
      </w:r>
    </w:p>
    <w:p>
      <w:pPr>
        <w:pStyle w:val="Heading3"/>
      </w:pPr>
      <w:r>
        <w:rPr>
          <w:color w:val="500050"/>
        </w:rPr>
        <w:t>⚡ Impact estimé sur la BRVM</w:t>
      </w:r>
    </w:p>
    <w:p>
      <w:pPr>
        <w:pStyle w:val="ListBullet"/>
        <w:spacing w:before="20" w:after="20"/>
        <w:ind w:left="560"/>
      </w:pPr>
      <w:r>
        <w:rPr>
          <w:color w:val="500050"/>
          <w:sz w:val="18"/>
        </w:rPr>
        <w:t>Données insuffisantes ; arbitrage titres publics/actions non évaluable.</w:t>
      </w:r>
    </w:p>
    <w:p>
      <w:pPr>
        <w:pStyle w:val="Heading2"/>
      </w:pPr>
      <w:r>
        <w:rPr>
          <w:color w:val="003366"/>
        </w:rPr>
        <w:t>📈 Plan BRVM</w:t>
      </w:r>
    </w:p>
    <w:p>
      <w:pPr>
        <w:pStyle w:val="ListBullet"/>
        <w:spacing w:before="20" w:after="20"/>
        <w:ind w:left="360"/>
      </w:pPr>
      <w:r>
        <w:rPr>
          <w:sz w:val="18"/>
        </w:rPr>
        <w:t>**Indice Composite** : 552,96 points.</w:t>
      </w:r>
    </w:p>
    <w:p>
      <w:pPr>
        <w:pStyle w:val="ListBullet"/>
        <w:spacing w:before="20" w:after="20"/>
        <w:ind w:left="360"/>
      </w:pPr>
      <w:r>
        <w:rPr>
          <w:sz w:val="18"/>
        </w:rPr>
        <w:t>**Résultats sociétés ivoiriennes** : encourageants (09/06).</w:t>
      </w:r>
    </w:p>
    <w:p>
      <w:pPr>
        <w:pStyle w:val="ListBullet"/>
        <w:spacing w:before="20" w:after="20"/>
        <w:ind w:left="360"/>
      </w:pPr>
      <w:r>
        <w:rPr>
          <w:sz w:val="18"/>
        </w:rPr>
        <w:t>**Volumes/top-flop** : données insuffisantes.</w:t>
      </w:r>
    </w:p>
    <w:p>
      <w:pPr>
        <w:pStyle w:val="Heading3"/>
      </w:pPr>
      <w:r>
        <w:rPr>
          <w:color w:val="500050"/>
        </w:rPr>
        <w:t>⚡ Impact estimé sur la BRVM</w:t>
      </w:r>
    </w:p>
    <w:p>
      <w:pPr>
        <w:pStyle w:val="ListBullet"/>
        <w:spacing w:before="20" w:after="20"/>
        <w:ind w:left="560"/>
      </w:pPr>
      <w:r>
        <w:rPr>
          <w:color w:val="008000"/>
          <w:sz w:val="18"/>
        </w:rPr>
        <w:t>**SGBC, BICB, BOAC, BOAM, ETIT** : conserver — résultats positifs et secteur financier dynamique.</w:t>
      </w:r>
    </w:p>
    <w:p>
      <w:pPr>
        <w:pStyle w:val="ListBullet"/>
        <w:spacing w:before="20" w:after="20"/>
        <w:ind w:left="560"/>
      </w:pPr>
      <w:r>
        <w:rPr>
          <w:color w:val="500050"/>
          <w:sz w:val="18"/>
        </w:rPr>
        <w:t>**SDSC, CABC, FTSC** : surveiller — bénéficiaires de la dynamique industrielle ivoirienne.</w:t>
      </w:r>
    </w:p>
    <w:p>
      <w:pPr>
        <w:pStyle w:val="ListBullet"/>
        <w:spacing w:before="20" w:after="20"/>
        <w:ind w:left="560"/>
      </w:pPr>
      <w:r>
        <w:rPr>
          <w:color w:val="008000"/>
          <w:sz w:val="18"/>
        </w:rPr>
        <w:t>**SHEC** : opportunité tactique sur la hausse du pétrole.</w:t>
      </w:r>
    </w:p>
    <w:p>
      <w:pPr>
        <w:pStyle w:val="ListBullet"/>
        <w:spacing w:before="20" w:after="20"/>
        <w:ind w:left="560"/>
      </w:pPr>
      <w:r>
        <w:rPr>
          <w:color w:val="008000"/>
          <w:sz w:val="18"/>
        </w:rPr>
        <w:t>**SCRC, STBC** : neutre à positif selon évolution matières premières agricoles.</w:t>
      </w:r>
    </w:p>
    <w:p>
      <w:pPr>
        <w:pStyle w:val="ListBullet"/>
        <w:spacing w:before="20" w:after="20"/>
        <w:ind w:left="560"/>
      </w:pPr>
      <w:r>
        <w:rPr>
          <w:color w:val="500050"/>
          <w:sz w:val="18"/>
        </w:rPr>
        <w:t>**SDCC** : potentiel lié aux projets CEDEAO.</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 contexte macro est globalement favorable à la BRVM : résultats encourageants des sociétés ivoiriennes, soutien FMI au Sénégal, stabilité du FCFA et dynamique de coopération CEDEAO. Les principaux risques sont exogènes (volatilité pétrole, tensions géopolitiques Moyen-Orient, décision Fed) mais leur impact reste indirect. **Recommandation** : surpondérer le secteur financier (SGBC, BICB, ETIT) et les industriels ivoiriens (SDSC, CABC), position tactique sur SHEC, tout en surveillant l'évolution des matières premières agricoles pour SCRC et STBC.</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 xml:space="preserve">Les perturbations des chaînes d'approvisionnement ont fait grimper en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Green domine le marché des matières premières.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Marchés des matières premières : Le pétrole et le soja propulsent l'in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PORTRAIT – CEDEAO REPORT : le pari régional du président Bassirou Diom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Ouémé : la CEDEAO lance un audit de terrain de ses projets structurant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CEDEAO-Tunisie : Engagement en faveur d'une coopération renforcée - ko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2026-09-15</w:t>
            </w:r>
          </w:p>
        </w:tc>
        <w:tc>
          <w:tcPr>
            <w:tcW w:type="dxa" w:w="1728"/>
          </w:tcPr>
          <w:p>
            <w:r>
              <w:rPr>
                <w:sz w:val="14"/>
              </w:rPr>
              <w:t>Burkina Faso : l’expérience chinoise comme source d’inspiration - Afri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2026-09-15</w:t>
            </w:r>
          </w:p>
        </w:tc>
        <w:tc>
          <w:tcPr>
            <w:tcW w:type="dxa" w:w="1728"/>
          </w:tcPr>
          <w:p>
            <w:r>
              <w:rPr>
                <w:sz w:val="14"/>
              </w:rPr>
              <w:t>Mali-Algérie : Assimi Goïta attendu prochainement à Alger - koaci.com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2026-09-15</w:t>
            </w:r>
          </w:p>
        </w:tc>
        <w:tc>
          <w:tcPr>
            <w:tcW w:type="dxa" w:w="1728"/>
          </w:tcPr>
          <w:p>
            <w:r>
              <w:rPr>
                <w:sz w:val="14"/>
              </w:rPr>
              <w:t>Mali-Palestine: la solidarité avec Gaza en coopération avec les femmes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Et si le vrai problème du Sénégal n'était pas la dette, mais ses élite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Pr Abdoulaye Wade, Abdou Diouf: L'Etat du Sénégal se souvient de l'âge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 xml:space="preserve">Mali : Le journaliste Abdrahamane Keïta condamné à deux ans de prison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 xml:space="preserve">Les perturbations des chaînes d'approvisionnement ont fait grimper en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Marchés des matières premières : Le pétrole et le soja propulsent l'in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Green domine le marché des matières premières.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2026-09-11</w:t>
            </w:r>
          </w:p>
        </w:tc>
        <w:tc>
          <w:tcPr>
            <w:tcW w:type="dxa" w:w="1728"/>
          </w:tcPr>
          <w:p>
            <w:r>
              <w:rPr>
                <w:sz w:val="14"/>
              </w:rPr>
              <w:t>PORTRAIT – CEDEAO REPORT : le pari régional du président Bassirou Diom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Ouémé : la CEDEAO lance un audit de terrain de ses projets structurant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2026-09-11</w:t>
            </w:r>
          </w:p>
        </w:tc>
        <w:tc>
          <w:tcPr>
            <w:tcW w:type="dxa" w:w="1728"/>
          </w:tcPr>
          <w:p>
            <w:r>
              <w:rPr>
                <w:sz w:val="14"/>
              </w:rPr>
              <w:t>PORTRAIT – CEDEAO REPORT : le pari régional du président Bassirou Diom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Ouémé : la CEDEAO lance un audit de terrain de ses projets structurant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CEDEAO-Tunisie : Engagement en faveur d'une coopération renforcée - ko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2026-09-11</w:t>
            </w:r>
          </w:p>
        </w:tc>
        <w:tc>
          <w:tcPr>
            <w:tcW w:type="dxa" w:w="1728"/>
          </w:tcPr>
          <w:p>
            <w:r>
              <w:rPr>
                <w:sz w:val="14"/>
              </w:rPr>
              <w:t>PORTRAIT – CEDEAO REPORT : le pari régional du président Bassirou Diom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Ouémé : la CEDEAO lance un audit de terrain de ses projets structurant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Burkina Faso : l’expérience chinoise comme source d’inspiration - Afri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Green domine le marché des matières premières.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2026-09-11</w:t>
            </w:r>
          </w:p>
        </w:tc>
        <w:tc>
          <w:tcPr>
            <w:tcW w:type="dxa" w:w="1728"/>
          </w:tcPr>
          <w:p>
            <w:r>
              <w:rPr>
                <w:sz w:val="14"/>
              </w:rPr>
              <w:t>PORTRAIT – CEDEAO REPORT : le pari régional du président Bassirou Diom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Burkina Faso : l’expérience chinoise comme source d’inspiration - Afri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 xml:space="preserve">Les perturbations des chaînes d'approvisionnement ont fait grimper en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Green domine le marché des matières premières.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Marchés des matières premières : Le pétrole et le soja propulsent l'in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Green domine le marché des matières premières.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Marchés des matières premières : Le pétrole et le soja propulsent l'in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Green domine le marché des matières premières.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Marchés des matières premières : Le pétrole et le soja propulsent l'in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Green domine le marché des matières premières.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Marchés des matières premières : Le pétrole et le soja propulsent l'in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Green domine le marché des matières premières. - Vietnam.vn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Marchés des matières premières : Le pétrole et le soja propulsent l'in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Matières premières Canada : les prix du pétrole poursuivent leur ascen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2026-09-10</w:t>
            </w:r>
          </w:p>
        </w:tc>
        <w:tc>
          <w:tcPr>
            <w:tcW w:type="dxa" w:w="1728"/>
          </w:tcPr>
          <w:p>
            <w:r>
              <w:rPr>
                <w:sz w:val="14"/>
              </w:rPr>
              <w:t>Le Dow perd 400 pts, le brut US dépasse $100 et les paris d'une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2026-09-14</w:t>
            </w:r>
          </w:p>
        </w:tc>
        <w:tc>
          <w:tcPr>
            <w:tcW w:type="dxa" w:w="1728"/>
          </w:tcPr>
          <w:p>
            <w:r>
              <w:rPr>
                <w:sz w:val="14"/>
              </w:rPr>
              <w:t>The US Federal Reserve's policy meeting due on Wednesday, September 16</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(5 alerte(s))</w:t>
      </w:r>
    </w:p>
    <w:p>
      <w:pPr>
        <w:spacing w:before="40" w:after="40"/>
        <w:ind w:left="360"/>
      </w:pPr>
      <w:r>
        <w:rPr>
          <w:color w:val="646464"/>
          <w:sz w:val="17"/>
        </w:rPr>
        <w:t xml:space="preserve">[16/09/2026] 🔴  </w:t>
      </w:r>
      <w:r>
        <w:rPr>
          <w:b/>
          <w:color w:val="C00000"/>
          <w:sz w:val="18"/>
        </w:rPr>
        <w:t>Les perturbations des chaînes d'approvisionnement ont fait grimper en flèche les prix mondiaux du pétrole brut. - Vietna</w:t>
      </w:r>
      <w:r>
        <w:rPr>
          <w:color w:val="787878"/>
          <w:sz w:val="15"/>
        </w:rPr>
        <w:t xml:space="preserve">  [matieres_premieres]</w:t>
      </w:r>
      <w:r>
        <w:rPr>
          <w:color w:val="B47800"/>
          <w:sz w:val="16"/>
        </w:rPr>
        <w:t xml:space="preserve">  ★ 50/10</w:t>
      </w:r>
    </w:p>
    <w:p>
      <w:pPr>
        <w:spacing w:before="0" w:after="20"/>
        <w:ind w:left="600"/>
      </w:pPr>
      <w:r>
        <w:rPr>
          <w:color w:val="323232"/>
          <w:sz w:val="17"/>
        </w:rPr>
        <w:t>Les perturbations des chaînes d'approvisionnement mondiales ont provoqué une flambée des prix du pétrole brut. Cette hausse résulte de tensions logistiques et de goulets d'étranglement qui limitent l'offre disponible. Les marchés internationaux réagissent à cette pression haussière sur les matières premières énergétiques. Cette dynamique pourrait a</w:t>
      </w:r>
    </w:p>
    <w:p>
      <w:pPr>
        <w:spacing w:before="0" w:after="40"/>
        <w:ind w:left="600"/>
      </w:pPr>
      <w:r>
        <w:rPr>
          <w:color w:val="00643C"/>
          <w:sz w:val="16"/>
        </w:rPr>
        <w:t>Points clés : Flambée des prix mondiaux du pétrole brut  •  Perturbations des chaînes d'approvisionnement comme facteur déclencheur  •  Pression haussière sur les matières premières énergétiques  •  Risque d'inflation importée pour les économies dépendantes</w:t>
      </w:r>
    </w:p>
    <w:p>
      <w:pPr>
        <w:spacing w:before="0" w:after="60"/>
        <w:ind w:left="600"/>
      </w:pPr>
      <w:r>
        <w:rPr>
          <w:color w:val="0064B4"/>
          <w:sz w:val="15"/>
        </w:rPr>
        <w:t>Source : https://news.google.com/rss/articles/CBMiiAFBVV95cUxQbVdNVEU2X3JaZjNsYmxfS09BUkt</w:t>
      </w:r>
    </w:p>
    <w:p>
      <w:pPr>
        <w:spacing w:before="40" w:after="40"/>
        <w:ind w:left="360"/>
      </w:pPr>
      <w:r>
        <w:rPr>
          <w:color w:val="646464"/>
          <w:sz w:val="17"/>
        </w:rPr>
        <w:t xml:space="preserve">[16/09/2026] 🟢  </w:t>
      </w:r>
      <w:r>
        <w:rPr>
          <w:b/>
          <w:color w:val="008000"/>
          <w:sz w:val="18"/>
        </w:rPr>
        <w:t>Marchés des matières premières : Le pétrole et le soja propulsent l'indice MXV à son plus haut niveau en 4 mois. - Vietn</w:t>
      </w:r>
      <w:r>
        <w:rPr>
          <w:color w:val="787878"/>
          <w:sz w:val="15"/>
        </w:rPr>
        <w:t xml:space="preserve">  [matieres_premieres]</w:t>
      </w:r>
      <w:r>
        <w:rPr>
          <w:color w:val="B47800"/>
          <w:sz w:val="16"/>
        </w:rPr>
        <w:t xml:space="preserve">  ★ 50/10</w:t>
      </w:r>
    </w:p>
    <w:p>
      <w:pPr>
        <w:spacing w:before="0" w:after="20"/>
        <w:ind w:left="600"/>
      </w:pPr>
      <w:r>
        <w:rPr>
          <w:color w:val="323232"/>
          <w:sz w:val="17"/>
        </w:rPr>
        <w:t>L'indice MXV des matières premières a atteint son plus haut niveau en quatre mois, porté par la hausse des prix du pétrole et du soja. Cette progression reflète un regain de demande et des tensions sur l'offre pour ces deux produits. Le marché des matières premières montre ainsi une dynamique haussière après plusieurs mois de volatilité.</w:t>
      </w:r>
    </w:p>
    <w:p>
      <w:pPr>
        <w:spacing w:before="0" w:after="40"/>
        <w:ind w:left="600"/>
      </w:pPr>
      <w:r>
        <w:rPr>
          <w:color w:val="00643C"/>
          <w:sz w:val="16"/>
        </w:rPr>
        <w:t>Points clés : L'indice MXV atteint son plus haut niveau en 4 mois  •  Le pétrole et le soja sont les principaux moteurs de cette hausse  •  La hausse des matières premières peut alimenter les pressions inflationnistes</w:t>
      </w:r>
    </w:p>
    <w:p>
      <w:pPr>
        <w:spacing w:before="0" w:after="60"/>
        <w:ind w:left="600"/>
      </w:pPr>
      <w:r>
        <w:rPr>
          <w:color w:val="0064B4"/>
          <w:sz w:val="15"/>
        </w:rPr>
        <w:t>Source : https://news.google.com/rss/articles/CBMilgFBVV95cUxPOGxkYW9NZ0lGVTJ6MVF2NmhSRHV</w:t>
      </w:r>
    </w:p>
    <w:p>
      <w:pPr>
        <w:spacing w:before="40" w:after="40"/>
        <w:ind w:left="360"/>
      </w:pPr>
      <w:r>
        <w:rPr>
          <w:color w:val="646464"/>
          <w:sz w:val="17"/>
        </w:rPr>
        <w:t xml:space="preserve">[16/09/2026] ⚪  </w:t>
      </w:r>
      <w:r>
        <w:rPr>
          <w:b/>
          <w:color w:val="505050"/>
          <w:sz w:val="18"/>
        </w:rPr>
        <w:t>Green domine le marché des matières premières. - Vietnam.vn</w:t>
      </w:r>
      <w:r>
        <w:rPr>
          <w:color w:val="787878"/>
          <w:sz w:val="15"/>
        </w:rPr>
        <w:t xml:space="preserve">  [matieres_premieres]</w:t>
      </w:r>
      <w:r>
        <w:rPr>
          <w:color w:val="B47800"/>
          <w:sz w:val="16"/>
        </w:rPr>
        <w:t xml:space="preserve">  ★ 50/10</w:t>
      </w:r>
    </w:p>
    <w:p>
      <w:pPr>
        <w:spacing w:before="0" w:after="20"/>
        <w:ind w:left="600"/>
      </w:pPr>
      <w:r>
        <w:rPr>
          <w:color w:val="323232"/>
          <w:sz w:val="17"/>
        </w:rPr>
        <w:t>L'article intitulé 'Green domine le marché des matières premières' publié sur Vietnam.vn semble traiter de la prédominance d'une entité ou d'une tendance 'Green' sur le marché des matières premières. Cependant, le contenu fourni est extrêmement limité et ne permet pas d'identifier précisément de quoi il s'agit (entreprise, stratégie, produit). Aucu</w:t>
      </w:r>
    </w:p>
    <w:p>
      <w:pPr>
        <w:spacing w:before="0" w:after="40"/>
        <w:ind w:left="600"/>
      </w:pPr>
      <w:r>
        <w:rPr>
          <w:color w:val="00643C"/>
          <w:sz w:val="16"/>
        </w:rPr>
        <w:t>Points clés : Titre évocateur mais contenu quasi inexistant  •  Aucune donnée chiffrée ni contexte sur le marché des matières premières  •  Référence à 'Green' non explicitée (entreprise, tendance écologique, indice ?)  •  Source vietnamienne, portée probablement asiatique</w:t>
      </w:r>
    </w:p>
    <w:p>
      <w:pPr>
        <w:spacing w:before="0" w:after="60"/>
        <w:ind w:left="600"/>
      </w:pPr>
      <w:r>
        <w:rPr>
          <w:color w:val="0064B4"/>
          <w:sz w:val="15"/>
        </w:rPr>
        <w:t>Source : https://news.google.com/rss/articles/CBMihAFBVV95cUxNb3dwbXVBWDBvbkxlUnRFbENYV1Y</w:t>
      </w:r>
    </w:p>
    <w:p>
      <w:pPr>
        <w:spacing w:before="40" w:after="40"/>
        <w:ind w:left="360"/>
      </w:pPr>
      <w:r>
        <w:rPr>
          <w:color w:val="646464"/>
          <w:sz w:val="17"/>
        </w:rPr>
        <w:t xml:space="preserve">[15/09/2026] 🟢  </w:t>
      </w:r>
      <w:r>
        <w:rPr>
          <w:b/>
          <w:color w:val="008000"/>
          <w:sz w:val="18"/>
        </w:rPr>
        <w:t>Matières premières Canada : les prix du pétrole poursuivent leur ascension face à l'escalade des tensions au Moyen-Orien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poursuivent leur hausse au Canada en raison de l'escalade des tensions au Moyen-Orient. Cette situation géopolitique entraîne une prime de risque sur les marchés énergétiques mondiaux. Les investisseurs surveillent l'évolution du conflit qui pourrait perturber l'approvisionnement en brut. Cette dynamique haussière des cours pétr</w:t>
      </w:r>
    </w:p>
    <w:p>
      <w:pPr>
        <w:spacing w:before="0" w:after="40"/>
        <w:ind w:left="600"/>
      </w:pPr>
      <w:r>
        <w:rPr>
          <w:color w:val="00643C"/>
          <w:sz w:val="16"/>
        </w:rPr>
        <w:t>Points clés : Les prix du pétrole augmentent au Canada  •  Escalade des tensions au Moyen-Orient  •  Prime de risque géopolitique sur le brut  •  Impact sur les marchés énergétiques mondiaux</w:t>
      </w:r>
    </w:p>
    <w:p>
      <w:pPr>
        <w:spacing w:before="0" w:after="60"/>
        <w:ind w:left="600"/>
      </w:pPr>
      <w:r>
        <w:rPr>
          <w:color w:val="0064B4"/>
          <w:sz w:val="15"/>
        </w:rPr>
        <w:t>Source : https://news.google.com/rss/articles/CBMi7wFBVV95cUxPQklaazUyZzFhSUxGY1JMNEpaU3l</w:t>
      </w:r>
    </w:p>
    <w:p>
      <w:pPr>
        <w:spacing w:before="40" w:after="40"/>
        <w:ind w:left="360"/>
      </w:pPr>
      <w:r>
        <w:rPr>
          <w:color w:val="646464"/>
          <w:sz w:val="17"/>
        </w:rPr>
        <w:t xml:space="preserve">[14/09/2026] 🟢  </w:t>
      </w:r>
      <w:r>
        <w:rPr>
          <w:b/>
          <w:color w:val="008000"/>
          <w:sz w:val="18"/>
        </w:rPr>
        <w:t>Marché des matières premières : l'indice MXV progresse pour la 6e semaine consécutive.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a progressé pour la sixième semaine consécutive. Cette hausse reflète une dynamique haussière sur les marchés mondiaux des matières premières. Les investisseurs surveillent l'évolution des prix, notamment dans un contexte de demande soutenue et de tensions géopolitiques. Cette tendance pourrai</w:t>
      </w:r>
    </w:p>
    <w:p>
      <w:pPr>
        <w:spacing w:before="0" w:after="40"/>
        <w:ind w:left="600"/>
      </w:pPr>
      <w:r>
        <w:rPr>
          <w:color w:val="00643C"/>
          <w:sz w:val="16"/>
        </w:rPr>
        <w:t>Points clés : L'indice MXV enregistre une sixième semaine consécutive de hausse.  •  La progression des matières premières est portée par une demande mondiale soutenue.  •  Les marchés restent attentifs aux risques géopolitiques et aux politiques monétaires.</w:t>
      </w:r>
    </w:p>
    <w:p>
      <w:pPr>
        <w:spacing w:before="0" w:after="60"/>
        <w:ind w:left="600"/>
      </w:pPr>
      <w:r>
        <w:rPr>
          <w:color w:val="0064B4"/>
          <w:sz w:val="15"/>
        </w:rPr>
        <w:t>Source : https://news.google.com/rss/articles/CBMiiAFBVV95cUxPaTlRc05TMV9JYi0yQ3VmLVdVUWR</w:t>
      </w:r>
    </w:p>
    <w:p>
      <w:pPr>
        <w:spacing w:before="120" w:after="40"/>
      </w:pPr>
      <w:r>
        <w:rPr>
          <w:b/>
          <w:color w:val="00467F"/>
          <w:sz w:val="20"/>
        </w:rPr>
        <w:t>🔑 politique  (8 alerte(s))</w:t>
      </w:r>
    </w:p>
    <w:p>
      <w:pPr>
        <w:spacing w:before="40" w:after="40"/>
        <w:ind w:left="360"/>
      </w:pPr>
      <w:r>
        <w:rPr>
          <w:color w:val="646464"/>
          <w:sz w:val="17"/>
        </w:rPr>
        <w:t xml:space="preserve">[15/09/2026] ⚪  </w:t>
      </w:r>
      <w:r>
        <w:rPr>
          <w:b/>
          <w:color w:val="505050"/>
          <w:sz w:val="18"/>
        </w:rPr>
        <w:t>Mali-Palestine: la solidarité avec Gaza en coopération avec les femmes Palestiennes - Anadolu Ajansı</w:t>
      </w:r>
      <w:r>
        <w:rPr>
          <w:color w:val="787878"/>
          <w:sz w:val="15"/>
        </w:rPr>
        <w:t xml:space="preserve">  [politique]</w:t>
      </w:r>
      <w:r>
        <w:rPr>
          <w:color w:val="B47800"/>
          <w:sz w:val="16"/>
        </w:rPr>
        <w:t xml:space="preserve">  ★ 50/10</w:t>
      </w:r>
    </w:p>
    <w:p>
      <w:pPr>
        <w:spacing w:before="0" w:after="20"/>
        <w:ind w:left="600"/>
      </w:pPr>
      <w:r>
        <w:rPr>
          <w:color w:val="323232"/>
          <w:sz w:val="17"/>
        </w:rPr>
        <w:t>L'article rapporte une initiative de solidarité du Mali envers Gaza, menée en coopération avec des femmes palestiniennes. Il s'agit d'une action politique et humanitaire symbolique, sans lien direct avec les marchés financiers. Aucune implication économique ou commerciale n'est mentionnée.</w:t>
      </w:r>
    </w:p>
    <w:p>
      <w:pPr>
        <w:spacing w:before="0" w:after="40"/>
        <w:ind w:left="600"/>
      </w:pPr>
      <w:r>
        <w:rPr>
          <w:color w:val="00643C"/>
          <w:sz w:val="16"/>
        </w:rPr>
        <w:t>Points clés : Solidarité du Mali avec Gaza  •  Coopération avec des femmes palestiniennes  •  Nature politique et humanitaire de l'initiative</w:t>
      </w:r>
    </w:p>
    <w:p>
      <w:pPr>
        <w:spacing w:before="0" w:after="60"/>
        <w:ind w:left="600"/>
      </w:pPr>
      <w:r>
        <w:rPr>
          <w:color w:val="0064B4"/>
          <w:sz w:val="15"/>
        </w:rPr>
        <w:t>Source : https://news.google.com/rss/articles/CBMizgFBVV95cUxNYnkweUF0WlhZSTlTVW5EV2NzQ0F</w:t>
      </w:r>
    </w:p>
    <w:p>
      <w:pPr>
        <w:spacing w:before="40" w:after="40"/>
        <w:ind w:left="360"/>
      </w:pPr>
      <w:r>
        <w:rPr>
          <w:color w:val="646464"/>
          <w:sz w:val="17"/>
        </w:rPr>
        <w:t xml:space="preserve">[15/09/2026] 🟢  </w:t>
      </w:r>
      <w:r>
        <w:rPr>
          <w:b/>
          <w:color w:val="008000"/>
          <w:sz w:val="18"/>
        </w:rPr>
        <w:t>Mali-Algérie : Assimi Goïta attendu prochainement à Alger - koaci.com</w:t>
      </w:r>
      <w:r>
        <w:rPr>
          <w:color w:val="787878"/>
          <w:sz w:val="15"/>
        </w:rPr>
        <w:t xml:space="preserve">  [politique]</w:t>
      </w:r>
      <w:r>
        <w:rPr>
          <w:color w:val="B47800"/>
          <w:sz w:val="16"/>
        </w:rPr>
        <w:t xml:space="preserve">  ★ 50/10</w:t>
      </w:r>
    </w:p>
    <w:p>
      <w:pPr>
        <w:spacing w:before="0" w:after="20"/>
        <w:ind w:left="600"/>
      </w:pPr>
      <w:r>
        <w:rPr>
          <w:color w:val="323232"/>
          <w:sz w:val="17"/>
        </w:rPr>
        <w:t>Le président malien Assimi Goïta est attendu prochainement à Alger pour une visite officielle. Cette visite s'inscrit dans le cadre du renforcement des relations bilatérales entre le Mali et l'Algérie, après des tensions diplomatiques. Elle pourrait porter sur la coopération sécuritaire et économique dans la région du Sahel. Les détails précis de l</w:t>
      </w:r>
    </w:p>
    <w:p>
      <w:pPr>
        <w:spacing w:before="0" w:after="40"/>
        <w:ind w:left="600"/>
      </w:pPr>
      <w:r>
        <w:rPr>
          <w:color w:val="00643C"/>
          <w:sz w:val="16"/>
        </w:rPr>
        <w:t>Points clés : Visite officielle du président malien Assimi Goïta à Alger  •  Renforcement des relations Mali-Algérie après des tensions  •  Coopération sécuritaire et économique au menu des discussions</w:t>
      </w:r>
    </w:p>
    <w:p>
      <w:pPr>
        <w:spacing w:before="0" w:after="60"/>
        <w:ind w:left="600"/>
      </w:pPr>
      <w:r>
        <w:rPr>
          <w:color w:val="0064B4"/>
          <w:sz w:val="15"/>
        </w:rPr>
        <w:t>Source : https://news.google.com/rss/articles/CBMiwAFBVV95cUxPY0V4SHlCZDBxSENmVEMzU0VuS2p</w:t>
      </w:r>
    </w:p>
    <w:p>
      <w:pPr>
        <w:spacing w:before="40" w:after="40"/>
        <w:ind w:left="360"/>
      </w:pPr>
      <w:r>
        <w:rPr>
          <w:color w:val="646464"/>
          <w:sz w:val="17"/>
        </w:rPr>
        <w:t xml:space="preserve">[15/09/2026] 🟢  </w:t>
      </w:r>
      <w:r>
        <w:rPr>
          <w:b/>
          <w:color w:val="008000"/>
          <w:sz w:val="18"/>
        </w:rPr>
        <w:t>Burkina Faso : l’expérience chinoise comme source d’inspiration - Africa24 TV</w:t>
      </w:r>
      <w:r>
        <w:rPr>
          <w:color w:val="787878"/>
          <w:sz w:val="15"/>
        </w:rPr>
        <w:t xml:space="preserve">  [politique]</w:t>
      </w:r>
      <w:r>
        <w:rPr>
          <w:color w:val="B47800"/>
          <w:sz w:val="16"/>
        </w:rPr>
        <w:t xml:space="preserve">  ★ 50/10</w:t>
      </w:r>
    </w:p>
    <w:p>
      <w:pPr>
        <w:spacing w:before="0" w:after="20"/>
        <w:ind w:left="600"/>
      </w:pPr>
      <w:r>
        <w:rPr>
          <w:color w:val="323232"/>
          <w:sz w:val="17"/>
        </w:rPr>
        <w:t>Le Burkina Faso s'inspire de l'expérience chinoise en matière de développement, selon un reportage d'Africa24 TV. Cette orientation politique suggère un renforcement des relations bilatérales entre Ouagadougou et Pékin. Elle pourrait se traduire par des partenariats dans les infrastructures, l'énergie ou l'agriculture. Cette dynamique intervient da</w:t>
      </w:r>
    </w:p>
    <w:p>
      <w:pPr>
        <w:spacing w:before="0" w:after="40"/>
        <w:ind w:left="600"/>
      </w:pPr>
      <w:r>
        <w:rPr>
          <w:color w:val="00643C"/>
          <w:sz w:val="16"/>
        </w:rPr>
        <w:t>Points clés : Le Burkina Faso se tourne vers le modèle chinois de développement  •  Renforcement potentiel des relations sino-burkinabè  •  Possibles accords dans les infrastructures et l'énergie  •  Diversification des partenariats stratégiques du Burkina Faso</w:t>
      </w:r>
    </w:p>
    <w:p>
      <w:pPr>
        <w:spacing w:before="0" w:after="60"/>
        <w:ind w:left="600"/>
      </w:pPr>
      <w:r>
        <w:rPr>
          <w:color w:val="0064B4"/>
          <w:sz w:val="15"/>
        </w:rPr>
        <w:t>Source : https://news.google.com/rss/articles/CBMiiwFBVV95cUxPOXo5NXdFOXVtN1IyUjNlOU9taEZ</w:t>
      </w:r>
    </w:p>
    <w:p>
      <w:pPr>
        <w:spacing w:before="40" w:after="40"/>
        <w:ind w:left="360"/>
      </w:pPr>
      <w:r>
        <w:rPr>
          <w:color w:val="646464"/>
          <w:sz w:val="17"/>
        </w:rPr>
        <w:t xml:space="preserve">[15/09/2026] ⚪  </w:t>
      </w:r>
      <w:r>
        <w:rPr>
          <w:b/>
          <w:color w:val="505050"/>
          <w:sz w:val="18"/>
        </w:rPr>
        <w:t>Mali : Kamissa Camara, du cœur du pouvoir à l’analyse des coups d’État - Jeune Afrique</w:t>
      </w:r>
      <w:r>
        <w:rPr>
          <w:color w:val="787878"/>
          <w:sz w:val="15"/>
        </w:rPr>
        <w:t xml:space="preserve">  [politique]</w:t>
      </w:r>
      <w:r>
        <w:rPr>
          <w:color w:val="B47800"/>
          <w:sz w:val="16"/>
        </w:rPr>
        <w:t xml:space="preserve">  ★ 50/10</w:t>
      </w:r>
    </w:p>
    <w:p>
      <w:pPr>
        <w:spacing w:before="0" w:after="20"/>
        <w:ind w:left="600"/>
      </w:pPr>
      <w:r>
        <w:rPr>
          <w:color w:val="323232"/>
          <w:sz w:val="17"/>
        </w:rPr>
        <w:t>Kamissa Camara, ancienne ministre malienne des Affaires étrangères et de la Défense, revient sur son parcours au cœur du pouvoir et analyse les coups d'État successifs au Mali. Elle partage son expérience et ses réflexions sur les dynamiques politiques et sécuritaires qui ont conduit aux renversements de régimes. Son témoignage met en lumière les f</w:t>
      </w:r>
    </w:p>
    <w:p>
      <w:pPr>
        <w:spacing w:before="0" w:after="40"/>
        <w:ind w:left="600"/>
      </w:pPr>
      <w:r>
        <w:rPr>
          <w:color w:val="00643C"/>
          <w:sz w:val="16"/>
        </w:rPr>
        <w:t>Points clés : Kamissa Camara a occupé des postes clés au sein du gouvernement malien  •  Elle analyse les coups d'État qui ont secoué le Mali  •  Son témoignage éclaire les fragilités politiques et sécuritaires au Sahel</w:t>
      </w:r>
    </w:p>
    <w:p>
      <w:pPr>
        <w:spacing w:before="0" w:after="60"/>
        <w:ind w:left="600"/>
      </w:pPr>
      <w:r>
        <w:rPr>
          <w:color w:val="0064B4"/>
          <w:sz w:val="15"/>
        </w:rPr>
        <w:t>Source : https://news.google.com/rss/articles/CBMitAFBVV95cUxNQlZVZURyVlNQZE9pc3lGaGYzeTg</w:t>
      </w:r>
    </w:p>
    <w:p>
      <w:pPr>
        <w:spacing w:before="40" w:after="40"/>
        <w:ind w:left="360"/>
      </w:pPr>
      <w:r>
        <w:rPr>
          <w:color w:val="646464"/>
          <w:sz w:val="17"/>
        </w:rPr>
        <w:t xml:space="preserve">[14/09/2026] 🟢  </w:t>
      </w:r>
      <w:r>
        <w:rPr>
          <w:b/>
          <w:color w:val="008000"/>
          <w:sz w:val="18"/>
        </w:rPr>
        <w:t>Pr Abdoulaye Wade, Abdou Diouf: L'Etat du Sénégal se souvient de l'âge honorable de ses ex-dirigeants - Afriquinfos</w:t>
      </w:r>
      <w:r>
        <w:rPr>
          <w:color w:val="787878"/>
          <w:sz w:val="15"/>
        </w:rPr>
        <w:t xml:space="preserve">  [politique]</w:t>
      </w:r>
      <w:r>
        <w:rPr>
          <w:color w:val="B47800"/>
          <w:sz w:val="16"/>
        </w:rPr>
        <w:t xml:space="preserve">  ★ 50/10</w:t>
      </w:r>
    </w:p>
    <w:p>
      <w:pPr>
        <w:spacing w:before="0" w:after="20"/>
        <w:ind w:left="600"/>
      </w:pPr>
      <w:r>
        <w:rPr>
          <w:color w:val="323232"/>
          <w:sz w:val="17"/>
        </w:rPr>
        <w:t>L'État du Sénégal a rendu hommage à ses anciens dirigeants, le Professeur Abdoulaye Wade et Abdou Diouf, en reconnaissant leur âge honorable. Cette initiative symbolique vise à saluer le parcours et le rôle historique de ces deux figures politiques. L'événement, rapporté par Afriquinfos, s'inscrit dans une démarche de mémoire et de respect institut</w:t>
      </w:r>
    </w:p>
    <w:p>
      <w:pPr>
        <w:spacing w:before="0" w:after="40"/>
        <w:ind w:left="600"/>
      </w:pPr>
      <w:r>
        <w:rPr>
          <w:color w:val="00643C"/>
          <w:sz w:val="16"/>
        </w:rPr>
        <w:t>Points clés : Hommage de l'État sénégalais à Abdoulaye Wade et Abdou Diouf  •  Reconnaissance de leur âge honorable et de leur parcours politique  •  Événement à caractère symbolique et mémoriel  •  Aucune annonce économique ou financière associée</w:t>
      </w:r>
    </w:p>
    <w:p>
      <w:pPr>
        <w:spacing w:before="0" w:after="60"/>
        <w:ind w:left="600"/>
      </w:pPr>
      <w:r>
        <w:rPr>
          <w:color w:val="0064B4"/>
          <w:sz w:val="15"/>
        </w:rPr>
        <w:t>Source : https://news.google.com/rss/articles/CBMivwFBVV95cUxPcV92c3NYbFRQT1dWQi1GUXY3Y1c</w:t>
      </w:r>
    </w:p>
    <w:p>
      <w:pPr>
        <w:spacing w:before="120" w:after="40"/>
      </w:pPr>
      <w:r>
        <w:rPr>
          <w:b/>
          <w:color w:val="00467F"/>
          <w:sz w:val="20"/>
        </w:rPr>
        <w:t>🔑 économique  (2 alerte(s))</w:t>
      </w:r>
    </w:p>
    <w:p>
      <w:pPr>
        <w:spacing w:before="40" w:after="40"/>
        <w:ind w:left="360"/>
      </w:pPr>
      <w:r>
        <w:rPr>
          <w:color w:val="646464"/>
          <w:sz w:val="17"/>
        </w:rPr>
        <w:t xml:space="preserve">[15/09/2026] 🟢  </w:t>
      </w:r>
      <w:r>
        <w:rPr>
          <w:b/>
          <w:color w:val="008000"/>
          <w:sz w:val="18"/>
        </w:rPr>
        <w:t>CEDEAO-Tunisie : Engagement en faveur d'une coopération renforcée - koaci.com</w:t>
      </w:r>
      <w:r>
        <w:rPr>
          <w:color w:val="787878"/>
          <w:sz w:val="15"/>
        </w:rPr>
        <w:t xml:space="preserve">  [économique]</w:t>
      </w:r>
      <w:r>
        <w:rPr>
          <w:color w:val="B47800"/>
          <w:sz w:val="16"/>
        </w:rPr>
        <w:t xml:space="preserve">  ★ 50/10</w:t>
      </w:r>
    </w:p>
    <w:p>
      <w:pPr>
        <w:spacing w:before="0" w:after="20"/>
        <w:ind w:left="600"/>
      </w:pPr>
      <w:r>
        <w:rPr>
          <w:color w:val="323232"/>
          <w:sz w:val="17"/>
        </w:rPr>
        <w:t>La CEDEAO et la Tunisie ont réaffirmé leur volonté de renforcer leur coopération économique lors d'une rencontre officielle. Cet engagement vise à développer les échanges commerciaux et les investissements entre les deux parties. Cette dynamique pourrait ouvrir de nouvelles opportunités pour les entreprises de la zone ouest-africaine.</w:t>
      </w:r>
    </w:p>
    <w:p>
      <w:pPr>
        <w:spacing w:before="0" w:after="40"/>
        <w:ind w:left="600"/>
      </w:pPr>
      <w:r>
        <w:rPr>
          <w:color w:val="00643C"/>
          <w:sz w:val="16"/>
        </w:rPr>
        <w:t>Points clés : Renforcement de la coopération économique entre la CEDEAO et la Tunisie  •  Volonté d'accroître les échanges commerciaux et les investissements  •  Opportunités potentielles pour les entreprises de la zone CEDEAO</w:t>
      </w:r>
    </w:p>
    <w:p>
      <w:pPr>
        <w:spacing w:before="0" w:after="60"/>
        <w:ind w:left="600"/>
      </w:pPr>
      <w:r>
        <w:rPr>
          <w:color w:val="0064B4"/>
          <w:sz w:val="15"/>
        </w:rPr>
        <w:t>Source : https://news.google.com/rss/articles/CBMizAFBVV95cUxOVlZjNFVnejZCWGZoQTdxNGNGOWp</w:t>
      </w:r>
    </w:p>
    <w:p>
      <w:pPr>
        <w:spacing w:before="40" w:after="40"/>
        <w:ind w:left="360"/>
      </w:pPr>
      <w:r>
        <w:rPr>
          <w:color w:val="646464"/>
          <w:sz w:val="17"/>
        </w:rPr>
        <w:t xml:space="preserve">[15/09/2026] ⚪  </w:t>
      </w:r>
      <w:r>
        <w:rPr>
          <w:b/>
          <w:color w:val="505050"/>
          <w:sz w:val="18"/>
        </w:rPr>
        <w:t>Ouémé : la CEDEAO lance un audit de terrain de ses projets structurants au Bénin - Capmad</w:t>
      </w:r>
      <w:r>
        <w:rPr>
          <w:color w:val="787878"/>
          <w:sz w:val="15"/>
        </w:rPr>
        <w:t xml:space="preserve">  [économique]</w:t>
      </w:r>
      <w:r>
        <w:rPr>
          <w:color w:val="B47800"/>
          <w:sz w:val="16"/>
        </w:rPr>
        <w:t xml:space="preserve">  ★ 50/10</w:t>
      </w:r>
    </w:p>
    <w:p>
      <w:pPr>
        <w:spacing w:before="0" w:after="20"/>
        <w:ind w:left="600"/>
      </w:pPr>
      <w:r>
        <w:rPr>
          <w:color w:val="323232"/>
          <w:sz w:val="17"/>
        </w:rPr>
        <w:t>La CEDEAO a lancé un audit de terrain de ses projets structurants au Bénin, dans le département de l'Ouémé. Cette mission vise à évaluer l'état d'avancement et l'impact des investissements régionaux. Elle s'inscrit dans une démarche de transparence et d'efficacité des financements. Les résultats pourraient influencer la poursuite ou l'ajustement de</w:t>
      </w:r>
    </w:p>
    <w:p>
      <w:pPr>
        <w:spacing w:before="0" w:after="40"/>
        <w:ind w:left="600"/>
      </w:pPr>
      <w:r>
        <w:rPr>
          <w:color w:val="00643C"/>
          <w:sz w:val="16"/>
        </w:rPr>
        <w:t>Points clés : Audit de terrain de la CEDEAO au Bénin  •  Évaluation des projets structurants dans l'Ouémé  •  Démarche de transparence et d'efficacité</w:t>
      </w:r>
    </w:p>
    <w:p>
      <w:pPr>
        <w:spacing w:before="0" w:after="60"/>
        <w:ind w:left="600"/>
      </w:pPr>
      <w:r>
        <w:rPr>
          <w:color w:val="0064B4"/>
          <w:sz w:val="15"/>
        </w:rPr>
        <w:t>Source : https://news.google.com/rss/articles/CBMirgFBVV95cUxPTkVkaTdtV1NKUkZGN09NaUVsR1h</w:t>
      </w:r>
    </w:p>
    <w:p>
      <w:pPr>
        <w:spacing w:before="120" w:after="40"/>
      </w:pPr>
      <w:r>
        <w:rPr>
          <w:b/>
          <w:color w:val="00467F"/>
          <w:sz w:val="20"/>
        </w:rPr>
        <w:t>🔑 politique_monetaire  (3 alerte(s))</w:t>
      </w:r>
    </w:p>
    <w:p>
      <w:pPr>
        <w:spacing w:before="40" w:after="40"/>
        <w:ind w:left="360"/>
      </w:pPr>
      <w:r>
        <w:rPr>
          <w:color w:val="646464"/>
          <w:sz w:val="17"/>
        </w:rPr>
        <w:t xml:space="preserve">[14/09/2026] ⚪  </w:t>
      </w:r>
      <w:r>
        <w:rPr>
          <w:b/>
          <w:color w:val="505050"/>
          <w:sz w:val="18"/>
        </w:rPr>
        <w:t>La BCE relève ses taux directeurs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annoncé une hausse de ses taux directeurs, une décision de politique monétaire visant à lutter contre l'inflation dans la zone euro. Cette mesure entraîne un durcissement des conditions de financement pour les entreprises et les ménages européens. Elle pourrait également influencer les flux de capitaux vers les</w:t>
      </w:r>
    </w:p>
    <w:p>
      <w:pPr>
        <w:spacing w:before="0" w:after="40"/>
        <w:ind w:left="600"/>
      </w:pPr>
      <w:r>
        <w:rPr>
          <w:color w:val="00643C"/>
          <w:sz w:val="16"/>
        </w:rPr>
        <w:t>Points clés : La BCE relève ses taux directeurs.  •  Objectif : maîtriser l'inflation dans la zone euro.  •  Impact potentiel sur les marchés financiers mondiaux et les économies émergentes.</w:t>
      </w:r>
    </w:p>
    <w:p>
      <w:pPr>
        <w:spacing w:before="0" w:after="60"/>
        <w:ind w:left="600"/>
      </w:pPr>
      <w:r>
        <w:rPr>
          <w:color w:val="0064B4"/>
          <w:sz w:val="15"/>
        </w:rPr>
        <w:t>Source : https://news.google.com/rss/articles/CBMitgFBVV95cUxQZy1QY0FPeDZXWnlfNzN3VnVZcUx</w:t>
      </w:r>
    </w:p>
    <w:p>
      <w:pPr>
        <w:spacing w:before="40" w:after="40"/>
        <w:ind w:left="360"/>
      </w:pPr>
      <w:r>
        <w:rPr>
          <w:color w:val="646464"/>
          <w:sz w:val="17"/>
        </w:rPr>
        <w:t xml:space="preserve">[14/09/2026] ⚪  </w:t>
      </w:r>
      <w:r>
        <w:rPr>
          <w:b/>
          <w:color w:val="505050"/>
          <w:sz w:val="18"/>
        </w:rPr>
        <w:t>The US Federal Reserve's policy meeting due on Wednesday, September 16; how will it impact your stocks, gold, and rupee?</w:t>
      </w:r>
      <w:r>
        <w:rPr>
          <w:color w:val="787878"/>
          <w:sz w:val="15"/>
        </w:rPr>
        <w:t xml:space="preserve">  [politique_monetaire]</w:t>
      </w:r>
      <w:r>
        <w:rPr>
          <w:color w:val="B47800"/>
          <w:sz w:val="16"/>
        </w:rPr>
        <w:t xml:space="preserve">  ★ 50/10</w:t>
      </w:r>
    </w:p>
    <w:p>
      <w:pPr>
        <w:spacing w:before="0" w:after="20"/>
        <w:ind w:left="600"/>
      </w:pPr>
      <w:r>
        <w:rPr>
          <w:color w:val="323232"/>
          <w:sz w:val="17"/>
        </w:rPr>
        <w:t>La Réserve fédérale américaine tient sa réunion de politique monétaire le mercredi 16 septembre. Les marchés anticipent des décisions susceptibles d'influencer les actions, l'or et la roupie indienne. Les investisseurs surveillent particulièrement les taux d'intérêt et les orientations futures. L'issue de cette réunion pourrait accroître la volatil</w:t>
      </w:r>
    </w:p>
    <w:p>
      <w:pPr>
        <w:spacing w:before="0" w:after="40"/>
        <w:ind w:left="600"/>
      </w:pPr>
      <w:r>
        <w:rPr>
          <w:color w:val="00643C"/>
          <w:sz w:val="16"/>
        </w:rPr>
        <w:t>Points clés : Réunion de la Fed prévue le 16 septembre  •  Impact potentiel sur les actions, l'or et la roupie  •  Surveillance des taux d'intérêt et du discours de la Fed</w:t>
      </w:r>
    </w:p>
    <w:p>
      <w:pPr>
        <w:spacing w:before="0" w:after="60"/>
        <w:ind w:left="600"/>
      </w:pPr>
      <w:r>
        <w:rPr>
          <w:color w:val="0064B4"/>
          <w:sz w:val="15"/>
        </w:rPr>
        <w:t>Source : https://news.google.com/rss/articles/CBMigAJBVV95cUxPVVdQV1hHdklZTkVWd2kxbjVtTFY</w:t>
      </w:r>
    </w:p>
    <w:p>
      <w:pPr>
        <w:spacing w:before="40" w:after="40"/>
        <w:ind w:left="360"/>
      </w:pPr>
      <w:r>
        <w:rPr>
          <w:color w:val="646464"/>
          <w:sz w:val="17"/>
        </w:rPr>
        <w:t xml:space="preserve">[14/09/2026] ⚪  </w:t>
      </w:r>
      <w:r>
        <w:rPr>
          <w:b/>
          <w:color w:val="505050"/>
          <w:sz w:val="18"/>
        </w:rPr>
        <w:t>«Assurer la stabilité des prix» : Christine Lagarde explique pourquoi la BCE veut relever les taux directeurs - capital.</w:t>
      </w:r>
      <w:r>
        <w:rPr>
          <w:color w:val="787878"/>
          <w:sz w:val="15"/>
        </w:rPr>
        <w:t xml:space="preserve">  [politique_monetaire]</w:t>
      </w:r>
      <w:r>
        <w:rPr>
          <w:color w:val="B47800"/>
          <w:sz w:val="16"/>
        </w:rPr>
        <w:t xml:space="preserve">  ★ 50/10</w:t>
      </w:r>
    </w:p>
    <w:p>
      <w:pPr>
        <w:spacing w:before="0" w:after="20"/>
        <w:ind w:left="600"/>
      </w:pPr>
      <w:r>
        <w:rPr>
          <w:color w:val="323232"/>
          <w:sz w:val="17"/>
        </w:rPr>
        <w:t>Christine Lagarde, présidente de la BCE, a expliqué que la Banque centrale européenne souhaite relever ses taux directeurs afin d'assurer la stabilité des prix face à l'inflation persistante. Cette décision vise à ramener l'inflation vers l'objectif de 2 % à moyen terme. Elle souligne que la hausse des taux est nécessaire pour éviter une spirale in</w:t>
      </w:r>
    </w:p>
    <w:p>
      <w:pPr>
        <w:spacing w:before="0" w:after="40"/>
        <w:ind w:left="600"/>
      </w:pPr>
      <w:r>
        <w:rPr>
          <w:color w:val="00643C"/>
          <w:sz w:val="16"/>
        </w:rPr>
        <w:t>Points clés : La BCE veut relever ses taux directeurs pour lutter contre l'inflation  •  Objectif : assurer la stabilité des prix et ramener l'inflation à 2 %  •  Christine Lagarde justifie cette politique monétaire restrictive</w:t>
      </w:r>
    </w:p>
    <w:p>
      <w:pPr>
        <w:spacing w:before="0" w:after="60"/>
        <w:ind w:left="600"/>
      </w:pPr>
      <w:r>
        <w:rPr>
          <w:color w:val="0064B4"/>
          <w:sz w:val="15"/>
        </w:rPr>
        <w:t>Source : https://news.google.com/rss/articles/CBMi6wFBVV95cUxPcFlJVlRFWHJWOGdFUzJwLXFJazB</w:t>
      </w:r>
    </w:p>
    <w:p>
      <w:pPr>
        <w:spacing w:before="120" w:after="40"/>
      </w:pPr>
      <w:r>
        <w:rPr>
          <w:b/>
          <w:color w:val="00467F"/>
          <w:sz w:val="20"/>
        </w:rPr>
        <w:t>🔑 marche_financier  (2 alerte(s))</w:t>
      </w:r>
    </w:p>
    <w:p>
      <w:pPr>
        <w:spacing w:before="40" w:after="40"/>
        <w:ind w:left="360"/>
      </w:pPr>
      <w:r>
        <w:rPr>
          <w:color w:val="646464"/>
          <w:sz w:val="17"/>
        </w:rPr>
        <w:t xml:space="preserve">[14/09/2026] 🟢  </w:t>
      </w:r>
      <w:r>
        <w:rPr>
          <w:b/>
          <w:color w:val="008000"/>
          <w:sz w:val="18"/>
        </w:rPr>
        <w:t>Emprunts patriotiques: les Diaspora bonds font leur entrée à la cote de la BRVM - L'economiste du faso</w:t>
      </w:r>
      <w:r>
        <w:rPr>
          <w:color w:val="787878"/>
          <w:sz w:val="15"/>
        </w:rPr>
        <w:t xml:space="preserve">  [marche_financier]</w:t>
      </w:r>
      <w:r>
        <w:rPr>
          <w:color w:val="B47800"/>
          <w:sz w:val="16"/>
        </w:rPr>
        <w:t xml:space="preserve">  ★ 50/10</w:t>
      </w:r>
    </w:p>
    <w:p>
      <w:pPr>
        <w:spacing w:before="0" w:after="20"/>
        <w:ind w:left="600"/>
      </w:pPr>
      <w:r>
        <w:rPr>
          <w:color w:val="323232"/>
          <w:sz w:val="17"/>
        </w:rPr>
        <w:t>La BRVM accueille désormais les Diaspora bonds, des emprunts patriotiques destinés à mobiliser l'épargne des populations de la diaspora au profit du financement des économies de l'UEMOA. Cette innovation élargit la base d'investisseurs et diversifie les sources de financement des États et entreprises de la zone. Elle marque une étape importante dan</w:t>
      </w:r>
    </w:p>
    <w:p>
      <w:pPr>
        <w:spacing w:before="0" w:after="40"/>
        <w:ind w:left="600"/>
      </w:pPr>
      <w:r>
        <w:rPr>
          <w:color w:val="00643C"/>
          <w:sz w:val="16"/>
        </w:rPr>
        <w:t>Points clés : Arrivée des Diaspora bonds (emprunts patriotiques) à la cote de la BRVM  •  Objectif : mobiliser l'épargne de la diaspora pour financer les économies de l'UEMOA  •  Élargissement de la base d'investisseurs et diversification des sources de financement  •  Renforcement de l'intégration financière régionale</w:t>
      </w:r>
    </w:p>
    <w:p>
      <w:pPr>
        <w:spacing w:before="0" w:after="60"/>
        <w:ind w:left="600"/>
      </w:pPr>
      <w:r>
        <w:rPr>
          <w:color w:val="0064B4"/>
          <w:sz w:val="15"/>
        </w:rPr>
        <w:t>Source : https://news.google.com/rss/articles/CBMivAFBVV95cUxQM3pjYnZTcl85c3lDeEJjM3JHMHR</w:t>
      </w:r>
    </w:p>
    <w:p>
      <w:pPr>
        <w:spacing w:before="40" w:after="40"/>
        <w:ind w:left="360"/>
      </w:pPr>
      <w:r>
        <w:rPr>
          <w:color w:val="646464"/>
          <w:sz w:val="17"/>
        </w:rPr>
        <w:t xml:space="preserve">[14/09/2026] 🟢  </w:t>
      </w:r>
      <w:r>
        <w:rPr>
          <w:b/>
          <w:color w:val="008000"/>
          <w:sz w:val="18"/>
        </w:rPr>
        <w:t>BRVM : la BIIC dépasse 1 milliard $ de capitalisation, son action a presque doublé depuis l’IPO - agenceecofin.com</w:t>
      </w:r>
      <w:r>
        <w:rPr>
          <w:color w:val="787878"/>
          <w:sz w:val="15"/>
        </w:rPr>
        <w:t xml:space="preserve">  [marche_financier]</w:t>
      </w:r>
      <w:r>
        <w:rPr>
          <w:color w:val="B47800"/>
          <w:sz w:val="16"/>
        </w:rPr>
        <w:t xml:space="preserve">  ★ 50/10</w:t>
      </w:r>
    </w:p>
    <w:p>
      <w:pPr>
        <w:spacing w:before="0" w:after="20"/>
        <w:ind w:left="600"/>
      </w:pPr>
      <w:r>
        <w:rPr>
          <w:color w:val="323232"/>
          <w:sz w:val="17"/>
        </w:rPr>
        <w:t>La BIIC (Banque d'Investissement et de Commerce International) franchit le cap du milliard de dollars de capitalisation boursière à la BRVM. Depuis son introduction en bourse (IPO), le cours de son action a presque doublé, témoignant d'un fort engouement des investisseurs. Cette performance illustre la dynamique positive du marché financier régiona</w:t>
      </w:r>
    </w:p>
    <w:p>
      <w:pPr>
        <w:spacing w:before="0" w:after="40"/>
        <w:ind w:left="600"/>
      </w:pPr>
      <w:r>
        <w:rPr>
          <w:color w:val="00643C"/>
          <w:sz w:val="16"/>
        </w:rPr>
        <w:t>Points clés : La BIIC dépasse 1 milliard USD de capitalisation à la BRVM  •  L'action a presque doublé depuis son introduction en bourse  •  Performance remarquable dans le secteur bancaire de l'UEMOA</w:t>
      </w:r>
    </w:p>
    <w:p>
      <w:pPr>
        <w:spacing w:before="0" w:after="60"/>
        <w:ind w:left="600"/>
      </w:pPr>
      <w:r>
        <w:rPr>
          <w:color w:val="0064B4"/>
          <w:sz w:val="15"/>
        </w:rPr>
        <w:t>Source : https://news.google.com/rss/articles/CBMi5AFBVV95cUxOTVA1b0xRamw5dkdaT3lkM2RDSnd</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12,200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4,980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10,550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37,800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7,000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3,410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3,085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13,885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21,900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4,015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71</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22,500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2,910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18,480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8,180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2,480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3,285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8,495</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5,360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39,245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8,300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34,300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9,200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24,500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2,380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16,950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31,050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3,230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3,990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2,275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10,200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1,730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8,600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6,800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3,955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43</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2,750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53,000</w:t>
            </w:r>
          </w:p>
        </w:tc>
        <w:tc>
          <w:tcPr>
            <w:tcW w:type="dxa" w:w="1080"/>
            <w:shd w:fill="EBF5FB" w:val="clear"/>
          </w:tcPr>
          <w:p>
            <w:r>
              <w:rPr>
                <w:b/>
                <w:sz w:val="16"/>
              </w:rPr>
              <w:t>61/100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4,420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37,800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7,000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3,410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13,885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21,900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8,180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8,300</w:t>
            </w:r>
          </w:p>
        </w:tc>
        <w:tc>
          <w:tcPr>
            <w:tcW w:type="dxa" w:w="1728"/>
            <w:shd w:fill="DEEAF1" w:val="clear"/>
          </w:tcPr>
          <w:p>
            <w:r>
              <w:rPr>
                <w:sz w:val="17"/>
              </w:rPr>
              <w:t>70/100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12,200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SAFC</w:t>
            </w:r>
          </w:p>
        </w:tc>
        <w:tc>
          <w:tcPr>
            <w:tcW w:type="dxa" w:w="1728"/>
            <w:shd w:fill="E2EFDA" w:val="clear"/>
          </w:tcPr>
          <w:p>
            <w:r>
              <w:rPr>
                <w:sz w:val="17"/>
              </w:rPr>
              <w:t>SAFCA CI</w:t>
            </w:r>
          </w:p>
        </w:tc>
        <w:tc>
          <w:tcPr>
            <w:tcW w:type="dxa" w:w="1728"/>
            <w:shd w:fill="E2EFDA" w:val="clear"/>
          </w:tcPr>
          <w:p>
            <w:r>
              <w:rPr>
                <w:sz w:val="17"/>
              </w:rPr>
              <w:t>4,980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10,550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37,800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7,000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CABC</w:t>
            </w:r>
          </w:p>
        </w:tc>
        <w:tc>
          <w:tcPr>
            <w:tcW w:type="dxa" w:w="1728"/>
            <w:shd w:fill="E2EFDA" w:val="clear"/>
          </w:tcPr>
          <w:p>
            <w:r>
              <w:rPr>
                <w:sz w:val="17"/>
              </w:rPr>
              <w:t>CABC - SICABLE COTE D'IVOIRE</w:t>
            </w:r>
          </w:p>
        </w:tc>
        <w:tc>
          <w:tcPr>
            <w:tcW w:type="dxa" w:w="1728"/>
            <w:shd w:fill="E2EFDA" w:val="clear"/>
          </w:tcPr>
          <w:p>
            <w:r>
              <w:rPr>
                <w:sz w:val="17"/>
              </w:rPr>
              <w:t>3,410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FTSC</w:t>
            </w:r>
          </w:p>
        </w:tc>
        <w:tc>
          <w:tcPr>
            <w:tcW w:type="dxa" w:w="1728"/>
            <w:shd w:fill="E2EFDA" w:val="clear"/>
          </w:tcPr>
          <w:p>
            <w:r>
              <w:rPr>
                <w:sz w:val="17"/>
              </w:rPr>
              <w:t>FTSC - FILTISAC COTE D'IVOIR</w:t>
            </w:r>
          </w:p>
        </w:tc>
        <w:tc>
          <w:tcPr>
            <w:tcW w:type="dxa" w:w="1728"/>
            <w:shd w:fill="E2EFDA" w:val="clear"/>
          </w:tcPr>
          <w:p>
            <w:r>
              <w:rPr>
                <w:sz w:val="17"/>
              </w:rPr>
              <w:t>2,100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12,200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SAFC</w:t>
            </w:r>
          </w:p>
        </w:tc>
        <w:tc>
          <w:tcPr>
            <w:tcW w:type="dxa" w:w="1728"/>
            <w:shd w:fill="FCE4D6" w:val="clear"/>
          </w:tcPr>
          <w:p>
            <w:r>
              <w:rPr>
                <w:sz w:val="17"/>
              </w:rPr>
              <w:t>SAFCA CI</w:t>
            </w:r>
          </w:p>
        </w:tc>
        <w:tc>
          <w:tcPr>
            <w:tcW w:type="dxa" w:w="1728"/>
            <w:shd w:fill="FCE4D6" w:val="clear"/>
          </w:tcPr>
          <w:p>
            <w:r>
              <w:rPr>
                <w:sz w:val="17"/>
              </w:rPr>
              <w:t>4,980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10,550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37,800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7,000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CABC</w:t>
            </w:r>
          </w:p>
        </w:tc>
        <w:tc>
          <w:tcPr>
            <w:tcW w:type="dxa" w:w="1728"/>
            <w:shd w:fill="FCE4D6" w:val="clear"/>
          </w:tcPr>
          <w:p>
            <w:r>
              <w:rPr>
                <w:sz w:val="17"/>
              </w:rPr>
              <w:t>CABC - SICABLE COTE D'IVOIRE</w:t>
            </w:r>
          </w:p>
        </w:tc>
        <w:tc>
          <w:tcPr>
            <w:tcW w:type="dxa" w:w="1728"/>
            <w:shd w:fill="FCE4D6" w:val="clear"/>
          </w:tcPr>
          <w:p>
            <w:r>
              <w:rPr>
                <w:sz w:val="17"/>
              </w:rPr>
              <w:t>3,410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FTSC</w:t>
            </w:r>
          </w:p>
        </w:tc>
        <w:tc>
          <w:tcPr>
            <w:tcW w:type="dxa" w:w="1728"/>
            <w:shd w:fill="FCE4D6" w:val="clear"/>
          </w:tcPr>
          <w:p>
            <w:r>
              <w:rPr>
                <w:sz w:val="17"/>
              </w:rPr>
              <w:t>FTSC - FILTISAC COTE D'IVOIR</w:t>
            </w:r>
          </w:p>
        </w:tc>
        <w:tc>
          <w:tcPr>
            <w:tcW w:type="dxa" w:w="1728"/>
            <w:shd w:fill="FCE4D6" w:val="clear"/>
          </w:tcPr>
          <w:p>
            <w:r>
              <w:rPr>
                <w:sz w:val="17"/>
              </w:rPr>
              <w:t>2,100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SHEC — SHEC - VIVO ENERGY COTE D'IVOIRE</w:t>
      </w:r>
    </w:p>
    <w:p>
      <w:pPr>
        <w:pStyle w:val="ListBullet"/>
        <w:spacing w:before="20"/>
        <w:ind w:left="400"/>
      </w:pPr>
      <w:r>
        <w:rPr>
          <w:sz w:val="18"/>
        </w:rPr>
        <w:t>🔴 RSI surachat (88.9 &gt; 70) — risque de correction</w:t>
      </w:r>
    </w:p>
    <w:p>
      <w:pPr>
        <w:pStyle w:val="ListBullet"/>
        <w:spacing w:before="20"/>
        <w:ind w:left="400"/>
      </w:pPr>
      <w:r>
        <w:rPr>
          <w:sz w:val="18"/>
        </w:rPr>
        <w:t>⚠️ Cours à 0.0% du plus haut 100j (2,910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(74.8 &gt; 70) — risque de correction</w:t>
      </w:r>
    </w:p>
    <w:p>
      <w:pPr>
        <w:pStyle w:val="ListBullet"/>
        <w:spacing w:before="20"/>
        <w:ind w:left="400"/>
      </w:pPr>
      <w:r>
        <w:rPr>
          <w:sz w:val="18"/>
        </w:rPr>
        <w:t>⚠️ Cours à 2.0% du plus haut 100j (4,095 FCFA)</w:t>
      </w:r>
    </w:p>
    <w:p>
      <w:pPr>
        <w:spacing w:before="120"/>
      </w:pPr>
      <w:r>
        <w:rPr>
          <w:b/>
          <w:color w:val="0050A0"/>
          <w:sz w:val="20"/>
        </w:rPr>
        <w:t>BICB — BIIC BN - Banque internationale pour le commerce du benin</w:t>
      </w:r>
    </w:p>
    <w:p>
      <w:pPr>
        <w:pStyle w:val="ListBullet"/>
        <w:spacing w:before="20"/>
        <w:ind w:left="400"/>
      </w:pPr>
      <w:r>
        <w:rPr>
          <w:sz w:val="18"/>
        </w:rPr>
        <w:t>🔴 RSI surachat (79.9 &gt; 70) — risque de correction</w:t>
      </w:r>
    </w:p>
    <w:p>
      <w:pPr>
        <w:pStyle w:val="ListBullet"/>
        <w:spacing w:before="20"/>
        <w:ind w:left="400"/>
      </w:pPr>
      <w:r>
        <w:rPr>
          <w:sz w:val="18"/>
        </w:rPr>
        <w:t>⚠️ Cours à 2.2% du plus haut 100j (10,790 FCFA)</w:t>
      </w:r>
    </w:p>
    <w:p>
      <w:pPr>
        <w:spacing w:before="120"/>
      </w:pPr>
      <w:r>
        <w:rPr>
          <w:b/>
          <w:color w:val="0050A0"/>
          <w:sz w:val="20"/>
        </w:rPr>
        <w:t>CBIBF — CBIBF - CORIS BANK INTERNATIONAL BURKINA FASO</w:t>
      </w:r>
    </w:p>
    <w:p>
      <w:pPr>
        <w:pStyle w:val="ListBullet"/>
        <w:spacing w:before="20"/>
        <w:ind w:left="400"/>
      </w:pPr>
      <w:r>
        <w:rPr>
          <w:sz w:val="18"/>
        </w:rPr>
        <w:t>🔴 RSI surachat (87.2 &gt; 70) — risque de correction</w:t>
      </w:r>
    </w:p>
    <w:p>
      <w:pPr>
        <w:pStyle w:val="ListBullet"/>
        <w:spacing w:before="20"/>
        <w:ind w:left="400"/>
      </w:pPr>
      <w:r>
        <w:rPr>
          <w:sz w:val="18"/>
        </w:rPr>
        <w:t>⚠️ Cours à 0.0% du plus haut 100j (34,300 FCFA)</w:t>
      </w:r>
    </w:p>
    <w:p>
      <w:pPr>
        <w:spacing w:before="120"/>
      </w:pPr>
      <w:r>
        <w:rPr>
          <w:b/>
          <w:color w:val="0050A0"/>
          <w:sz w:val="20"/>
        </w:rPr>
        <w:t>NSBC — NSBC - NSIA BANQUE COTE D'IVOIRE</w:t>
      </w:r>
    </w:p>
    <w:p>
      <w:pPr>
        <w:pStyle w:val="ListBullet"/>
        <w:spacing w:before="20"/>
        <w:ind w:left="400"/>
      </w:pPr>
      <w:r>
        <w:rPr>
          <w:sz w:val="18"/>
        </w:rPr>
        <w:t>🔴 RSI surachat (70.2 &gt; 70) — risque de correction</w:t>
      </w:r>
    </w:p>
    <w:p>
      <w:pPr>
        <w:pStyle w:val="ListBullet"/>
        <w:spacing w:before="20"/>
        <w:ind w:left="400"/>
      </w:pPr>
      <w:r>
        <w:rPr>
          <w:sz w:val="18"/>
        </w:rPr>
        <w:t>⚠️ Cours à 1.5% du plus haut 100j (24,885 FCFA)</w:t>
      </w:r>
    </w:p>
    <w:p>
      <w:pPr>
        <w:spacing w:before="120"/>
      </w:pPr>
      <w:r>
        <w:rPr>
          <w:b/>
          <w:color w:val="0050A0"/>
          <w:sz w:val="20"/>
        </w:rPr>
        <w:t>SMBC — SMBC - Société Multinationale de Bitumes COTE D'IVOIRE</w:t>
      </w:r>
    </w:p>
    <w:p>
      <w:pPr>
        <w:pStyle w:val="ListBullet"/>
        <w:spacing w:before="20"/>
        <w:ind w:left="400"/>
      </w:pPr>
      <w:r>
        <w:rPr>
          <w:sz w:val="18"/>
        </w:rPr>
        <w:t>🔴 RSI surachat (76.7 &gt; 70) — risque de correction</w:t>
      </w:r>
    </w:p>
    <w:p>
      <w:pPr>
        <w:pStyle w:val="ListBullet"/>
        <w:spacing w:before="20"/>
        <w:ind w:left="400"/>
      </w:pPr>
      <w:r>
        <w:rPr>
          <w:sz w:val="18"/>
        </w:rPr>
        <w:t>⚠️ Cours à 0.1% du plus haut 100j (18,500 FCFA)</w:t>
      </w:r>
    </w:p>
    <w:p>
      <w:pPr>
        <w:spacing w:before="120"/>
      </w:pPr>
      <w:r>
        <w:rPr>
          <w:b/>
          <w:color w:val="0050A0"/>
          <w:sz w:val="20"/>
        </w:rPr>
        <w:t>SNTS — SNTS - SONATEL SN</w:t>
      </w:r>
    </w:p>
    <w:p>
      <w:pPr>
        <w:pStyle w:val="ListBullet"/>
        <w:spacing w:before="20"/>
        <w:ind w:left="400"/>
      </w:pPr>
      <w:r>
        <w:rPr>
          <w:sz w:val="18"/>
        </w:rPr>
        <w:t>🔴 RSI surachat (90.6 &gt; 70) — risque de correction</w:t>
      </w:r>
    </w:p>
    <w:p>
      <w:pPr>
        <w:pStyle w:val="ListBullet"/>
        <w:spacing w:before="20"/>
        <w:ind w:left="400"/>
      </w:pPr>
      <w:r>
        <w:rPr>
          <w:sz w:val="18"/>
        </w:rPr>
        <w:t>⚠️ Cours à 0.1% du plus haut 100j (39,275 FCFA)</w:t>
      </w:r>
    </w:p>
    <w:p>
      <w:pPr>
        <w:spacing w:before="120"/>
      </w:pPr>
      <w:r>
        <w:rPr>
          <w:b/>
          <w:color w:val="0050A0"/>
          <w:sz w:val="20"/>
        </w:rPr>
        <w:t>BOAB — BANK OF AFRICA BENIN</w:t>
      </w:r>
    </w:p>
    <w:p>
      <w:pPr>
        <w:pStyle w:val="ListBullet"/>
        <w:spacing w:before="20"/>
        <w:ind w:left="400"/>
      </w:pPr>
      <w:r>
        <w:rPr>
          <w:sz w:val="18"/>
        </w:rPr>
        <w:t>⚠️ Cours à 1.4% du plus haut 100j (10,350 FCFA)</w:t>
      </w:r>
    </w:p>
    <w:p>
      <w:pPr>
        <w:spacing w:before="120"/>
      </w:pPr>
      <w:r>
        <w:rPr>
          <w:b/>
          <w:color w:val="0050A0"/>
          <w:sz w:val="20"/>
        </w:rPr>
        <w:t>BOAC — BANK OF AFRICA COTE D'IVOIRE</w:t>
      </w:r>
    </w:p>
    <w:p>
      <w:pPr>
        <w:pStyle w:val="ListBullet"/>
        <w:spacing w:before="20"/>
        <w:ind w:left="400"/>
      </w:pPr>
      <w:r>
        <w:rPr>
          <w:sz w:val="18"/>
        </w:rPr>
        <w:t>🟢 RSI survente (19.4 &lt; 30) — opportunité potentielle</w:t>
      </w:r>
    </w:p>
    <w:p>
      <w:pPr>
        <w:spacing w:before="120"/>
      </w:pPr>
      <w:r>
        <w:rPr>
          <w:b/>
          <w:color w:val="0050A0"/>
          <w:sz w:val="20"/>
        </w:rPr>
        <w:t>BOAM — BANK OF AFRICA MALI</w:t>
      </w:r>
    </w:p>
    <w:p>
      <w:pPr>
        <w:pStyle w:val="ListBullet"/>
        <w:spacing w:before="20"/>
        <w:ind w:left="400"/>
      </w:pPr>
      <w:r>
        <w:rPr>
          <w:sz w:val="18"/>
        </w:rPr>
        <w:t>⚠️ Cours à 2.7% du plus haut 100j (7,195 FCFA)</w:t>
      </w:r>
    </w:p>
    <w:p>
      <w:pPr>
        <w:spacing w:before="120"/>
      </w:pPr>
      <w:r>
        <w:rPr>
          <w:b/>
          <w:color w:val="0050A0"/>
          <w:sz w:val="20"/>
        </w:rPr>
        <w:t>BOAS — BANK OF AFRICA SENEGAL</w:t>
      </w:r>
    </w:p>
    <w:p>
      <w:pPr>
        <w:pStyle w:val="ListBullet"/>
        <w:spacing w:before="20"/>
        <w:ind w:left="400"/>
      </w:pPr>
      <w:r>
        <w:rPr>
          <w:sz w:val="18"/>
        </w:rPr>
        <w:t>⚠️ Cours à 2.4% du plus haut 100j (8,500 FCFA)</w:t>
      </w:r>
    </w:p>
    <w:p>
      <w:pPr>
        <w:spacing w:before="120"/>
      </w:pPr>
      <w:r>
        <w:rPr>
          <w:b/>
          <w:color w:val="0050A0"/>
          <w:sz w:val="20"/>
        </w:rPr>
        <w:t>CABC — CABC - SICABLE COTE D'IVOIRE</w:t>
      </w:r>
    </w:p>
    <w:p>
      <w:pPr>
        <w:pStyle w:val="ListBullet"/>
        <w:spacing w:before="20"/>
        <w:ind w:left="400"/>
      </w:pPr>
      <w:r>
        <w:rPr>
          <w:sz w:val="18"/>
        </w:rPr>
        <w:t>⚠️ Cours à 1.8% du plus bas 100j (3,350 FCFA)</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 FORT</w:t>
      </w:r>
    </w:p>
    <w:p>
      <w:pPr>
        <w:spacing w:before="120"/>
      </w:pPr>
      <w:r>
        <w:rPr>
          <w:b/>
          <w:color w:val="0050A0"/>
          <w:sz w:val="20"/>
        </w:rPr>
        <w:t>ORAC — ORAC - ORANGE COTE D'IVOIRE</w:t>
      </w:r>
    </w:p>
    <w:p>
      <w:pPr>
        <w:pStyle w:val="ListBullet"/>
        <w:spacing w:before="20"/>
        <w:ind w:left="400"/>
      </w:pPr>
      <w:r>
        <w:rPr>
          <w:sz w:val="18"/>
        </w:rPr>
        <w:t>⚠️ Cours à 0.0% du plus haut 100j (22,500 FCFA)</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Cours à 0.0% du plus haut 100j (13,885 FCFA)</w:t>
      </w:r>
    </w:p>
    <w:p>
      <w:pPr>
        <w:spacing w:before="120"/>
      </w:pPr>
      <w:r>
        <w:rPr>
          <w:b/>
          <w:color w:val="0050A0"/>
          <w:sz w:val="20"/>
        </w:rPr>
        <w:t>SDSC — SDSC - AFRICA GLOBAL LOGISTICS CI</w:t>
      </w:r>
    </w:p>
    <w:p>
      <w:pPr>
        <w:pStyle w:val="ListBullet"/>
        <w:spacing w:before="20"/>
        <w:ind w:left="400"/>
      </w:pPr>
      <w:r>
        <w:rPr>
          <w:sz w:val="18"/>
        </w:rPr>
        <w:t>🔴 RSI surachat (71.4 &gt; 70) — risque de correction</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Cours à 0.0% du plus bas 100j (2,480 FCFA)</w:t>
      </w:r>
    </w:p>
    <w:p>
      <w:pPr>
        <w:spacing w:before="120"/>
      </w:pPr>
      <w:r>
        <w:rPr>
          <w:b/>
          <w:color w:val="0050A0"/>
          <w:sz w:val="20"/>
        </w:rPr>
        <w:t>TTLC — TTLC - TOTAL ENERGIES MARKETING COTE D'IVOIRE</w:t>
      </w:r>
    </w:p>
    <w:p>
      <w:pPr>
        <w:pStyle w:val="ListBullet"/>
        <w:spacing w:before="20"/>
        <w:ind w:left="400"/>
      </w:pPr>
      <w:r>
        <w:rPr>
          <w:sz w:val="18"/>
        </w:rPr>
        <w:t>🟢 RSI survente (26.5 &lt; 30) — opportunité potentielle</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22 société(s) (47%)</w:t>
            </w:r>
          </w:p>
        </w:tc>
        <w:tc>
          <w:tcPr>
            <w:tcW w:type="dxa" w:w="1644"/>
            <w:shd w:fill="FFEB9C" w:val="clear"/>
          </w:tcPr>
          <w:p>
            <w:r>
              <w:rPr>
                <w:b/>
                <w:color w:val="825A00"/>
                <w:sz w:val="19"/>
              </w:rPr>
              <w:t>25 société(s) (53%)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21.3/100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21.3/100).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33.1/100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(33.1/100 — Moyen) : </w:t>
      </w:r>
      <w:r>
        <w:rPr>
          <w:sz w:val="17"/>
        </w:rPr>
        <w:t>Volatilité=Élevée | Bêta=Agressif | Liquidité=Bonne | Divergence signaux=taux divergence=40% (Très divergent ❌) | Stabilité=Stable</w:t>
      </w:r>
    </w:p>
    <w:p>
      <w:pPr>
        <w:pStyle w:val="ListBullet"/>
      </w:pPr>
      <w:r>
        <w:rPr>
          <w:b/>
          <w:color w:val="B40000"/>
          <w:sz w:val="18"/>
        </w:rPr>
        <w:t xml:space="preserve">#4 NEIC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#5 CBIBF (30.1/100 — Moyen) : </w:t>
      </w:r>
      <w:r>
        <w:rPr>
          <w:sz w:val="17"/>
        </w:rPr>
        <w:t>Volatilité=Élevée | Bêta=Neutre  | Liquidité=Bonne | Divergence signaux=taux divergence=40% (Très divergent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12.5/100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33.1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27.3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27.1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21.5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12.5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-3.20%  |  Médiane : -2.43%</w:t>
            </w:r>
          </w:p>
        </w:tc>
      </w:tr>
      <w:tr>
        <w:tc>
          <w:tcPr>
            <w:tcW w:type="dxa" w:w="2835"/>
            <w:shd w:fill="DEEAF1" w:val="clear"/>
          </w:tcPr>
          <w:p>
            <w:r>
              <w:rPr>
                <w:b/>
                <w:sz w:val="18"/>
              </w:rPr>
              <w:t>Répartition</w:t>
            </w:r>
          </w:p>
        </w:tc>
        <w:tc>
          <w:tcPr>
            <w:tcW w:type="dxa" w:w="7370"/>
          </w:tcPr>
          <w:p>
            <w:r>
              <w:rPr>
                <w:b/>
                <w:sz w:val="18"/>
              </w:rPr>
              <w:t>📈 10 sociétés en hausse (&gt;+1%)   📉 30 en baisse (&lt;-1%)   ➡️ 7 neutres</w:t>
            </w:r>
          </w:p>
        </w:tc>
      </w:tr>
      <w:tr>
        <w:tc>
          <w:tcPr>
            <w:tcW w:type="dxa" w:w="2835"/>
            <w:shd w:fill="DEEAF1" w:val="clear"/>
          </w:tcPr>
          <w:p>
            <w:r>
              <w:rPr>
                <w:b/>
                <w:sz w:val="18"/>
              </w:rPr>
              <w:t>Confiance globale</w:t>
            </w:r>
          </w:p>
        </w:tc>
        <w:tc>
          <w:tcPr>
            <w:tcW w:type="dxa" w:w="7370"/>
          </w:tcPr>
          <w:p>
            <w:r>
              <w:rPr>
                <w:b/>
                <w:sz w:val="18"/>
              </w:rPr>
              <w:t>Élevée : 0 sociétés (0%)   Moyenne : 16   Faible : 31 (66%)   → Confiance dominante : Faible</w:t>
            </w:r>
          </w:p>
        </w:tc>
      </w:tr>
    </w:tbl>
    <w:p/>
    <w:p>
      <w:r>
        <w:rPr>
          <w:i/>
          <w:color w:val="282828"/>
          <w:sz w:val="18"/>
        </w:rPr>
        <w:t>📝 Analyse : Les modèles anticipent une correction généralisée. 30 sociétés sur 47 sont orientées à la baisse avec une variation moyenne de -3.20%.</w:t>
      </w:r>
    </w:p>
    <w:p>
      <w:r>
        <w:rPr>
          <w:i/>
          <w:color w:val="282828"/>
          <w:sz w:val="18"/>
        </w:rPr>
        <w:t>🎯 Fiabilité : ⚠️ La confiance est globalement FAIBLE (66%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21,900 FCFA</w:t>
            </w:r>
          </w:p>
        </w:tc>
        <w:tc>
          <w:tcPr>
            <w:tcW w:type="dxa" w:w="1417"/>
            <w:shd w:fill="FFFFFF" w:val="clear"/>
          </w:tcPr>
          <w:p>
            <w:r>
              <w:rPr>
                <w:sz w:val="16"/>
              </w:rPr>
              <w:t>24,292 FCFA</w:t>
            </w:r>
          </w:p>
        </w:tc>
        <w:tc>
          <w:tcPr>
            <w:tcW w:type="dxa" w:w="1134"/>
            <w:shd w:fill="C6EFCE" w:val="clear"/>
          </w:tcPr>
          <w:p>
            <w:r>
              <w:rPr>
                <w:b/>
                <w:color w:val="007800"/>
                <w:sz w:val="16"/>
              </w:rPr>
              <w:t>+10.92%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3,085 FCFA</w:t>
            </w:r>
          </w:p>
        </w:tc>
        <w:tc>
          <w:tcPr>
            <w:tcW w:type="dxa" w:w="1417"/>
            <w:shd w:fill="FFFFFF" w:val="clear"/>
          </w:tcPr>
          <w:p>
            <w:r>
              <w:rPr>
                <w:sz w:val="16"/>
              </w:rPr>
              <w:t>3,421 FCFA</w:t>
            </w:r>
          </w:p>
        </w:tc>
        <w:tc>
          <w:tcPr>
            <w:tcW w:type="dxa" w:w="1134"/>
            <w:shd w:fill="C6EFCE" w:val="clear"/>
          </w:tcPr>
          <w:p>
            <w:r>
              <w:rPr>
                <w:b/>
                <w:color w:val="007800"/>
                <w:sz w:val="16"/>
              </w:rPr>
              <w:t>+10.90%</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38,000 FCFA</w:t>
            </w:r>
          </w:p>
        </w:tc>
        <w:tc>
          <w:tcPr>
            <w:tcW w:type="dxa" w:w="1417"/>
            <w:shd w:fill="FFFFFF" w:val="clear"/>
          </w:tcPr>
          <w:p>
            <w:r>
              <w:rPr>
                <w:sz w:val="16"/>
              </w:rPr>
              <w:t>41,438 FCFA</w:t>
            </w:r>
          </w:p>
        </w:tc>
        <w:tc>
          <w:tcPr>
            <w:tcW w:type="dxa" w:w="1134"/>
            <w:shd w:fill="C6EFCE" w:val="clear"/>
          </w:tcPr>
          <w:p>
            <w:r>
              <w:rPr>
                <w:b/>
                <w:color w:val="007800"/>
                <w:sz w:val="16"/>
              </w:rPr>
              <w:t>+9.05%</w:t>
            </w:r>
          </w:p>
        </w:tc>
        <w:tc>
          <w:tcPr>
            <w:tcW w:type="dxa" w:w="1020"/>
            <w:shd w:fill="FFEB9C" w:val="clear"/>
          </w:tcPr>
          <w:p>
            <w:r>
              <w:rPr>
                <w:sz w:val="16"/>
              </w:rPr>
              <w:t>Moyenne</w:t>
            </w:r>
          </w:p>
        </w:tc>
      </w:tr>
      <w:tr>
        <w:tc>
          <w:tcPr>
            <w:tcW w:type="dxa" w:w="680"/>
            <w:shd w:fill="FFFFFF" w:val="clear"/>
          </w:tcPr>
          <w:p>
            <w:r>
              <w:rPr>
                <w:b/>
                <w:sz w:val="16"/>
              </w:rPr>
              <w:t>#4</w:t>
            </w:r>
          </w:p>
        </w:tc>
        <w:tc>
          <w:tcPr>
            <w:tcW w:type="dxa" w:w="2835"/>
            <w:shd w:fill="C6EFCE" w:val="clear"/>
          </w:tcPr>
          <w:p>
            <w:r>
              <w:rPr>
                <w:sz w:val="16"/>
              </w:rPr>
              <w:t>LNBB — LNBB - LOTERIE NATIONALE DU BENIN</w:t>
            </w:r>
          </w:p>
        </w:tc>
        <w:tc>
          <w:tcPr>
            <w:tcW w:type="dxa" w:w="1701"/>
            <w:shd w:fill="FFFFFF" w:val="clear"/>
          </w:tcPr>
          <w:p>
            <w:r>
              <w:rPr>
                <w:sz w:val="16"/>
              </w:rPr>
              <w:t>CONSOMMATION DISCRET</w:t>
            </w:r>
          </w:p>
        </w:tc>
        <w:tc>
          <w:tcPr>
            <w:tcW w:type="dxa" w:w="1417"/>
            <w:shd w:fill="FFFFFF" w:val="clear"/>
          </w:tcPr>
          <w:p>
            <w:r>
              <w:rPr>
                <w:sz w:val="16"/>
              </w:rPr>
              <w:t>3,955 FCFA</w:t>
            </w:r>
          </w:p>
        </w:tc>
        <w:tc>
          <w:tcPr>
            <w:tcW w:type="dxa" w:w="1417"/>
            <w:shd w:fill="FFFFFF" w:val="clear"/>
          </w:tcPr>
          <w:p>
            <w:r>
              <w:rPr>
                <w:sz w:val="16"/>
              </w:rPr>
              <w:t>4,175 FCFA</w:t>
            </w:r>
          </w:p>
        </w:tc>
        <w:tc>
          <w:tcPr>
            <w:tcW w:type="dxa" w:w="1134"/>
            <w:shd w:fill="C6EFCE" w:val="clear"/>
          </w:tcPr>
          <w:p>
            <w:r>
              <w:rPr>
                <w:b/>
                <w:color w:val="007800"/>
                <w:sz w:val="16"/>
              </w:rPr>
              <w:t>+5.56%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7,000 FCFA</w:t>
            </w:r>
          </w:p>
        </w:tc>
        <w:tc>
          <w:tcPr>
            <w:tcW w:type="dxa" w:w="1417"/>
            <w:shd w:fill="FFFFFF" w:val="clear"/>
          </w:tcPr>
          <w:p>
            <w:r>
              <w:rPr>
                <w:sz w:val="16"/>
              </w:rPr>
              <w:t>7,196 FCFA</w:t>
            </w:r>
          </w:p>
        </w:tc>
        <w:tc>
          <w:tcPr>
            <w:tcW w:type="dxa" w:w="1134"/>
            <w:shd w:fill="C6EFCE" w:val="clear"/>
          </w:tcPr>
          <w:p>
            <w:r>
              <w:rPr>
                <w:b/>
                <w:color w:val="007800"/>
                <w:sz w:val="16"/>
              </w:rPr>
              <w:t>+2.80%</w:t>
            </w:r>
          </w:p>
        </w:tc>
        <w:tc>
          <w:tcPr>
            <w:tcW w:type="dxa" w:w="1020"/>
            <w:shd w:fill="FFEB9C" w:val="clear"/>
          </w:tcPr>
          <w:p>
            <w:r>
              <w:rPr>
                <w:sz w:val="16"/>
              </w:rPr>
              <w:t>Moyenne</w:t>
            </w:r>
          </w:p>
        </w:tc>
      </w:tr>
    </w:tbl>
    <w:p/>
    <w:p>
      <w:pPr>
        <w:pStyle w:val="ListBullet"/>
      </w:pPr>
      <w:r>
        <w:rPr>
          <w:b/>
          <w:color w:val="006400"/>
          <w:sz w:val="18"/>
        </w:rPr>
        <w:t xml:space="preserve">#1 STBC </w:t>
      </w:r>
      <w:r>
        <w:rPr>
          <w:sz w:val="17"/>
        </w:rPr>
        <w:t>(STBC - SITAB COTE D'IVOIRE) — hausse significative (+10.9%) — potentiel de revalorisation notable. Trajectoire : 📈 Hausse continue. Cours actuel : 21,900 FCFA → prédit J+10 : 24,292 FCFA. ⚠️ Confiance limitée — volatilité élevée ou données insuffisantes. Résultat indicatif uniquement.</w:t>
      </w:r>
    </w:p>
    <w:p>
      <w:pPr>
        <w:pStyle w:val="ListBullet"/>
      </w:pPr>
      <w:r>
        <w:rPr>
          <w:b/>
          <w:color w:val="006400"/>
          <w:sz w:val="18"/>
        </w:rPr>
        <w:t xml:space="preserve">#2 SCRC </w:t>
      </w:r>
      <w:r>
        <w:rPr>
          <w:sz w:val="17"/>
        </w:rPr>
        <w:t>(SCRC - SUCRIVOIRE) — hausse significative (+10.9%) — potentiel de revalorisation notable. Trajectoire : 📈 Hausse continue. Cours actuel : 3,085 FCFA → prédit J+10 : 3,421 FCFA. ⚠️ Confiance limitée — volatilité élevée ou données insuffisantes. Résultat indicatif uniquement.</w:t>
      </w:r>
    </w:p>
    <w:p>
      <w:pPr>
        <w:pStyle w:val="ListBullet"/>
      </w:pPr>
      <w:r>
        <w:rPr>
          <w:b/>
          <w:color w:val="006400"/>
          <w:sz w:val="18"/>
        </w:rPr>
        <w:t xml:space="preserve">#3 SLBC </w:t>
      </w:r>
      <w:r>
        <w:rPr>
          <w:sz w:val="17"/>
        </w:rPr>
        <w:t>(SLBC - SOLIBRA COTE D'IVOIRE) — hausse modérée (+9.0%) — signal raisonnable et crédible. Trajectoire : 📈 Hausse continue. Cours actuel : 38,000 FCFA → prédit J+10 : 41,438 FCFA. Confiance partielle — les premiers jours sont fiables, les jours lointains moins précis.</w:t>
      </w:r>
    </w:p>
    <w:p>
      <w:pPr>
        <w:pStyle w:val="ListBullet"/>
      </w:pPr>
      <w:r>
        <w:rPr>
          <w:b/>
          <w:color w:val="006400"/>
          <w:sz w:val="18"/>
        </w:rPr>
        <w:t xml:space="preserve">#4 LNBB </w:t>
      </w:r>
      <w:r>
        <w:rPr>
          <w:sz w:val="17"/>
        </w:rPr>
        <w:t>(LNBB - LOTERIE NATIONALE DU BENIN) — hausse modérée (+5.6%) — signal raisonnable et crédible. Trajectoire : 📈 Hausse continue. Cours actuel : 3,955 FCFA → prédit J+10 : 4,175 FCFA. ⚠️ Confiance limitée — volatilité élevée ou données insuffisantes. Résultat indicatif uniquement.</w:t>
      </w:r>
    </w:p>
    <w:p>
      <w:pPr>
        <w:pStyle w:val="ListBullet"/>
      </w:pPr>
      <w:r>
        <w:rPr>
          <w:b/>
          <w:color w:val="006400"/>
          <w:sz w:val="18"/>
        </w:rPr>
        <w:t xml:space="preserve">#5 BOAM </w:t>
      </w:r>
      <w:r>
        <w:rPr>
          <w:sz w:val="17"/>
        </w:rPr>
        <w:t>(BANK OF AFRICA MALI) — légère hausse (+2.8%) — progression graduelle attendue. Trajectoire : 📈 Hausse continue. Cours actuel : 7,000 FCFA → prédit J+10 : 7,196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2,910 FCFA</w:t>
            </w:r>
          </w:p>
        </w:tc>
        <w:tc>
          <w:tcPr>
            <w:tcW w:type="dxa" w:w="1417"/>
            <w:shd w:fill="FFFFFF" w:val="clear"/>
          </w:tcPr>
          <w:p>
            <w:r>
              <w:rPr>
                <w:sz w:val="16"/>
              </w:rPr>
              <w:t>2,300 FCFA</w:t>
            </w:r>
          </w:p>
        </w:tc>
        <w:tc>
          <w:tcPr>
            <w:tcW w:type="dxa" w:w="1134"/>
            <w:shd w:fill="FFC7CE" w:val="clear"/>
          </w:tcPr>
          <w:p>
            <w:r>
              <w:rPr>
                <w:b/>
                <w:color w:val="B40000"/>
                <w:sz w:val="16"/>
              </w:rPr>
              <w:t>-20.95%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34,300 FCFA</w:t>
            </w:r>
          </w:p>
        </w:tc>
        <w:tc>
          <w:tcPr>
            <w:tcW w:type="dxa" w:w="1417"/>
            <w:shd w:fill="FFFFFF" w:val="clear"/>
          </w:tcPr>
          <w:p>
            <w:r>
              <w:rPr>
                <w:sz w:val="16"/>
              </w:rPr>
              <w:t>28,549 FCFA</w:t>
            </w:r>
          </w:p>
        </w:tc>
        <w:tc>
          <w:tcPr>
            <w:tcW w:type="dxa" w:w="1134"/>
            <w:shd w:fill="FFC7CE" w:val="clear"/>
          </w:tcPr>
          <w:p>
            <w:r>
              <w:rPr>
                <w:b/>
                <w:color w:val="B40000"/>
                <w:sz w:val="16"/>
              </w:rPr>
              <w:t>-16.77%</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6,800 FCFA</w:t>
            </w:r>
          </w:p>
        </w:tc>
        <w:tc>
          <w:tcPr>
            <w:tcW w:type="dxa" w:w="1417"/>
            <w:shd w:fill="FFFFFF" w:val="clear"/>
          </w:tcPr>
          <w:p>
            <w:r>
              <w:rPr>
                <w:sz w:val="16"/>
              </w:rPr>
              <w:t>5,973 FCFA</w:t>
            </w:r>
          </w:p>
        </w:tc>
        <w:tc>
          <w:tcPr>
            <w:tcW w:type="dxa" w:w="1134"/>
            <w:shd w:fill="FFC7CE" w:val="clear"/>
          </w:tcPr>
          <w:p>
            <w:r>
              <w:rPr>
                <w:b/>
                <w:color w:val="B40000"/>
                <w:sz w:val="16"/>
              </w:rPr>
              <w:t>-12.16%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10,550 FCFA</w:t>
            </w:r>
          </w:p>
        </w:tc>
        <w:tc>
          <w:tcPr>
            <w:tcW w:type="dxa" w:w="1417"/>
            <w:shd w:fill="FFFFFF" w:val="clear"/>
          </w:tcPr>
          <w:p>
            <w:r>
              <w:rPr>
                <w:sz w:val="16"/>
              </w:rPr>
              <w:t>9,361 FCFA</w:t>
            </w:r>
          </w:p>
        </w:tc>
        <w:tc>
          <w:tcPr>
            <w:tcW w:type="dxa" w:w="1134"/>
            <w:shd w:fill="FFC7CE" w:val="clear"/>
          </w:tcPr>
          <w:p>
            <w:r>
              <w:rPr>
                <w:b/>
                <w:color w:val="B40000"/>
                <w:sz w:val="16"/>
              </w:rPr>
              <w:t>-11.27%</w:t>
            </w:r>
          </w:p>
        </w:tc>
        <w:tc>
          <w:tcPr>
            <w:tcW w:type="dxa" w:w="1020"/>
            <w:shd w:fill="FFC7CE" w:val="clear"/>
          </w:tcPr>
          <w:p>
            <w:r>
              <w:rPr>
                <w:sz w:val="16"/>
              </w:rPr>
              <w:t>Faible</w:t>
            </w:r>
          </w:p>
        </w:tc>
      </w:tr>
    </w:tbl>
    <w:p/>
    <w:p>
      <w:pPr>
        <w:pStyle w:val="ListBullet"/>
      </w:pPr>
      <w:r>
        <w:rPr>
          <w:b/>
          <w:color w:val="B40000"/>
          <w:sz w:val="18"/>
        </w:rPr>
        <w:t xml:space="preserve">#1 SHEC </w:t>
      </w:r>
      <w:r>
        <w:rPr>
          <w:sz w:val="17"/>
        </w:rPr>
        <w:t>(SHEC - VIVO ENERGY COTE D'IVOIRE) — correction importante (-21.0%) — signal de dégradation significative. Trajectoire : 📉 Baisse continue. Cours actuel : 2,910 FCFA → prédit J+10 : 2,300 FCFA. ⚠️ Confiance limitée — volatilité élevée. Ne pas agir sur ce seul signal.</w:t>
      </w:r>
    </w:p>
    <w:p>
      <w:pPr>
        <w:pStyle w:val="ListBullet"/>
      </w:pPr>
      <w:r>
        <w:rPr>
          <w:b/>
          <w:color w:val="B40000"/>
          <w:sz w:val="18"/>
        </w:rPr>
        <w:t xml:space="preserve">#2 CBIBF </w:t>
      </w:r>
      <w:r>
        <w:rPr>
          <w:sz w:val="17"/>
        </w:rPr>
        <w:t>(CBIBF - CORIS BANK INTERNATIONAL BURKINA) — correction importante (-16.8%) — signal de dégradation significative. Trajectoire : 📉 Baisse continue. Cours actuel : 34,300 FCFA → prédit J+10 : 28,549 FCFA. Confiance partielle — surveiller l'évolution réelle des premiers jours.</w:t>
      </w:r>
    </w:p>
    <w:p>
      <w:pPr>
        <w:pStyle w:val="ListBullet"/>
      </w:pPr>
      <w:r>
        <w:rPr>
          <w:b/>
          <w:color w:val="B40000"/>
          <w:sz w:val="18"/>
        </w:rPr>
        <w:t xml:space="preserve">#3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#4 CIEC </w:t>
      </w:r>
      <w:r>
        <w:rPr>
          <w:sz w:val="17"/>
        </w:rPr>
        <w:t>(CIEC - Compagnie Ivoirienne d'Electricit) — baisse modérée (-12.2%) — repli technique attendu. Trajectoire : 📉 Baisse continue. Cours actuel : 6,800 FCFA → prédit J+10 : 5,973 FCFA. ⚠️ Confiance limitée — volatilité élevée. Ne pas agir sur ce seul signal.</w:t>
      </w:r>
    </w:p>
    <w:p>
      <w:pPr>
        <w:pStyle w:val="ListBullet"/>
      </w:pPr>
      <w:r>
        <w:rPr>
          <w:b/>
          <w:color w:val="B40000"/>
          <w:sz w:val="18"/>
        </w:rPr>
        <w:t xml:space="preserve">#5 BICB </w:t>
      </w:r>
      <w:r>
        <w:rPr>
          <w:sz w:val="17"/>
        </w:rPr>
        <w:t>(BIIC BN - Banque internationale pour le ) — baisse modérée (-11.3%) — repli technique attendu. Trajectoire : 📉 Baisse continue. Cours actuel : 10,550 FCFA → prédit J+10 : 9,361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21,900</w:t>
            </w:r>
          </w:p>
        </w:tc>
        <w:tc>
          <w:tcPr>
            <w:tcW w:type="dxa" w:w="1417"/>
            <w:shd w:fill="FFFFFF" w:val="clear"/>
          </w:tcPr>
          <w:p>
            <w:r>
              <w:rPr>
                <w:sz w:val="16"/>
              </w:rPr>
              <w:t>24,292</w:t>
            </w:r>
          </w:p>
        </w:tc>
        <w:tc>
          <w:tcPr>
            <w:tcW w:type="dxa" w:w="1134"/>
            <w:shd w:fill="C6EFCE" w:val="clear"/>
          </w:tcPr>
          <w:p>
            <w:r>
              <w:rPr>
                <w:b/>
                <w:color w:val="007800"/>
                <w:sz w:val="16"/>
              </w:rPr>
              <w:t>+10.92%</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3,085</w:t>
            </w:r>
          </w:p>
        </w:tc>
        <w:tc>
          <w:tcPr>
            <w:tcW w:type="dxa" w:w="1417"/>
            <w:shd w:fill="FFFFFF" w:val="clear"/>
          </w:tcPr>
          <w:p>
            <w:r>
              <w:rPr>
                <w:sz w:val="16"/>
              </w:rPr>
              <w:t>3,421</w:t>
            </w:r>
          </w:p>
        </w:tc>
        <w:tc>
          <w:tcPr>
            <w:tcW w:type="dxa" w:w="1134"/>
            <w:shd w:fill="C6EFCE" w:val="clear"/>
          </w:tcPr>
          <w:p>
            <w:r>
              <w:rPr>
                <w:b/>
                <w:color w:val="007800"/>
                <w:sz w:val="16"/>
              </w:rPr>
              <w:t>+10.90%</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41,438</w:t>
            </w:r>
          </w:p>
        </w:tc>
        <w:tc>
          <w:tcPr>
            <w:tcW w:type="dxa" w:w="1134"/>
            <w:shd w:fill="C6EFCE" w:val="clear"/>
          </w:tcPr>
          <w:p>
            <w:r>
              <w:rPr>
                <w:b/>
                <w:color w:val="007800"/>
                <w:sz w:val="16"/>
              </w:rPr>
              <w:t>+9.05%</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3,955</w:t>
            </w:r>
          </w:p>
        </w:tc>
        <w:tc>
          <w:tcPr>
            <w:tcW w:type="dxa" w:w="1417"/>
            <w:shd w:fill="FFFFFF" w:val="clear"/>
          </w:tcPr>
          <w:p>
            <w:r>
              <w:rPr>
                <w:sz w:val="16"/>
              </w:rPr>
              <w:t>4,175</w:t>
            </w:r>
          </w:p>
        </w:tc>
        <w:tc>
          <w:tcPr>
            <w:tcW w:type="dxa" w:w="1134"/>
            <w:shd w:fill="C6EFCE" w:val="clear"/>
          </w:tcPr>
          <w:p>
            <w:r>
              <w:rPr>
                <w:b/>
                <w:color w:val="007800"/>
                <w:sz w:val="16"/>
              </w:rPr>
              <w:t>+5.56%</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7,000</w:t>
            </w:r>
          </w:p>
        </w:tc>
        <w:tc>
          <w:tcPr>
            <w:tcW w:type="dxa" w:w="1417"/>
            <w:shd w:fill="FFFFFF" w:val="clear"/>
          </w:tcPr>
          <w:p>
            <w:r>
              <w:rPr>
                <w:sz w:val="16"/>
              </w:rPr>
              <w:t>7,196</w:t>
            </w:r>
          </w:p>
        </w:tc>
        <w:tc>
          <w:tcPr>
            <w:tcW w:type="dxa" w:w="1134"/>
            <w:shd w:fill="C6EFCE" w:val="clear"/>
          </w:tcPr>
          <w:p>
            <w:r>
              <w:rPr>
                <w:b/>
                <w:color w:val="007800"/>
                <w:sz w:val="16"/>
              </w:rPr>
              <w:t>+2.80%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16,950</w:t>
            </w:r>
          </w:p>
        </w:tc>
        <w:tc>
          <w:tcPr>
            <w:tcW w:type="dxa" w:w="1417"/>
            <w:shd w:fill="FFFFFF" w:val="clear"/>
          </w:tcPr>
          <w:p>
            <w:r>
              <w:rPr>
                <w:sz w:val="16"/>
              </w:rPr>
              <w:t>17,324</w:t>
            </w:r>
          </w:p>
        </w:tc>
        <w:tc>
          <w:tcPr>
            <w:tcW w:type="dxa" w:w="1134"/>
            <w:shd w:fill="C6EFCE" w:val="clear"/>
          </w:tcPr>
          <w:p>
            <w:r>
              <w:rPr>
                <w:b/>
                <w:color w:val="007800"/>
                <w:sz w:val="16"/>
              </w:rPr>
              <w:t>+2.21%</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16,500</w:t>
            </w:r>
          </w:p>
        </w:tc>
        <w:tc>
          <w:tcPr>
            <w:tcW w:type="dxa" w:w="1417"/>
            <w:shd w:fill="FFFFFF" w:val="clear"/>
          </w:tcPr>
          <w:p>
            <w:r>
              <w:rPr>
                <w:sz w:val="16"/>
              </w:rPr>
              <w:t>16,740</w:t>
            </w:r>
          </w:p>
        </w:tc>
        <w:tc>
          <w:tcPr>
            <w:tcW w:type="dxa" w:w="1134"/>
            <w:shd w:fill="C6EFCE" w:val="clear"/>
          </w:tcPr>
          <w:p>
            <w:r>
              <w:rPr>
                <w:b/>
                <w:color w:val="007800"/>
                <w:sz w:val="16"/>
              </w:rPr>
              <w:t>+1.45%</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4,980</w:t>
            </w:r>
          </w:p>
        </w:tc>
        <w:tc>
          <w:tcPr>
            <w:tcW w:type="dxa" w:w="1417"/>
            <w:shd w:fill="FFFFFF" w:val="clear"/>
          </w:tcPr>
          <w:p>
            <w:r>
              <w:rPr>
                <w:sz w:val="16"/>
              </w:rPr>
              <w:t>5,050</w:t>
            </w:r>
          </w:p>
        </w:tc>
        <w:tc>
          <w:tcPr>
            <w:tcW w:type="dxa" w:w="1134"/>
            <w:shd w:fill="C6EFCE" w:val="clear"/>
          </w:tcPr>
          <w:p>
            <w:r>
              <w:rPr>
                <w:b/>
                <w:color w:val="007800"/>
                <w:sz w:val="16"/>
              </w:rPr>
              <w:t>+1.42%</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3,230</w:t>
            </w:r>
          </w:p>
        </w:tc>
        <w:tc>
          <w:tcPr>
            <w:tcW w:type="dxa" w:w="1417"/>
            <w:shd w:fill="FFFFFF" w:val="clear"/>
          </w:tcPr>
          <w:p>
            <w:r>
              <w:rPr>
                <w:sz w:val="16"/>
              </w:rPr>
              <w:t>3,272</w:t>
            </w:r>
          </w:p>
        </w:tc>
        <w:tc>
          <w:tcPr>
            <w:tcW w:type="dxa" w:w="1134"/>
            <w:shd w:fill="C6EFCE" w:val="clear"/>
          </w:tcPr>
          <w:p>
            <w:r>
              <w:rPr>
                <w:b/>
                <w:color w:val="007800"/>
                <w:sz w:val="16"/>
              </w:rPr>
              <w:t>+1.31%</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1,730</w:t>
            </w:r>
          </w:p>
        </w:tc>
        <w:tc>
          <w:tcPr>
            <w:tcW w:type="dxa" w:w="1417"/>
            <w:shd w:fill="FFFFFF" w:val="clear"/>
          </w:tcPr>
          <w:p>
            <w:r>
              <w:rPr>
                <w:sz w:val="16"/>
              </w:rPr>
              <w:t>1,749</w:t>
            </w:r>
          </w:p>
        </w:tc>
        <w:tc>
          <w:tcPr>
            <w:tcW w:type="dxa" w:w="1134"/>
            <w:shd w:fill="C6EFCE" w:val="clear"/>
          </w:tcPr>
          <w:p>
            <w:r>
              <w:rPr>
                <w:b/>
                <w:color w:val="007800"/>
                <w:sz w:val="16"/>
              </w:rPr>
              <w:t>+1.11%</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13,885</w:t>
            </w:r>
          </w:p>
        </w:tc>
        <w:tc>
          <w:tcPr>
            <w:tcW w:type="dxa" w:w="1417"/>
            <w:shd w:fill="FFFFFF" w:val="clear"/>
          </w:tcPr>
          <w:p>
            <w:r>
              <w:rPr>
                <w:sz w:val="16"/>
              </w:rPr>
              <w:t>14,017</w:t>
            </w:r>
          </w:p>
        </w:tc>
        <w:tc>
          <w:tcPr>
            <w:tcW w:type="dxa" w:w="1134"/>
            <w:shd w:fill="FFEB9C" w:val="clear"/>
          </w:tcPr>
          <w:p>
            <w:r>
              <w:rPr>
                <w:b/>
                <w:color w:val="646400"/>
                <w:sz w:val="16"/>
              </w:rPr>
              <w:t>+0.95%</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31,050</w:t>
            </w:r>
          </w:p>
        </w:tc>
        <w:tc>
          <w:tcPr>
            <w:tcW w:type="dxa" w:w="1417"/>
            <w:shd w:fill="FFFFFF" w:val="clear"/>
          </w:tcPr>
          <w:p>
            <w:r>
              <w:rPr>
                <w:sz w:val="16"/>
              </w:rPr>
              <w:t>31,270</w:t>
            </w:r>
          </w:p>
        </w:tc>
        <w:tc>
          <w:tcPr>
            <w:tcW w:type="dxa" w:w="1134"/>
            <w:shd w:fill="FFEB9C" w:val="clear"/>
          </w:tcPr>
          <w:p>
            <w:r>
              <w:rPr>
                <w:b/>
                <w:color w:val="646400"/>
                <w:sz w:val="16"/>
              </w:rPr>
              <w:t>+0.71%</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5,360</w:t>
            </w:r>
          </w:p>
        </w:tc>
        <w:tc>
          <w:tcPr>
            <w:tcW w:type="dxa" w:w="1417"/>
            <w:shd w:fill="FFFFFF" w:val="clear"/>
          </w:tcPr>
          <w:p>
            <w:r>
              <w:rPr>
                <w:sz w:val="16"/>
              </w:rPr>
              <w:t>5,397</w:t>
            </w:r>
          </w:p>
        </w:tc>
        <w:tc>
          <w:tcPr>
            <w:tcW w:type="dxa" w:w="1134"/>
            <w:shd w:fill="FFEB9C" w:val="clear"/>
          </w:tcPr>
          <w:p>
            <w:r>
              <w:rPr>
                <w:b/>
                <w:color w:val="646400"/>
                <w:sz w:val="16"/>
              </w:rPr>
              <w:t>+0.69%</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3,000</w:t>
            </w:r>
          </w:p>
        </w:tc>
        <w:tc>
          <w:tcPr>
            <w:tcW w:type="dxa" w:w="1417"/>
            <w:shd w:fill="FFFFFF" w:val="clear"/>
          </w:tcPr>
          <w:p>
            <w:r>
              <w:rPr>
                <w:sz w:val="16"/>
              </w:rPr>
              <w:t>3,020</w:t>
            </w:r>
          </w:p>
        </w:tc>
        <w:tc>
          <w:tcPr>
            <w:tcW w:type="dxa" w:w="1134"/>
            <w:shd w:fill="FFEB9C" w:val="clear"/>
          </w:tcPr>
          <w:p>
            <w:r>
              <w:rPr>
                <w:b/>
                <w:color w:val="646400"/>
                <w:sz w:val="16"/>
              </w:rPr>
              <w:t>+0.67%</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8,495</w:t>
            </w:r>
          </w:p>
        </w:tc>
        <w:tc>
          <w:tcPr>
            <w:tcW w:type="dxa" w:w="1417"/>
            <w:shd w:fill="FFFFFF" w:val="clear"/>
          </w:tcPr>
          <w:p>
            <w:r>
              <w:rPr>
                <w:sz w:val="16"/>
              </w:rPr>
              <w:t>8,546</w:t>
            </w:r>
          </w:p>
        </w:tc>
        <w:tc>
          <w:tcPr>
            <w:tcW w:type="dxa" w:w="1134"/>
            <w:shd w:fill="FFEB9C" w:val="clear"/>
          </w:tcPr>
          <w:p>
            <w:r>
              <w:rPr>
                <w:b/>
                <w:color w:val="646400"/>
                <w:sz w:val="16"/>
              </w:rPr>
              <w:t>+0.61%</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53,000</w:t>
            </w:r>
          </w:p>
        </w:tc>
        <w:tc>
          <w:tcPr>
            <w:tcW w:type="dxa" w:w="1417"/>
            <w:shd w:fill="FFFFFF" w:val="clear"/>
          </w:tcPr>
          <w:p>
            <w:r>
              <w:rPr>
                <w:sz w:val="16"/>
              </w:rPr>
              <w:t>53,023</w:t>
            </w:r>
          </w:p>
        </w:tc>
        <w:tc>
          <w:tcPr>
            <w:tcW w:type="dxa" w:w="1134"/>
            <w:shd w:fill="FFEB9C" w:val="clear"/>
          </w:tcPr>
          <w:p>
            <w:r>
              <w:rPr>
                <w:b/>
                <w:color w:val="646400"/>
                <w:sz w:val="16"/>
              </w:rPr>
              <w:t>+0.04%</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24,500</w:t>
            </w:r>
          </w:p>
        </w:tc>
        <w:tc>
          <w:tcPr>
            <w:tcW w:type="dxa" w:w="1417"/>
            <w:shd w:fill="FFFFFF" w:val="clear"/>
          </w:tcPr>
          <w:p>
            <w:r>
              <w:rPr>
                <w:sz w:val="16"/>
              </w:rPr>
              <w:t>24,294</w:t>
            </w:r>
          </w:p>
        </w:tc>
        <w:tc>
          <w:tcPr>
            <w:tcW w:type="dxa" w:w="1134"/>
            <w:shd w:fill="FFEB9C" w:val="clear"/>
          </w:tcPr>
          <w:p>
            <w:r>
              <w:rPr>
                <w:b/>
                <w:color w:val="646400"/>
                <w:sz w:val="16"/>
              </w:rPr>
              <w:t>-0.84%</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22,500</w:t>
            </w:r>
          </w:p>
        </w:tc>
        <w:tc>
          <w:tcPr>
            <w:tcW w:type="dxa" w:w="1417"/>
            <w:shd w:fill="FFFFFF" w:val="clear"/>
          </w:tcPr>
          <w:p>
            <w:r>
              <w:rPr>
                <w:sz w:val="16"/>
              </w:rPr>
              <w:t>22,228</w:t>
            </w:r>
          </w:p>
        </w:tc>
        <w:tc>
          <w:tcPr>
            <w:tcW w:type="dxa" w:w="1134"/>
            <w:shd w:fill="FFC7CE" w:val="clear"/>
          </w:tcPr>
          <w:p>
            <w:r>
              <w:rPr>
                <w:b/>
                <w:color w:val="B40000"/>
                <w:sz w:val="16"/>
              </w:rPr>
              <w:t>-1.21%</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39,245</w:t>
            </w:r>
          </w:p>
        </w:tc>
        <w:tc>
          <w:tcPr>
            <w:tcW w:type="dxa" w:w="1417"/>
            <w:shd w:fill="FFFFFF" w:val="clear"/>
          </w:tcPr>
          <w:p>
            <w:r>
              <w:rPr>
                <w:sz w:val="16"/>
              </w:rPr>
              <w:t>38,592</w:t>
            </w:r>
          </w:p>
        </w:tc>
        <w:tc>
          <w:tcPr>
            <w:tcW w:type="dxa" w:w="1134"/>
            <w:shd w:fill="FFC7CE" w:val="clear"/>
          </w:tcPr>
          <w:p>
            <w:r>
              <w:rPr>
                <w:b/>
                <w:color w:val="B40000"/>
                <w:sz w:val="16"/>
              </w:rPr>
              <w:t>-1.66%</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37,800</w:t>
            </w:r>
          </w:p>
        </w:tc>
        <w:tc>
          <w:tcPr>
            <w:tcW w:type="dxa" w:w="1417"/>
            <w:shd w:fill="FFFFFF" w:val="clear"/>
          </w:tcPr>
          <w:p>
            <w:r>
              <w:rPr>
                <w:sz w:val="16"/>
              </w:rPr>
              <w:t>37,099</w:t>
            </w:r>
          </w:p>
        </w:tc>
        <w:tc>
          <w:tcPr>
            <w:tcW w:type="dxa" w:w="1134"/>
            <w:shd w:fill="FFC7CE" w:val="clear"/>
          </w:tcPr>
          <w:p>
            <w:r>
              <w:rPr>
                <w:b/>
                <w:color w:val="B40000"/>
                <w:sz w:val="16"/>
              </w:rPr>
              <w:t>-1.85%</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8,140</w:t>
            </w:r>
          </w:p>
        </w:tc>
        <w:tc>
          <w:tcPr>
            <w:tcW w:type="dxa" w:w="1417"/>
            <w:shd w:fill="FFFFFF" w:val="clear"/>
          </w:tcPr>
          <w:p>
            <w:r>
              <w:rPr>
                <w:sz w:val="16"/>
              </w:rPr>
              <w:t>7,986</w:t>
            </w:r>
          </w:p>
        </w:tc>
        <w:tc>
          <w:tcPr>
            <w:tcW w:type="dxa" w:w="1134"/>
            <w:shd w:fill="FFC7CE" w:val="clear"/>
          </w:tcPr>
          <w:p>
            <w:r>
              <w:rPr>
                <w:b/>
                <w:color w:val="B40000"/>
                <w:sz w:val="16"/>
              </w:rPr>
              <w:t>-1.90%</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2,870</w:t>
            </w:r>
          </w:p>
        </w:tc>
        <w:tc>
          <w:tcPr>
            <w:tcW w:type="dxa" w:w="1417"/>
            <w:shd w:fill="FFFFFF" w:val="clear"/>
          </w:tcPr>
          <w:p>
            <w:r>
              <w:rPr>
                <w:sz w:val="16"/>
              </w:rPr>
              <w:t>2,805</w:t>
            </w:r>
          </w:p>
        </w:tc>
        <w:tc>
          <w:tcPr>
            <w:tcW w:type="dxa" w:w="1134"/>
            <w:shd w:fill="FFC7CE" w:val="clear"/>
          </w:tcPr>
          <w:p>
            <w:r>
              <w:rPr>
                <w:b/>
                <w:color w:val="B40000"/>
                <w:sz w:val="16"/>
              </w:rPr>
              <w:t>-2.25%</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3,990</w:t>
            </w:r>
          </w:p>
        </w:tc>
        <w:tc>
          <w:tcPr>
            <w:tcW w:type="dxa" w:w="1417"/>
            <w:shd w:fill="FFFFFF" w:val="clear"/>
          </w:tcPr>
          <w:p>
            <w:r>
              <w:rPr>
                <w:sz w:val="16"/>
              </w:rPr>
              <w:t>3,896</w:t>
            </w:r>
          </w:p>
        </w:tc>
        <w:tc>
          <w:tcPr>
            <w:tcW w:type="dxa" w:w="1134"/>
            <w:shd w:fill="FFC7CE" w:val="clear"/>
          </w:tcPr>
          <w:p>
            <w:r>
              <w:rPr>
                <w:b/>
                <w:color w:val="B40000"/>
                <w:sz w:val="16"/>
              </w:rPr>
              <w:t>-2.35%</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18,480</w:t>
            </w:r>
          </w:p>
        </w:tc>
        <w:tc>
          <w:tcPr>
            <w:tcW w:type="dxa" w:w="1417"/>
            <w:shd w:fill="FFFFFF" w:val="clear"/>
          </w:tcPr>
          <w:p>
            <w:r>
              <w:rPr>
                <w:sz w:val="16"/>
              </w:rPr>
              <w:t>18,031</w:t>
            </w:r>
          </w:p>
        </w:tc>
        <w:tc>
          <w:tcPr>
            <w:tcW w:type="dxa" w:w="1134"/>
            <w:shd w:fill="FFC7CE" w:val="clear"/>
          </w:tcPr>
          <w:p>
            <w:r>
              <w:rPr>
                <w:b/>
                <w:color w:val="B40000"/>
                <w:sz w:val="16"/>
              </w:rPr>
              <w:t>-2.43%</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8,600</w:t>
            </w:r>
          </w:p>
        </w:tc>
        <w:tc>
          <w:tcPr>
            <w:tcW w:type="dxa" w:w="1417"/>
            <w:shd w:fill="FFFFFF" w:val="clear"/>
          </w:tcPr>
          <w:p>
            <w:r>
              <w:rPr>
                <w:sz w:val="16"/>
              </w:rPr>
              <w:t>8,389</w:t>
            </w:r>
          </w:p>
        </w:tc>
        <w:tc>
          <w:tcPr>
            <w:tcW w:type="dxa" w:w="1134"/>
            <w:shd w:fill="FFC7CE" w:val="clear"/>
          </w:tcPr>
          <w:p>
            <w:r>
              <w:rPr>
                <w:b/>
                <w:color w:val="B40000"/>
                <w:sz w:val="16"/>
              </w:rPr>
              <w:t>-2.46%</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8,180</w:t>
            </w:r>
          </w:p>
        </w:tc>
        <w:tc>
          <w:tcPr>
            <w:tcW w:type="dxa" w:w="1417"/>
            <w:shd w:fill="FFFFFF" w:val="clear"/>
          </w:tcPr>
          <w:p>
            <w:r>
              <w:rPr>
                <w:sz w:val="16"/>
              </w:rPr>
              <w:t>7,923</w:t>
            </w:r>
          </w:p>
        </w:tc>
        <w:tc>
          <w:tcPr>
            <w:tcW w:type="dxa" w:w="1134"/>
            <w:shd w:fill="FFC7CE" w:val="clear"/>
          </w:tcPr>
          <w:p>
            <w:r>
              <w:rPr>
                <w:b/>
                <w:color w:val="B40000"/>
                <w:sz w:val="16"/>
              </w:rPr>
              <w:t>-3.14%</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4,420</w:t>
            </w:r>
          </w:p>
        </w:tc>
        <w:tc>
          <w:tcPr>
            <w:tcW w:type="dxa" w:w="1417"/>
            <w:shd w:fill="FFFFFF" w:val="clear"/>
          </w:tcPr>
          <w:p>
            <w:r>
              <w:rPr>
                <w:sz w:val="16"/>
              </w:rPr>
              <w:t>4,269</w:t>
            </w:r>
          </w:p>
        </w:tc>
        <w:tc>
          <w:tcPr>
            <w:tcW w:type="dxa" w:w="1134"/>
            <w:shd w:fill="FFC7CE" w:val="clear"/>
          </w:tcPr>
          <w:p>
            <w:r>
              <w:rPr>
                <w:b/>
                <w:color w:val="B40000"/>
                <w:sz w:val="16"/>
              </w:rPr>
              <w:t>-3.41%</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2,380</w:t>
            </w:r>
          </w:p>
        </w:tc>
        <w:tc>
          <w:tcPr>
            <w:tcW w:type="dxa" w:w="1417"/>
            <w:shd w:fill="FFFFFF" w:val="clear"/>
          </w:tcPr>
          <w:p>
            <w:r>
              <w:rPr>
                <w:sz w:val="16"/>
              </w:rPr>
              <w:t>2,284</w:t>
            </w:r>
          </w:p>
        </w:tc>
        <w:tc>
          <w:tcPr>
            <w:tcW w:type="dxa" w:w="1134"/>
            <w:shd w:fill="FFC7CE" w:val="clear"/>
          </w:tcPr>
          <w:p>
            <w:r>
              <w:rPr>
                <w:b/>
                <w:color w:val="B40000"/>
                <w:sz w:val="16"/>
              </w:rPr>
              <w:t>-4.02%</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8,300</w:t>
            </w:r>
          </w:p>
        </w:tc>
        <w:tc>
          <w:tcPr>
            <w:tcW w:type="dxa" w:w="1417"/>
            <w:shd w:fill="FFFFFF" w:val="clear"/>
          </w:tcPr>
          <w:p>
            <w:r>
              <w:rPr>
                <w:sz w:val="16"/>
              </w:rPr>
              <w:t>7,931</w:t>
            </w:r>
          </w:p>
        </w:tc>
        <w:tc>
          <w:tcPr>
            <w:tcW w:type="dxa" w:w="1134"/>
            <w:shd w:fill="FFC7CE" w:val="clear"/>
          </w:tcPr>
          <w:p>
            <w:r>
              <w:rPr>
                <w:b/>
                <w:color w:val="B40000"/>
                <w:sz w:val="16"/>
              </w:rPr>
              <w:t>-4.45%</w:t>
            </w:r>
          </w:p>
        </w:tc>
        <w:tc>
          <w:tcPr>
            <w:tcW w:type="dxa" w:w="1134"/>
            <w:shd w:fill="FFEB9C" w:val="clear"/>
          </w:tcPr>
          <w:p>
            <w:r>
              <w:rPr>
                <w:sz w:val="16"/>
              </w:rPr>
              <w:t>Moyenne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71</w:t>
            </w:r>
          </w:p>
        </w:tc>
        <w:tc>
          <w:tcPr>
            <w:tcW w:type="dxa" w:w="1417"/>
            <w:shd w:fill="FFFFFF" w:val="clear"/>
          </w:tcPr>
          <w:p>
            <w:r>
              <w:rPr>
                <w:sz w:val="16"/>
              </w:rPr>
              <w:t>68</w:t>
            </w:r>
          </w:p>
        </w:tc>
        <w:tc>
          <w:tcPr>
            <w:tcW w:type="dxa" w:w="1134"/>
            <w:shd w:fill="FFC7CE" w:val="clear"/>
          </w:tcPr>
          <w:p>
            <w:r>
              <w:rPr>
                <w:b/>
                <w:color w:val="B40000"/>
                <w:sz w:val="16"/>
              </w:rPr>
              <w:t>-4.86%</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10,200</w:t>
            </w:r>
          </w:p>
        </w:tc>
        <w:tc>
          <w:tcPr>
            <w:tcW w:type="dxa" w:w="1417"/>
            <w:shd w:fill="FFFFFF" w:val="clear"/>
          </w:tcPr>
          <w:p>
            <w:r>
              <w:rPr>
                <w:sz w:val="16"/>
              </w:rPr>
              <w:t>9,701</w:t>
            </w:r>
          </w:p>
        </w:tc>
        <w:tc>
          <w:tcPr>
            <w:tcW w:type="dxa" w:w="1134"/>
            <w:shd w:fill="FFC7CE" w:val="clear"/>
          </w:tcPr>
          <w:p>
            <w:r>
              <w:rPr>
                <w:b/>
                <w:color w:val="B40000"/>
                <w:sz w:val="16"/>
              </w:rPr>
              <w:t>-4.89%</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3,410</w:t>
            </w:r>
          </w:p>
        </w:tc>
        <w:tc>
          <w:tcPr>
            <w:tcW w:type="dxa" w:w="1417"/>
            <w:shd w:fill="FFFFFF" w:val="clear"/>
          </w:tcPr>
          <w:p>
            <w:r>
              <w:rPr>
                <w:sz w:val="16"/>
              </w:rPr>
              <w:t>3,214</w:t>
            </w:r>
          </w:p>
        </w:tc>
        <w:tc>
          <w:tcPr>
            <w:tcW w:type="dxa" w:w="1134"/>
            <w:shd w:fill="FFC7CE" w:val="clear"/>
          </w:tcPr>
          <w:p>
            <w:r>
              <w:rPr>
                <w:b/>
                <w:color w:val="B40000"/>
                <w:sz w:val="16"/>
              </w:rPr>
              <w:t>-5.76%</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2,300</w:t>
            </w:r>
          </w:p>
        </w:tc>
        <w:tc>
          <w:tcPr>
            <w:tcW w:type="dxa" w:w="1417"/>
            <w:shd w:fill="FFFFFF" w:val="clear"/>
          </w:tcPr>
          <w:p>
            <w:r>
              <w:rPr>
                <w:sz w:val="16"/>
              </w:rPr>
              <w:t>2,155</w:t>
            </w:r>
          </w:p>
        </w:tc>
        <w:tc>
          <w:tcPr>
            <w:tcW w:type="dxa" w:w="1134"/>
            <w:shd w:fill="FFC7CE" w:val="clear"/>
          </w:tcPr>
          <w:p>
            <w:r>
              <w:rPr>
                <w:b/>
                <w:color w:val="B40000"/>
                <w:sz w:val="16"/>
              </w:rPr>
              <w:t>-6.31%</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12,200</w:t>
            </w:r>
          </w:p>
        </w:tc>
        <w:tc>
          <w:tcPr>
            <w:tcW w:type="dxa" w:w="1417"/>
            <w:shd w:fill="FFFFFF" w:val="clear"/>
          </w:tcPr>
          <w:p>
            <w:r>
              <w:rPr>
                <w:sz w:val="16"/>
              </w:rPr>
              <w:t>11,377</w:t>
            </w:r>
          </w:p>
        </w:tc>
        <w:tc>
          <w:tcPr>
            <w:tcW w:type="dxa" w:w="1134"/>
            <w:shd w:fill="FFC7CE" w:val="clear"/>
          </w:tcPr>
          <w:p>
            <w:r>
              <w:rPr>
                <w:b/>
                <w:color w:val="B40000"/>
                <w:sz w:val="16"/>
              </w:rPr>
              <w:t>-6.75%</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8,564</w:t>
            </w:r>
          </w:p>
        </w:tc>
        <w:tc>
          <w:tcPr>
            <w:tcW w:type="dxa" w:w="1134"/>
            <w:shd w:fill="FFC7CE" w:val="clear"/>
          </w:tcPr>
          <w:p>
            <w:r>
              <w:rPr>
                <w:b/>
                <w:color w:val="B40000"/>
                <w:sz w:val="16"/>
              </w:rPr>
              <w:t>-6.91%</w:t>
            </w:r>
          </w:p>
        </w:tc>
        <w:tc>
          <w:tcPr>
            <w:tcW w:type="dxa" w:w="1134"/>
            <w:shd w:fill="FFEB9C" w:val="clear"/>
          </w:tcPr>
          <w:p>
            <w:r>
              <w:rPr>
                <w:sz w:val="16"/>
              </w:rPr>
              <w:t>Moyenne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2,100</w:t>
            </w:r>
          </w:p>
        </w:tc>
        <w:tc>
          <w:tcPr>
            <w:tcW w:type="dxa" w:w="1417"/>
            <w:shd w:fill="FFFFFF" w:val="clear"/>
          </w:tcPr>
          <w:p>
            <w:r>
              <w:rPr>
                <w:sz w:val="16"/>
              </w:rPr>
              <w:t>1,950</w:t>
            </w:r>
          </w:p>
        </w:tc>
        <w:tc>
          <w:tcPr>
            <w:tcW w:type="dxa" w:w="1134"/>
            <w:shd w:fill="FFC7CE" w:val="clear"/>
          </w:tcPr>
          <w:p>
            <w:r>
              <w:rPr>
                <w:b/>
                <w:color w:val="B40000"/>
                <w:sz w:val="16"/>
              </w:rPr>
              <w:t>-7.13%</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2,480</w:t>
            </w:r>
          </w:p>
        </w:tc>
        <w:tc>
          <w:tcPr>
            <w:tcW w:type="dxa" w:w="1417"/>
            <w:shd w:fill="FFFFFF" w:val="clear"/>
          </w:tcPr>
          <w:p>
            <w:r>
              <w:rPr>
                <w:sz w:val="16"/>
              </w:rPr>
              <w:t>2,285</w:t>
            </w:r>
          </w:p>
        </w:tc>
        <w:tc>
          <w:tcPr>
            <w:tcW w:type="dxa" w:w="1134"/>
            <w:shd w:fill="FFC7CE" w:val="clear"/>
          </w:tcPr>
          <w:p>
            <w:r>
              <w:rPr>
                <w:b/>
                <w:color w:val="B40000"/>
                <w:sz w:val="16"/>
              </w:rPr>
              <w:t>-7.86%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2,275</w:t>
            </w:r>
          </w:p>
        </w:tc>
        <w:tc>
          <w:tcPr>
            <w:tcW w:type="dxa" w:w="1417"/>
            <w:shd w:fill="FFFFFF" w:val="clear"/>
          </w:tcPr>
          <w:p>
            <w:r>
              <w:rPr>
                <w:sz w:val="16"/>
              </w:rPr>
              <w:t>2,072</w:t>
            </w:r>
          </w:p>
        </w:tc>
        <w:tc>
          <w:tcPr>
            <w:tcW w:type="dxa" w:w="1134"/>
            <w:shd w:fill="FFC7CE" w:val="clear"/>
          </w:tcPr>
          <w:p>
            <w:r>
              <w:rPr>
                <w:b/>
                <w:color w:val="B40000"/>
                <w:sz w:val="16"/>
              </w:rPr>
              <w:t>-8.94%</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3,285</w:t>
            </w:r>
          </w:p>
        </w:tc>
        <w:tc>
          <w:tcPr>
            <w:tcW w:type="dxa" w:w="1417"/>
            <w:shd w:fill="FFFFFF" w:val="clear"/>
          </w:tcPr>
          <w:p>
            <w:r>
              <w:rPr>
                <w:sz w:val="16"/>
              </w:rPr>
              <w:t>2,982</w:t>
            </w:r>
          </w:p>
        </w:tc>
        <w:tc>
          <w:tcPr>
            <w:tcW w:type="dxa" w:w="1134"/>
            <w:shd w:fill="FFC7CE" w:val="clear"/>
          </w:tcPr>
          <w:p>
            <w:r>
              <w:rPr>
                <w:b/>
                <w:color w:val="B40000"/>
                <w:sz w:val="16"/>
              </w:rPr>
              <w:t>-9.24%</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2,750</w:t>
            </w:r>
          </w:p>
        </w:tc>
        <w:tc>
          <w:tcPr>
            <w:tcW w:type="dxa" w:w="1417"/>
            <w:shd w:fill="FFFFFF" w:val="clear"/>
          </w:tcPr>
          <w:p>
            <w:r>
              <w:rPr>
                <w:sz w:val="16"/>
              </w:rPr>
              <w:t>2,463</w:t>
            </w:r>
          </w:p>
        </w:tc>
        <w:tc>
          <w:tcPr>
            <w:tcW w:type="dxa" w:w="1134"/>
            <w:shd w:fill="FFC7CE" w:val="clear"/>
          </w:tcPr>
          <w:p>
            <w:r>
              <w:rPr>
                <w:b/>
                <w:color w:val="B40000"/>
                <w:sz w:val="16"/>
              </w:rPr>
              <w:t>-10.45%</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4,015</w:t>
            </w:r>
          </w:p>
        </w:tc>
        <w:tc>
          <w:tcPr>
            <w:tcW w:type="dxa" w:w="1417"/>
            <w:shd w:fill="FFFFFF" w:val="clear"/>
          </w:tcPr>
          <w:p>
            <w:r>
              <w:rPr>
                <w:sz w:val="16"/>
              </w:rPr>
              <w:t>3,569</w:t>
            </w:r>
          </w:p>
        </w:tc>
        <w:tc>
          <w:tcPr>
            <w:tcW w:type="dxa" w:w="1134"/>
            <w:shd w:fill="FFC7CE" w:val="clear"/>
          </w:tcPr>
          <w:p>
            <w:r>
              <w:rPr>
                <w:b/>
                <w:color w:val="B40000"/>
                <w:sz w:val="16"/>
              </w:rPr>
              <w:t>-11.11%</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10,550</w:t>
            </w:r>
          </w:p>
        </w:tc>
        <w:tc>
          <w:tcPr>
            <w:tcW w:type="dxa" w:w="1417"/>
            <w:shd w:fill="FFFFFF" w:val="clear"/>
          </w:tcPr>
          <w:p>
            <w:r>
              <w:rPr>
                <w:sz w:val="16"/>
              </w:rPr>
              <w:t>9,361</w:t>
            </w:r>
          </w:p>
        </w:tc>
        <w:tc>
          <w:tcPr>
            <w:tcW w:type="dxa" w:w="1134"/>
            <w:shd w:fill="FFC7CE" w:val="clear"/>
          </w:tcPr>
          <w:p>
            <w:r>
              <w:rPr>
                <w:b/>
                <w:color w:val="B40000"/>
                <w:sz w:val="16"/>
              </w:rPr>
              <w:t>-11.27%</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6,800</w:t>
            </w:r>
          </w:p>
        </w:tc>
        <w:tc>
          <w:tcPr>
            <w:tcW w:type="dxa" w:w="1417"/>
            <w:shd w:fill="FFFFFF" w:val="clear"/>
          </w:tcPr>
          <w:p>
            <w:r>
              <w:rPr>
                <w:sz w:val="16"/>
              </w:rPr>
              <w:t>5,973</w:t>
            </w:r>
          </w:p>
        </w:tc>
        <w:tc>
          <w:tcPr>
            <w:tcW w:type="dxa" w:w="1134"/>
            <w:shd w:fill="FFC7CE" w:val="clear"/>
          </w:tcPr>
          <w:p>
            <w:r>
              <w:rPr>
                <w:b/>
                <w:color w:val="B40000"/>
                <w:sz w:val="16"/>
              </w:rPr>
              <w:t>-12.16%</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34,300</w:t>
            </w:r>
          </w:p>
        </w:tc>
        <w:tc>
          <w:tcPr>
            <w:tcW w:type="dxa" w:w="1417"/>
            <w:shd w:fill="FFFFFF" w:val="clear"/>
          </w:tcPr>
          <w:p>
            <w:r>
              <w:rPr>
                <w:sz w:val="16"/>
              </w:rPr>
              <w:t>28,549</w:t>
            </w:r>
          </w:p>
        </w:tc>
        <w:tc>
          <w:tcPr>
            <w:tcW w:type="dxa" w:w="1134"/>
            <w:shd w:fill="FFC7CE" w:val="clear"/>
          </w:tcPr>
          <w:p>
            <w:r>
              <w:rPr>
                <w:b/>
                <w:color w:val="B40000"/>
                <w:sz w:val="16"/>
              </w:rPr>
              <w:t>-16.77%</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2,910</w:t>
            </w:r>
          </w:p>
        </w:tc>
        <w:tc>
          <w:tcPr>
            <w:tcW w:type="dxa" w:w="1417"/>
            <w:shd w:fill="FFFFFF" w:val="clear"/>
          </w:tcPr>
          <w:p>
            <w:r>
              <w:rPr>
                <w:sz w:val="16"/>
              </w:rPr>
              <w:t>2,300</w:t>
            </w:r>
          </w:p>
        </w:tc>
        <w:tc>
          <w:tcPr>
            <w:tcW w:type="dxa" w:w="1134"/>
            <w:shd w:fill="FFC7CE" w:val="clear"/>
          </w:tcPr>
          <w:p>
            <w:r>
              <w:rPr>
                <w:b/>
                <w:color w:val="B40000"/>
                <w:sz w:val="16"/>
              </w:rPr>
              <w:t>-20.95%</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43.81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3,605 titres</w:t>
            </w:r>
          </w:p>
        </w:tc>
        <w:tc>
          <w:tcPr>
            <w:tcW w:type="dxa" w:w="2268"/>
            <w:shd w:fill="FFF2CC" w:val="clear"/>
          </w:tcPr>
          <w:p>
            <w:r>
              <w:rPr>
                <w:b/>
                <w:color w:val="503200"/>
                <w:sz w:val="16"/>
              </w:rPr>
              <w:t xml:space="preserve">Cours actuel : </w:t>
            </w:r>
            <w:r>
              <w:rPr>
                <w:color w:val="000000"/>
                <w:sz w:val="17"/>
              </w:rPr>
              <w:t>4,015 FCFA</w:t>
            </w:r>
          </w:p>
          <w:p>
            <w:r>
              <w:rPr>
                <w:b/>
                <w:color w:val="503200"/>
                <w:sz w:val="16"/>
              </w:rPr>
              <w:t xml:space="preserve">Var. 100 jours : </w:t>
            </w:r>
            <w:r>
              <w:rPr>
                <w:b/>
                <w:color w:val="007800"/>
                <w:sz w:val="17"/>
              </w:rPr>
              <w:t>+24.30%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10.12% (Moyenne) — μ=3,270 FCFA, σ=331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β=0.4273 (Défensif) — Cov=0.000015, Var(idx)=0.000035, ρ=0.082,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3,767</w:t>
            </w:r>
          </w:p>
        </w:tc>
        <w:tc>
          <w:tcPr>
            <w:tcW w:type="dxa" w:w="1440"/>
            <w:shd w:fill="FAFAFA" w:val="clear"/>
          </w:tcPr>
          <w:p>
            <w:r>
              <w:rPr>
                <w:b/>
                <w:sz w:val="17"/>
              </w:rPr>
              <w:t>3,943</w:t>
            </w:r>
          </w:p>
        </w:tc>
        <w:tc>
          <w:tcPr>
            <w:tcW w:type="dxa" w:w="1440"/>
            <w:shd w:fill="FAFAFA" w:val="clear"/>
          </w:tcPr>
          <w:p>
            <w:r>
              <w:rPr>
                <w:sz w:val="17"/>
              </w:rPr>
              <w:t>4,118</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2026-09-17</w:t>
            </w:r>
          </w:p>
        </w:tc>
        <w:tc>
          <w:tcPr>
            <w:tcW w:type="dxa" w:w="1440"/>
            <w:shd w:fill="FFDCE0" w:val="clear"/>
          </w:tcPr>
          <w:p>
            <w:r>
              <w:rPr>
                <w:sz w:val="17"/>
              </w:rPr>
              <w:t>3,638</w:t>
            </w:r>
          </w:p>
        </w:tc>
        <w:tc>
          <w:tcPr>
            <w:tcW w:type="dxa" w:w="1440"/>
            <w:shd w:fill="FFDCE0" w:val="clear"/>
          </w:tcPr>
          <w:p>
            <w:r>
              <w:rPr>
                <w:b/>
                <w:sz w:val="17"/>
              </w:rPr>
              <w:t>3,882</w:t>
            </w:r>
          </w:p>
        </w:tc>
        <w:tc>
          <w:tcPr>
            <w:tcW w:type="dxa" w:w="1440"/>
            <w:shd w:fill="FFDCE0" w:val="clear"/>
          </w:tcPr>
          <w:p>
            <w:r>
              <w:rPr>
                <w:sz w:val="17"/>
              </w:rPr>
              <w:t>4,126</w:t>
            </w:r>
          </w:p>
        </w:tc>
        <w:tc>
          <w:tcPr>
            <w:tcW w:type="dxa" w:w="1440"/>
            <w:shd w:fill="FFDCE0" w:val="clear"/>
          </w:tcPr>
          <w:p>
            <w:r>
              <w:rPr>
                <w:b/>
                <w:color w:val="C00000"/>
                <w:sz w:val="17"/>
              </w:rPr>
              <w:t>-3.3%</w:t>
            </w:r>
          </w:p>
        </w:tc>
      </w:tr>
      <w:tr>
        <w:tc>
          <w:tcPr>
            <w:tcW w:type="dxa" w:w="1440"/>
            <w:shd w:fill="FFDCE0" w:val="clear"/>
          </w:tcPr>
          <w:p>
            <w:r>
              <w:rPr>
                <w:sz w:val="17"/>
              </w:rPr>
              <w:t>J+3  Moyenne</w:t>
            </w:r>
          </w:p>
        </w:tc>
        <w:tc>
          <w:tcPr>
            <w:tcW w:type="dxa" w:w="1440"/>
            <w:shd w:fill="FFDCE0" w:val="clear"/>
          </w:tcPr>
          <w:p>
            <w:r>
              <w:rPr>
                <w:sz w:val="17"/>
              </w:rPr>
              <w:t>2026-09-18</w:t>
            </w:r>
          </w:p>
        </w:tc>
        <w:tc>
          <w:tcPr>
            <w:tcW w:type="dxa" w:w="1440"/>
            <w:shd w:fill="FFDCE0" w:val="clear"/>
          </w:tcPr>
          <w:p>
            <w:r>
              <w:rPr>
                <w:sz w:val="17"/>
              </w:rPr>
              <w:t>3,533</w:t>
            </w:r>
          </w:p>
        </w:tc>
        <w:tc>
          <w:tcPr>
            <w:tcW w:type="dxa" w:w="1440"/>
            <w:shd w:fill="FFDCE0" w:val="clear"/>
          </w:tcPr>
          <w:p>
            <w:r>
              <w:rPr>
                <w:b/>
                <w:sz w:val="17"/>
              </w:rPr>
              <w:t>3,828</w:t>
            </w:r>
          </w:p>
        </w:tc>
        <w:tc>
          <w:tcPr>
            <w:tcW w:type="dxa" w:w="1440"/>
            <w:shd w:fill="FFDCE0" w:val="clear"/>
          </w:tcPr>
          <w:p>
            <w:r>
              <w:rPr>
                <w:sz w:val="17"/>
              </w:rPr>
              <w:t>4,124</w:t>
            </w:r>
          </w:p>
        </w:tc>
        <w:tc>
          <w:tcPr>
            <w:tcW w:type="dxa" w:w="1440"/>
            <w:shd w:fill="FFDCE0" w:val="clear"/>
          </w:tcPr>
          <w:p>
            <w:r>
              <w:rPr>
                <w:b/>
                <w:color w:val="C00000"/>
                <w:sz w:val="17"/>
              </w:rPr>
              <w:t>-4.6%</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3,445</w:t>
            </w:r>
          </w:p>
        </w:tc>
        <w:tc>
          <w:tcPr>
            <w:tcW w:type="dxa" w:w="1440"/>
            <w:shd w:fill="FFDCE0" w:val="clear"/>
          </w:tcPr>
          <w:p>
            <w:r>
              <w:rPr>
                <w:b/>
                <w:sz w:val="17"/>
              </w:rPr>
              <w:t>3,782</w:t>
            </w:r>
          </w:p>
        </w:tc>
        <w:tc>
          <w:tcPr>
            <w:tcW w:type="dxa" w:w="1440"/>
            <w:shd w:fill="FFDCE0" w:val="clear"/>
          </w:tcPr>
          <w:p>
            <w:r>
              <w:rPr>
                <w:sz w:val="17"/>
              </w:rPr>
              <w:t>4,119</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3,368</w:t>
            </w:r>
          </w:p>
        </w:tc>
        <w:tc>
          <w:tcPr>
            <w:tcW w:type="dxa" w:w="1440"/>
            <w:shd w:fill="FFDCE0" w:val="clear"/>
          </w:tcPr>
          <w:p>
            <w:r>
              <w:rPr>
                <w:b/>
                <w:sz w:val="17"/>
              </w:rPr>
              <w:t>3,740</w:t>
            </w:r>
          </w:p>
        </w:tc>
        <w:tc>
          <w:tcPr>
            <w:tcW w:type="dxa" w:w="1440"/>
            <w:shd w:fill="FFDCE0" w:val="clear"/>
          </w:tcPr>
          <w:p>
            <w:r>
              <w:rPr>
                <w:sz w:val="17"/>
              </w:rPr>
              <w:t>4,112</w:t>
            </w:r>
          </w:p>
        </w:tc>
        <w:tc>
          <w:tcPr>
            <w:tcW w:type="dxa" w:w="1440"/>
            <w:shd w:fill="FFDCE0" w:val="clear"/>
          </w:tcPr>
          <w:p>
            <w:r>
              <w:rPr>
                <w:b/>
                <w:color w:val="C00000"/>
                <w:sz w:val="17"/>
              </w:rPr>
              <w:t>-6.8%</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3,298</w:t>
            </w:r>
          </w:p>
        </w:tc>
        <w:tc>
          <w:tcPr>
            <w:tcW w:type="dxa" w:w="1440"/>
            <w:shd w:fill="FFDCE0" w:val="clear"/>
          </w:tcPr>
          <w:p>
            <w:r>
              <w:rPr>
                <w:b/>
                <w:sz w:val="17"/>
              </w:rPr>
              <w:t>3,701</w:t>
            </w:r>
          </w:p>
        </w:tc>
        <w:tc>
          <w:tcPr>
            <w:tcW w:type="dxa" w:w="1440"/>
            <w:shd w:fill="FFDCE0" w:val="clear"/>
          </w:tcPr>
          <w:p>
            <w:r>
              <w:rPr>
                <w:sz w:val="17"/>
              </w:rPr>
              <w:t>4,105</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3,233</w:t>
            </w:r>
          </w:p>
        </w:tc>
        <w:tc>
          <w:tcPr>
            <w:tcW w:type="dxa" w:w="1440"/>
            <w:shd w:fill="FFDCE0" w:val="clear"/>
          </w:tcPr>
          <w:p>
            <w:r>
              <w:rPr>
                <w:b/>
                <w:sz w:val="17"/>
              </w:rPr>
              <w:t>3,665</w:t>
            </w:r>
          </w:p>
        </w:tc>
        <w:tc>
          <w:tcPr>
            <w:tcW w:type="dxa" w:w="1440"/>
            <w:shd w:fill="FFDCE0" w:val="clear"/>
          </w:tcPr>
          <w:p>
            <w:r>
              <w:rPr>
                <w:sz w:val="17"/>
              </w:rPr>
              <w:t>4,097</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3,174</w:t>
            </w:r>
          </w:p>
        </w:tc>
        <w:tc>
          <w:tcPr>
            <w:tcW w:type="dxa" w:w="1440"/>
            <w:shd w:fill="FFDCE0" w:val="clear"/>
          </w:tcPr>
          <w:p>
            <w:r>
              <w:rPr>
                <w:b/>
                <w:sz w:val="17"/>
              </w:rPr>
              <w:t>3,631</w:t>
            </w:r>
          </w:p>
        </w:tc>
        <w:tc>
          <w:tcPr>
            <w:tcW w:type="dxa" w:w="1440"/>
            <w:shd w:fill="FFDCE0" w:val="clear"/>
          </w:tcPr>
          <w:p>
            <w:r>
              <w:rPr>
                <w:sz w:val="17"/>
              </w:rPr>
              <w:t>4,088</w:t>
            </w:r>
          </w:p>
        </w:tc>
        <w:tc>
          <w:tcPr>
            <w:tcW w:type="dxa" w:w="1440"/>
            <w:shd w:fill="FFDCE0" w:val="clear"/>
          </w:tcPr>
          <w:p>
            <w:r>
              <w:rPr>
                <w:b/>
                <w:color w:val="C00000"/>
                <w:sz w:val="17"/>
              </w:rPr>
              <w:t>-9.6%</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3,118</w:t>
            </w:r>
          </w:p>
        </w:tc>
        <w:tc>
          <w:tcPr>
            <w:tcW w:type="dxa" w:w="1440"/>
            <w:shd w:fill="FFDCE0" w:val="clear"/>
          </w:tcPr>
          <w:p>
            <w:r>
              <w:rPr>
                <w:b/>
                <w:sz w:val="17"/>
              </w:rPr>
              <w:t>3,599</w:t>
            </w:r>
          </w:p>
        </w:tc>
        <w:tc>
          <w:tcPr>
            <w:tcW w:type="dxa" w:w="1440"/>
            <w:shd w:fill="FFDCE0" w:val="clear"/>
          </w:tcPr>
          <w:p>
            <w:r>
              <w:rPr>
                <w:sz w:val="17"/>
              </w:rPr>
              <w:t>4,080</w:t>
            </w:r>
          </w:p>
        </w:tc>
        <w:tc>
          <w:tcPr>
            <w:tcW w:type="dxa" w:w="1440"/>
            <w:shd w:fill="FFDCE0" w:val="clear"/>
          </w:tcPr>
          <w:p>
            <w:r>
              <w:rPr>
                <w:b/>
                <w:color w:val="C00000"/>
                <w:sz w:val="17"/>
              </w:rPr>
              <w:t>-10.4%</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3,066</w:t>
            </w:r>
          </w:p>
        </w:tc>
        <w:tc>
          <w:tcPr>
            <w:tcW w:type="dxa" w:w="1440"/>
            <w:shd w:fill="FFDCE0" w:val="clear"/>
          </w:tcPr>
          <w:p>
            <w:r>
              <w:rPr>
                <w:b/>
                <w:sz w:val="17"/>
              </w:rPr>
              <w:t>3,569</w:t>
            </w:r>
          </w:p>
        </w:tc>
        <w:tc>
          <w:tcPr>
            <w:tcW w:type="dxa" w:w="1440"/>
            <w:shd w:fill="FFDCE0" w:val="clear"/>
          </w:tcPr>
          <w:p>
            <w:r>
              <w:rPr>
                <w:sz w:val="17"/>
              </w:rPr>
              <w:t>4,071</w:t>
            </w:r>
          </w:p>
        </w:tc>
        <w:tc>
          <w:tcPr>
            <w:tcW w:type="dxa" w:w="1440"/>
            <w:shd w:fill="FFDCE0" w:val="clear"/>
          </w:tcPr>
          <w:p>
            <w:r>
              <w:rPr>
                <w:b/>
                <w:color w:val="C00000"/>
                <w:sz w:val="17"/>
              </w:rPr>
              <w:t>-11.1%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43,81 milliards FCFA, ABJC se positionne comme une valeur de taille intermédiaire sur la BRVM, loin des mastodontes bancaires mais suffisamment liquide pour intéresser les investisseurs institutionnels. Le BPA de 124 FCFA/action signifie que chaque titre génère un bénéfice net de 124 FCFA, ce qui, rapporté au cours actuel de 4 015 FCFA, aboutit à un PER de 32,4x — soit près de trois fois la moyenne du marché BRVM (8-12x), signalant une valorisation tendue qui n'est justifiable que par des anticipations de croissance forte ou une prime de rareté sectorielle. Le P/B de 8,49x confirme cette exubérance : le marché paie plus de huit fois la valeur comptable des fonds propres, une prime très agressive qui traduit une forte confiance dans la rentabilité future mais laisse peu de marge de sécurité en cas de déception. Enfin, l'EV/EBITDA de 16,8x, supérieur au seuil de 15x généralement considéré comme exigeant, indique que la valeur d'entreprise intègre déjà une prime opérationnelle significative, renforçant le diagnostic d'une action chèrement valorisée par rapport à ses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 enregistré une progression spectaculaire de +24,30%, passant d'un plus bas de 2 800 FCFA à un plus haut de 4 095 FCFA, avant de terminer à 4 015 FCFA, soit une légère contraction de -1,11% lors de la dernière séance — un repli marginal qui n'entame pas la dynamique haussière. Le range de trading de 1 295 FCFA (soit 46% du plus bas) témoigne d'une volatilité intra-période importante, cohérente avec la volatilité annualisée de 48,7%, qui classe le titre dans la catégorie des valeurs très volatiles (&gt;30%). Les statistiques descriptives révèlent une moyenne de 3 270 FCFA supérieure à la médiane de 3 182 FCFA, avec un mode à 3 150 FCFA : cet écart entre moyenne et médiane, combiné à un skewness positif de 0,902, indique une asymétrie à droite — le cours a passé plus de journées sous la moyenne, mais quelques séances de forte hausse ont tiré la moyenne vers le haut, signe d'un rallye récent puissant. L'écart-type de 332 FCFA (CV = 10,2%) traduit une dispersion modérée autour de la tendance, tandis que le kurtosis de -0,035 (mésokurtique) suggère une distribution proche de la normale, sans risque excessif de pics extrêmes, ce qui est rassurant pour la gestion du risque. La tendance générale est donc nettement haussière, portée par un momentum acheteur soutenu, mais la volatilité élevée et le skewness positif invitent à la prudence sur les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(3 778,75 FCFA) et la MM50 (3 362,10 FCFA) sont toutes deux inférieures au cours actuel de 4 015 FCFA, avec la MM20 au-dessus de la MM50 — configuration haussière classique (golden cross). Le cours évolue nettement au-dessus de ses moyennes, confirmant la force du momentum, et la décision technique est logiquement à l'**Achat**.</w:t>
      </w:r>
    </w:p>
    <w:p>
      <w:pPr>
        <w:spacing w:after="120" w:line="276" w:lineRule="auto"/>
      </w:pPr>
      <w:r>
        <w:t>**Bandes de Bollinger** : Le cours (4 015 FCFA) se situe dans la partie supérieure de la bande, entre la borne inférieure (3 282,70 FCFA) et la borne supérieure (4 274,80 FCFA), sans la dépasser. Cette position proche de la borne haute, combinée à un écartement modéré des bandes, indique une volatilité contenue mais une pression acheteuse persistante. La décision est **Neutre**, car le cours n'est ni en rupture ni en zone de survente.</w:t>
      </w:r>
    </w:p>
    <w:p>
      <w:pPr>
        <w:spacing w:after="120" w:line="276" w:lineRule="auto"/>
      </w:pPr>
      <w:r>
        <w:t>**MACD** : La ligne MACD (213,22) est supérieure à sa ligne de signal (204,41), avec un histogramme positif, confirmant un momentum haussier en cours. La divergence reste toutefois modeste, ce qui suggère que la dynamique positive s'essouffle légèrement. La décision est à l'**Achat**, mais avec une conviction modérée.</w:t>
      </w:r>
    </w:p>
    <w:p>
      <w:pPr>
        <w:spacing w:after="120" w:line="276" w:lineRule="auto"/>
      </w:pPr>
      <w:r>
        <w:t>**RSI** : À 74,83, le RSI est en zone de surachat (&gt;70), signalant que le titre a été acheté de manière excessive à court terme et qu'un repli technique est probable. La décision est à la **Vente**, ce qui contredit les signaux des moyennes mobiles et du MACD.</w:t>
      </w:r>
    </w:p>
    <w:p>
      <w:pPr>
        <w:spacing w:after="120" w:line="276" w:lineRule="auto"/>
      </w:pPr>
      <w:r>
        <w:t>**Stochastique** : Le %K (80,25) est inférieur au %D (90,79), avec un croisement baissier en zone de surachat (&gt;80), confirmant la probabilité d'un retournement à court terme. La décision est à la **Vente**, en ligne avec le RSI.</w:t>
      </w:r>
    </w:p>
    <w:p>
      <w:pPr>
        <w:spacing w:after="120" w:line="276" w:lineRule="auto"/>
      </w:pPr>
      <w:r>
        <w:t>**Conclusion technique** : Les indicateurs de tendance (MM, MACD) restent haussiers, mais les oscillateurs (RSI, Stochastique) clignotent en zone de surachat et suggèrent un essoufflement imminent. Cette divergence classique entre tendance de fond et momentum court terme plaide pour une consolidation avant une éventuelle reprise. La prudence est de mise à court terme, même si la structure haussière n'est pas remise en cause.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Servair Abidjan a réalisé un chiffre d'affaires de 13,298 milliards FCFA, en croissance de +6,67% par rapport à 2024, avec un résultat net de 1,351 milliard FCFA (marge nette de 10,16%). Le ROE s'établit à 26,18% — un niveau excellent (&gt;15%) — et le ROA à 14,64%, confirmant une remarquable efficacité dans l'utilisation des actifs. La structure financière est très saine : autonomie financière de 55,92%, ratio d'endettement de 44,08%, et une trésorerie nette de 4,035 milliards FCFA. Le BFR est négatif à 257,45 millions FCFA (favorable), et la liquidité générale atteint 218,37%, bien au-dessus du seuil de 1. Les délais clients (70,10 jours) et fournisseurs (92,11 jours) sont élevés, mais le délai fournisseurs supérieur au délai clients constitue une force pour la trésorerie. La couverture des intérêts est exceptionnelle (36 092%), et la capacité de remboursement est quasi nulle (0,04 an), traduisant un endettement financier marginal (65,89 millions FCFA).</w:t>
      </w:r>
    </w:p>
    <w:p>
      <w:pPr>
        <w:spacing w:after="120" w:line="276" w:lineRule="auto"/>
      </w:pPr>
      <w:r>
        <w:t>**Adaptation au secteur (ENTREPRISE)** : Le taux de croissance du CA (+6,67%) est modéré mais positif, porté par la reprise du trafic aérien et la diversification vers les activités non aériennes. La marge brute de 68,49% et la marge opérationnelle de 16,38% témoignent d'une bonne maîtrise des coûts, malgré une pression fiscale accrue (impôt en hausse de +46,7% à 848 millions FCFA). La rotation des actifs (144,13%) est satisfaisante, et le financement des immobilisations (427,96%) est largement couvert par les capitaux permanents.</w:t>
      </w:r>
    </w:p>
    <w:p>
      <w:pPr>
        <w:spacing w:after="120" w:line="276" w:lineRule="auto"/>
      </w:pPr>
      <w:r>
        <w:t>**Estimations basées sur les rapports trimestriels** : Le rapport T1 2026 (publié le 30 avril 2026) révèle une croissance du CA de +1,9% (3,237 milliards FCFA vs 3,176 milliards FCFA au T1 2025), mais une dégradation marquée de la rentabilité avec un résultat net en chute de -35,6% (222,6 millions FCFA vs 345,9 millions FCFA). Cette contre-performance s'explique par des ajustements de redevances aéroportuaires et des tensions géopolitiques au Moyen-Orient affectant les compagnies clientes. Sur la base de ce T1 2026, on estime que l'exercice 2026 devrait afficher une croissance du CA limitée (autour de +2-3%) et une pression persistante sur les marges, avec un résultat net potentiellement en retrait de -15% à -20% par rapport à 2025. Le rapport T3 2025 (publié le 30 septembre 2025) montrait déjà un redressement avec un CA trimestriel de 10,218 milliards FCFA (+10,3%) et un résultat net de 1,325 milliard FCFA (+17,1%), mais cette dynamique semble s'être essoufflée au T1 2026.</w:t>
      </w:r>
    </w:p>
    <w:p>
      <w:pPr>
        <w:spacing w:after="120" w:line="276" w:lineRule="auto"/>
      </w:pPr>
      <w:r>
        <w:t>**Évolution pluriannuelle** : En 2024, le CA s'élevait à 12,467 milliards FCFA (+10,8%) et le résultat net à 1,515 milliard FCFA (+11,6%), avec un BPA de 139 FCFA. La comparaison 2024 vs 2025 montre un ralentissement de la croissance (de +10,8% à +6,67%) et une baisse du résultat net (de 1,515 à 1,351 milliard FCFA), principalement due à la charge fiscale. Les capitaux propres se sont renforcés à 5,159 milliards FCFA (+31,8%), et la trésorerie s'est améliorée à 4,035 milliards FCFA, offrant une base solide.</w:t>
      </w:r>
    </w:p>
    <w:p>
      <w:pPr>
        <w:spacing w:after="120" w:line="276" w:lineRule="auto"/>
      </w:pPr>
      <w:r>
        <w:t>**Recommandation fondamentale** : La société présente des fondamentaux solides (ROE élevé, structure financière saine, trésorerie confortable), mais fait face à des défis conjoncturels (pression fiscale, tensions géopolitiques, ajustements réglementaires) qui pèsent sur la rentabilité à court terme. La valorisation boursière (PER 32,4x, P/B 8,49x) intègre déjà une prime de croissance qui pourrait être remise en question si les marges continuent de se dégrader. La recommandation fondamentale est de **Conserver** le titre, en attendant une clarification sur la trajectoire bénéficiaire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notable entre la valorisation, le comportement du cours, les signaux techniques et les fondamentaux. **Valorisation (Partie 0)** : Les ratios PER (32,4x), P/B (8,49x) et EV/EBITDA (16,8x) indiquent une nette surévaluation par rapport aux moyennes du marché BRVM et aux fondamentaux actuels, laissant peu de marge de sécurité. **Comportement du cours (Partie 1)** : La tendance haussière (+24,30% sur 100 jours) est impressionnante, mais la volatilité élevée (48,7%) et le skewness positif (0,902) suggèrent que le rallye pourrait être vulnérable à des prises de bénéfices. **Signaux techniques (Partie 2)** : Les indicateurs de tendance (MM, MACD) restent haussiers, mais les oscillateurs (RSI à 74,83, Stochastique en surachat) signalent un essoufflement imminent, créant une divergence baissière à court terme. **Fondamentaux (Partie 3)** : La société affiche des fondamentaux solides (ROE 26,18%, trésorerie 4,035 milliards FCFA), mais la dégradation de la rentabilité au T1 2026 (-35,6% de résultat net) et la pression fiscale persistante constituent des vents contraires. **Prédictions IA (J+1 à J+10)** : La trajectoire prédite (3 943 → 3 740 FCFA) confirme la probabilité d'un repli technique à court terme, en ligne avec les signaux des oscillateurs.</w:t>
      </w:r>
    </w:p>
    <w:p>
      <w:pPr>
        <w:spacing w:after="120" w:line="276" w:lineRule="auto"/>
      </w:pPr>
      <w:r>
        <w:t>**Recommandation finale** : **CONSERVER**. La convergence entre la surévaluation, les signaux techniques de surachat et la dégradation des fondamentaux à court terme plaide contre un achat à ces niveaux, tandis que la solidité financière et la position de marché de Servair Abidjan justifient de ne pas vendre massivement. Le niveau de confiance est **Moyen**, car les perspectives dépendent largement de la résolution des défis conjoncturels (litige BCEAO, ajustements de redevances) et de la capacité de la société à restaurer ses marges. Le niveau de risque global est **Élevé**, compte tenu de la volatilité du titre et de la sensibilité du secteur aéroportuaire aux chocs exogènes. L'horizon d'investissement optimal est le **moyen terme (3-12 mois)**, en attendant une clarification sur la trajectoire bénéficiaire 2026 et une correction technique qui offrirait un point d'entrée plus attractif.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609.37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12,826 titres</w:t>
            </w:r>
          </w:p>
        </w:tc>
        <w:tc>
          <w:tcPr>
            <w:tcW w:type="dxa" w:w="2268"/>
            <w:shd w:fill="FFF2CC" w:val="clear"/>
          </w:tcPr>
          <w:p>
            <w:r>
              <w:rPr>
                <w:b/>
                <w:color w:val="503200"/>
                <w:sz w:val="16"/>
              </w:rPr>
              <w:t xml:space="preserve">Cours actuel : </w:t>
            </w:r>
            <w:r>
              <w:rPr>
                <w:color w:val="000000"/>
                <w:sz w:val="17"/>
              </w:rPr>
              <w:t>10,550 FCFA</w:t>
            </w:r>
          </w:p>
          <w:p>
            <w:r>
              <w:rPr>
                <w:b/>
                <w:color w:val="503200"/>
                <w:sz w:val="16"/>
              </w:rPr>
              <w:t xml:space="preserve">Var. 100 jours : </w:t>
            </w:r>
            <w:r>
              <w:rPr>
                <w:b/>
                <w:color w:val="007800"/>
                <w:sz w:val="17"/>
              </w:rPr>
              <w:t>+106.86%</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24.38% (Élevée) — μ=6,773 FCFA, σ=1,652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β=0.5396 (Défensif) — Cov=0.000019, Var(idx)=0.000035, ρ=0.146,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12,826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2026-09-16</w:t>
            </w:r>
          </w:p>
        </w:tc>
        <w:tc>
          <w:tcPr>
            <w:tcW w:type="dxa" w:w="1440"/>
            <w:shd w:fill="FFDCE0" w:val="clear"/>
          </w:tcPr>
          <w:p>
            <w:r>
              <w:rPr>
                <w:sz w:val="17"/>
              </w:rPr>
              <w:t>9,388</w:t>
            </w:r>
          </w:p>
        </w:tc>
        <w:tc>
          <w:tcPr>
            <w:tcW w:type="dxa" w:w="1440"/>
            <w:shd w:fill="FFDCE0" w:val="clear"/>
          </w:tcPr>
          <w:p>
            <w:r>
              <w:rPr>
                <w:b/>
                <w:sz w:val="17"/>
              </w:rPr>
              <w:t>9,771</w:t>
            </w:r>
          </w:p>
        </w:tc>
        <w:tc>
          <w:tcPr>
            <w:tcW w:type="dxa" w:w="1440"/>
            <w:shd w:fill="FFDCE0" w:val="clear"/>
          </w:tcPr>
          <w:p>
            <w:r>
              <w:rPr>
                <w:sz w:val="17"/>
              </w:rPr>
              <w:t>10,155</w:t>
            </w:r>
          </w:p>
        </w:tc>
        <w:tc>
          <w:tcPr>
            <w:tcW w:type="dxa" w:w="1440"/>
            <w:shd w:fill="FFDCE0" w:val="clear"/>
          </w:tcPr>
          <w:p>
            <w:r>
              <w:rPr>
                <w:b/>
                <w:color w:val="C00000"/>
                <w:sz w:val="17"/>
              </w:rPr>
              <w:t>-7.4%</w:t>
            </w:r>
          </w:p>
        </w:tc>
      </w:tr>
      <w:tr>
        <w:tc>
          <w:tcPr>
            <w:tcW w:type="dxa" w:w="1440"/>
            <w:shd w:fill="FFDCE0" w:val="clear"/>
          </w:tcPr>
          <w:p>
            <w:r>
              <w:rPr>
                <w:sz w:val="17"/>
              </w:rPr>
              <w:t>J+2  ⭐</w:t>
            </w:r>
          </w:p>
        </w:tc>
        <w:tc>
          <w:tcPr>
            <w:tcW w:type="dxa" w:w="1440"/>
            <w:shd w:fill="FFDCE0" w:val="clear"/>
          </w:tcPr>
          <w:p>
            <w:r>
              <w:rPr>
                <w:sz w:val="17"/>
              </w:rPr>
              <w:t>2026-09-17</w:t>
            </w:r>
          </w:p>
        </w:tc>
        <w:tc>
          <w:tcPr>
            <w:tcW w:type="dxa" w:w="1440"/>
            <w:shd w:fill="FFDCE0" w:val="clear"/>
          </w:tcPr>
          <w:p>
            <w:r>
              <w:rPr>
                <w:sz w:val="17"/>
              </w:rPr>
              <w:t>9,177</w:t>
            </w:r>
          </w:p>
        </w:tc>
        <w:tc>
          <w:tcPr>
            <w:tcW w:type="dxa" w:w="1440"/>
            <w:shd w:fill="FFDCE0" w:val="clear"/>
          </w:tcPr>
          <w:p>
            <w:r>
              <w:rPr>
                <w:b/>
                <w:sz w:val="17"/>
              </w:rPr>
              <w:t>9,717</w:t>
            </w:r>
          </w:p>
        </w:tc>
        <w:tc>
          <w:tcPr>
            <w:tcW w:type="dxa" w:w="1440"/>
            <w:shd w:fill="FFDCE0" w:val="clear"/>
          </w:tcPr>
          <w:p>
            <w:r>
              <w:rPr>
                <w:sz w:val="17"/>
              </w:rPr>
              <w:t>10,256</w:t>
            </w:r>
          </w:p>
        </w:tc>
        <w:tc>
          <w:tcPr>
            <w:tcW w:type="dxa" w:w="1440"/>
            <w:shd w:fill="FFDCE0" w:val="clear"/>
          </w:tcPr>
          <w:p>
            <w:r>
              <w:rPr>
                <w:b/>
                <w:color w:val="C00000"/>
                <w:sz w:val="17"/>
              </w:rPr>
              <w:t>-7.9%</w:t>
            </w:r>
          </w:p>
        </w:tc>
      </w:tr>
      <w:tr>
        <w:tc>
          <w:tcPr>
            <w:tcW w:type="dxa" w:w="1440"/>
            <w:shd w:fill="FFDCE0" w:val="clear"/>
          </w:tcPr>
          <w:p>
            <w:r>
              <w:rPr>
                <w:sz w:val="17"/>
              </w:rPr>
              <w:t>J+3  ⭐</w:t>
            </w:r>
          </w:p>
        </w:tc>
        <w:tc>
          <w:tcPr>
            <w:tcW w:type="dxa" w:w="1440"/>
            <w:shd w:fill="FFDCE0" w:val="clear"/>
          </w:tcPr>
          <w:p>
            <w:r>
              <w:rPr>
                <w:sz w:val="17"/>
              </w:rPr>
              <w:t>2026-09-18</w:t>
            </w:r>
          </w:p>
        </w:tc>
        <w:tc>
          <w:tcPr>
            <w:tcW w:type="dxa" w:w="1440"/>
            <w:shd w:fill="FFDCE0" w:val="clear"/>
          </w:tcPr>
          <w:p>
            <w:r>
              <w:rPr>
                <w:sz w:val="17"/>
              </w:rPr>
              <w:t>8,993</w:t>
            </w:r>
          </w:p>
        </w:tc>
        <w:tc>
          <w:tcPr>
            <w:tcW w:type="dxa" w:w="1440"/>
            <w:shd w:fill="FFDCE0" w:val="clear"/>
          </w:tcPr>
          <w:p>
            <w:r>
              <w:rPr>
                <w:b/>
                <w:sz w:val="17"/>
              </w:rPr>
              <w:t>9,650</w:t>
            </w:r>
          </w:p>
        </w:tc>
        <w:tc>
          <w:tcPr>
            <w:tcW w:type="dxa" w:w="1440"/>
            <w:shd w:fill="FFDCE0" w:val="clear"/>
          </w:tcPr>
          <w:p>
            <w:r>
              <w:rPr>
                <w:sz w:val="17"/>
              </w:rPr>
              <w:t>10,306</w:t>
            </w:r>
          </w:p>
        </w:tc>
        <w:tc>
          <w:tcPr>
            <w:tcW w:type="dxa" w:w="1440"/>
            <w:shd w:fill="FFDCE0" w:val="clear"/>
          </w:tcPr>
          <w:p>
            <w:r>
              <w:rPr>
                <w:b/>
                <w:color w:val="C00000"/>
                <w:sz w:val="17"/>
              </w:rPr>
              <w:t>-8.5%</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8,834</w:t>
            </w:r>
          </w:p>
        </w:tc>
        <w:tc>
          <w:tcPr>
            <w:tcW w:type="dxa" w:w="1440"/>
            <w:shd w:fill="FFDCE0" w:val="clear"/>
          </w:tcPr>
          <w:p>
            <w:r>
              <w:rPr>
                <w:b/>
                <w:sz w:val="17"/>
              </w:rPr>
              <w:t>9,587</w:t>
            </w:r>
          </w:p>
        </w:tc>
        <w:tc>
          <w:tcPr>
            <w:tcW w:type="dxa" w:w="1440"/>
            <w:shd w:fill="FFDCE0" w:val="clear"/>
          </w:tcPr>
          <w:p>
            <w:r>
              <w:rPr>
                <w:sz w:val="17"/>
              </w:rPr>
              <w:t>10,340</w:t>
            </w:r>
          </w:p>
        </w:tc>
        <w:tc>
          <w:tcPr>
            <w:tcW w:type="dxa" w:w="1440"/>
            <w:shd w:fill="FFDCE0" w:val="clear"/>
          </w:tcPr>
          <w:p>
            <w:r>
              <w:rPr>
                <w:b/>
                <w:color w:val="C00000"/>
                <w:sz w:val="17"/>
              </w:rPr>
              <w:t>-9.1%</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8,696</w:t>
            </w:r>
          </w:p>
        </w:tc>
        <w:tc>
          <w:tcPr>
            <w:tcW w:type="dxa" w:w="1440"/>
            <w:shd w:fill="FFDCE0" w:val="clear"/>
          </w:tcPr>
          <w:p>
            <w:r>
              <w:rPr>
                <w:b/>
                <w:sz w:val="17"/>
              </w:rPr>
              <w:t>9,533</w:t>
            </w:r>
          </w:p>
        </w:tc>
        <w:tc>
          <w:tcPr>
            <w:tcW w:type="dxa" w:w="1440"/>
            <w:shd w:fill="FFDCE0" w:val="clear"/>
          </w:tcPr>
          <w:p>
            <w:r>
              <w:rPr>
                <w:sz w:val="17"/>
              </w:rPr>
              <w:t>10,369</w:t>
            </w:r>
          </w:p>
        </w:tc>
        <w:tc>
          <w:tcPr>
            <w:tcW w:type="dxa" w:w="1440"/>
            <w:shd w:fill="FFDCE0" w:val="clear"/>
          </w:tcPr>
          <w:p>
            <w:r>
              <w:rPr>
                <w:b/>
                <w:color w:val="C00000"/>
                <w:sz w:val="17"/>
              </w:rPr>
              <w:t>-9.6%</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8,574</w:t>
            </w:r>
          </w:p>
        </w:tc>
        <w:tc>
          <w:tcPr>
            <w:tcW w:type="dxa" w:w="1440"/>
            <w:shd w:fill="FFDCE0" w:val="clear"/>
          </w:tcPr>
          <w:p>
            <w:r>
              <w:rPr>
                <w:b/>
                <w:sz w:val="17"/>
              </w:rPr>
              <w:t>9,486</w:t>
            </w:r>
          </w:p>
        </w:tc>
        <w:tc>
          <w:tcPr>
            <w:tcW w:type="dxa" w:w="1440"/>
            <w:shd w:fill="FFDCE0" w:val="clear"/>
          </w:tcPr>
          <w:p>
            <w:r>
              <w:rPr>
                <w:sz w:val="17"/>
              </w:rPr>
              <w:t>10,398</w:t>
            </w:r>
          </w:p>
        </w:tc>
        <w:tc>
          <w:tcPr>
            <w:tcW w:type="dxa" w:w="1440"/>
            <w:shd w:fill="FFDCE0" w:val="clear"/>
          </w:tcPr>
          <w:p>
            <w:r>
              <w:rPr>
                <w:b/>
                <w:color w:val="C00000"/>
                <w:sz w:val="17"/>
              </w:rPr>
              <w:t>-10.1%</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8,465</w:t>
            </w:r>
          </w:p>
        </w:tc>
        <w:tc>
          <w:tcPr>
            <w:tcW w:type="dxa" w:w="1440"/>
            <w:shd w:fill="FFDCE0" w:val="clear"/>
          </w:tcPr>
          <w:p>
            <w:r>
              <w:rPr>
                <w:b/>
                <w:sz w:val="17"/>
              </w:rPr>
              <w:t>9,446</w:t>
            </w:r>
          </w:p>
        </w:tc>
        <w:tc>
          <w:tcPr>
            <w:tcW w:type="dxa" w:w="1440"/>
            <w:shd w:fill="FFDCE0" w:val="clear"/>
          </w:tcPr>
          <w:p>
            <w:r>
              <w:rPr>
                <w:sz w:val="17"/>
              </w:rPr>
              <w:t>10,428</w:t>
            </w:r>
          </w:p>
        </w:tc>
        <w:tc>
          <w:tcPr>
            <w:tcW w:type="dxa" w:w="1440"/>
            <w:shd w:fill="FFDCE0" w:val="clear"/>
          </w:tcPr>
          <w:p>
            <w:r>
              <w:rPr>
                <w:b/>
                <w:color w:val="C00000"/>
                <w:sz w:val="17"/>
              </w:rPr>
              <w:t>-10.5%</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8,368</w:t>
            </w:r>
          </w:p>
        </w:tc>
        <w:tc>
          <w:tcPr>
            <w:tcW w:type="dxa" w:w="1440"/>
            <w:shd w:fill="FFDCE0" w:val="clear"/>
          </w:tcPr>
          <w:p>
            <w:r>
              <w:rPr>
                <w:b/>
                <w:sz w:val="17"/>
              </w:rPr>
              <w:t>9,413</w:t>
            </w:r>
          </w:p>
        </w:tc>
        <w:tc>
          <w:tcPr>
            <w:tcW w:type="dxa" w:w="1440"/>
            <w:shd w:fill="FFDCE0" w:val="clear"/>
          </w:tcPr>
          <w:p>
            <w:r>
              <w:rPr>
                <w:sz w:val="17"/>
              </w:rPr>
              <w:t>10,459</w:t>
            </w:r>
          </w:p>
        </w:tc>
        <w:tc>
          <w:tcPr>
            <w:tcW w:type="dxa" w:w="1440"/>
            <w:shd w:fill="FFDCE0" w:val="clear"/>
          </w:tcPr>
          <w:p>
            <w:r>
              <w:rPr>
                <w:b/>
                <w:color w:val="C00000"/>
                <w:sz w:val="17"/>
              </w:rPr>
              <w:t>-10.8%</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8,279</w:t>
            </w:r>
          </w:p>
        </w:tc>
        <w:tc>
          <w:tcPr>
            <w:tcW w:type="dxa" w:w="1440"/>
            <w:shd w:fill="FFDCE0" w:val="clear"/>
          </w:tcPr>
          <w:p>
            <w:r>
              <w:rPr>
                <w:b/>
                <w:sz w:val="17"/>
              </w:rPr>
              <w:t>9,385</w:t>
            </w:r>
          </w:p>
        </w:tc>
        <w:tc>
          <w:tcPr>
            <w:tcW w:type="dxa" w:w="1440"/>
            <w:shd w:fill="FFDCE0" w:val="clear"/>
          </w:tcPr>
          <w:p>
            <w:r>
              <w:rPr>
                <w:sz w:val="17"/>
              </w:rPr>
              <w:t>10,491</w:t>
            </w:r>
          </w:p>
        </w:tc>
        <w:tc>
          <w:tcPr>
            <w:tcW w:type="dxa" w:w="1440"/>
            <w:shd w:fill="FFDCE0" w:val="clear"/>
          </w:tcPr>
          <w:p>
            <w:r>
              <w:rPr>
                <w:b/>
                <w:color w:val="C00000"/>
                <w:sz w:val="17"/>
              </w:rPr>
              <w:t>-11.0%</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8,199</w:t>
            </w:r>
          </w:p>
        </w:tc>
        <w:tc>
          <w:tcPr>
            <w:tcW w:type="dxa" w:w="1440"/>
            <w:shd w:fill="FFDCE0" w:val="clear"/>
          </w:tcPr>
          <w:p>
            <w:r>
              <w:rPr>
                <w:b/>
                <w:sz w:val="17"/>
              </w:rPr>
              <w:t>9,361</w:t>
            </w:r>
          </w:p>
        </w:tc>
        <w:tc>
          <w:tcPr>
            <w:tcW w:type="dxa" w:w="1440"/>
            <w:shd w:fill="FFDCE0" w:val="clear"/>
          </w:tcPr>
          <w:p>
            <w:r>
              <w:rPr>
                <w:sz w:val="17"/>
              </w:rPr>
              <w:t>10,524</w:t>
            </w:r>
          </w:p>
        </w:tc>
        <w:tc>
          <w:tcPr>
            <w:tcW w:type="dxa" w:w="1440"/>
            <w:shd w:fill="FFDCE0" w:val="clear"/>
          </w:tcPr>
          <w:p>
            <w:r>
              <w:rPr>
                <w:b/>
                <w:color w:val="C00000"/>
                <w:sz w:val="17"/>
              </w:rPr>
              <w:t>-11.3%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609,37 milliards FCFA, la BICB s'impose comme l'une des plus importantes capitalisations du compartiment bancaire de la BRVM, ce qui témoigne de son statut de leader au Bénin. Le BPA de 627 FCFA/action signifie que chaque titre génère près de 627 FCFA de bénéfice net, un niveau de rentabilité par action particulièrement élevé pour la zone UEMOA. Le PER de 16,8x situe le titre au-dessus de la moyenne du marché BRVM (généralement 8-12x), traduisant une prime de qualité que les investisseurs acceptent de payer pour cette valeur bancaire de premier rang. Le P/B de 4,51x confirme cette appréciation : le marché valorise la banque à plus de 4 fois sa valeur comptable, ce qui est exigeant mais justifié par un ROE de 26,8% (largement supérieur au coût du capital). Enfin, l'EV/EBITDA de 27,1x apparaît très tendu, reflétant des anticipations de croissance forte mais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**+106,86%**, passant d'environ 5 100 FCFA (plus bas) à 10 550 FCFA (cours actuel), avec un plus haut à 10 790 FCFA ; la dernière séance a encore gagné +0,48%. Le range de trading est donc exceptionnellement large (5 100 – 10 790 FCFA), signe d'un mouvement haussier puissant et soutenu. La tendance générale est clairement **haussière**, portée par des fondamentaux solides et un intérêt croissant des investisseurs pour le secteur bancaire béninois. Les statistiques descriptives révèlent une **moyenne de 6 773 FCFA** nettement supérieure à la **médiane de 6 275 FCFA**, avec un mode à 5 200 FCFA : cet écart confirme une distribution asymétrique où le cours a passé plus de temps dans les niveaux bas avant de s'envoler. L'écart-type de 1 660 FCFA (CV = 24,5%) indique une dispersion modérée à élevée, cohérente avec un mouvement directionnel fort. Le kurtosis de -0,311 (mésokurtique) suggère une distribution proche de la normale, sans pics extrêmes fréquents, tandis que le skewness de +0,913 (asymétrie positive) indique que les journées sous la moyenne ont été plus nombreuses — typique d'une phase d'accumulation suivie d'une accélération. La **volatilité annualisée de 34,4%** classe le titre dans la catégorie **élevée** (&gt;30%), ce qui est normal pour une valeur ayant doublé en 100 jours.</w:t>
      </w:r>
    </w:p>
    <w:p>
      <w:pPr>
        <w:spacing w:after="120" w:line="276" w:lineRule="auto"/>
      </w:pPr>
      <w:r>
        <w:t>---</w:t>
      </w:r>
    </w:p>
    <w:p>
      <w:pPr>
        <w:spacing w:after="120" w:line="276" w:lineRule="auto"/>
      </w:pPr>
      <w:r>
        <w:t>## PARTIE 2 : ANALYSE TECHNIQUE DÉTAILLÉE</w:t>
      </w:r>
    </w:p>
    <w:p>
      <w:pPr>
        <w:spacing w:after="120" w:line="276" w:lineRule="auto"/>
      </w:pPr>
      <w:r>
        <w:t>**Moyennes Mobiles** : La MM20 (9 435,75 FCFA) et la MM50 (8 094,90 FCFA) sont toutes deux nettement inférieures au cours actuel (10 550 FCFA), et la MM20 est au-dessus de la MM50 — configuration haussière classique. Le cours évolue au-dessus de ses deux moyennes, confirmant la dynamique positive ; la décision technique est donc logiquement **Achat**.</w:t>
      </w:r>
    </w:p>
    <w:p>
      <w:pPr>
        <w:spacing w:after="120" w:line="276" w:lineRule="auto"/>
      </w:pPr>
      <w:r>
        <w:t>**Bandes de Bollinger** : Le cours (10 550 FCFA) se situe dans la partie haute des bandes (borne supérieure = 11 353,36 FCFA ; borne inférieure = 7 518,14 FCFA), sans les dépasser. La largeur des bandes reflète une volatilité élevée, et la position du cours suggère une pression acheteuse soutenue mais sans excès immédiat ; la décision est **Neutre**, le titre n'étant ni en surachat extrême ni en zone de repli.</w:t>
      </w:r>
    </w:p>
    <w:p>
      <w:pPr>
        <w:spacing w:after="120" w:line="276" w:lineRule="auto"/>
      </w:pPr>
      <w:r>
        <w:t>**MACD** : La valeur du MACD (742,01) est supérieure à son signal (704,54), avec un histogramme positif — configuration haussière confirmée. Le momentum reste favorable malgré un début de convergence, et la décision technique est **Achat**.</w:t>
      </w:r>
    </w:p>
    <w:p>
      <w:pPr>
        <w:spacing w:after="120" w:line="276" w:lineRule="auto"/>
      </w:pPr>
      <w:r>
        <w:t>**RSI** : À 79,88, le RSI est en zone de **surachat** (&gt;70), signalant que le titre a peut-être trop monté à court terme et qu'une consolidation est possible. La décision technique associée est **Vente**, ce qui contraste avec les autres indicateurs.</w:t>
      </w:r>
    </w:p>
    <w:p>
      <w:pPr>
        <w:spacing w:after="120" w:line="276" w:lineRule="auto"/>
      </w:pPr>
      <w:r>
        <w:t>**Stochastique** : Le %K (89,52) est supérieur au %D (87,35), tous deux en zone de surachat (&gt;80). Le croisement reste haussier mais la position élevée suggère un essoufflement proche ; la décision est **Vente**.</w:t>
      </w:r>
    </w:p>
    <w:p>
      <w:pPr>
        <w:spacing w:after="120" w:line="276" w:lineRule="auto"/>
      </w:pPr>
      <w:r>
        <w:t>**Conclusion technique** : Les indicateurs de tendance (MM, MACD) restent haussiers et confirment la dynamique de fond, mais les oscillateurs (RSI à 79,9 et Stochastique à 89,5) signalent un **surachat marqué** qui plaide pour une prise de bénéfices à court terme. La convergence entre Bandes de Bollinger (Neutre) et oscillateurs (Vente) suggère une **phase de consolidation imminente**, sans remise en cause de la tendance haussière de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et un **résultat net de 36,237 milliards FCFA**, soit une marge nette exceptionnelle de **68,62%**. Le **ROE s'établit à 26,82%** (largement supérieur au seuil de 15% considéré comme excellent) et le **ROA à 1,96%**, confirmant une rentabilité solide malgré la croissance rapide du bilan. Le **coefficient d'exploitation de 31,12%** classe la banque parmi les plus efficaces de la zone UEMOA (&lt; 60% = efficace, &lt; 50% = excellente). Le **coût du risque de 9,61%** (provisions / charges financières) reste modéré mais en hausse, signalant une vigilance accrue sur la qualité du portefeuille. La structure financière affiche une **autonomie financière de 7,33%** (faible, typique des banques) et un **ratio d'endettement de 22,46%**, tandis que la **liquidité générale de 5 646%** et la **solvabilité générale de 107,9%** confirment la solidité du bilan. Les **dépôts clientèle (1 181,05 Mds FCFA)** couvrent presque intégralement les **créances clientèle (1 151,54 Mds FCFA)**, avec un ratio crédits/dépôts de 97,5% — une transformation tendue mais maîtrisée.</w:t>
      </w:r>
    </w:p>
    <w:p>
      <w:pPr>
        <w:spacing w:after="120" w:line="276" w:lineRule="auto"/>
      </w:pPr>
      <w:r>
        <w:t>**Estimations basées sur les rapports trimestriels** : Le rapport du **T1 2026 (publié en 2026)** indique un **PNB de 14,6 Mds FCFA (+35%)** et un **résultat net de 8,0 Mds FCFA (+48%)**, marquant une nette accélération par rapport à 2025. Le rapport du **T3 2025 (30/09/2025)** faisait état d'un PNB de 35,945 Mds FCFA (+26%) mais d'un résultat net de 13,128 Mds FCFA (-9%), pénalisé par un coût du risque multiplié par 5 au S1 2025 (7,905 Mds FCFA contre 1,495 Mds FCFA au S1 2024). Le rapport annuel 2025 (publié le 12/06/2026) confirme le redressement avec un résultat net de 36,237 Mds FCFA (+24,7%) et un ROE de 26,8%. **On estime donc que l'exercice 2026 devrait bénéficier d'un effet de base favorable** (normalisation du coût du risque) et d'une dynamique commerciale soutenue (crédits +30% au T3 2025, dépôts +25%), avec un PNB annualisé potentiel de 58-60 Mds FCFA et un résultat net de 38-40 Mds FCFA si la tendance du T1 2026 se confirme.</w:t>
      </w:r>
    </w:p>
    <w:p>
      <w:pPr>
        <w:spacing w:after="120" w:line="276" w:lineRule="auto"/>
      </w:pPr>
      <w:r>
        <w:t>**Recommandation fondamentale** : La BICB présente des **fondamentaux solides** (ROE 26,8%, coefficient d'exploitation 31,1%, solvabilité 19,64%), une **position de leader au Bénin** et une **croissance rentable**. Les risques principaux sont la **tension sur la liquidité** (ratio crédits/dépôts à 97,5%) et la **qualité du portefeuille de crédits** en croissance rapide (+37,3% en 2025), qui a déjà entraîné une explosion du coût du risque au S1 2025. La normalisation de ce coût au T1 2026 (+48% de résultat net) est encourageante. **Recommandation fondamentale : CONSERVER avec biais positif**, en attendant confirmation de la maîtrise du risque crédit sur l'ensemble de l'exercice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contrasté**. La **valorisation (Partie 0)** est exigeante (PER 16,8x, P/B 4,51x, EV/EBITDA 27,1x) et intègre déjà une forte prime de croissance, limitant le potentiel de revalorisation à court terme. Le **comportement du cours (Partie 1)** est exceptionnellement haussier (+106,86% en 100 jours) mais la volatilité élevée (34,4%) et le skewness positif (0,913) suggèrent que le mouvement pourrait s'essouffler. Les **signaux techniques (Partie 2)** sont mitigés : les tendances (MM, MACD) restent haussières, mais le RSI (79,9) et le Stochastique (89,5) sont en **surachat**, plaidant pour une consolidation. Les **fondamentaux (Partie 3)** sont solides (ROE 26,8%, PNB +16,5%, résultat net +24,7% en 2025), avec une accélération confirmée au T1 2026 (+48% de résultat net), mais des risques de liquidité et de crédit à surveiller. Les **prédictions IA (J+1 à J+10)** anticipent une **baisse progressive** de 9 771 FCFA à 9 533 FCFA, confirmant la thèse d'une consolidation après le rallye.</w:t>
      </w:r>
    </w:p>
    <w:p>
      <w:pPr>
        <w:spacing w:after="120" w:line="276" w:lineRule="auto"/>
      </w:pPr>
      <w:r>
        <w:t>**Recommandation finale : CONSERVER** (avec opportunité d'allègement partiel à court terme). La convergence entre valorisation tendue, signaux techniques de surachat et prédictions baissières à 10 jours suggère une **prise de bénéfices partielle** pour les investisseurs à court terme, mais la solidité fondamentale et la dynamique du T1 2026 justifient de **conserver le cœur de position** pour le moyen/long terme. **Niveau de confiance : Moyen** (les fondamentaux sont solides mais la valorisation et le surachat technique limitent le potentiel immédiat). **Niveau de risque global : Moyen à Élevé** (volatilité 34,4%, tension sur la liquidité, risque de crédit). **Horizon d'investissement optimal : Moyen terme (3-12 mois)**, en surveillant la publication des résultats semestriels 2026 pour confirmer la normalisation du coût du risque et la soutenabilité de la croissance.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517.50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668 titres</w:t>
            </w:r>
          </w:p>
        </w:tc>
        <w:tc>
          <w:tcPr>
            <w:tcW w:type="dxa" w:w="2268"/>
            <w:shd w:fill="FFF2CC" w:val="clear"/>
          </w:tcPr>
          <w:p>
            <w:r>
              <w:rPr>
                <w:b/>
                <w:color w:val="503200"/>
                <w:sz w:val="16"/>
              </w:rPr>
              <w:t xml:space="preserve">Cours actuel : </w:t>
            </w:r>
            <w:r>
              <w:rPr>
                <w:color w:val="000000"/>
                <w:sz w:val="17"/>
              </w:rPr>
              <w:t>31,050 FCFA</w:t>
            </w:r>
          </w:p>
          <w:p>
            <w:r>
              <w:rPr>
                <w:b/>
                <w:color w:val="503200"/>
                <w:sz w:val="16"/>
              </w:rPr>
              <w:t xml:space="preserve">Var. 100 jours : </w:t>
            </w:r>
            <w:r>
              <w:rPr>
                <w:b/>
                <w:color w:val="007800"/>
                <w:sz w:val="17"/>
              </w:rPr>
              <w:t>+24.95%</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23,705 FCFA</w:t>
            </w:r>
          </w:p>
          <w:p>
            <w:r>
              <w:rPr>
                <w:b/>
                <w:color w:val="503200"/>
                <w:sz w:val="16"/>
              </w:rPr>
              <w:t xml:space="preserve">Volatilité ann. : </w:t>
            </w:r>
            <w:r>
              <w:rPr>
                <w:color w:val="000000"/>
                <w:sz w:val="17"/>
              </w:rPr>
              <w:t>29.4%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7.42% (Moyenne) — μ=28,370 FCFA, σ=2,105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β=0.5988 (Défensif) — Cov=0.000021, Var(idx)=0.000035, ρ=0.201,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668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σ_j=1.85%/j (Stable) — Vol. annualisée≈29.4%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2026-09-16</w:t>
            </w:r>
          </w:p>
        </w:tc>
        <w:tc>
          <w:tcPr>
            <w:tcW w:type="dxa" w:w="1440"/>
            <w:shd w:fill="C6EFCE" w:val="clear"/>
          </w:tcPr>
          <w:p>
            <w:r>
              <w:rPr>
                <w:sz w:val="17"/>
              </w:rPr>
              <w:t>30,852</w:t>
            </w:r>
          </w:p>
        </w:tc>
        <w:tc>
          <w:tcPr>
            <w:tcW w:type="dxa" w:w="1440"/>
            <w:shd w:fill="C6EFCE" w:val="clear"/>
          </w:tcPr>
          <w:p>
            <w:r>
              <w:rPr>
                <w:b/>
                <w:sz w:val="17"/>
              </w:rPr>
              <w:t>32,000</w:t>
            </w:r>
          </w:p>
        </w:tc>
        <w:tc>
          <w:tcPr>
            <w:tcW w:type="dxa" w:w="1440"/>
            <w:shd w:fill="C6EFCE" w:val="clear"/>
          </w:tcPr>
          <w:p>
            <w:r>
              <w:rPr>
                <w:sz w:val="17"/>
              </w:rPr>
              <w:t>33,147</w:t>
            </w:r>
          </w:p>
        </w:tc>
        <w:tc>
          <w:tcPr>
            <w:tcW w:type="dxa" w:w="1440"/>
            <w:shd w:fill="C6EFCE" w:val="clear"/>
          </w:tcPr>
          <w:p>
            <w:r>
              <w:rPr>
                <w:b/>
                <w:color w:val="008000"/>
                <w:sz w:val="17"/>
              </w:rPr>
              <w:t>+3.1%</w:t>
            </w:r>
          </w:p>
        </w:tc>
      </w:tr>
      <w:tr>
        <w:tc>
          <w:tcPr>
            <w:tcW w:type="dxa" w:w="1440"/>
            <w:shd w:fill="C6EFCE" w:val="clear"/>
          </w:tcPr>
          <w:p>
            <w:r>
              <w:rPr>
                <w:sz w:val="17"/>
              </w:rPr>
              <w:t>J+2  Moyenne</w:t>
            </w:r>
          </w:p>
        </w:tc>
        <w:tc>
          <w:tcPr>
            <w:tcW w:type="dxa" w:w="1440"/>
            <w:shd w:fill="C6EFCE" w:val="clear"/>
          </w:tcPr>
          <w:p>
            <w:r>
              <w:rPr>
                <w:sz w:val="17"/>
              </w:rPr>
              <w:t>2026-09-17</w:t>
            </w:r>
          </w:p>
        </w:tc>
        <w:tc>
          <w:tcPr>
            <w:tcW w:type="dxa" w:w="1440"/>
            <w:shd w:fill="C6EFCE" w:val="clear"/>
          </w:tcPr>
          <w:p>
            <w:r>
              <w:rPr>
                <w:sz w:val="17"/>
              </w:rPr>
              <w:t>30,197</w:t>
            </w:r>
          </w:p>
        </w:tc>
        <w:tc>
          <w:tcPr>
            <w:tcW w:type="dxa" w:w="1440"/>
            <w:shd w:fill="C6EFCE" w:val="clear"/>
          </w:tcPr>
          <w:p>
            <w:r>
              <w:rPr>
                <w:b/>
                <w:sz w:val="17"/>
              </w:rPr>
              <w:t>31,810</w:t>
            </w:r>
          </w:p>
        </w:tc>
        <w:tc>
          <w:tcPr>
            <w:tcW w:type="dxa" w:w="1440"/>
            <w:shd w:fill="C6EFCE" w:val="clear"/>
          </w:tcPr>
          <w:p>
            <w:r>
              <w:rPr>
                <w:sz w:val="17"/>
              </w:rPr>
              <w:t>33,423</w:t>
            </w:r>
          </w:p>
        </w:tc>
        <w:tc>
          <w:tcPr>
            <w:tcW w:type="dxa" w:w="1440"/>
            <w:shd w:fill="C6EFCE" w:val="clear"/>
          </w:tcPr>
          <w:p>
            <w:r>
              <w:rPr>
                <w:b/>
                <w:color w:val="008000"/>
                <w:sz w:val="17"/>
              </w:rPr>
              <w:t>+2.4%</w:t>
            </w:r>
          </w:p>
        </w:tc>
      </w:tr>
      <w:tr>
        <w:tc>
          <w:tcPr>
            <w:tcW w:type="dxa" w:w="1440"/>
            <w:shd w:fill="C6EFCE" w:val="clear"/>
          </w:tcPr>
          <w:p>
            <w:r>
              <w:rPr>
                <w:sz w:val="17"/>
              </w:rPr>
              <w:t>J+3  Moyenne</w:t>
            </w:r>
          </w:p>
        </w:tc>
        <w:tc>
          <w:tcPr>
            <w:tcW w:type="dxa" w:w="1440"/>
            <w:shd w:fill="C6EFCE" w:val="clear"/>
          </w:tcPr>
          <w:p>
            <w:r>
              <w:rPr>
                <w:sz w:val="17"/>
              </w:rPr>
              <w:t>2026-09-18</w:t>
            </w:r>
          </w:p>
        </w:tc>
        <w:tc>
          <w:tcPr>
            <w:tcW w:type="dxa" w:w="1440"/>
            <w:shd w:fill="C6EFCE" w:val="clear"/>
          </w:tcPr>
          <w:p>
            <w:r>
              <w:rPr>
                <w:sz w:val="17"/>
              </w:rPr>
              <w:t>29,784</w:t>
            </w:r>
          </w:p>
        </w:tc>
        <w:tc>
          <w:tcPr>
            <w:tcW w:type="dxa" w:w="1440"/>
            <w:shd w:fill="C6EFCE" w:val="clear"/>
          </w:tcPr>
          <w:p>
            <w:r>
              <w:rPr>
                <w:b/>
                <w:sz w:val="17"/>
              </w:rPr>
              <w:t>31,757</w:t>
            </w:r>
          </w:p>
        </w:tc>
        <w:tc>
          <w:tcPr>
            <w:tcW w:type="dxa" w:w="1440"/>
            <w:shd w:fill="C6EFCE" w:val="clear"/>
          </w:tcPr>
          <w:p>
            <w:r>
              <w:rPr>
                <w:sz w:val="17"/>
              </w:rPr>
              <w:t>33,729</w:t>
            </w:r>
          </w:p>
        </w:tc>
        <w:tc>
          <w:tcPr>
            <w:tcW w:type="dxa" w:w="1440"/>
            <w:shd w:fill="C6EFCE" w:val="clear"/>
          </w:tcPr>
          <w:p>
            <w:r>
              <w:rPr>
                <w:b/>
                <w:color w:val="008000"/>
                <w:sz w:val="17"/>
              </w:rPr>
              <w:t>+2.3%</w:t>
            </w:r>
          </w:p>
        </w:tc>
      </w:tr>
      <w:tr>
        <w:tc>
          <w:tcPr>
            <w:tcW w:type="dxa" w:w="1440"/>
            <w:shd w:fill="C6EFCE" w:val="clear"/>
          </w:tcPr>
          <w:p>
            <w:r>
              <w:rPr>
                <w:sz w:val="17"/>
              </w:rPr>
              <w:t>J+4  ⭐</w:t>
            </w:r>
          </w:p>
        </w:tc>
        <w:tc>
          <w:tcPr>
            <w:tcW w:type="dxa" w:w="1440"/>
            <w:shd w:fill="C6EFCE" w:val="clear"/>
          </w:tcPr>
          <w:p>
            <w:r>
              <w:rPr>
                <w:sz w:val="17"/>
              </w:rPr>
              <w:t>2026-09-21</w:t>
            </w:r>
          </w:p>
        </w:tc>
        <w:tc>
          <w:tcPr>
            <w:tcW w:type="dxa" w:w="1440"/>
            <w:shd w:fill="C6EFCE" w:val="clear"/>
          </w:tcPr>
          <w:p>
            <w:r>
              <w:rPr>
                <w:sz w:val="17"/>
              </w:rPr>
              <w:t>29,428</w:t>
            </w:r>
          </w:p>
        </w:tc>
        <w:tc>
          <w:tcPr>
            <w:tcW w:type="dxa" w:w="1440"/>
            <w:shd w:fill="C6EFCE" w:val="clear"/>
          </w:tcPr>
          <w:p>
            <w:r>
              <w:rPr>
                <w:b/>
                <w:sz w:val="17"/>
              </w:rPr>
              <w:t>31,702</w:t>
            </w:r>
          </w:p>
        </w:tc>
        <w:tc>
          <w:tcPr>
            <w:tcW w:type="dxa" w:w="1440"/>
            <w:shd w:fill="C6EFCE" w:val="clear"/>
          </w:tcPr>
          <w:p>
            <w:r>
              <w:rPr>
                <w:sz w:val="17"/>
              </w:rPr>
              <w:t>33,975</w:t>
            </w:r>
          </w:p>
        </w:tc>
        <w:tc>
          <w:tcPr>
            <w:tcW w:type="dxa" w:w="1440"/>
            <w:shd w:fill="C6EFCE" w:val="clear"/>
          </w:tcPr>
          <w:p>
            <w:r>
              <w:rPr>
                <w:b/>
                <w:color w:val="008000"/>
                <w:sz w:val="17"/>
              </w:rPr>
              <w:t>+2.1%</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29,094</w:t>
            </w:r>
          </w:p>
        </w:tc>
        <w:tc>
          <w:tcPr>
            <w:tcW w:type="dxa" w:w="1440"/>
            <w:shd w:fill="FAFAFA" w:val="clear"/>
          </w:tcPr>
          <w:p>
            <w:r>
              <w:rPr>
                <w:b/>
                <w:sz w:val="17"/>
              </w:rPr>
              <w:t>31,630</w:t>
            </w:r>
          </w:p>
        </w:tc>
        <w:tc>
          <w:tcPr>
            <w:tcW w:type="dxa" w:w="1440"/>
            <w:shd w:fill="FAFAFA" w:val="clear"/>
          </w:tcPr>
          <w:p>
            <w:r>
              <w:rPr>
                <w:sz w:val="17"/>
              </w:rPr>
              <w:t>34,166</w:t>
            </w:r>
          </w:p>
        </w:tc>
        <w:tc>
          <w:tcPr>
            <w:tcW w:type="dxa" w:w="1440"/>
            <w:shd w:fill="FAFAFA" w:val="clear"/>
          </w:tcPr>
          <w:p>
            <w:r>
              <w:rPr>
                <w:b/>
                <w:color w:val="008000"/>
                <w:sz w:val="17"/>
              </w:rPr>
              <w:t>+1.9%</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28,782</w:t>
            </w:r>
          </w:p>
        </w:tc>
        <w:tc>
          <w:tcPr>
            <w:tcW w:type="dxa" w:w="1440"/>
            <w:shd w:fill="FAFAFA" w:val="clear"/>
          </w:tcPr>
          <w:p>
            <w:r>
              <w:rPr>
                <w:b/>
                <w:sz w:val="17"/>
              </w:rPr>
              <w:t>31,554</w:t>
            </w:r>
          </w:p>
        </w:tc>
        <w:tc>
          <w:tcPr>
            <w:tcW w:type="dxa" w:w="1440"/>
            <w:shd w:fill="FAFAFA" w:val="clear"/>
          </w:tcPr>
          <w:p>
            <w:r>
              <w:rPr>
                <w:sz w:val="17"/>
              </w:rPr>
              <w:t>34,325</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28,492</w:t>
            </w:r>
          </w:p>
        </w:tc>
        <w:tc>
          <w:tcPr>
            <w:tcW w:type="dxa" w:w="1440"/>
            <w:shd w:fill="FAFAFA" w:val="clear"/>
          </w:tcPr>
          <w:p>
            <w:r>
              <w:rPr>
                <w:b/>
                <w:sz w:val="17"/>
              </w:rPr>
              <w:t>31,479</w:t>
            </w:r>
          </w:p>
        </w:tc>
        <w:tc>
          <w:tcPr>
            <w:tcW w:type="dxa" w:w="1440"/>
            <w:shd w:fill="FAFAFA" w:val="clear"/>
          </w:tcPr>
          <w:p>
            <w:r>
              <w:rPr>
                <w:sz w:val="17"/>
              </w:rPr>
              <w:t>34,466</w:t>
            </w:r>
          </w:p>
        </w:tc>
        <w:tc>
          <w:tcPr>
            <w:tcW w:type="dxa" w:w="1440"/>
            <w:shd w:fill="FAFAFA" w:val="clear"/>
          </w:tcPr>
          <w:p>
            <w:r>
              <w:rPr>
                <w:b/>
                <w:color w:val="008000"/>
                <w:sz w:val="17"/>
              </w:rPr>
              <w:t>+1.4%</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28,222</w:t>
            </w:r>
          </w:p>
        </w:tc>
        <w:tc>
          <w:tcPr>
            <w:tcW w:type="dxa" w:w="1440"/>
            <w:shd w:fill="FAFAFA" w:val="clear"/>
          </w:tcPr>
          <w:p>
            <w:r>
              <w:rPr>
                <w:b/>
                <w:sz w:val="17"/>
              </w:rPr>
              <w:t>31,407</w:t>
            </w:r>
          </w:p>
        </w:tc>
        <w:tc>
          <w:tcPr>
            <w:tcW w:type="dxa" w:w="1440"/>
            <w:shd w:fill="FAFAFA" w:val="clear"/>
          </w:tcPr>
          <w:p>
            <w:r>
              <w:rPr>
                <w:sz w:val="17"/>
              </w:rPr>
              <w:t>34,593</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27,966</w:t>
            </w:r>
          </w:p>
        </w:tc>
        <w:tc>
          <w:tcPr>
            <w:tcW w:type="dxa" w:w="1440"/>
            <w:shd w:fill="FAFAFA" w:val="clear"/>
          </w:tcPr>
          <w:p>
            <w:r>
              <w:rPr>
                <w:b/>
                <w:sz w:val="17"/>
              </w:rPr>
              <w:t>31,337</w:t>
            </w:r>
          </w:p>
        </w:tc>
        <w:tc>
          <w:tcPr>
            <w:tcW w:type="dxa" w:w="1440"/>
            <w:shd w:fill="FAFAFA" w:val="clear"/>
          </w:tcPr>
          <w:p>
            <w:r>
              <w:rPr>
                <w:sz w:val="17"/>
              </w:rPr>
              <w:t>34,709</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27,724</w:t>
            </w:r>
          </w:p>
        </w:tc>
        <w:tc>
          <w:tcPr>
            <w:tcW w:type="dxa" w:w="1440"/>
            <w:shd w:fill="FAFAFA" w:val="clear"/>
          </w:tcPr>
          <w:p>
            <w:r>
              <w:rPr>
                <w:b/>
                <w:sz w:val="17"/>
              </w:rPr>
              <w:t>31,270</w:t>
            </w:r>
          </w:p>
        </w:tc>
        <w:tc>
          <w:tcPr>
            <w:tcW w:type="dxa" w:w="1440"/>
            <w:shd w:fill="FAFAFA" w:val="clear"/>
          </w:tcPr>
          <w:p>
            <w:r>
              <w:rPr>
                <w:sz w:val="17"/>
              </w:rPr>
              <w:t>34,816</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ACTION BICC (BICICI)**</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517,50 milliards FCFA, BICC s'impose comme l'une des valeurs bancaires les plus capitalisées de la cote BRVM, ce qui témoigne de sa stature de blue chip régionale. Le BPA de 2 191 FCFA/action signifie que chaque titre génère près de 2 200 FCFA de bénéfice net, un niveau de rentabilité par action particulièrement élevé pour le marché ouest-africain. Le PER de 14,2x traduit une valorisation modérée mais légèrement supérieure à la moyenne du marché BRVM (8-12x), les investisseurs acceptant de payer une prime pour la qualité de la signature BICICI (Groupe BNP Paribas). En revanche, le P/B de 4,29x indique que le marché valorise l'action à plus de quatre fois sa valeur comptable, une prime exigeante qui se justifie par un ROE exceptionnel de 30,3%. L'EV/EBITDA de 10,2x, bien que dans la fourchette haute (10-15x), reste cohérent avec la capacité bénéficiaire de la banque et sa génération de cash-flow opérationnel de 42,7 milliards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affiche une performance remarquable de +24,95%, passant d'un plus bas de 23 705 FCFA à un plus haut de 34 000 FCFA, avant de se replier à 31 050 FCFA, soit une correction de -5,95% lors de la dernière séance. Ce range de trading de plus de 10 000 FCFA (soit environ 43% d'amplitude) illustre une dynamique nettement haussière, bien que la récente consolidation suggère une prise de profit après le rallye. Les statistiques descriptives révèlent une moyenne de 28 370 FCFA légèrement inférieure à la médiane de 28 550 FCFA, indiquant une distribution très légèrement asymétrique à gauche, cohérente avec le skewness positif de 0,243 qui signale une distribution quasi-symétrique avec une légère prédominance des valeurs extrêmes hautes. L'écart-type de 2 116 FCFA (CV de 7,5%) traduit une dispersion modérée du cours autour de sa moyenne, tandis que le kurtosis excédentaire de 1,014 (leptokurtique) avertit sur un risque de pics de volatilité — les queues épaisses signifiant que des mouvements brusques (comme le -5,95% du J-1) sont plus probables qu'une loi normale ne le suggérerait. Avec une volatilité annualisée de 29,4%, le titre se situe dans la fourchette modérée-haute (15-30%), ce qui est cohérent pour une valeur bancaire de qualité sur un marché frontière.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(31 050 FCFA) évolue au-dessus de la MM20 (31 029 FCFA) et nettement au-dessus de la MM50 (29 546 FCFA), confirmant une structure haussière de court et moyen terme. La MM20 servant de support dynamique immédiat, la décision technique est à l'**Achat**, bien que la proximité du cours avec la MM20 suggère une phase de consolidation.</w:t>
      </w:r>
    </w:p>
    <w:p>
      <w:pPr>
        <w:spacing w:after="120" w:line="276" w:lineRule="auto"/>
      </w:pPr>
      <w:r>
        <w:t>**Bandes de Bollinger** : Le cours (31 050 FCFA) se situe dans la partie médiane-haute de la bande, entre la borne inférieure (27 115 FCFA) et supérieure (34 943 FCFA). L'absence de contact avec les bornes et la largeur des bandes indiquent une volatilité normale sans signal de surachat ou de survente, justifiant la décision **Neutre**.</w:t>
      </w:r>
    </w:p>
    <w:p>
      <w:pPr>
        <w:spacing w:after="120" w:line="276" w:lineRule="auto"/>
      </w:pPr>
      <w:r>
        <w:t>**MACD** : La ligne MACD (1 008,593) demeure au-dessus de sa ligne de signal (976,746), avec un histogramme positif bien que réduit. Cette configuration confirme un momentum haussier toujours intact mais en phase de ralentissement, soutenant la décision d'**Achat** avec prudence.</w:t>
      </w:r>
    </w:p>
    <w:p>
      <w:pPr>
        <w:spacing w:after="120" w:line="276" w:lineRule="auto"/>
      </w:pPr>
      <w:r>
        <w:t>**RSI** : À 60,135, le RSI se situe en zone neutre-haute, sans atteindre le seuil de surachat (70). Cette position indique que le titre conserve un potentiel de hausse sans être techniquement épuisé, justifiant la décision **Neutre** avec un biais positif.</w:t>
      </w:r>
    </w:p>
    <w:p>
      <w:pPr>
        <w:spacing w:after="120" w:line="276" w:lineRule="auto"/>
      </w:pPr>
      <w:r>
        <w:t>**Stochastique** : Le %K (34,444) est nettement inférieur au %D (65,336), signalant un croisement baissier récent et une perte de momentum à court terme. Cette configuration, bien que neutre en décision, suggère une possible poursuite de la consolidation avant une reprise.</w:t>
      </w:r>
    </w:p>
    <w:p>
      <w:pPr>
        <w:spacing w:after="120" w:line="276" w:lineRule="auto"/>
      </w:pPr>
      <w:r>
        <w:t>**Conclusion technique** : Les indicateurs présentent un tableau mitigé mais globalement constructif : les moyennes mobiles et le MACD soutiennent la tendance haussière de fond, tandis que le RSI neutre et le stochastique baissier plaident pour une consolidation à court terme. La convergence des signaux vers un **biais haussier modéré** suggère que la correction actuelle pourrait offrir un point d'entrée intéressant, à condition que le cours se maintienne au-dessus de la MM50 (29 546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une banque en pleine accélération : le Produit Net Bancaire (équivalent du chiffre d'affaires pour une banque) s'établit à 79,563 milliards FCFA, en croissance de 16,90% sur un an, tandis que le résultat net atteint 36,520 milliards FCFA, générant un ROE exceptionnel de 30,29% (largement supérieur au seuil de 15% considéré comme excellent) et un ROA de 3,24%. Le coefficient d'exploitation de 50,83% — inférieur au seuil de 60% — confirme l'efficacité opérationnelle remarquable de la banque, avec des charges générales d'exploitation de 34,248 milliards FCFA pour un PNB de 79,563 milliards. Le coût du risque, mesuré à -12,15% (provisions rapportées aux charges financières), demeure contenu, témoignant d'un portefeuille de crédits de qualité (créances clientèle de 524,439 milliards FCFA). La structure financière affiche une autonomie financière de 10,71% (capitaux propres de 120,570 milliards FCFA pour un total bilan de 1 126,270 milliards FCFA), typique du modèle bancaire où les dépôts clientèle (952,872 milliards FCFA) constituent la principale ressource, avec un ratio de couverture des crédits par les dépôts de 181,7% — un niveau de liquidité confortable. Les rapports trimestriels confirment cette dynamique : le rapport du T1 2026 (publié le 31 mars 2026) fait état d'un PNB de 21 214 millions FCFA (+17,01%) et d'un résultat net de 10 387 millions FCFA (+29,66%), avec une marge nette en amélioration à 49,0% contre 44,2% un an plus tôt. Le rapport du T3 2025 (30 septembre 2025) affichait déjà un PNB cumulé de 58 119 millions FCFA (+16,4%) et un résultat net de 27 402 millions FCFA (+50,8%), avec une marge nette de 47,1%. Sur la base de ces tendances trimestrielles, on peut estimer que l'exercice 2026 devrait enregistrer un PNB supérieur à 85 milliards FCFA et un résultat net approchant 40 milliards FCFA, confirmant la trajectoire de croissance à deux chiffres. Les points de vigilance incluent la baisse des encours de crédits nets (-4,47% au T1 2026, due à des remboursements anticipés) et la dépendance à l'environnement macroéconomique de l'UEMOA, mais ces risques sont compensés par la forte collecte de dépôts (+14,46%) et la maîtrise des coûts. La recommandation fondamentale est **ACHAT**, justifiée par la solidité du bilan, la rentabilité exceptionnelle et les perspectives de croissance durable.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analysées converge vers un profil d'investissement attractif mais nuancé. Sur le plan de la **valorisation (Partie 0)** , le PER de 14,2x et le P/B de 4,29x indiquent une légère surévaluation relative par rapport à la moyenne du marché BRVM, mais cette prime se justifie pleinement par un ROE de 30,3% et une croissance bénéficiaire soutenue — le titre n'est donc pas "cher" au regard de sa qualité. Le **comportement du cours (Partie 1)** est nettement haussier (+24,95% sur 100 jours), avec une volatilité modérée (29,4%) et une distribution leptokurtique qui appelle à la prudence face aux pics de volatilité, mais le skewness quasi-symétrique (0,243) n'annonce pas de biais baissier structurel. Les **signaux techniques (Partie 2)** sont globalement positifs (MM haussières, MACD acheteur) malgré quelques signaux de consolidation à court terme (stochastique baissier, RSI neutre), suggérant un point d'entrée possible sur repli. Les **fondamentaux (Partie 3)** sont excellents : PNB de 79,563 milliards FCFA en 2025 (+16,9%), résultat net de 36,520 milliards FCFA, ROE de 30,3%, coefficient d'exploitation de 50,8%, et les rapports trimestriels 2026 confirment l'accélération de la dynamique. Les **prédictions IA (J+1 à J+10)** anticipent une stabilisation autour de 31 600-32 000 FCFA, ce qui confirme la thèse d'une consolidation avant reprise, sans contredire la tendance haussière de fond. Sur la base de cette convergence entre valorisation raisonnable, technique constructive, fondamentaux solides et prédictions stables, la recommandation finale est **ACHAT**, avec un niveau de confiance **Élevé** et un risque global **Moyen** (lié à la volatilité des marchés frontières et à la dépendance macroéconomique). L'horizon d'investissement optimal est le **moyen terme (3-12 mois)** , le temps que la consolidation technique s'achève et que les résultats annuels 2026 confirment les estimations de croissance, avec un objectif de cours potentiel autour de 34 000-35 000 FCFA (soit +10-13% de potentiel).</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15.07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2,898 titres</w:t>
            </w:r>
          </w:p>
        </w:tc>
        <w:tc>
          <w:tcPr>
            <w:tcW w:type="dxa" w:w="2268"/>
            <w:shd w:fill="FFF2CC" w:val="clear"/>
          </w:tcPr>
          <w:p>
            <w:r>
              <w:rPr>
                <w:b/>
                <w:color w:val="503200"/>
                <w:sz w:val="16"/>
              </w:rPr>
              <w:t xml:space="preserve">Cours actuel : </w:t>
            </w:r>
            <w:r>
              <w:rPr>
                <w:color w:val="000000"/>
                <w:sz w:val="17"/>
              </w:rPr>
              <w:t>2,275 FCFA</w:t>
            </w:r>
          </w:p>
          <w:p>
            <w:r>
              <w:rPr>
                <w:b/>
                <w:color w:val="503200"/>
                <w:sz w:val="16"/>
              </w:rPr>
              <w:t xml:space="preserve">Var. 100 jours : </w:t>
            </w:r>
            <w:r>
              <w:rPr>
                <w:b/>
                <w:color w:val="007800"/>
                <w:sz w:val="17"/>
              </w:rPr>
              <w:t>+45.37%</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13.31% (Moyenne) — μ=1,853 FCFA, σ=247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β=-0.0325 (Contre-cyclique) — Cov=-0.000001, Var(idx)=0.000035, ρ=-0.006,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2,898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2,131</w:t>
            </w:r>
          </w:p>
        </w:tc>
        <w:tc>
          <w:tcPr>
            <w:tcW w:type="dxa" w:w="1440"/>
            <w:shd w:fill="FAFAFA" w:val="clear"/>
          </w:tcPr>
          <w:p>
            <w:r>
              <w:rPr>
                <w:b/>
                <w:sz w:val="17"/>
              </w:rPr>
              <w:t>2,248</w:t>
            </w:r>
          </w:p>
        </w:tc>
        <w:tc>
          <w:tcPr>
            <w:tcW w:type="dxa" w:w="1440"/>
            <w:shd w:fill="FAFAFA" w:val="clear"/>
          </w:tcPr>
          <w:p>
            <w:r>
              <w:rPr>
                <w:sz w:val="17"/>
              </w:rPr>
              <w:t>2,364</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2026-09-17</w:t>
            </w:r>
          </w:p>
        </w:tc>
        <w:tc>
          <w:tcPr>
            <w:tcW w:type="dxa" w:w="1440"/>
            <w:shd w:fill="FFDCE0" w:val="clear"/>
          </w:tcPr>
          <w:p>
            <w:r>
              <w:rPr>
                <w:sz w:val="17"/>
              </w:rPr>
              <w:t>2,059</w:t>
            </w:r>
          </w:p>
        </w:tc>
        <w:tc>
          <w:tcPr>
            <w:tcW w:type="dxa" w:w="1440"/>
            <w:shd w:fill="FFDCE0" w:val="clear"/>
          </w:tcPr>
          <w:p>
            <w:r>
              <w:rPr>
                <w:b/>
                <w:sz w:val="17"/>
              </w:rPr>
              <w:t>2,222</w:t>
            </w:r>
          </w:p>
        </w:tc>
        <w:tc>
          <w:tcPr>
            <w:tcW w:type="dxa" w:w="1440"/>
            <w:shd w:fill="FFDCE0" w:val="clear"/>
          </w:tcPr>
          <w:p>
            <w:r>
              <w:rPr>
                <w:sz w:val="17"/>
              </w:rPr>
              <w:t>2,384</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2026-09-18</w:t>
            </w:r>
          </w:p>
        </w:tc>
        <w:tc>
          <w:tcPr>
            <w:tcW w:type="dxa" w:w="1440"/>
            <w:shd w:fill="FFDCE0" w:val="clear"/>
          </w:tcPr>
          <w:p>
            <w:r>
              <w:rPr>
                <w:sz w:val="17"/>
              </w:rPr>
              <w:t>1,997</w:t>
            </w:r>
          </w:p>
        </w:tc>
        <w:tc>
          <w:tcPr>
            <w:tcW w:type="dxa" w:w="1440"/>
            <w:shd w:fill="FFDCE0" w:val="clear"/>
          </w:tcPr>
          <w:p>
            <w:r>
              <w:rPr>
                <w:b/>
                <w:sz w:val="17"/>
              </w:rPr>
              <w:t>2,194</w:t>
            </w:r>
          </w:p>
        </w:tc>
        <w:tc>
          <w:tcPr>
            <w:tcW w:type="dxa" w:w="1440"/>
            <w:shd w:fill="FFDCE0" w:val="clear"/>
          </w:tcPr>
          <w:p>
            <w:r>
              <w:rPr>
                <w:sz w:val="17"/>
              </w:rPr>
              <w:t>2,391</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1,946</w:t>
            </w:r>
          </w:p>
        </w:tc>
        <w:tc>
          <w:tcPr>
            <w:tcW w:type="dxa" w:w="1440"/>
            <w:shd w:fill="FFDCE0" w:val="clear"/>
          </w:tcPr>
          <w:p>
            <w:r>
              <w:rPr>
                <w:b/>
                <w:sz w:val="17"/>
              </w:rPr>
              <w:t>2,171</w:t>
            </w:r>
          </w:p>
        </w:tc>
        <w:tc>
          <w:tcPr>
            <w:tcW w:type="dxa" w:w="1440"/>
            <w:shd w:fill="FFDCE0" w:val="clear"/>
          </w:tcPr>
          <w:p>
            <w:r>
              <w:rPr>
                <w:sz w:val="17"/>
              </w:rPr>
              <w:t>2,396</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1,902</w:t>
            </w:r>
          </w:p>
        </w:tc>
        <w:tc>
          <w:tcPr>
            <w:tcW w:type="dxa" w:w="1440"/>
            <w:shd w:fill="FFDCE0" w:val="clear"/>
          </w:tcPr>
          <w:p>
            <w:r>
              <w:rPr>
                <w:b/>
                <w:sz w:val="17"/>
              </w:rPr>
              <w:t>2,151</w:t>
            </w:r>
          </w:p>
        </w:tc>
        <w:tc>
          <w:tcPr>
            <w:tcW w:type="dxa" w:w="1440"/>
            <w:shd w:fill="FFDCE0" w:val="clear"/>
          </w:tcPr>
          <w:p>
            <w:r>
              <w:rPr>
                <w:sz w:val="17"/>
              </w:rPr>
              <w:t>2,400</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1,863</w:t>
            </w:r>
          </w:p>
        </w:tc>
        <w:tc>
          <w:tcPr>
            <w:tcW w:type="dxa" w:w="1440"/>
            <w:shd w:fill="FFDCE0" w:val="clear"/>
          </w:tcPr>
          <w:p>
            <w:r>
              <w:rPr>
                <w:b/>
                <w:sz w:val="17"/>
              </w:rPr>
              <w:t>2,133</w:t>
            </w:r>
          </w:p>
        </w:tc>
        <w:tc>
          <w:tcPr>
            <w:tcW w:type="dxa" w:w="1440"/>
            <w:shd w:fill="FFDCE0" w:val="clear"/>
          </w:tcPr>
          <w:p>
            <w:r>
              <w:rPr>
                <w:sz w:val="17"/>
              </w:rPr>
              <w:t>2,403</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1,826</w:t>
            </w:r>
          </w:p>
        </w:tc>
        <w:tc>
          <w:tcPr>
            <w:tcW w:type="dxa" w:w="1440"/>
            <w:shd w:fill="FFDCE0" w:val="clear"/>
          </w:tcPr>
          <w:p>
            <w:r>
              <w:rPr>
                <w:b/>
                <w:sz w:val="17"/>
              </w:rPr>
              <w:t>2,116</w:t>
            </w:r>
          </w:p>
        </w:tc>
        <w:tc>
          <w:tcPr>
            <w:tcW w:type="dxa" w:w="1440"/>
            <w:shd w:fill="FFDCE0" w:val="clear"/>
          </w:tcPr>
          <w:p>
            <w:r>
              <w:rPr>
                <w:sz w:val="17"/>
              </w:rPr>
              <w:t>2,406</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1,793</w:t>
            </w:r>
          </w:p>
        </w:tc>
        <w:tc>
          <w:tcPr>
            <w:tcW w:type="dxa" w:w="1440"/>
            <w:shd w:fill="FFDCE0" w:val="clear"/>
          </w:tcPr>
          <w:p>
            <w:r>
              <w:rPr>
                <w:b/>
                <w:sz w:val="17"/>
              </w:rPr>
              <w:t>2,100</w:t>
            </w:r>
          </w:p>
        </w:tc>
        <w:tc>
          <w:tcPr>
            <w:tcW w:type="dxa" w:w="1440"/>
            <w:shd w:fill="FFDCE0" w:val="clear"/>
          </w:tcPr>
          <w:p>
            <w:r>
              <w:rPr>
                <w:sz w:val="17"/>
              </w:rPr>
              <w:t>2,408</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1,762</w:t>
            </w:r>
          </w:p>
        </w:tc>
        <w:tc>
          <w:tcPr>
            <w:tcW w:type="dxa" w:w="1440"/>
            <w:shd w:fill="FFDCE0" w:val="clear"/>
          </w:tcPr>
          <w:p>
            <w:r>
              <w:rPr>
                <w:b/>
                <w:sz w:val="17"/>
              </w:rPr>
              <w:t>2,086</w:t>
            </w:r>
          </w:p>
        </w:tc>
        <w:tc>
          <w:tcPr>
            <w:tcW w:type="dxa" w:w="1440"/>
            <w:shd w:fill="FFDCE0" w:val="clear"/>
          </w:tcPr>
          <w:p>
            <w:r>
              <w:rPr>
                <w:sz w:val="17"/>
              </w:rPr>
              <w:t>2,409</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1,733</w:t>
            </w:r>
          </w:p>
        </w:tc>
        <w:tc>
          <w:tcPr>
            <w:tcW w:type="dxa" w:w="1440"/>
            <w:shd w:fill="FFDCE0" w:val="clear"/>
          </w:tcPr>
          <w:p>
            <w:r>
              <w:rPr>
                <w:b/>
                <w:sz w:val="17"/>
              </w:rPr>
              <w:t>2,072</w:t>
            </w:r>
          </w:p>
        </w:tc>
        <w:tc>
          <w:tcPr>
            <w:tcW w:type="dxa" w:w="1440"/>
            <w:shd w:fill="FFDCE0" w:val="clear"/>
          </w:tcPr>
          <w:p>
            <w:r>
              <w:rPr>
                <w:sz w:val="17"/>
              </w:rPr>
              <w:t>2,411</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(BERNABE Côte d'Ivoire)</w:t>
        <w:br/>
        <w:t>**Marché : BRVM | Secteur : Entreprise (Distribution de matériaux, métallurgie, équipements)**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15,07 milliards FCFA, BNBC se situe dans la catégorie des petites capitalisations de la BRVM, ce qui la rend vulnérable aux mouvements de faible volume. Le BPA de 3 FCFA/action signifie que chaque titre ne génère qu'un bénéfice dérisoire, ce qui explique le PER astronomique de 675,2x — très loin du PER moyen BRVM (~8-12x) — signalant que les investisseurs paient extrêmement cher pour des bénéfices quasi inexistants, avec un risque de correction violent. En revanche, le P/B de 0,85x indique que le marché valorise l'action en-dessous de sa valeur comptable (capitaux propres de 17,77 Mds FCFA pour 15,07 Mds de capitalisation), ce qui constitue une opportunité potentielle de valeur patrimoniale. L'EV/EBITDA de 25,1x demeure très exigeant (&gt;15x), reflétant une valorisation d'entreprise disproportionnée par rapport à sa capacité opérationnelle réelle (EBE de 2,009 Mds FCFA), ce qui confirme une prime spéculative plutôt qu'une valorisation fondamentale.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spectaculaire de **+45,37%**, portant le cours à **2 275 FCFA**, malgré un léger repli de **-0,87%** lors de la dernière séance. Le range de trading est très large, avec un plus haut à **2 400 FCFA** et un plus bas à **1 300 FCFA**, soit une amplitude de plus de 84% entre les extrêmes, témoignant d'une forte volatilité directionnelle. La tendance générale est nettement haussière, soutenue par un volume moyen quotidien de 2 898 titres, relativement faible mais suffisant pour valider le mouvement. Les statistiques descriptives révèlent une moyenne de **1 853 FCFA** légèrement inférieure à la médiane de **1 902 FCFA**, avec un mode à **1 990 FCFA** — cet écart modéré suggère une distribution quasi symétrique, confirmée par un skewness de **-0,248** (léger étalement vers la gauche). L'écart-type de **248 FCFA** (CV = **13,4%**) indique une dispersion modérée autour de la moyenne, tandis que le kurtosis de **-0,568** (mésokurtique) signale une distribution proche de la normale, sans risque excessif de pics extrêmes. La volatilité annualisée de **52,6%** classe ce titre dans la catégorie **très volatile** (&gt;30%), ce qui implique un risque de perte en capital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(2 155,75 FCFA) et la MM50 (2 012,30 FCFA) se situent toutes deux sous le cours actuel (2 275 FCFA), confirmant une configuration haussière avec un cours au-dessus de ses moyennes. L'écart positif entre MM20 et MM50 (143,45 FCFA) valide la dynamique ascendante, justifiant la décision **Achat**.</w:t>
      </w:r>
    </w:p>
    <w:p>
      <w:pPr>
        <w:spacing w:after="120" w:line="276" w:lineRule="auto"/>
      </w:pPr>
      <w:r>
        <w:t>**Bandes de Bollinger** : Le cours (2 275 FCFA) évolue dans la partie supérieure de la bande, entre la borne inférieure (1 899,41 FCFA) et la borne supérieure (2 412,09 FCFA), sans franchissement des extrêmes. Cette position médiane-haute, couplée à une largeur de bande élevée, traduit une volatilité soutenue mais sans excès, justifiant la décision **Neutre**.</w:t>
      </w:r>
    </w:p>
    <w:p>
      <w:pPr>
        <w:spacing w:after="120" w:line="276" w:lineRule="auto"/>
      </w:pPr>
      <w:r>
        <w:t>**MACD** : La valeur du MACD (59,115) est légèrement inférieure à son signal (59,189), générant un croisement baissier marginal qui indique un essoufflement du momentum haussier. Cette divergence négative, bien que faible, justifie la décision **Vente** à court terme.</w:t>
      </w:r>
    </w:p>
    <w:p>
      <w:pPr>
        <w:spacing w:after="120" w:line="276" w:lineRule="auto"/>
      </w:pPr>
      <w:r>
        <w:t>**RSI** : À 57,292, le RSI se situe en zone neutre (30-70), sans signal de surachat (&gt;70) ni de survente (&lt;30). Cette position médiane indique un équilibre entre acheteurs et vendeurs, justifiant la décision **Neutre**.</w:t>
      </w:r>
    </w:p>
    <w:p>
      <w:pPr>
        <w:spacing w:after="120" w:line="276" w:lineRule="auto"/>
      </w:pPr>
      <w:r>
        <w:t>**Stochastique** : Le %K (64,789) est supérieur au %D (56,859), avec un croisement haussier récent qui suggère une reprise du momentum. Toutefois, les deux lignes restent en zone neutre-haute sans surachat, justifiant la décision **Neutre**.</w:t>
      </w:r>
    </w:p>
    <w:p>
      <w:pPr>
        <w:spacing w:after="120" w:line="276" w:lineRule="auto"/>
      </w:pPr>
      <w:r>
        <w:t>**Conclusion technique** : Les indicateurs présentent une configuration mitigée — les moyennes mobiles confirment la tendance haussière de fond, mais le MACD signale un essoufflement et le RSI/Stochastique restent neutres. Cette divergence entre tendance de fond (haussière) et momentum court terme (baissier) suggère une phase de consolidation possible avant une nouvelle impulsion directionnelle.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BNBC a réalisé un chiffre d'affaires de **42,454 Mds FCFA**, en **recul de 6,31%** par rapport à 2024 (45,312 Mds FCFA), signalant une perte de dynamique commerciale. Le résultat net s'établit à **22,318 M FCFA** (contre 7,313 M en 2024), soit une amélioration de 205%, mais la marge nette reste catastrophiquement faible à **0,0526%**. Le ROE est de **0,1256%** et le ROA de **0,0454%**, des niveaux dérisoires qui traduisent une rentabilité quasi nulle des capitaux investis. En tant qu'entreprise non bancaire, les délais d'exploitation sont préoccupants : délai clients de **104,40 jours** (risque de trésorerie élevé), délai fournisseurs de **116,09 jours** (favorable), et durée de stockage de **339,23 jours** (immobilisation massive de capital). Le BFR s'élève à **29,373 Mds FCFA** (positif, donc défavorable), et la trésorerie nette est fortement négative à **-16,689 Mds FCFA**, créant un risque de liquidité majeur. L'autonomie financière de **36,16%** reste correcte (&gt;30%), mais le ratio d'endettement de **105,48%** (dettes totales/capitaux propres) est élevé.</w:t>
      </w:r>
    </w:p>
    <w:p>
      <w:pPr>
        <w:spacing w:after="120" w:line="276" w:lineRule="auto"/>
      </w:pPr>
      <w:r>
        <w:t>**Estimations basées sur les rapports trimestriels** : Le rapport du **T1 2026 (publié en 2026)** indique un chiffre d'affaires stable à **11,194 Mds FCFA** (-0,12% vs T1 2025) et un résultat net positif de **65,566 M FCFA** contre une perte de 16,147 M au T1 2025 — une amélioration spectaculaire de +506%. Toutefois, le rapport du **T3 2025 (30/09/2025)** faisait état d'une perte nette cumulée de **-157,03 M FCFA** sur 9 mois, avec un chiffre d'affaires en recul de 3% à 31,83 Mds FCFA. On estime donc que l'exercice 2026 devrait bénéficier de l'intégration de la division Équipement (au 01/01/2026) et du nouveau showroom Technibat KM4, mais la montée en puissance reste incertaine. Le rapport annuel 2025 (publié en 2026) confirme l'absence de dividende (0 FCFA) pour la troisième année consécutive, et l'assemblée générale du 15 juin 2026 devra statuer sur la stratégie de redressement.</w:t>
      </w:r>
    </w:p>
    <w:p>
      <w:pPr>
        <w:spacing w:after="120" w:line="276" w:lineRule="auto"/>
      </w:pPr>
      <w:r>
        <w:t>**Recommandation fondamentale** : La situation reste fragile malgré l'amélioration du résultat net — la trésorerie négative, la rentabilité anémique et l'absence de dividende constituent des risques majeurs. La recommandation fondamentale est **CONSERVER** avec une surveillance accrue des prochains trimestres.</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paradoxe : un PER de 675,2x signale une surévaluation extrême par rapport aux bénéfices, mais un P/B de 0,85x suggère une sous-évaluation patrimoniale — le marché valorise l'entreprise sous sa valeur comptable, ce qui limite le potentiel de baisse. Le comportement du cours (Partie 1) est nettement haussier (+45,37% sur 100 jours) avec une volatilité élevée (52,6%) et une distribution quasi normale (kurtosis -0,568, skewness -0,248), ce qui est favorable pour un investisseur tolérant au risque. Les signaux techniques (Partie 2) sont mitigés : les moyennes mobiles confirment la tendance haussière, mais le MACD baissier et le RSI neutre suggèrent une consolidation imminente. Les fondamentaux (Partie 3) restent préoccupants — chiffre d'affaires en baisse, rentabilité quasi nulle, trésorerie négative — mais l'amélioration du résultat net au T1 2026 (+506%) et les perspectives de croissance liées aux nouvelles divisions offrent un espoir de redressement. Les prédictions IA (J+1 à J+10) anticipent une **baisse progressive** de 2 248 FCFA à 2 151 FCFA, ce qui contredit la tendance haussière récente et confirme le signal baissier du MACD.</w:t>
      </w:r>
    </w:p>
    <w:p>
      <w:pPr>
        <w:spacing w:after="120" w:line="276" w:lineRule="auto"/>
      </w:pPr>
      <w:r>
        <w:t>**Recommandation finale : CONSERVER**</w:t>
        <w:br/>
        <w:t>**Justification** : La convergence entre la surévaluation (PER), le signal baissier du MACD et les prédictions IA négatives suggère une correction à court terme, mais la sous-évaluation patrimoniale (P/B &lt; 1), la tendance haussière de fond et les perspectives de redressement fondamental limitent le potentiel de baisse. Le profil risque/rendement est équilibré.</w:t>
        <w:br/>
        <w:t>**Niveau de confiance** : Moyen</w:t>
        <w:br/>
        <w:t>**Niveau de risque global** : Élevé (volatilité 52,6%, trésorerie négative, rentabilité faible)</w:t>
        <w:br/>
        <w:t>**Horizon d'investissement optimal** : Moyen terme (3-12 mois), en attendant la confirmation du redressement opérationnel au T2/T3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413.72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5,684 titres</w:t>
            </w:r>
          </w:p>
        </w:tc>
        <w:tc>
          <w:tcPr>
            <w:tcW w:type="dxa" w:w="2268"/>
            <w:shd w:fill="FFF2CC" w:val="clear"/>
          </w:tcPr>
          <w:p>
            <w:r>
              <w:rPr>
                <w:b/>
                <w:color w:val="503200"/>
                <w:sz w:val="16"/>
              </w:rPr>
              <w:t xml:space="preserve">Cours actuel : </w:t>
            </w:r>
            <w:r>
              <w:rPr>
                <w:color w:val="000000"/>
                <w:sz w:val="17"/>
              </w:rPr>
              <w:t>10,200 FCFA</w:t>
            </w:r>
          </w:p>
          <w:p>
            <w:r>
              <w:rPr>
                <w:b/>
                <w:color w:val="503200"/>
                <w:sz w:val="16"/>
              </w:rPr>
              <w:t xml:space="preserve">Var. 100 jours : </w:t>
            </w:r>
            <w:r>
              <w:rPr>
                <w:b/>
                <w:color w:val="007800"/>
                <w:sz w:val="17"/>
              </w:rPr>
              <w:t>+27.50%</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8,000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6.28% (Moyenne) — μ=9,088 FCFA, σ=571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β=-0.1732 (Contre-cyclique) — Cov=-0.000006, Var(idx)=0.000035, ρ=-0.062,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5,684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862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9,734</w:t>
            </w:r>
          </w:p>
        </w:tc>
        <w:tc>
          <w:tcPr>
            <w:tcW w:type="dxa" w:w="1440"/>
            <w:shd w:fill="FAFAFA" w:val="clear"/>
          </w:tcPr>
          <w:p>
            <w:r>
              <w:rPr>
                <w:b/>
                <w:sz w:val="17"/>
              </w:rPr>
              <w:t>10,083</w:t>
            </w:r>
          </w:p>
        </w:tc>
        <w:tc>
          <w:tcPr>
            <w:tcW w:type="dxa" w:w="1440"/>
            <w:shd w:fill="FAFAFA" w:val="clear"/>
          </w:tcPr>
          <w:p>
            <w:r>
              <w:rPr>
                <w:sz w:val="17"/>
              </w:rPr>
              <w:t>10,431</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9,526</w:t>
            </w:r>
          </w:p>
        </w:tc>
        <w:tc>
          <w:tcPr>
            <w:tcW w:type="dxa" w:w="1440"/>
            <w:shd w:fill="FAFAFA" w:val="clear"/>
          </w:tcPr>
          <w:p>
            <w:r>
              <w:rPr>
                <w:b/>
                <w:sz w:val="17"/>
              </w:rPr>
              <w:t>10,016</w:t>
            </w:r>
          </w:p>
        </w:tc>
        <w:tc>
          <w:tcPr>
            <w:tcW w:type="dxa" w:w="1440"/>
            <w:shd w:fill="FAFAFA" w:val="clear"/>
          </w:tcPr>
          <w:p>
            <w:r>
              <w:rPr>
                <w:sz w:val="17"/>
              </w:rPr>
              <w:t>10,505</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2026-09-18</w:t>
            </w:r>
          </w:p>
        </w:tc>
        <w:tc>
          <w:tcPr>
            <w:tcW w:type="dxa" w:w="1440"/>
            <w:shd w:fill="FFDCE0" w:val="clear"/>
          </w:tcPr>
          <w:p>
            <w:r>
              <w:rPr>
                <w:sz w:val="17"/>
              </w:rPr>
              <w:t>9,363</w:t>
            </w:r>
          </w:p>
        </w:tc>
        <w:tc>
          <w:tcPr>
            <w:tcW w:type="dxa" w:w="1440"/>
            <w:shd w:fill="FFDCE0" w:val="clear"/>
          </w:tcPr>
          <w:p>
            <w:r>
              <w:rPr>
                <w:b/>
                <w:sz w:val="17"/>
              </w:rPr>
              <w:t>9,959</w:t>
            </w:r>
          </w:p>
        </w:tc>
        <w:tc>
          <w:tcPr>
            <w:tcW w:type="dxa" w:w="1440"/>
            <w:shd w:fill="FFDCE0" w:val="clear"/>
          </w:tcPr>
          <w:p>
            <w:r>
              <w:rPr>
                <w:sz w:val="17"/>
              </w:rPr>
              <w:t>10,555</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9,228</w:t>
            </w:r>
          </w:p>
        </w:tc>
        <w:tc>
          <w:tcPr>
            <w:tcW w:type="dxa" w:w="1440"/>
            <w:shd w:fill="FFDCE0" w:val="clear"/>
          </w:tcPr>
          <w:p>
            <w:r>
              <w:rPr>
                <w:b/>
                <w:sz w:val="17"/>
              </w:rPr>
              <w:t>9,913</w:t>
            </w:r>
          </w:p>
        </w:tc>
        <w:tc>
          <w:tcPr>
            <w:tcW w:type="dxa" w:w="1440"/>
            <w:shd w:fill="FFDCE0" w:val="clear"/>
          </w:tcPr>
          <w:p>
            <w:r>
              <w:rPr>
                <w:sz w:val="17"/>
              </w:rPr>
              <w:t>10,599</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9,110</w:t>
            </w:r>
          </w:p>
        </w:tc>
        <w:tc>
          <w:tcPr>
            <w:tcW w:type="dxa" w:w="1440"/>
            <w:shd w:fill="FFDCE0" w:val="clear"/>
          </w:tcPr>
          <w:p>
            <w:r>
              <w:rPr>
                <w:b/>
                <w:sz w:val="17"/>
              </w:rPr>
              <w:t>9,873</w:t>
            </w:r>
          </w:p>
        </w:tc>
        <w:tc>
          <w:tcPr>
            <w:tcW w:type="dxa" w:w="1440"/>
            <w:shd w:fill="FFDCE0" w:val="clear"/>
          </w:tcPr>
          <w:p>
            <w:r>
              <w:rPr>
                <w:sz w:val="17"/>
              </w:rPr>
              <w:t>10,636</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9,002</w:t>
            </w:r>
          </w:p>
        </w:tc>
        <w:tc>
          <w:tcPr>
            <w:tcW w:type="dxa" w:w="1440"/>
            <w:shd w:fill="FFDCE0" w:val="clear"/>
          </w:tcPr>
          <w:p>
            <w:r>
              <w:rPr>
                <w:b/>
                <w:sz w:val="17"/>
              </w:rPr>
              <w:t>9,835</w:t>
            </w:r>
          </w:p>
        </w:tc>
        <w:tc>
          <w:tcPr>
            <w:tcW w:type="dxa" w:w="1440"/>
            <w:shd w:fill="FFDCE0" w:val="clear"/>
          </w:tcPr>
          <w:p>
            <w:r>
              <w:rPr>
                <w:sz w:val="17"/>
              </w:rPr>
              <w:t>10,667</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8,903</w:t>
            </w:r>
          </w:p>
        </w:tc>
        <w:tc>
          <w:tcPr>
            <w:tcW w:type="dxa" w:w="1440"/>
            <w:shd w:fill="FFDCE0" w:val="clear"/>
          </w:tcPr>
          <w:p>
            <w:r>
              <w:rPr>
                <w:b/>
                <w:sz w:val="17"/>
              </w:rPr>
              <w:t>9,798</w:t>
            </w:r>
          </w:p>
        </w:tc>
        <w:tc>
          <w:tcPr>
            <w:tcW w:type="dxa" w:w="1440"/>
            <w:shd w:fill="FFDCE0" w:val="clear"/>
          </w:tcPr>
          <w:p>
            <w:r>
              <w:rPr>
                <w:sz w:val="17"/>
              </w:rPr>
              <w:t>10,694</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8,810</w:t>
            </w:r>
          </w:p>
        </w:tc>
        <w:tc>
          <w:tcPr>
            <w:tcW w:type="dxa" w:w="1440"/>
            <w:shd w:fill="FFDCE0" w:val="clear"/>
          </w:tcPr>
          <w:p>
            <w:r>
              <w:rPr>
                <w:b/>
                <w:sz w:val="17"/>
              </w:rPr>
              <w:t>9,764</w:t>
            </w:r>
          </w:p>
        </w:tc>
        <w:tc>
          <w:tcPr>
            <w:tcW w:type="dxa" w:w="1440"/>
            <w:shd w:fill="FFDCE0" w:val="clear"/>
          </w:tcPr>
          <w:p>
            <w:r>
              <w:rPr>
                <w:sz w:val="17"/>
              </w:rPr>
              <w:t>10,719</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8,723</w:t>
            </w:r>
          </w:p>
        </w:tc>
        <w:tc>
          <w:tcPr>
            <w:tcW w:type="dxa" w:w="1440"/>
            <w:shd w:fill="FFDCE0" w:val="clear"/>
          </w:tcPr>
          <w:p>
            <w:r>
              <w:rPr>
                <w:b/>
                <w:sz w:val="17"/>
              </w:rPr>
              <w:t>9,732</w:t>
            </w:r>
          </w:p>
        </w:tc>
        <w:tc>
          <w:tcPr>
            <w:tcW w:type="dxa" w:w="1440"/>
            <w:shd w:fill="FFDCE0" w:val="clear"/>
          </w:tcPr>
          <w:p>
            <w:r>
              <w:rPr>
                <w:sz w:val="17"/>
              </w:rPr>
              <w:t>10,741</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8,641</w:t>
            </w:r>
          </w:p>
        </w:tc>
        <w:tc>
          <w:tcPr>
            <w:tcW w:type="dxa" w:w="1440"/>
            <w:shd w:fill="FFDCE0" w:val="clear"/>
          </w:tcPr>
          <w:p>
            <w:r>
              <w:rPr>
                <w:b/>
                <w:sz w:val="17"/>
              </w:rPr>
              <w:t>9,701</w:t>
            </w:r>
          </w:p>
        </w:tc>
        <w:tc>
          <w:tcPr>
            <w:tcW w:type="dxa" w:w="1440"/>
            <w:shd w:fill="FFDCE0" w:val="clear"/>
          </w:tcPr>
          <w:p>
            <w:r>
              <w:rPr>
                <w:sz w:val="17"/>
              </w:rPr>
              <w:t>10,761</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413,72 milliards FCFA, BOAB s'impose comme l'une des valeurs bancaires les plus importantes de la cote BRVM, reflétant la solidité de son bilan (total actif de 964,663 milliards FCFA en 2025). Le BPA de 496 FCFA/action signifie que chaque titre génère près de 500 FCFA de bénéfice net, un niveau appréciable pour le marché régional. Toutefois, le PER de 20,6x traduit une valorisation nettement supérieure à la moyenne BRVM (8-12x), ce qui indique que les investisseurs paient une prime significative pour cette valeur, soit en anticipation d'une croissance future, soit par effet de rareté sur le compartiment bancaire. Le P/B de 3,52x confirme cette prime de croissance (fourchette 2-4x), le marché valorisant la banque à plus de trois fois ses fonds propres comptables (117,507 milliards FCFA). Enfin, l'EV/EBITDA de 20,8x (&gt;15x) apparaît très exigeant, suggérant que la valeur d'entreprise intègre déjà une forte capacité bénéficiaire future, ce qui limite la marge de sécurité pour un nouvel 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 a enregistré une progression remarquable de +27,50%, portant le cours à 10 200 FCFA, avec une dernière séance stable (variation J-1 de +0,00%). Le range de trading s'établit entre un plus bas de 8 000 FCFA et un plus haut de 10 350 FCFA, le cours actuel évoluant à seulement 1,5% sous son sommet, ce qui témoigne d'une tendance haussière robuste et d'une pression acheteuse soutenue. Les statistiques descriptives révèlent une moyenne de 9 088 FCFA supérieure à la médiane de 8 900 FCFA, avec un mode à 8 700 FCFA : cet écart confirme une distribution asymétrique où les récents sommets tirent la moyenne vers le haut. L'écart-type de 574 FCFA (CV de 6,3%) indique une dispersion modérée du cours, tandis que le kurtosis de -0,058 (mésokurtique) suggère une distribution proche de la normale, sans risque excessif de pics extrêmes. Le skewness positif de 0,934 signale toutefois une asymétrie à droite, avec davantage de journées de cotation sous la moyenne — un profil typique d'un titre en phase d'accélération haussière. Avec une volatilité annualisée de 26,1%, le titre se situe dans la fourchette modérée (15-30%), offrant un compromis intéressant entre dynamisme et risque pour un investisseur diversifié.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(10 059,25 FCFA) et la MM50 (9 259,0 FCFA) se situent toutes deux sous le cours actuel de 10 200 FCFA, avec une MM20 supérieure à la MM50 — configuration haussière classique (golden cross). Le cours évoluant au-dessus de ses deux moyennes, la dynamique de court et moyen terme reste positive, justifiant la décision d'**Achat**.</w:t>
      </w:r>
    </w:p>
    <w:p>
      <w:pPr>
        <w:spacing w:after="120" w:line="276" w:lineRule="auto"/>
      </w:pPr>
      <w:r>
        <w:t>**Bandes de Bollinger** : Le cours (10 200 FCFA) se positionne dans la moitié supérieure de la bande, entre la borne inférieure (9 381,40 FCFA) et la borne supérieure (10 737,10 FCFA), sans la franchir. Cette position centrale-haute, combinée à un écart-type modéré, traduit une volatilité contenue et une absence de signal extrême, d'où la décision **Neutre**.</w:t>
      </w:r>
    </w:p>
    <w:p>
      <w:pPr>
        <w:spacing w:after="120" w:line="276" w:lineRule="auto"/>
      </w:pPr>
      <w:r>
        <w:t>**MACD** : La valeur du MACD (288,691) est inférieure à son signal (331,306), générant un croisement baissier qui indique un essoufflement du momentum haussier malgré la tendance positive du cours. Cette divergence négative plaide pour la prudence à court terme, justifiant la décision de **Vente**.</w:t>
      </w:r>
    </w:p>
    <w:p>
      <w:pPr>
        <w:spacing w:after="120" w:line="276" w:lineRule="auto"/>
      </w:pPr>
      <w:r>
        <w:t>**RSI** : À 44,094, le RSI se situe en zone neutre (30-70), sans signal de surachat (&gt;70) ni de survente (&lt;30). Cette position médiane indique un équilibre entre acheteurs et vendeurs, sans pression directionnelle claire, d'où la décision **Neutre**.</w:t>
      </w:r>
    </w:p>
    <w:p>
      <w:pPr>
        <w:spacing w:after="120" w:line="276" w:lineRule="auto"/>
      </w:pPr>
      <w:r>
        <w:t>**Stochastique** : Le %K (57,143) est supérieur au %D (48,28), avec un croisement récent à la hausse en zone médiane. Ce signal haussier naissant reste toutefois modéré car les deux lignes évoluent loin des extrêmes, justifiant la décision **Neutre**.</w:t>
      </w:r>
    </w:p>
    <w:p>
      <w:pPr>
        <w:spacing w:after="120" w:line="276" w:lineRule="auto"/>
      </w:pPr>
      <w:r>
        <w:t>**Conclusion technique** : Les indicateurs présentent un tableau mitigé. La structure des moyennes mobiles demeure haussière et le stochastique amorce un croisement positif, mais le MACD baissier et le RSI neutre tempèrent l'élan. Le titre évolue dans un régime de consolidation haute après sa forte progression, avec un biais haussier de fond mais un momentum court terme incertain. La convergence partielle des signaux suggère une phase de respiration avant une éventuelle reprise directionnelle.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 affiche un Produit Net Bancaire (PNB) de 51,274 milliards FCFA, en croissance de 10,20% sur un an, porté par des intérêts et produits assimilés de 55,728 milliards FCFA et des commissions nettes de 11,466 milliards FCFA. Le résultat net s'établit à 20,107 milliards FCFA, générant un ROE de 17,11% (&gt;15%, excellent) et un ROA de 2,08%, confirmant la rentabilité structurelle de la banque. Le coefficient d'exploitation de 49,53% (&lt;50%) témoigne d'une efficacité opérationnelle remarquable, tandis que le coût du risque rapporté aux charges financières (22,50%) reste élevé, signalant une vigilance nécessaire sur la qualité du portefeuille de crédit. La structure financière affiche une autonomie de 12,18% (capitaux propres/total bilan), un ratio d'endettement de 98,77% et une solvabilité générale de 113,87% (&gt;1, donc solvable), mais la trésorerie nette négative de -8,456 milliards FCFA et la dépendance aux dépôts clientèle (711,642 milliards FCFA) méritent une surveillance. Les rapports trimestriels récents confirment la dynamique : le T1 2026 (rapport du 31/03/2026) affiche un PNB de 12,329 milliards FCFA (+11%) et un résultat net de 4,502 milliards FCFA (+1%), tandis que le T3 2025 (rapport du 30/09/2025) enregistrait un PNB de 37,065 milliards FCFA (+9%) et un résultat net de 15,880 milliards FCFA (+13%). Sur la base de ces tendances, on estime que l'exercice 2026 devrait maintenir une croissance du PNB autour de 10-11%, avec un résultat net annuel projeté entre 21 et 22 milliards FCFA, sous réserve d'une maîtrise du coût du risque. La recommandation fondamentale est de **Conserver** : la banque est solide, rentable et efficace, mais la contraction des crédits (-10% sur un an selon le T3 2025) et la pression sur la croissance du résultat net (+1% au T1 2026) limitent le potentiel de réévaluation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apparaît exigeante : le PER de 20,6x, le P/B de 3,52x et l'EV/EBITDA de 20,8x intègrent déjà une prime de croissance significative, laissant peu de marge de sécurité en cas de déception sur les résultats. Le comportement du cours est néanmoins favorable, avec une progression de +27,50% sur 100 jours, une volatilité modérée (26,1%) et des statistiques descriptives (kurtosis proche de la normale, skewness positif) qui traduisent une dynamique haussière saine sans excès de risque extrême. Les signaux techniques sont mitigés : la structure des moyennes mobiles reste haussière (MM20 &gt; MM50 &gt; cours), mais le MACD baissier et le RSI neutre suggèrent une consolidation à court terme, tandis que le stochastique amorce un croisement positif. Les fondamentaux demeurent solides (ROE de 17,11%, coefficient d'exploitation de 49,53%, PNB en croissance de 10,20% en 2025), mais les rapports trimestriels récents (T1 2026 : résultat net +1%) révèlent un ralentissement de la croissance bénéficiaire qui pourrait peser sur la valorisation. Les prédictions IA anticipent une trajectoire baissière à court terme (10 083 FCFA à J+1 jusqu'à 9 873 FCFA à J+10), ce qui contredit la tendance haussière récente et confirme la phase de consolidation attendue. Sur la base de cette synthèse, la recommandation finale est de **CONSERVER** : la convergence entre une valorisation tendue, des signaux techniques mitigés, des fondamentaux solides mais en ralentissement et des prédictions baissières à court terme ne justifie ni un achat agressif aux niveaux actuels, ni une vente d'un titre de qualité. Le niveau de confiance est **Moyen**, le risque global est **Moyen**, et l'horizon d'investissement optimal est le **moyen terme (3-12 mois)**, en attendant une clarification de la trajectoire bénéficiaire et une correction éventuelle offrant un meilleur point d'entrée.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373.78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6,804 titres</w:t>
            </w:r>
          </w:p>
        </w:tc>
        <w:tc>
          <w:tcPr>
            <w:tcW w:type="dxa" w:w="2268"/>
            <w:shd w:fill="FFF2CC" w:val="clear"/>
          </w:tcPr>
          <w:p>
            <w:r>
              <w:rPr>
                <w:b/>
                <w:color w:val="503200"/>
                <w:sz w:val="16"/>
              </w:rPr>
              <w:t xml:space="preserve">Cours actuel : </w:t>
            </w:r>
            <w:r>
              <w:rPr>
                <w:color w:val="000000"/>
                <w:sz w:val="17"/>
              </w:rPr>
              <w:t>8,495 FCFA</w:t>
            </w:r>
          </w:p>
          <w:p>
            <w:r>
              <w:rPr>
                <w:b/>
                <w:color w:val="503200"/>
                <w:sz w:val="16"/>
              </w:rPr>
              <w:t xml:space="preserve">Var. 100 jours : </w:t>
            </w:r>
            <w:r>
              <w:rPr>
                <w:b/>
                <w:color w:val="007800"/>
                <w:sz w:val="17"/>
              </w:rPr>
              <w:t>+62.27%</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18.82% (Élevée) — μ=6,539 FCFA, σ=1,231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β=0.2071 (Défensif) — Cov=0.000007, Var(idx)=0.000035, ρ=0.061,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8,203</w:t>
            </w:r>
          </w:p>
        </w:tc>
        <w:tc>
          <w:tcPr>
            <w:tcW w:type="dxa" w:w="1440"/>
            <w:shd w:fill="FAFAFA" w:val="clear"/>
          </w:tcPr>
          <w:p>
            <w:r>
              <w:rPr>
                <w:b/>
                <w:sz w:val="17"/>
              </w:rPr>
              <w:t>8,534</w:t>
            </w:r>
          </w:p>
        </w:tc>
        <w:tc>
          <w:tcPr>
            <w:tcW w:type="dxa" w:w="1440"/>
            <w:shd w:fill="FAFAFA" w:val="clear"/>
          </w:tcPr>
          <w:p>
            <w:r>
              <w:rPr>
                <w:sz w:val="17"/>
              </w:rPr>
              <w:t>8,866</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8,096</w:t>
            </w:r>
          </w:p>
        </w:tc>
        <w:tc>
          <w:tcPr>
            <w:tcW w:type="dxa" w:w="1440"/>
            <w:shd w:fill="FAFAFA" w:val="clear"/>
          </w:tcPr>
          <w:p>
            <w:r>
              <w:rPr>
                <w:b/>
                <w:sz w:val="17"/>
              </w:rPr>
              <w:t>8,567</w:t>
            </w:r>
          </w:p>
        </w:tc>
        <w:tc>
          <w:tcPr>
            <w:tcW w:type="dxa" w:w="1440"/>
            <w:shd w:fill="FAFAFA" w:val="clear"/>
          </w:tcPr>
          <w:p>
            <w:r>
              <w:rPr>
                <w:sz w:val="17"/>
              </w:rPr>
              <w:t>9,038</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2026-09-18</w:t>
            </w:r>
          </w:p>
        </w:tc>
        <w:tc>
          <w:tcPr>
            <w:tcW w:type="dxa" w:w="1440"/>
            <w:shd w:fill="FAFAFA" w:val="clear"/>
          </w:tcPr>
          <w:p>
            <w:r>
              <w:rPr>
                <w:sz w:val="17"/>
              </w:rPr>
              <w:t>8,011</w:t>
            </w:r>
          </w:p>
        </w:tc>
        <w:tc>
          <w:tcPr>
            <w:tcW w:type="dxa" w:w="1440"/>
            <w:shd w:fill="FAFAFA" w:val="clear"/>
          </w:tcPr>
          <w:p>
            <w:r>
              <w:rPr>
                <w:b/>
                <w:sz w:val="17"/>
              </w:rPr>
              <w:t>8,590</w:t>
            </w:r>
          </w:p>
        </w:tc>
        <w:tc>
          <w:tcPr>
            <w:tcW w:type="dxa" w:w="1440"/>
            <w:shd w:fill="FAFAFA" w:val="clear"/>
          </w:tcPr>
          <w:p>
            <w:r>
              <w:rPr>
                <w:sz w:val="17"/>
              </w:rPr>
              <w:t>9,168</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7,927</w:t>
            </w:r>
          </w:p>
        </w:tc>
        <w:tc>
          <w:tcPr>
            <w:tcW w:type="dxa" w:w="1440"/>
            <w:shd w:fill="FAFAFA" w:val="clear"/>
          </w:tcPr>
          <w:p>
            <w:r>
              <w:rPr>
                <w:b/>
                <w:sz w:val="17"/>
              </w:rPr>
              <w:t>8,595</w:t>
            </w:r>
          </w:p>
        </w:tc>
        <w:tc>
          <w:tcPr>
            <w:tcW w:type="dxa" w:w="1440"/>
            <w:shd w:fill="FAFAFA" w:val="clear"/>
          </w:tcPr>
          <w:p>
            <w:r>
              <w:rPr>
                <w:sz w:val="17"/>
              </w:rPr>
              <w:t>9,264</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7,845</w:t>
            </w:r>
          </w:p>
        </w:tc>
        <w:tc>
          <w:tcPr>
            <w:tcW w:type="dxa" w:w="1440"/>
            <w:shd w:fill="FAFAFA" w:val="clear"/>
          </w:tcPr>
          <w:p>
            <w:r>
              <w:rPr>
                <w:b/>
                <w:sz w:val="17"/>
              </w:rPr>
              <w:t>8,592</w:t>
            </w:r>
          </w:p>
        </w:tc>
        <w:tc>
          <w:tcPr>
            <w:tcW w:type="dxa" w:w="1440"/>
            <w:shd w:fill="FAFAFA" w:val="clear"/>
          </w:tcPr>
          <w:p>
            <w:r>
              <w:rPr>
                <w:sz w:val="17"/>
              </w:rPr>
              <w:t>9,338</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7,767</w:t>
            </w:r>
          </w:p>
        </w:tc>
        <w:tc>
          <w:tcPr>
            <w:tcW w:type="dxa" w:w="1440"/>
            <w:shd w:fill="FAFAFA" w:val="clear"/>
          </w:tcPr>
          <w:p>
            <w:r>
              <w:rPr>
                <w:b/>
                <w:sz w:val="17"/>
              </w:rPr>
              <w:t>8,584</w:t>
            </w:r>
          </w:p>
        </w:tc>
        <w:tc>
          <w:tcPr>
            <w:tcW w:type="dxa" w:w="1440"/>
            <w:shd w:fill="FAFAFA" w:val="clear"/>
          </w:tcPr>
          <w:p>
            <w:r>
              <w:rPr>
                <w:sz w:val="17"/>
              </w:rPr>
              <w:t>9,401</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7,693</w:t>
            </w:r>
          </w:p>
        </w:tc>
        <w:tc>
          <w:tcPr>
            <w:tcW w:type="dxa" w:w="1440"/>
            <w:shd w:fill="FAFAFA" w:val="clear"/>
          </w:tcPr>
          <w:p>
            <w:r>
              <w:rPr>
                <w:b/>
                <w:sz w:val="17"/>
              </w:rPr>
              <w:t>8,575</w:t>
            </w:r>
          </w:p>
        </w:tc>
        <w:tc>
          <w:tcPr>
            <w:tcW w:type="dxa" w:w="1440"/>
            <w:shd w:fill="FAFAFA" w:val="clear"/>
          </w:tcPr>
          <w:p>
            <w:r>
              <w:rPr>
                <w:sz w:val="17"/>
              </w:rPr>
              <w:t>9,457</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7,624</w:t>
            </w:r>
          </w:p>
        </w:tc>
        <w:tc>
          <w:tcPr>
            <w:tcW w:type="dxa" w:w="1440"/>
            <w:shd w:fill="FAFAFA" w:val="clear"/>
          </w:tcPr>
          <w:p>
            <w:r>
              <w:rPr>
                <w:b/>
                <w:sz w:val="17"/>
              </w:rPr>
              <w:t>8,565</w:t>
            </w:r>
          </w:p>
        </w:tc>
        <w:tc>
          <w:tcPr>
            <w:tcW w:type="dxa" w:w="1440"/>
            <w:shd w:fill="FAFAFA" w:val="clear"/>
          </w:tcPr>
          <w:p>
            <w:r>
              <w:rPr>
                <w:sz w:val="17"/>
              </w:rPr>
              <w:t>9,507</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7,558</w:t>
            </w:r>
          </w:p>
        </w:tc>
        <w:tc>
          <w:tcPr>
            <w:tcW w:type="dxa" w:w="1440"/>
            <w:shd w:fill="FAFAFA" w:val="clear"/>
          </w:tcPr>
          <w:p>
            <w:r>
              <w:rPr>
                <w:b/>
                <w:sz w:val="17"/>
              </w:rPr>
              <w:t>8,556</w:t>
            </w:r>
          </w:p>
        </w:tc>
        <w:tc>
          <w:tcPr>
            <w:tcW w:type="dxa" w:w="1440"/>
            <w:shd w:fill="FAFAFA" w:val="clear"/>
          </w:tcPr>
          <w:p>
            <w:r>
              <w:rPr>
                <w:sz w:val="17"/>
              </w:rPr>
              <w:t>9,553</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7,496</w:t>
            </w:r>
          </w:p>
        </w:tc>
        <w:tc>
          <w:tcPr>
            <w:tcW w:type="dxa" w:w="1440"/>
            <w:shd w:fill="FAFAFA" w:val="clear"/>
          </w:tcPr>
          <w:p>
            <w:r>
              <w:rPr>
                <w:b/>
                <w:sz w:val="17"/>
              </w:rPr>
              <w:t>8,546</w:t>
            </w:r>
          </w:p>
        </w:tc>
        <w:tc>
          <w:tcPr>
            <w:tcW w:type="dxa" w:w="1440"/>
            <w:shd w:fill="FAFAFA" w:val="clear"/>
          </w:tcPr>
          <w:p>
            <w:r>
              <w:rPr>
                <w:sz w:val="17"/>
              </w:rPr>
              <w:t>9,597</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373,78 milliards FCFA, BOABF s'impose comme l'une des valeurs bancaires de référence de la cote BRVM, ce qui traduit une liquidité et une visibilité institutionnelle certaines. Le BPA de 438 FCFA par action signifie que chaque titre génère près de 438 FCFA de bénéfice net, un niveau de rentabilité unitaire solide pour le secteur. Le PER de 19,4x se situe nettement au-dessus de la moyenne BRVM (estimée entre 8x et 12x), ce qui indique que le marché paie une prime de qualité et de croissance pour ce titre plutôt qu'une valorisation de rendement bon marché. Le P/B de 2,95x confirme cette lecture : le marché valorise BOABF à près de trois fois ses fonds propres comptables, ce qui est cohérent avec un ROE supérieur à 15% mais laisse peu de marge de sécurité en cas de déception. Enfin, l'EV/EBITDA de 8,8x, dans la fourchette raisonnable de 5-10x, suggère que la valeur d'entreprise reste proportionnée à la capacité opérationnelle, sans emballement spéculatif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BOABF affiche une progression spectaculaire de +62,27%, portant le cours à 8 495 FCFA, malgré un repli de -2,36% lors de la dernière séance qui marque une pause dans l'élan haussier. Le range de trading est particulièrement large, avec un plus bas à 5 235 FCFA et un plus haut à 9 090 FCFA, soit un écart de plus de 73% entre les deux extrêmes — signe d'une tendance franchement haussière mais aussi d'une forte amplitude intra-période. La moyenne (6 539 FCFA) se situe nettement au-dessus de la médiane (5 945 FCFA) et du mode (5 400 FCFA), ce qui confirme une distribution asymétrique avec une concentration des cours sur la première moitié de la période et une accélération récente vers les sommets. L'écart-type de 1 237 FCFA (CV = 18,9%) traduit une dispersion modérée du cours autour de sa moyenne, tandis que le kurtosis de -0,667 (mésokurtique) indique une distribution proche de la normale, sans pics extrêmes fréquents. Le skewness positif de 0,809 révèle toutefois une asymétrie à droite : davantage de journées se sont situées sous la moyenne, la hausse récente étant concentrée sur un nombre limité de séances. Avec une volatilité annualisée de 32,1%, le titre se classe dans la catégorie **élevée** (&gt;30%), ce qui est cohérent avec un mouvement de +62% en seulement 100 jours et appelle à la prudence sur les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(8 549 FCFA) et la MM50 (7 555 FCFA) sont toutes deux inférieures au cours actuel (8 495 FCFA), avec la MM20 au-dessus de la MM50 — configuration haussière classique (golden cross). Le cours évolue toutefois légèrement sous sa MM20, ce qui signale un essoufflement de court terme, mais la décision fournie reste **Achat** car la structure de fond demeure positive.</w:t>
      </w:r>
    </w:p>
    <w:p>
      <w:pPr>
        <w:spacing w:after="120" w:line="276" w:lineRule="auto"/>
      </w:pPr>
      <w:r>
        <w:t>**Bandes de Bollinger** : Le cours (8 495 FCFA) se situe dans la partie haute du canal, entre la borne inférieure (7 305 FCFA) et la borne supérieure (9 793 FCFA), sans franchissement des extrêmes. Cette position médiane-haute, combinée à un écart de bandes large (≈2 487 FCFA), traduit une volatilité encore élevée mais sans signal de rupture. La décision **Neutre** est cohérente : ni surachat, ni survente.</w:t>
      </w:r>
    </w:p>
    <w:p>
      <w:pPr>
        <w:spacing w:after="120" w:line="276" w:lineRule="auto"/>
      </w:pPr>
      <w:r>
        <w:t>**MACD** : La ligne MACD (399,39) est passée sous sa ligne de signal (479,40), générant un croisement baissier caractéristique d'une perte de momentum haussier. Cette divergence négative, intervenue après une forte hausse, plaide pour une consolidation voire une correction à court terme, justifiant la décision **Vente**.</w:t>
      </w:r>
    </w:p>
    <w:p>
      <w:pPr>
        <w:spacing w:after="120" w:line="276" w:lineRule="auto"/>
      </w:pPr>
      <w:r>
        <w:t>**RSI** : À 46,94, le RSI se situe en zone strictement neutre (30-70), sans pression acheteuse ni vendeuse dominante. Cette valeur, proche du milieu de canal, confirme l'absence de surachat malgré la hausse récente — un élément plutôt rassurant — et justifie la décision **Neutre**.</w:t>
      </w:r>
    </w:p>
    <w:p>
      <w:pPr>
        <w:spacing w:after="120" w:line="276" w:lineRule="auto"/>
      </w:pPr>
      <w:r>
        <w:t>**Stochastique** : Le %K à 0,0 est en position extrême de survente, tandis que le %D à 37,08 reste en zone basse. Ce positionnement divergent (%K sous %D) suggère un possible rebond technique imminent depuis une zone de survente, ce qui explique la décision **Achat** fournie par cet indicateur.</w:t>
      </w:r>
    </w:p>
    <w:p>
      <w:pPr>
        <w:spacing w:after="120" w:line="276" w:lineRule="auto"/>
      </w:pPr>
      <w:r>
        <w:t>**Conclusion technique** : Les indicateurs sont **divergents** — les moyennes mobiles et le stochastique plaident pour l'achat, tandis que le MACD signale une vente et que le RSI/Bollinger restent neutres. Cette configuration est typique d'une phase de consolidation après une forte hausse : le titre a besoin de digérer ses +62% avant de reprendre une tendance directionnelle claire. La prudence est de mise à court terme, avec un support technique à surveiller autour de la MM20 (8 549 FCFA) et un premier palier de résistance vers 9 090 FCFA (plus haut récent).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BOABF affiche un Produit Net Bancaire (équivalent du chiffre d'affaires pour une banque) de 57 820 millions FCFA, quasi stable par rapport à 2024 (+0,6%), et un résultat net de 19 252 millions FCFA, en recul de -14,1% sur un an. Le ROE s'établit à 15,22% (niveau excellent, &gt;15%) et le ROA à 1,68%, confirmant la solidité structurelle de la rentabilité malgré la baisse. Le coefficient d'exploitation de 47,19% place la banque en zone d'excellence (&lt;50%), signe d'une maîtrise remarquable des charges. Le coût du risque rapporté aux charges financières ressort toutefois à 33,92%, un niveau élevé qui traduit un portefeuille de crédits sous tension — les provisions de 8 355 millions FCFA ayant quasiment doublé par rapport à 2024 (4 303 millions).</w:t>
      </w:r>
    </w:p>
    <w:p>
      <w:pPr>
        <w:spacing w:after="120" w:line="276" w:lineRule="auto"/>
      </w:pPr>
      <w:r>
        <w:t>**Analyse sectorielle bancaire** : La structure bilancielle révèle une transformation en cours : les créances sur la clientèle reculent de -19,3% (474 064 vs 587 385 millions FCFA) tandis que les créances interbancaires bondissent (213 132 vs 53 994 millions FCFA), traduisant un repositionnement vers des actifs moins risqués. Les dépôts clientèle progressent de +7,9% à 877 822 millions FCFA, mais l'autonomie financière reste faible (11,01%) et le ratio d'endettement élevé (96,61%) — caractéristique normale du modèle bancaire, mais à surveiller. La capacité de remboursement de 5,79 années (dettes financières/CAF) demeure acceptable.</w:t>
      </w:r>
    </w:p>
    <w:p>
      <w:pPr>
        <w:spacing w:after="120" w:line="276" w:lineRule="auto"/>
      </w:pPr>
      <w:r>
        <w:t>**Estimations issues des rapports trimestriels** : Le rapport du **T1 2026 (31/03/2026)** montre un PNB de 12 694 millions FCFA en repli de -10,75% et un résultat net de 4 520 millions FCFA (-12,99%), le trimestre le plus faible des quatre documents analysés. En revanche, les **états financiers du S1 2026 (30/06/2026)** révèlent un net redressement : PNB de 27 539 millions (-5,2%) mais résultat net de 10 770 millions FCFA en **hausse de +31,0%**, porté par une amélioration spectaculaire du coût du risque (-65,2%, à -2 396 millions contre -6 876 millions un an plus tôt). On estime donc que l'exercice 2026 devrait bénéficier d'une normalisation du risque, avec un résultat net annuel potentiellement supérieur à celui de 2025 (autour de 21-22 milliards FCFA), bien que la dynamique commerciale (PNB) reste le point faible à surveiller.</w:t>
      </w:r>
    </w:p>
    <w:p>
      <w:pPr>
        <w:spacing w:after="120" w:line="276" w:lineRule="auto"/>
      </w:pPr>
      <w:r>
        <w:t>**Recommandation fondamentale** : La solidité financière de BOABF est réelle (ROE &gt;15%, coefficient d'exploitation &lt;50%, solvabilité &gt;1), mais le titre souffre d'un ralentissement structurel du PNB et d'une dépendance à la normalisation du coût du risque. Le dividende de 397 FCFA/action versé le 23/04/2026 (rendement d'environ 4,7% au cours actuel) constitue un soutien non négligeable. Recommandation fondamentale : **CONSERVER**, avec un biais positif si la reprise du PNB se confirme au T3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d'analyse conduit à un diagnostic nuancé. **Sur la valorisation (Partie 0)**, les ratios PER (19,4x) et P/B (2,95x) révèlent une **surévaluation relative** par rapport à la moyenne BRVM, le marché ayant déjà intégré la prime de qualité — l'EV/EBITDA (8,8x) reste toutefois raisonnable. **Sur le comportement du cours (Partie 1)**, la tendance est franchement haussière (+62,27%) mais la volatilité élevée (32,1%) et le skewness positif (0,809) indiquent que la hausse repose sur un nombre limité de séances, ce qui fragilise la durabilité du mouvement. **Sur le plan technique (Partie 2)**, les signaux sont divergents : MM haussières et stochastique en survente plaident pour l'achat, mais le MACD baissier et le RSI neutre appellent à la consolidation — configuration de pause après rallye. **Sur les fondamentaux (Partie 3)**, la banque affiche une rentabilité solide (ROE 15,22%) mais un PNB atone (+0,6% en 2025) et un coût du risque élevé, avec toutefois une amélioration marquée au S1 2026 (+31% de résultat net) qui pourrait se confirmer sur l'exercice. **Les prédictions IA (J+1 à J+10)** anticipent une trajectoire légèrement haussière et stable (8 534 → 8 592 FCFA), ce qui **confirme** le scénario de consolidation sans correction majeure.</w:t>
      </w:r>
    </w:p>
    <w:p>
      <w:pPr>
        <w:spacing w:after="120" w:line="276" w:lineRule="auto"/>
      </w:pPr>
      <w:r>
        <w:t>**Recommandation finale : CONSERVER** — la convergence entre la valorisation tendue, la consolidation technique et la solidité fondamentale plaide pour une position attentiste plutôt qu'un renforcement. Le niveau de confiance est **Moyen** (les signaux techniques divergents limitent la visibilité) et le niveau de risque global est **Moyen à Élevé** (volatilité 32,1%, PER supérieur au marché, dépendance au coût du risque). L'horizon d'investissement optimal est le **moyen terme (3-12 mois)**, le temps que la reprise du PNB et la normalisation du risque se matérialisent dans les publications du T3 2026 et de l'exercice annuel. Un franchissement durable des 9 090 FCFA avec confirmation du MACD constituerait un signal de renforcement ; à l'inverse, une rupture sous la MM50 (7 555 FCFA) invaliderait le scénario haussier.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488.00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10,926 titres</w:t>
            </w:r>
          </w:p>
        </w:tc>
        <w:tc>
          <w:tcPr>
            <w:tcW w:type="dxa" w:w="2268"/>
            <w:shd w:fill="FFF2CC" w:val="clear"/>
          </w:tcPr>
          <w:p>
            <w:r>
              <w:rPr>
                <w:b/>
                <w:color w:val="503200"/>
                <w:sz w:val="16"/>
              </w:rPr>
              <w:t xml:space="preserve">Cours actuel : </w:t>
            </w:r>
            <w:r>
              <w:rPr>
                <w:color w:val="000000"/>
                <w:sz w:val="17"/>
              </w:rPr>
              <w:t>12,200 FCFA</w:t>
            </w:r>
          </w:p>
          <w:p>
            <w:r>
              <w:rPr>
                <w:b/>
                <w:color w:val="503200"/>
                <w:sz w:val="16"/>
              </w:rPr>
              <w:t xml:space="preserve">Var. 100 jours : </w:t>
            </w:r>
            <w:r>
              <w:rPr>
                <w:b/>
                <w:color w:val="007800"/>
                <w:sz w:val="17"/>
              </w:rPr>
              <w:t>+43.61%</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8,495 FCFA</w:t>
            </w:r>
          </w:p>
          <w:p>
            <w:r>
              <w:rPr>
                <w:b/>
                <w:color w:val="503200"/>
                <w:sz w:val="16"/>
              </w:rPr>
              <w:t xml:space="preserve">Volatilité ann. : </w:t>
            </w:r>
            <w:r>
              <w:rPr>
                <w:color w:val="000000"/>
                <w:sz w:val="17"/>
              </w:rPr>
              <w:t>25.4%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27.3/100 → Moyen</w:t>
      </w:r>
    </w:p>
    <w:p>
      <w:pPr>
        <w:spacing w:before="40" w:after="80"/>
      </w:pPr>
      <w:r>
        <w:rPr>
          <w:rFonts w:ascii="Courier New" w:hAnsi="Courier New"/>
          <w:color w:val="825A00"/>
          <w:sz w:val="18"/>
        </w:rPr>
        <w:t>█████░░░░░░░░░░░░░░░  27.3/100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15.72% (Élevée) — μ=10,194 FCFA, σ=1,602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β=-0.0072 (Contre-cyclique) — Cov=-0.000000, Var(idx)=0.000035, ρ=-0.003,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10,926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σ_j=1.60%/j (Stable) — Vol. annualisée≈25.4%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598627"/>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11,746</w:t>
            </w:r>
          </w:p>
        </w:tc>
        <w:tc>
          <w:tcPr>
            <w:tcW w:type="dxa" w:w="1440"/>
            <w:shd w:fill="FAFAFA" w:val="clear"/>
          </w:tcPr>
          <w:p>
            <w:r>
              <w:rPr>
                <w:b/>
                <w:sz w:val="17"/>
              </w:rPr>
              <w:t>12,113</w:t>
            </w:r>
          </w:p>
        </w:tc>
        <w:tc>
          <w:tcPr>
            <w:tcW w:type="dxa" w:w="1440"/>
            <w:shd w:fill="FAFAFA" w:val="clear"/>
          </w:tcPr>
          <w:p>
            <w:r>
              <w:rPr>
                <w:sz w:val="17"/>
              </w:rPr>
              <w:t>12,480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11,487</w:t>
            </w:r>
          </w:p>
        </w:tc>
        <w:tc>
          <w:tcPr>
            <w:tcW w:type="dxa" w:w="1440"/>
            <w:shd w:fill="FAFAFA" w:val="clear"/>
          </w:tcPr>
          <w:p>
            <w:r>
              <w:rPr>
                <w:b/>
                <w:sz w:val="17"/>
              </w:rPr>
              <w:t>12,001</w:t>
            </w:r>
          </w:p>
        </w:tc>
        <w:tc>
          <w:tcPr>
            <w:tcW w:type="dxa" w:w="1440"/>
            <w:shd w:fill="FAFAFA" w:val="clear"/>
          </w:tcPr>
          <w:p>
            <w:r>
              <w:rPr>
                <w:sz w:val="17"/>
              </w:rPr>
              <w:t>12,515</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2026-09-18</w:t>
            </w:r>
          </w:p>
        </w:tc>
        <w:tc>
          <w:tcPr>
            <w:tcW w:type="dxa" w:w="1440"/>
            <w:shd w:fill="FFDCE0" w:val="clear"/>
          </w:tcPr>
          <w:p>
            <w:r>
              <w:rPr>
                <w:sz w:val="17"/>
              </w:rPr>
              <w:t>11,276</w:t>
            </w:r>
          </w:p>
        </w:tc>
        <w:tc>
          <w:tcPr>
            <w:tcW w:type="dxa" w:w="1440"/>
            <w:shd w:fill="FFDCE0" w:val="clear"/>
          </w:tcPr>
          <w:p>
            <w:r>
              <w:rPr>
                <w:b/>
                <w:sz w:val="17"/>
              </w:rPr>
              <w:t>11,901</w:t>
            </w:r>
          </w:p>
        </w:tc>
        <w:tc>
          <w:tcPr>
            <w:tcW w:type="dxa" w:w="1440"/>
            <w:shd w:fill="FFDCE0" w:val="clear"/>
          </w:tcPr>
          <w:p>
            <w:r>
              <w:rPr>
                <w:sz w:val="17"/>
              </w:rPr>
              <w:t>12,525</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2026-09-21</w:t>
            </w:r>
          </w:p>
        </w:tc>
        <w:tc>
          <w:tcPr>
            <w:tcW w:type="dxa" w:w="1440"/>
            <w:shd w:fill="FFDCE0" w:val="clear"/>
          </w:tcPr>
          <w:p>
            <w:r>
              <w:rPr>
                <w:sz w:val="17"/>
              </w:rPr>
              <w:t>11,092</w:t>
            </w:r>
          </w:p>
        </w:tc>
        <w:tc>
          <w:tcPr>
            <w:tcW w:type="dxa" w:w="1440"/>
            <w:shd w:fill="FFDCE0" w:val="clear"/>
          </w:tcPr>
          <w:p>
            <w:r>
              <w:rPr>
                <w:b/>
                <w:sz w:val="17"/>
              </w:rPr>
              <w:t>11,808</w:t>
            </w:r>
          </w:p>
        </w:tc>
        <w:tc>
          <w:tcPr>
            <w:tcW w:type="dxa" w:w="1440"/>
            <w:shd w:fill="FFDCE0" w:val="clear"/>
          </w:tcPr>
          <w:p>
            <w:r>
              <w:rPr>
                <w:sz w:val="17"/>
              </w:rPr>
              <w:t>12,523</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2026-09-22</w:t>
            </w:r>
          </w:p>
        </w:tc>
        <w:tc>
          <w:tcPr>
            <w:tcW w:type="dxa" w:w="1440"/>
            <w:shd w:fill="FFDCE0" w:val="clear"/>
          </w:tcPr>
          <w:p>
            <w:r>
              <w:rPr>
                <w:sz w:val="17"/>
              </w:rPr>
              <w:t>10,928</w:t>
            </w:r>
          </w:p>
        </w:tc>
        <w:tc>
          <w:tcPr>
            <w:tcW w:type="dxa" w:w="1440"/>
            <w:shd w:fill="FFDCE0" w:val="clear"/>
          </w:tcPr>
          <w:p>
            <w:r>
              <w:rPr>
                <w:b/>
                <w:sz w:val="17"/>
              </w:rPr>
              <w:t>11,722</w:t>
            </w:r>
          </w:p>
        </w:tc>
        <w:tc>
          <w:tcPr>
            <w:tcW w:type="dxa" w:w="1440"/>
            <w:shd w:fill="FFDCE0" w:val="clear"/>
          </w:tcPr>
          <w:p>
            <w:r>
              <w:rPr>
                <w:sz w:val="17"/>
              </w:rPr>
              <w:t>12,516</w:t>
            </w:r>
          </w:p>
        </w:tc>
        <w:tc>
          <w:tcPr>
            <w:tcW w:type="dxa" w:w="1440"/>
            <w:shd w:fill="FFDCE0" w:val="clear"/>
          </w:tcPr>
          <w:p>
            <w:r>
              <w:rPr>
                <w:b/>
                <w:color w:val="C00000"/>
                <w:sz w:val="17"/>
              </w:rPr>
              <w:t>-3.9%</w:t>
            </w:r>
          </w:p>
        </w:tc>
      </w:tr>
      <w:tr>
        <w:tc>
          <w:tcPr>
            <w:tcW w:type="dxa" w:w="1440"/>
            <w:shd w:fill="FFDCE0" w:val="clear"/>
          </w:tcPr>
          <w:p>
            <w:r>
              <w:rPr>
                <w:sz w:val="17"/>
              </w:rPr>
              <w:t>J+6  Moyenne</w:t>
            </w:r>
          </w:p>
        </w:tc>
        <w:tc>
          <w:tcPr>
            <w:tcW w:type="dxa" w:w="1440"/>
            <w:shd w:fill="FFDCE0" w:val="clear"/>
          </w:tcPr>
          <w:p>
            <w:r>
              <w:rPr>
                <w:sz w:val="17"/>
              </w:rPr>
              <w:t>2026-09-23</w:t>
            </w:r>
          </w:p>
        </w:tc>
        <w:tc>
          <w:tcPr>
            <w:tcW w:type="dxa" w:w="1440"/>
            <w:shd w:fill="FFDCE0" w:val="clear"/>
          </w:tcPr>
          <w:p>
            <w:r>
              <w:rPr>
                <w:sz w:val="17"/>
              </w:rPr>
              <w:t>10,778</w:t>
            </w:r>
          </w:p>
        </w:tc>
        <w:tc>
          <w:tcPr>
            <w:tcW w:type="dxa" w:w="1440"/>
            <w:shd w:fill="FFDCE0" w:val="clear"/>
          </w:tcPr>
          <w:p>
            <w:r>
              <w:rPr>
                <w:b/>
                <w:sz w:val="17"/>
              </w:rPr>
              <w:t>11,643</w:t>
            </w:r>
          </w:p>
        </w:tc>
        <w:tc>
          <w:tcPr>
            <w:tcW w:type="dxa" w:w="1440"/>
            <w:shd w:fill="FFDCE0" w:val="clear"/>
          </w:tcPr>
          <w:p>
            <w:r>
              <w:rPr>
                <w:sz w:val="17"/>
              </w:rPr>
              <w:t>12,507</w:t>
            </w:r>
          </w:p>
        </w:tc>
        <w:tc>
          <w:tcPr>
            <w:tcW w:type="dxa" w:w="1440"/>
            <w:shd w:fill="FFDCE0" w:val="clear"/>
          </w:tcPr>
          <w:p>
            <w:r>
              <w:rPr>
                <w:b/>
                <w:color w:val="C00000"/>
                <w:sz w:val="17"/>
              </w:rPr>
              <w:t>-4.6%</w:t>
            </w:r>
          </w:p>
        </w:tc>
      </w:tr>
      <w:tr>
        <w:tc>
          <w:tcPr>
            <w:tcW w:type="dxa" w:w="1440"/>
            <w:shd w:fill="FFDCE0" w:val="clear"/>
          </w:tcPr>
          <w:p>
            <w:r>
              <w:rPr>
                <w:sz w:val="17"/>
              </w:rPr>
              <w:t>J+7  Moyenne</w:t>
            </w:r>
          </w:p>
        </w:tc>
        <w:tc>
          <w:tcPr>
            <w:tcW w:type="dxa" w:w="1440"/>
            <w:shd w:fill="FFDCE0" w:val="clear"/>
          </w:tcPr>
          <w:p>
            <w:r>
              <w:rPr>
                <w:sz w:val="17"/>
              </w:rPr>
              <w:t>2026-09-24</w:t>
            </w:r>
          </w:p>
        </w:tc>
        <w:tc>
          <w:tcPr>
            <w:tcW w:type="dxa" w:w="1440"/>
            <w:shd w:fill="FFDCE0" w:val="clear"/>
          </w:tcPr>
          <w:p>
            <w:r>
              <w:rPr>
                <w:sz w:val="17"/>
              </w:rPr>
              <w:t>10,641</w:t>
            </w:r>
          </w:p>
        </w:tc>
        <w:tc>
          <w:tcPr>
            <w:tcW w:type="dxa" w:w="1440"/>
            <w:shd w:fill="FFDCE0" w:val="clear"/>
          </w:tcPr>
          <w:p>
            <w:r>
              <w:rPr>
                <w:b/>
                <w:sz w:val="17"/>
              </w:rPr>
              <w:t>11,569</w:t>
            </w:r>
          </w:p>
        </w:tc>
        <w:tc>
          <w:tcPr>
            <w:tcW w:type="dxa" w:w="1440"/>
            <w:shd w:fill="FFDCE0" w:val="clear"/>
          </w:tcPr>
          <w:p>
            <w:r>
              <w:rPr>
                <w:sz w:val="17"/>
              </w:rPr>
              <w:t>12,496</w:t>
            </w:r>
          </w:p>
        </w:tc>
        <w:tc>
          <w:tcPr>
            <w:tcW w:type="dxa" w:w="1440"/>
            <w:shd w:fill="FFDCE0" w:val="clear"/>
          </w:tcPr>
          <w:p>
            <w:r>
              <w:rPr>
                <w:b/>
                <w:color w:val="C00000"/>
                <w:sz w:val="17"/>
              </w:rPr>
              <w:t>-5.2%</w:t>
            </w:r>
          </w:p>
        </w:tc>
      </w:tr>
      <w:tr>
        <w:tc>
          <w:tcPr>
            <w:tcW w:type="dxa" w:w="1440"/>
            <w:shd w:fill="FFDCE0" w:val="clear"/>
          </w:tcPr>
          <w:p>
            <w:r>
              <w:rPr>
                <w:sz w:val="17"/>
              </w:rPr>
              <w:t>J+8  Moyenne</w:t>
            </w:r>
          </w:p>
        </w:tc>
        <w:tc>
          <w:tcPr>
            <w:tcW w:type="dxa" w:w="1440"/>
            <w:shd w:fill="FFDCE0" w:val="clear"/>
          </w:tcPr>
          <w:p>
            <w:r>
              <w:rPr>
                <w:sz w:val="17"/>
              </w:rPr>
              <w:t>2026-09-25</w:t>
            </w:r>
          </w:p>
        </w:tc>
        <w:tc>
          <w:tcPr>
            <w:tcW w:type="dxa" w:w="1440"/>
            <w:shd w:fill="FFDCE0" w:val="clear"/>
          </w:tcPr>
          <w:p>
            <w:r>
              <w:rPr>
                <w:sz w:val="17"/>
              </w:rPr>
              <w:t>10,515</w:t>
            </w:r>
          </w:p>
        </w:tc>
        <w:tc>
          <w:tcPr>
            <w:tcW w:type="dxa" w:w="1440"/>
            <w:shd w:fill="FFDCE0" w:val="clear"/>
          </w:tcPr>
          <w:p>
            <w:r>
              <w:rPr>
                <w:b/>
                <w:sz w:val="17"/>
              </w:rPr>
              <w:t>11,500</w:t>
            </w:r>
          </w:p>
        </w:tc>
        <w:tc>
          <w:tcPr>
            <w:tcW w:type="dxa" w:w="1440"/>
            <w:shd w:fill="FFDCE0" w:val="clear"/>
          </w:tcPr>
          <w:p>
            <w:r>
              <w:rPr>
                <w:sz w:val="17"/>
              </w:rPr>
              <w:t>12,486</w:t>
            </w:r>
          </w:p>
        </w:tc>
        <w:tc>
          <w:tcPr>
            <w:tcW w:type="dxa" w:w="1440"/>
            <w:shd w:fill="FFDCE0" w:val="clear"/>
          </w:tcPr>
          <w:p>
            <w:r>
              <w:rPr>
                <w:b/>
                <w:color w:val="C00000"/>
                <w:sz w:val="17"/>
              </w:rPr>
              <w:t>-5.7%</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10,397</w:t>
            </w:r>
          </w:p>
        </w:tc>
        <w:tc>
          <w:tcPr>
            <w:tcW w:type="dxa" w:w="1440"/>
            <w:shd w:fill="FFDCE0" w:val="clear"/>
          </w:tcPr>
          <w:p>
            <w:r>
              <w:rPr>
                <w:b/>
                <w:sz w:val="17"/>
              </w:rPr>
              <w:t>11,436</w:t>
            </w:r>
          </w:p>
        </w:tc>
        <w:tc>
          <w:tcPr>
            <w:tcW w:type="dxa" w:w="1440"/>
            <w:shd w:fill="FFDCE0" w:val="clear"/>
          </w:tcPr>
          <w:p>
            <w:r>
              <w:rPr>
                <w:sz w:val="17"/>
              </w:rPr>
              <w:t>12,476</w:t>
            </w:r>
          </w:p>
        </w:tc>
        <w:tc>
          <w:tcPr>
            <w:tcW w:type="dxa" w:w="1440"/>
            <w:shd w:fill="FFDCE0" w:val="clear"/>
          </w:tcPr>
          <w:p>
            <w:r>
              <w:rPr>
                <w:b/>
                <w:color w:val="C00000"/>
                <w:sz w:val="17"/>
              </w:rPr>
              <w:t>-6.3%</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10,287</w:t>
            </w:r>
          </w:p>
        </w:tc>
        <w:tc>
          <w:tcPr>
            <w:tcW w:type="dxa" w:w="1440"/>
            <w:shd w:fill="FFDCE0" w:val="clear"/>
          </w:tcPr>
          <w:p>
            <w:r>
              <w:rPr>
                <w:b/>
                <w:sz w:val="17"/>
              </w:rPr>
              <w:t>11,377</w:t>
            </w:r>
          </w:p>
        </w:tc>
        <w:tc>
          <w:tcPr>
            <w:tcW w:type="dxa" w:w="1440"/>
            <w:shd w:fill="FFDCE0" w:val="clear"/>
          </w:tcPr>
          <w:p>
            <w:r>
              <w:rPr>
                <w:sz w:val="17"/>
              </w:rPr>
              <w:t>12,467</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 RAPPORT D'ANALYSE FINANCIÈRE — BOAC (Bank of Africa Côte d'Ivoire)</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488,00 Mds FCFA, BOAC s'impose comme l'une des valeurs bancaires de référence de la cote BRVM, portée par un BPA de 888 FCFA/action qui traduit la contribution bénéficiaire directe de chaque titre détenu. Le PER de 13,7x se situe légèrement au-dessus de la moyenne du marché BRVM (estimée entre 8x et 12x), signalant que les investisseurs consentent une prime modérée pour cette valeur, sans pour autant basculer dans une surévaluation manifeste. Le P/B de 3,83x confirme cette lecture : le marché valorise la banque à près de quatre fois ses fonds propres comptables (127,34 Mds FCFA), une prime de croissance justifiée par un ROE exceptionnel de 27,91%. En revanche, l'EV/EBITDA de 27,1x apparaît très exigeant (seuil d'alerte &gt;15x), ce qui invite à la prudence sur la soutenabilité de cette valorisation si la dynamique bénéficiaire venait à s'essouffler.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BOAC affiche une performance remarquable de **+43,61%**, malgré un repli de **-1,61%** lors de la dernière séance, qui marque une légère prise de bénéfices après un rallye soutenu. Le cours actuel de 12 200 FCFA évolue dans un range étendu entre un plus bas de 8 495 FCFA et un plus haut de 13 450 FCFA, soit une amplitude de près de 58%, témoignant d'une tendance nettement haussière sur la période. Les statistiques descriptives révèlent une **moyenne de 10 194 FCFA** supérieure à la **médiane de 9 395 FCFA**, ce qui confirme une distribution asymétrique tirée vers le haut par les récentes flambées du titre ; le **mode à 11 600 FCFA** indique un palier de consolidation fréquemment testé. L'**écart-type de 1 610 FCFA (CV = 15,8%)** traduit une dispersion modérée du cours autour de sa moyenne, tandis que le **kurtosis de -1,111 (distribution platykurtique)** signale une faible concentration des variations et un risque de pics extrêmes limité. Le **skewness positif de 0,718** indique toutefois davantage de journées sous la moyenne que de journées exceptionnellement haussières, un signal de prudence. Enfin, la **volatilité annualisée de 25,4%** classe le titre dans la catégorie des valeurs à volatilité modérée (15-30%), compatible avec un profil d'investisseur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(12 657,75 FCFA) et la MM50 (11 473,80 FCFA) se situent toutes deux au-dessus du cours actuel (12 200 FCFA), la MM20 étant elle-même supérieure à la MM50, ce qui dessine une configuration haussière de fond. Le cours évolue toutefois légèrement sous sa MM20, ce qui explique la décision « Achat » retenue : la tendance de moyen terme reste positive et le repli actuel constitue un point d'entrée potentiel.</w:t>
      </w:r>
    </w:p>
    <w:p>
      <w:pPr>
        <w:spacing w:after="120" w:line="276" w:lineRule="auto"/>
      </w:pPr>
      <w:r>
        <w:t>**Bandes de Bollinger** — Le cours (12 200 FCFA) se situe dans la partie basse du canal, entre la borne inférieure (11 932,71 FCFA) et la borne supérieure (13 382,79 FCFA), sans franchissement de seuil. Cette position médiane-basse, combinée à un resserrement des bandes, traduit une volatilité en compression et une décision « Neutre » : le marché attend un catalyseur directionnel avant de trancher.</w:t>
      </w:r>
    </w:p>
    <w:p>
      <w:pPr>
        <w:spacing w:after="120" w:line="276" w:lineRule="auto"/>
      </w:pPr>
      <w:r>
        <w:t>**MACD** — La ligne MACD (184,005) est nettement inférieure à sa ligne de signal (317,942), générant un croisement baissier et une décision « Vente ». Ce différentiel négatif signale un essoufflement du momentum haussier à court terme, bien que la valeur absolue du MACD reste positive, ce qui tempère la portée du signal.</w:t>
      </w:r>
    </w:p>
    <w:p>
      <w:pPr>
        <w:spacing w:after="120" w:line="276" w:lineRule="auto"/>
      </w:pPr>
      <w:r>
        <w:t>**RSI** — À **19,444**, le RSI se situe très largement sous le seuil de survente (30), une zone extrême qui déclenche mécaniquement une décision « Achat ». Un RSI aussi bas après une correction de -1,61% suggère un excès baissier de court terme et un potentiel de rebond technique.</w:t>
      </w:r>
    </w:p>
    <w:p>
      <w:pPr>
        <w:spacing w:after="120" w:line="276" w:lineRule="auto"/>
      </w:pPr>
      <w:r>
        <w:t>**Stochastique** — Le %K à 0,0 et le %D à 11,267 confirment une situation de survente profonde, avec un %K collé au plancher. La décision « Achat » s'explique par l'anticipation d'un croisement haussier imminent du %K au-dessus du %D, signal classique de retournement.</w:t>
      </w:r>
    </w:p>
    <w:p>
      <w:pPr>
        <w:spacing w:after="120" w:line="276" w:lineRule="auto"/>
      </w:pPr>
      <w:r>
        <w:t>**Conclusion technique** — Les indicateurs présentent une **divergence notable** : les oscillateurs (RSI à 19,4, Stochastique à 0,0) crient à la survente et plaident pour un rebond, tandis que le MACD reste baissier et que les Bandes de Bollinger affichent une neutralité attentiste. Les moyennes mobiles conservent une structure haussière de fond. La lecture dominante est celle d'une **correction technique au sein d'une tendance haussière intacte**, avec un point d'entrée tactique possible autour de 11 900-12 000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BOAC affiche un **PNB de 73 545 Mds FCFA** (équivalent du chiffre d'affaires bancaire), en légère hausse de +1,1% par rapport à 2024 (72 724 Mds FCFA), et un **résultat net de 35 540 Mds FCFA**, en progression de +10,9% (contre 32 045 Mds FCFA en 2024). La rentabilité est exceptionnelle : **ROE de 27,91%** (largement supérieur au seuil de 15% considéré comme excellent) et **ROA de 3,22%**, tandis que la **marge nette de 48,32%** témoigne d'une capacité remarquable à transformer le PNB en profit. Le **coefficient d'exploitation de 36,70%** confirme l'efficacité opérationnelle de la banque (seuil d'excellence &lt;50%), et le **coût du risque de 6,67%** reste contenu malgré la hausse de +52,1% des créances en souffrance (taux de sinistralité à 8,59%, provisionnement à 65,76%). La structure bilancielle est solide : **dépôts clientèle de 850 548 Mds FCFA** contre **créances clientèle de 430 433 Mds FCFA**, soit un ratio de transformation de 50,6%, et une **trésorerie nette de 161 550 Mds FCFA**. L'autonomie financière (11,54%) reste faible, mais c'est une caractéristique structurelle du modèle bancaire.</w:t>
      </w:r>
    </w:p>
    <w:p>
      <w:pPr>
        <w:spacing w:after="120" w:line="276" w:lineRule="auto"/>
      </w:pPr>
      <w:r>
        <w:t>**Estimations issues des rapports trimestriels** — Le **rapport T1 2026 (daté du 31/03/2026)** révèle un PNB de 18 960 Mds FCFA (+3,09% sur un an) et un résultat net de 10 801 Mds FCFA (+0,91%), mais surtout un **bond spectaculaire du coût net du risque de +314,75%** (-652 vs -157 Mds FCFA), un signal de vigilance majeur. Le **rapport annuel 2025 (daté du 31/12/2025)** confirme la solidité avec un résultat net par action de 889 FCFA et un dividende de 684 FCFA/action au titre de 2024 (taux de distribution ~65%). Le **rapport T3 2025 (daté du 30/09/2025)** montrait déjà une collecte de dépôts dynamique (+10,28%) mais un recul des crédits nets (-11,97%), une tendance confirmée au T1 2026 (dépôts +21,44%, crédits -0,29%). Sur cette base, on estime que l'exercice 2026 devrait maintenir une croissance modérée du PNB (+2 à +4%) et un résultat net stable, sous réserve que la dégradation du coût du risque ne s'amplifie pas. La recommandation fondamentale est **CONSERVER**, avec un biais positif lié à la solidité du bilan et à la générosité du dividende, mais une vigilance accrue sur la qualité du portefeuille de crédit.</w:t>
      </w:r>
    </w:p>
    <w:p>
      <w:pPr>
        <w:spacing w:after="120" w:line="276" w:lineRule="auto"/>
      </w:pPr>
      <w:r>
        <w:t>---</w:t>
      </w:r>
    </w:p>
    <w:p>
      <w:pPr>
        <w:spacing w:after="120" w:line="276" w:lineRule="auto"/>
      </w:pPr>
      <w:r>
        <w:t>## PARTIE 4 : CONCLUSION D'INVESTISSEMENT</w:t>
      </w:r>
    </w:p>
    <w:p>
      <w:pPr>
        <w:spacing w:after="120" w:line="276" w:lineRule="auto"/>
      </w:pPr>
      <w:r>
        <w:t>La valorisation de BOAC (PER 13,7x, P/B 3,83x, EV/EBITDA 27,1x) traduit une **prime de qualité** justifiée par un ROE de 27,91% et une marge nette de 48,32%, mais l'EV/EBITDA très exigeant laisse peu de marge d'erreur. Le comportement du cours sur 100 jours est nettement haussier (+43,61%), avec une volatilité modérée (25,4%) et une distribution platykurtique (kurtosis -1,111) qui limite le risque de pics extrêmes, bien que le skewness positif (0,718) invite à la prudence. Les signaux techniques sont **divergents** : les oscillateurs (RSI à 19,4, Stochastique à 0,0) plaident pour un rebond imminent, tandis que le MACD reste baissier et que les Bandes de Bollinger affichent une neutralité attentiste — la structure des moyennes mobiles demeure toutefois haussière. Les fondamentaux 2025 sont solides (PNB 73 545 Mds FCFA, résultat net 35 540 Mds FCFA, ROE 27,91%), mais le rapport T1 2026 (daté du 31/03/2026) révèle une **dégradation brutale du coût du risque (+314,75%)** qui constitue le principal point de vigilance. Les **prédictions IA (J+1 à J+10)** anticipent une trajectoire baissière graduelle de 12 113 FCFA à 11 722 FCFA, ce qui **contredit partiellement** les signaux de survente technique et suggère que la correction pourrait se poursuivre à court terme.</w:t>
      </w:r>
    </w:p>
    <w:p>
      <w:pPr>
        <w:spacing w:after="120" w:line="276" w:lineRule="auto"/>
      </w:pPr>
      <w:r>
        <w:t>**Recommandation finale : CONSERVER** — La convergence entre une valorisation exigeante, des fondamentaux solides mais un coût du risque en dégradation, et des signaux techniques mitigés (survente vs MACD baissier) ne justifie ni un achat agressif ni une vente. Les prédictions IA baissières à court terme confirment cette prudence. **Niveau de confiance : Moyen** — **Niveau de risque global : Moyen** — **Horizon d'investissement optimal : Moyen terme (3-12 mois)**, en attendant la confirmation de la trajectoire du coût du risque au T2 2026 et un éventuel retournement technique haussier (croisement MACD, cassure de la MM20).</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192.15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6,314 titres</w:t>
            </w:r>
          </w:p>
        </w:tc>
        <w:tc>
          <w:tcPr>
            <w:tcW w:type="dxa" w:w="2268"/>
            <w:shd w:fill="FFF2CC" w:val="clear"/>
          </w:tcPr>
          <w:p>
            <w:r>
              <w:rPr>
                <w:b/>
                <w:color w:val="503200"/>
                <w:sz w:val="16"/>
              </w:rPr>
              <w:t xml:space="preserve">Cours actuel : </w:t>
            </w:r>
            <w:r>
              <w:rPr>
                <w:color w:val="000000"/>
                <w:sz w:val="17"/>
              </w:rPr>
              <w:t>7,000 FCFA</w:t>
            </w:r>
          </w:p>
          <w:p>
            <w:r>
              <w:rPr>
                <w:b/>
                <w:color w:val="503200"/>
                <w:sz w:val="16"/>
              </w:rPr>
              <w:t xml:space="preserve">Var. 100 jours : </w:t>
            </w:r>
            <w:r>
              <w:rPr>
                <w:b/>
                <w:color w:val="007800"/>
                <w:sz w:val="17"/>
              </w:rPr>
              <w:t>+49.09%</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14.35% (Moyenne) — μ=5,402 FCFA, σ=775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β=0.3901 (Défensif) — Cov=0.000014, Var(idx)=0.000035, ρ=0.106,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6,763</w:t>
            </w:r>
          </w:p>
        </w:tc>
        <w:tc>
          <w:tcPr>
            <w:tcW w:type="dxa" w:w="1440"/>
            <w:shd w:fill="FAFAFA" w:val="clear"/>
          </w:tcPr>
          <w:p>
            <w:r>
              <w:rPr>
                <w:b/>
                <w:sz w:val="17"/>
              </w:rPr>
              <w:t>6,985</w:t>
            </w:r>
          </w:p>
        </w:tc>
        <w:tc>
          <w:tcPr>
            <w:tcW w:type="dxa" w:w="1440"/>
            <w:shd w:fill="FAFAFA" w:val="clear"/>
          </w:tcPr>
          <w:p>
            <w:r>
              <w:rPr>
                <w:sz w:val="17"/>
              </w:rPr>
              <w:t>7,206</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6,699</w:t>
            </w:r>
          </w:p>
        </w:tc>
        <w:tc>
          <w:tcPr>
            <w:tcW w:type="dxa" w:w="1440"/>
            <w:shd w:fill="FAFAFA" w:val="clear"/>
          </w:tcPr>
          <w:p>
            <w:r>
              <w:rPr>
                <w:b/>
                <w:sz w:val="17"/>
              </w:rPr>
              <w:t>7,014</w:t>
            </w:r>
          </w:p>
        </w:tc>
        <w:tc>
          <w:tcPr>
            <w:tcW w:type="dxa" w:w="1440"/>
            <w:shd w:fill="FAFAFA" w:val="clear"/>
          </w:tcPr>
          <w:p>
            <w:r>
              <w:rPr>
                <w:sz w:val="17"/>
              </w:rPr>
              <w:t>7,328</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6,663</w:t>
            </w:r>
          </w:p>
        </w:tc>
        <w:tc>
          <w:tcPr>
            <w:tcW w:type="dxa" w:w="1440"/>
            <w:shd w:fill="FAFAFA" w:val="clear"/>
          </w:tcPr>
          <w:p>
            <w:r>
              <w:rPr>
                <w:b/>
                <w:sz w:val="17"/>
              </w:rPr>
              <w:t>7,051</w:t>
            </w:r>
          </w:p>
        </w:tc>
        <w:tc>
          <w:tcPr>
            <w:tcW w:type="dxa" w:w="1440"/>
            <w:shd w:fill="FAFAFA" w:val="clear"/>
          </w:tcPr>
          <w:p>
            <w:r>
              <w:rPr>
                <w:sz w:val="17"/>
              </w:rPr>
              <w:t>7,438</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2026-09-21</w:t>
            </w:r>
          </w:p>
        </w:tc>
        <w:tc>
          <w:tcPr>
            <w:tcW w:type="dxa" w:w="1440"/>
            <w:shd w:fill="FAFAFA" w:val="clear"/>
          </w:tcPr>
          <w:p>
            <w:r>
              <w:rPr>
                <w:sz w:val="17"/>
              </w:rPr>
              <w:t>6,633</w:t>
            </w:r>
          </w:p>
        </w:tc>
        <w:tc>
          <w:tcPr>
            <w:tcW w:type="dxa" w:w="1440"/>
            <w:shd w:fill="FAFAFA" w:val="clear"/>
          </w:tcPr>
          <w:p>
            <w:r>
              <w:rPr>
                <w:b/>
                <w:sz w:val="17"/>
              </w:rPr>
              <w:t>7,082</w:t>
            </w:r>
          </w:p>
        </w:tc>
        <w:tc>
          <w:tcPr>
            <w:tcW w:type="dxa" w:w="1440"/>
            <w:shd w:fill="FAFAFA" w:val="clear"/>
          </w:tcPr>
          <w:p>
            <w:r>
              <w:rPr>
                <w:sz w:val="17"/>
              </w:rPr>
              <w:t>7,531</w:t>
            </w:r>
          </w:p>
        </w:tc>
        <w:tc>
          <w:tcPr>
            <w:tcW w:type="dxa" w:w="1440"/>
            <w:shd w:fill="FAFAFA" w:val="clear"/>
          </w:tcPr>
          <w:p>
            <w:r>
              <w:rPr>
                <w:b/>
                <w:color w:val="008000"/>
                <w:sz w:val="17"/>
              </w:rPr>
              <w:t>+1.2%</w:t>
            </w:r>
          </w:p>
        </w:tc>
      </w:tr>
      <w:tr>
        <w:tc>
          <w:tcPr>
            <w:tcW w:type="dxa" w:w="1440"/>
            <w:shd w:fill="FAFAFA" w:val="clear"/>
          </w:tcPr>
          <w:p>
            <w:r>
              <w:rPr>
                <w:sz w:val="17"/>
              </w:rPr>
              <w:t>J+5  Moyenne</w:t>
            </w:r>
          </w:p>
        </w:tc>
        <w:tc>
          <w:tcPr>
            <w:tcW w:type="dxa" w:w="1440"/>
            <w:shd w:fill="FAFAFA" w:val="clear"/>
          </w:tcPr>
          <w:p>
            <w:r>
              <w:rPr>
                <w:sz w:val="17"/>
              </w:rPr>
              <w:t>2026-09-22</w:t>
            </w:r>
          </w:p>
        </w:tc>
        <w:tc>
          <w:tcPr>
            <w:tcW w:type="dxa" w:w="1440"/>
            <w:shd w:fill="FAFAFA" w:val="clear"/>
          </w:tcPr>
          <w:p>
            <w:r>
              <w:rPr>
                <w:sz w:val="17"/>
              </w:rPr>
              <w:t>6,603</w:t>
            </w:r>
          </w:p>
        </w:tc>
        <w:tc>
          <w:tcPr>
            <w:tcW w:type="dxa" w:w="1440"/>
            <w:shd w:fill="FAFAFA" w:val="clear"/>
          </w:tcPr>
          <w:p>
            <w:r>
              <w:rPr>
                <w:b/>
                <w:sz w:val="17"/>
              </w:rPr>
              <w:t>7,107</w:t>
            </w:r>
          </w:p>
        </w:tc>
        <w:tc>
          <w:tcPr>
            <w:tcW w:type="dxa" w:w="1440"/>
            <w:shd w:fill="FAFAFA" w:val="clear"/>
          </w:tcPr>
          <w:p>
            <w:r>
              <w:rPr>
                <w:sz w:val="17"/>
              </w:rPr>
              <w:t>7,611</w:t>
            </w:r>
          </w:p>
        </w:tc>
        <w:tc>
          <w:tcPr>
            <w:tcW w:type="dxa" w:w="1440"/>
            <w:shd w:fill="FAFAFA" w:val="clear"/>
          </w:tcPr>
          <w:p>
            <w:r>
              <w:rPr>
                <w:b/>
                <w:color w:val="008000"/>
                <w:sz w:val="17"/>
              </w:rPr>
              <w:t>+1.5%</w:t>
            </w:r>
          </w:p>
        </w:tc>
      </w:tr>
      <w:tr>
        <w:tc>
          <w:tcPr>
            <w:tcW w:type="dxa" w:w="1440"/>
            <w:shd w:fill="FAFAFA" w:val="clear"/>
          </w:tcPr>
          <w:p>
            <w:r>
              <w:rPr>
                <w:sz w:val="17"/>
              </w:rPr>
              <w:t>J+6  Moyenne</w:t>
            </w:r>
          </w:p>
        </w:tc>
        <w:tc>
          <w:tcPr>
            <w:tcW w:type="dxa" w:w="1440"/>
            <w:shd w:fill="FAFAFA" w:val="clear"/>
          </w:tcPr>
          <w:p>
            <w:r>
              <w:rPr>
                <w:sz w:val="17"/>
              </w:rPr>
              <w:t>2026-09-23</w:t>
            </w:r>
          </w:p>
        </w:tc>
        <w:tc>
          <w:tcPr>
            <w:tcW w:type="dxa" w:w="1440"/>
            <w:shd w:fill="FAFAFA" w:val="clear"/>
          </w:tcPr>
          <w:p>
            <w:r>
              <w:rPr>
                <w:sz w:val="17"/>
              </w:rPr>
              <w:t>6,574</w:t>
            </w:r>
          </w:p>
        </w:tc>
        <w:tc>
          <w:tcPr>
            <w:tcW w:type="dxa" w:w="1440"/>
            <w:shd w:fill="FAFAFA" w:val="clear"/>
          </w:tcPr>
          <w:p>
            <w:r>
              <w:rPr>
                <w:b/>
                <w:sz w:val="17"/>
              </w:rPr>
              <w:t>7,128</w:t>
            </w:r>
          </w:p>
        </w:tc>
        <w:tc>
          <w:tcPr>
            <w:tcW w:type="dxa" w:w="1440"/>
            <w:shd w:fill="FAFAFA" w:val="clear"/>
          </w:tcPr>
          <w:p>
            <w:r>
              <w:rPr>
                <w:sz w:val="17"/>
              </w:rPr>
              <w:t>7,682</w:t>
            </w:r>
          </w:p>
        </w:tc>
        <w:tc>
          <w:tcPr>
            <w:tcW w:type="dxa" w:w="1440"/>
            <w:shd w:fill="FAFAFA" w:val="clear"/>
          </w:tcPr>
          <w:p>
            <w:r>
              <w:rPr>
                <w:b/>
                <w:color w:val="008000"/>
                <w:sz w:val="17"/>
              </w:rPr>
              <w:t>+1.8%</w:t>
            </w:r>
          </w:p>
        </w:tc>
      </w:tr>
      <w:tr>
        <w:tc>
          <w:tcPr>
            <w:tcW w:type="dxa" w:w="1440"/>
            <w:shd w:fill="C6EFCE" w:val="clear"/>
          </w:tcPr>
          <w:p>
            <w:r>
              <w:rPr>
                <w:sz w:val="17"/>
              </w:rPr>
              <w:t>J+7  Moyenne</w:t>
            </w:r>
          </w:p>
        </w:tc>
        <w:tc>
          <w:tcPr>
            <w:tcW w:type="dxa" w:w="1440"/>
            <w:shd w:fill="C6EFCE" w:val="clear"/>
          </w:tcPr>
          <w:p>
            <w:r>
              <w:rPr>
                <w:sz w:val="17"/>
              </w:rPr>
              <w:t>2026-09-24</w:t>
            </w:r>
          </w:p>
        </w:tc>
        <w:tc>
          <w:tcPr>
            <w:tcW w:type="dxa" w:w="1440"/>
            <w:shd w:fill="C6EFCE" w:val="clear"/>
          </w:tcPr>
          <w:p>
            <w:r>
              <w:rPr>
                <w:sz w:val="17"/>
              </w:rPr>
              <w:t>6,547</w:t>
            </w:r>
          </w:p>
        </w:tc>
        <w:tc>
          <w:tcPr>
            <w:tcW w:type="dxa" w:w="1440"/>
            <w:shd w:fill="C6EFCE" w:val="clear"/>
          </w:tcPr>
          <w:p>
            <w:r>
              <w:rPr>
                <w:b/>
                <w:sz w:val="17"/>
              </w:rPr>
              <w:t>7,147</w:t>
            </w:r>
          </w:p>
        </w:tc>
        <w:tc>
          <w:tcPr>
            <w:tcW w:type="dxa" w:w="1440"/>
            <w:shd w:fill="C6EFCE" w:val="clear"/>
          </w:tcPr>
          <w:p>
            <w:r>
              <w:rPr>
                <w:sz w:val="17"/>
              </w:rPr>
              <w:t>7,746</w:t>
            </w:r>
          </w:p>
        </w:tc>
        <w:tc>
          <w:tcPr>
            <w:tcW w:type="dxa" w:w="1440"/>
            <w:shd w:fill="C6EFCE" w:val="clear"/>
          </w:tcPr>
          <w:p>
            <w:r>
              <w:rPr>
                <w:b/>
                <w:color w:val="008000"/>
                <w:sz w:val="17"/>
              </w:rPr>
              <w:t>+2.1%</w:t>
            </w:r>
          </w:p>
        </w:tc>
      </w:tr>
      <w:tr>
        <w:tc>
          <w:tcPr>
            <w:tcW w:type="dxa" w:w="1440"/>
            <w:shd w:fill="C6EFCE" w:val="clear"/>
          </w:tcPr>
          <w:p>
            <w:r>
              <w:rPr>
                <w:sz w:val="17"/>
              </w:rPr>
              <w:t>J+8  Moyenne</w:t>
            </w:r>
          </w:p>
        </w:tc>
        <w:tc>
          <w:tcPr>
            <w:tcW w:type="dxa" w:w="1440"/>
            <w:shd w:fill="C6EFCE" w:val="clear"/>
          </w:tcPr>
          <w:p>
            <w:r>
              <w:rPr>
                <w:sz w:val="17"/>
              </w:rPr>
              <w:t>2026-09-25</w:t>
            </w:r>
          </w:p>
        </w:tc>
        <w:tc>
          <w:tcPr>
            <w:tcW w:type="dxa" w:w="1440"/>
            <w:shd w:fill="C6EFCE" w:val="clear"/>
          </w:tcPr>
          <w:p>
            <w:r>
              <w:rPr>
                <w:sz w:val="17"/>
              </w:rPr>
              <w:t>6,522</w:t>
            </w:r>
          </w:p>
        </w:tc>
        <w:tc>
          <w:tcPr>
            <w:tcW w:type="dxa" w:w="1440"/>
            <w:shd w:fill="C6EFCE" w:val="clear"/>
          </w:tcPr>
          <w:p>
            <w:r>
              <w:rPr>
                <w:b/>
                <w:sz w:val="17"/>
              </w:rPr>
              <w:t>7,164</w:t>
            </w:r>
          </w:p>
        </w:tc>
        <w:tc>
          <w:tcPr>
            <w:tcW w:type="dxa" w:w="1440"/>
            <w:shd w:fill="C6EFCE" w:val="clear"/>
          </w:tcPr>
          <w:p>
            <w:r>
              <w:rPr>
                <w:sz w:val="17"/>
              </w:rPr>
              <w:t>7,807</w:t>
            </w:r>
          </w:p>
        </w:tc>
        <w:tc>
          <w:tcPr>
            <w:tcW w:type="dxa" w:w="1440"/>
            <w:shd w:fill="C6EFCE" w:val="clear"/>
          </w:tcPr>
          <w:p>
            <w:r>
              <w:rPr>
                <w:b/>
                <w:color w:val="008000"/>
                <w:sz w:val="17"/>
              </w:rPr>
              <w:t>+2.3%</w:t>
            </w:r>
          </w:p>
        </w:tc>
      </w:tr>
      <w:tr>
        <w:tc>
          <w:tcPr>
            <w:tcW w:type="dxa" w:w="1440"/>
            <w:shd w:fill="C6EFCE" w:val="clear"/>
          </w:tcPr>
          <w:p>
            <w:r>
              <w:rPr>
                <w:sz w:val="17"/>
              </w:rPr>
              <w:t>J+9  Moyenne</w:t>
            </w:r>
          </w:p>
        </w:tc>
        <w:tc>
          <w:tcPr>
            <w:tcW w:type="dxa" w:w="1440"/>
            <w:shd w:fill="C6EFCE" w:val="clear"/>
          </w:tcPr>
          <w:p>
            <w:r>
              <w:rPr>
                <w:sz w:val="17"/>
              </w:rPr>
              <w:t>2026-09-28</w:t>
            </w:r>
          </w:p>
        </w:tc>
        <w:tc>
          <w:tcPr>
            <w:tcW w:type="dxa" w:w="1440"/>
            <w:shd w:fill="C6EFCE" w:val="clear"/>
          </w:tcPr>
          <w:p>
            <w:r>
              <w:rPr>
                <w:sz w:val="17"/>
              </w:rPr>
              <w:t>6,498</w:t>
            </w:r>
          </w:p>
        </w:tc>
        <w:tc>
          <w:tcPr>
            <w:tcW w:type="dxa" w:w="1440"/>
            <w:shd w:fill="C6EFCE" w:val="clear"/>
          </w:tcPr>
          <w:p>
            <w:r>
              <w:rPr>
                <w:b/>
                <w:sz w:val="17"/>
              </w:rPr>
              <w:t>7,181</w:t>
            </w:r>
          </w:p>
        </w:tc>
        <w:tc>
          <w:tcPr>
            <w:tcW w:type="dxa" w:w="1440"/>
            <w:shd w:fill="C6EFCE" w:val="clear"/>
          </w:tcPr>
          <w:p>
            <w:r>
              <w:rPr>
                <w:sz w:val="17"/>
              </w:rPr>
              <w:t>7,864</w:t>
            </w:r>
          </w:p>
        </w:tc>
        <w:tc>
          <w:tcPr>
            <w:tcW w:type="dxa" w:w="1440"/>
            <w:shd w:fill="C6EFCE" w:val="clear"/>
          </w:tcPr>
          <w:p>
            <w:r>
              <w:rPr>
                <w:b/>
                <w:color w:val="008000"/>
                <w:sz w:val="17"/>
              </w:rPr>
              <w:t>+2.6%</w:t>
            </w:r>
          </w:p>
        </w:tc>
      </w:tr>
      <w:tr>
        <w:tc>
          <w:tcPr>
            <w:tcW w:type="dxa" w:w="1440"/>
            <w:shd w:fill="C6EFCE" w:val="clear"/>
          </w:tcPr>
          <w:p>
            <w:r>
              <w:rPr>
                <w:sz w:val="17"/>
              </w:rPr>
              <w:t>J+10  Moyenne</w:t>
            </w:r>
          </w:p>
        </w:tc>
        <w:tc>
          <w:tcPr>
            <w:tcW w:type="dxa" w:w="1440"/>
            <w:shd w:fill="C6EFCE" w:val="clear"/>
          </w:tcPr>
          <w:p>
            <w:r>
              <w:rPr>
                <w:sz w:val="17"/>
              </w:rPr>
              <w:t>2026-09-29</w:t>
            </w:r>
          </w:p>
        </w:tc>
        <w:tc>
          <w:tcPr>
            <w:tcW w:type="dxa" w:w="1440"/>
            <w:shd w:fill="C6EFCE" w:val="clear"/>
          </w:tcPr>
          <w:p>
            <w:r>
              <w:rPr>
                <w:sz w:val="17"/>
              </w:rPr>
              <w:t>6,474</w:t>
            </w:r>
          </w:p>
        </w:tc>
        <w:tc>
          <w:tcPr>
            <w:tcW w:type="dxa" w:w="1440"/>
            <w:shd w:fill="C6EFCE" w:val="clear"/>
          </w:tcPr>
          <w:p>
            <w:r>
              <w:rPr>
                <w:b/>
                <w:sz w:val="17"/>
              </w:rPr>
              <w:t>7,196</w:t>
            </w:r>
          </w:p>
        </w:tc>
        <w:tc>
          <w:tcPr>
            <w:tcW w:type="dxa" w:w="1440"/>
            <w:shd w:fill="C6EFCE" w:val="clear"/>
          </w:tcPr>
          <w:p>
            <w:r>
              <w:rPr>
                <w:sz w:val="17"/>
              </w:rPr>
              <w:t>7,918</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BANK OF AFRICA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192,15 milliards FCFA, BOAM se positionne parmi les valeurs bancaires de premier plan de la cote BRVM, reflétant la solidité de son bilan de 593,455 milliards FCFA. Le BPA de 404 FCFA/action signifie que chaque titre génère près de 404 FCFA de bénéfice net, ce qui, rapporté au cours actuel de 7 000 FCFA, donne un PER de 17,3x — soit une prime notable par rapport à la moyenne du marché BRVM (8-12x), traduisant une anticipation de croissance par les investisseurs. Le P/B de 3,86x indique que le marché valorise la banque à près de quatre fois sa valeur comptable (capitaux propres de 49,820 Mds FCFA), une prime de croissance cohérente avec un ROE de 22,24%. Enfin, l'EV/EBITDA de 9,5x, situé dans la fourchette raisonnable de 5-10x, suggère que la valeur d'entreprise reste proportionnée à la capacité opérationnelle de la banque, sans exubérance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BOAM a enregistré une progression spectaculaire de +49,09%, passant d'un plus bas de 4 425 FCFA à un plus haut de 7 195 FCFA, pour un cours actuel de 7 000 FCFA — la dernière séance ayant toutefois cédé 1,34%, marquant une légère prise de bénéfices. Le range de trading de 2 770 FCFA (soit 62,6% du plus bas) témoigne d'une tendance nettement haussière, portée par un volume moyen quotidien de 6 314 titres, signe d'un intérêt soutenu des investisseurs. Les statistiques descriptives révèlent une moyenne de 5 402 FCFA supérieure à la médiane de 5 105 FCFA, confirmant une asymétrie positive (skewness de 0,677) avec davantage de journées sous la moyenne mais des pics haussiers marqués. L'écart-type de 779 FCFA (CV de 14,4%) indique une dispersion modérée autour de la tendance, tandis que le kurtosis de -0,709 (mésokurtique) suggère une distribution proche de la normale, sans risque excessif de pics extrêmes. La volatilité annualisée de 34,3% classe le titre dans la catégorie des valeurs à volatilité élevée (&gt;30%), ce qui est cohérent avec son statut de valeur de croissance sur la BRVM et invite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6 656,25 FCFA et la MM50 à 6 051,3 FCFA, toutes deux inférieures au cours actuel de 7 000 FCFA, ce qui confirme une configuration haussière avec le prix au-dessus de ses moyennes. L'écart positif entre la MM20 et la MM50 (604,95 FCFA) traduit un momentum ascendant soutenu, justifiant la décision technique d'**Achat**.</w:t>
      </w:r>
    </w:p>
    <w:p>
      <w:pPr>
        <w:spacing w:after="120" w:line="276" w:lineRule="auto"/>
      </w:pPr>
      <w:r>
        <w:t>**Bandes de Bollinger** : Le cours de 7 000 FCFA se situe entre la borne inférieure (6 034,124 FCFA) et la borne supérieure (7 278,376 FCFA), plus proche de cette dernière, sans la franchir. Cette position médiane-haute indique une volatilité contenue et l'absence de signal de surachat extrême, justifiant la décision **Neutre** — le titre évolue dans un canal haussier sans excès.</w:t>
      </w:r>
    </w:p>
    <w:p>
      <w:pPr>
        <w:spacing w:after="120" w:line="276" w:lineRule="auto"/>
      </w:pPr>
      <w:r>
        <w:t>**MACD** : La valeur du MACD (313,005) dépasse son signal (294,422), générant un histogramme positif de 18,583 points. Cette configuration haussière confirme que le momentum reste favorable aux acheteurs, bien que l'écart modéré suggère une dynamique positive sans accélération brutale, validant la décision d'**Achat**.</w:t>
      </w:r>
    </w:p>
    <w:p>
      <w:pPr>
        <w:spacing w:after="120" w:line="276" w:lineRule="auto"/>
      </w:pPr>
      <w:r>
        <w:t>**RSI** : À 61,45, le RSI se situe dans la zone neutre-haute (30-70), sans atteindre le seuil de surachat de 70. Cette position indique que le titre conserve un potentiel de hausse résiduel sans être techniquement épuisé, justifiant la décision **Neutre** — ni signal d'achat agressif, ni signal de vente.</w:t>
      </w:r>
    </w:p>
    <w:p>
      <w:pPr>
        <w:spacing w:after="120" w:line="276" w:lineRule="auto"/>
      </w:pPr>
      <w:r>
        <w:t>**Stochastique** : Le %K (75,472) est inférieur au %D (85,744), avec un croisement baissier en zone haute (&gt;80), signalant un essoufflement potentiel de la dynamique haussière à court terme. Cette configuration, bien que non confirmée par les autres indicateurs, justifie la décision **Neutre** et invite à la vigilance sur un possible repli technique.</w:t>
      </w:r>
    </w:p>
    <w:p>
      <w:pPr>
        <w:spacing w:after="120" w:line="276" w:lineRule="auto"/>
      </w:pPr>
      <w:r>
        <w:t>**Conclusion technique** : Les indicateurs techniques présentent un tableau globalement haussier mais avec des signaux de prudence à court terme. Les moyennes mobiles et le MACD confirment la tendance ascendante, tandis que les Bandes de Bollinger, le RSI et le Stochastique suggèrent une phase de consolidation possible. La convergence partielle des signaux plaide pour un maintien des positions avec un œil attentif sur le support des 6 656 FCFA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BOAM affiche des fondamentaux bancaires solides avec un Produit Net Bancaire (PNB) de 37,996 milliards FCFA, un résultat net de 11,081 milliards FCFA et un ROE remarquable de 22,24% — bien supérieur au seuil d'excellence de 15% — pour un ROA de 1,87%. Le coefficient d'exploitation de 63,14% reste légèrement au-dessus du seuil de 60% considéré comme efficace, indiquant une marge d'optimisation opérationnelle, tandis que le coût du risque rapporté aux charges financières (43,39%) demeure élevé, signalant un portefeuille de crédits exposé à un risque significatif. La structure bilancielle révèle une dépendance financière de 91,61% (dettes/revenus), typique du modèle bancaire, mais une autonomie financière faible de 8,40% (capitaux propres/total bilan) et un ratio d'endettement de 55,33% qui méritent surveillance. La transformation bancaire est solide avec 502,890 Mds FCFA de dépôts clientèle pour 253,648 Mds FCFA de créances, soit un ratio de transformation de 50,5%, et une trésorerie nette de 86,368 Mds FCFA assurant une bonne liquidité. Les rapports trimestriels récents confirment la dynamique : le T1 2026 (publié le 31/12/2026) affiche un PNB de 10 322 millions FCFA en hausse de +22,97% sur un an, tandis que le T3 2025 (30/09/2025) montre un résultat net cumulé de 9,16 milliards FCFA (+26,2%) et un PNB de 28,52 milliards FCFA (+5,8%). Sur la base de ces tendances, on estime que l'exercice 2026 devrait enregistrer une accélération de la croissance du PNB, potentiellement au-delà de +10%, portée par la hausse des commissions et la maîtrise des coûts. La recommandation fondamentale est **solide** : la banque démontre une résilience remarquable dans un contexte malien difficile, avec une rentabilité en forte amélioration et une gestion prudente des risques, bien que la faible autonomie financière et le coût du risque élevé constituent des points de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BOAM (PER de 17,3x, P/B de 3,86x, EV/EBITDA de 9,5x) indique une prime de croissance significative par rapport au marché BRVM, justifiée par un ROE de 22,24% et une dynamique bénéficiaire robuste, mais qui limite la marge de sécurité pour les nouveaux entrants. Le comportement du cours sur 100 jours (+49,09%) avec une volatilité élevée (34,3%) et une asymétrie positive (skewness de 0,677) traduit un engouement des investisseurs, bien que la récente baisse de 1,34% en J-1 et le kurtosis mésokurtique suggèrent une possible consolidation. Les signaux techniques sont majoritairement haussiers (MM20 &gt; MM50, MACD positif) mais tempérés par le RSI neutre (61,45) et le croisement baissier du Stochastique, plaidant pour une convergence modérée vers un maintien des positions. Les fondamentaux 2025 (PNB de 37,996 Mds FCFA, résultat net de 11,081 Mds FCFA, ROE de 22,24%) et les rapports trimestriels (T1 2026 : PNB +22,97%) confirment la solidité et la trajectoire ascendante de la banque, malgré un coût du risque élevé et une faible autonomie financière. Les prédictions IA (J+1 à J+10 : 6 985 → 7 107 FCFA) anticipent une légère appréciation de +1,5% sur 10 jours, confirmant la tendance haussière de moyen terme sans emballement spéculatif. Sur la base de cette synthèse, la recommandation finale est **CONSERVER** avec un niveau de confiance **Moyen** et un risque global **Moyen** : la convergence entre fondamentaux solides, technique haussière et prédictions positives soutient le maintien des positions, mais la valorisation exigeante et les risques macroéconomiques (insécurité, inflation) invitent à la prudence pour les nouveaux investissements. L'horizon optimal est le **moyen terme (3-12 mois)**, le temps que les résultats annuels 2026 confirment la trajectoire de croissance et que le marché digère la hausse récente.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111.49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9,120 titres</w:t>
            </w:r>
          </w:p>
        </w:tc>
        <w:tc>
          <w:tcPr>
            <w:tcW w:type="dxa" w:w="2268"/>
            <w:shd w:fill="FFF2CC" w:val="clear"/>
          </w:tcPr>
          <w:p>
            <w:r>
              <w:rPr>
                <w:b/>
                <w:color w:val="503200"/>
                <w:sz w:val="16"/>
              </w:rPr>
              <w:t xml:space="preserve">Cours actuel : </w:t>
            </w:r>
            <w:r>
              <w:rPr>
                <w:color w:val="000000"/>
                <w:sz w:val="17"/>
              </w:rPr>
              <w:t>5,360 FCFA</w:t>
            </w:r>
          </w:p>
          <w:p>
            <w:r>
              <w:rPr>
                <w:b/>
                <w:color w:val="503200"/>
                <w:sz w:val="16"/>
              </w:rPr>
              <w:t xml:space="preserve">Var. 100 jours : </w:t>
            </w:r>
            <w:r>
              <w:rPr>
                <w:b/>
                <w:color w:val="007800"/>
                <w:sz w:val="17"/>
              </w:rPr>
              <w:t>+59.52%</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3,360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17.79% (Élevée) — μ=4,459 FCFA, σ=793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β=0.4565 (Défensif) — Cov=0.000016, Var(idx)=0.000035, ρ=0.116,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9,120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69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5,309</w:t>
            </w:r>
          </w:p>
        </w:tc>
        <w:tc>
          <w:tcPr>
            <w:tcW w:type="dxa" w:w="1440"/>
            <w:shd w:fill="FAFAFA" w:val="clear"/>
          </w:tcPr>
          <w:p>
            <w:r>
              <w:rPr>
                <w:b/>
                <w:sz w:val="17"/>
              </w:rPr>
              <w:t>5,456</w:t>
            </w:r>
          </w:p>
        </w:tc>
        <w:tc>
          <w:tcPr>
            <w:tcW w:type="dxa" w:w="1440"/>
            <w:shd w:fill="FAFAFA" w:val="clear"/>
          </w:tcPr>
          <w:p>
            <w:r>
              <w:rPr>
                <w:sz w:val="17"/>
              </w:rPr>
              <w:t>5,603</w:t>
            </w:r>
          </w:p>
        </w:tc>
        <w:tc>
          <w:tcPr>
            <w:tcW w:type="dxa" w:w="1440"/>
            <w:shd w:fill="FAFAFA" w:val="clear"/>
          </w:tcPr>
          <w:p>
            <w:r>
              <w:rPr>
                <w:b/>
                <w:color w:val="008000"/>
                <w:sz w:val="17"/>
              </w:rPr>
              <w:t>+1.8%</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5,226</w:t>
            </w:r>
          </w:p>
        </w:tc>
        <w:tc>
          <w:tcPr>
            <w:tcW w:type="dxa" w:w="1440"/>
            <w:shd w:fill="FAFAFA" w:val="clear"/>
          </w:tcPr>
          <w:p>
            <w:r>
              <w:rPr>
                <w:b/>
                <w:sz w:val="17"/>
              </w:rPr>
              <w:t>5,433</w:t>
            </w:r>
          </w:p>
        </w:tc>
        <w:tc>
          <w:tcPr>
            <w:tcW w:type="dxa" w:w="1440"/>
            <w:shd w:fill="FAFAFA" w:val="clear"/>
          </w:tcPr>
          <w:p>
            <w:r>
              <w:rPr>
                <w:sz w:val="17"/>
              </w:rPr>
              <w:t>5,640</w:t>
            </w:r>
          </w:p>
        </w:tc>
        <w:tc>
          <w:tcPr>
            <w:tcW w:type="dxa" w:w="1440"/>
            <w:shd w:fill="FAFAFA" w:val="clear"/>
          </w:tcPr>
          <w:p>
            <w:r>
              <w:rPr>
                <w:b/>
                <w:color w:val="008000"/>
                <w:sz w:val="17"/>
              </w:rPr>
              <w:t>+1.4%</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5,173</w:t>
            </w:r>
          </w:p>
        </w:tc>
        <w:tc>
          <w:tcPr>
            <w:tcW w:type="dxa" w:w="1440"/>
            <w:shd w:fill="FAFAFA" w:val="clear"/>
          </w:tcPr>
          <w:p>
            <w:r>
              <w:rPr>
                <w:b/>
                <w:sz w:val="17"/>
              </w:rPr>
              <w:t>5,426</w:t>
            </w:r>
          </w:p>
        </w:tc>
        <w:tc>
          <w:tcPr>
            <w:tcW w:type="dxa" w:w="1440"/>
            <w:shd w:fill="FAFAFA" w:val="clear"/>
          </w:tcPr>
          <w:p>
            <w:r>
              <w:rPr>
                <w:sz w:val="17"/>
              </w:rPr>
              <w:t>5,680</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5,130</w:t>
            </w:r>
          </w:p>
        </w:tc>
        <w:tc>
          <w:tcPr>
            <w:tcW w:type="dxa" w:w="1440"/>
            <w:shd w:fill="FAFAFA" w:val="clear"/>
          </w:tcPr>
          <w:p>
            <w:r>
              <w:rPr>
                <w:b/>
                <w:sz w:val="17"/>
              </w:rPr>
              <w:t>5,422</w:t>
            </w:r>
          </w:p>
        </w:tc>
        <w:tc>
          <w:tcPr>
            <w:tcW w:type="dxa" w:w="1440"/>
            <w:shd w:fill="FAFAFA" w:val="clear"/>
          </w:tcPr>
          <w:p>
            <w:r>
              <w:rPr>
                <w:sz w:val="17"/>
              </w:rPr>
              <w:t>5,714</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5,091</w:t>
            </w:r>
          </w:p>
        </w:tc>
        <w:tc>
          <w:tcPr>
            <w:tcW w:type="dxa" w:w="1440"/>
            <w:shd w:fill="FAFAFA" w:val="clear"/>
          </w:tcPr>
          <w:p>
            <w:r>
              <w:rPr>
                <w:b/>
                <w:sz w:val="17"/>
              </w:rPr>
              <w:t>5,418</w:t>
            </w:r>
          </w:p>
        </w:tc>
        <w:tc>
          <w:tcPr>
            <w:tcW w:type="dxa" w:w="1440"/>
            <w:shd w:fill="FAFAFA" w:val="clear"/>
          </w:tcPr>
          <w:p>
            <w:r>
              <w:rPr>
                <w:sz w:val="17"/>
              </w:rPr>
              <w:t>5,744</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5,056</w:t>
            </w:r>
          </w:p>
        </w:tc>
        <w:tc>
          <w:tcPr>
            <w:tcW w:type="dxa" w:w="1440"/>
            <w:shd w:fill="FAFAFA" w:val="clear"/>
          </w:tcPr>
          <w:p>
            <w:r>
              <w:rPr>
                <w:b/>
                <w:sz w:val="17"/>
              </w:rPr>
              <w:t>5,414</w:t>
            </w:r>
          </w:p>
        </w:tc>
        <w:tc>
          <w:tcPr>
            <w:tcW w:type="dxa" w:w="1440"/>
            <w:shd w:fill="FAFAFA" w:val="clear"/>
          </w:tcPr>
          <w:p>
            <w:r>
              <w:rPr>
                <w:sz w:val="17"/>
              </w:rPr>
              <w:t>5,771</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5,023</w:t>
            </w:r>
          </w:p>
        </w:tc>
        <w:tc>
          <w:tcPr>
            <w:tcW w:type="dxa" w:w="1440"/>
            <w:shd w:fill="FAFAFA" w:val="clear"/>
          </w:tcPr>
          <w:p>
            <w:r>
              <w:rPr>
                <w:b/>
                <w:sz w:val="17"/>
              </w:rPr>
              <w:t>5,409</w:t>
            </w:r>
          </w:p>
        </w:tc>
        <w:tc>
          <w:tcPr>
            <w:tcW w:type="dxa" w:w="1440"/>
            <w:shd w:fill="FAFAFA" w:val="clear"/>
          </w:tcPr>
          <w:p>
            <w:r>
              <w:rPr>
                <w:sz w:val="17"/>
              </w:rPr>
              <w:t>5,795</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4,993</w:t>
            </w:r>
          </w:p>
        </w:tc>
        <w:tc>
          <w:tcPr>
            <w:tcW w:type="dxa" w:w="1440"/>
            <w:shd w:fill="FAFAFA" w:val="clear"/>
          </w:tcPr>
          <w:p>
            <w:r>
              <w:rPr>
                <w:b/>
                <w:sz w:val="17"/>
              </w:rPr>
              <w:t>5,405</w:t>
            </w:r>
          </w:p>
        </w:tc>
        <w:tc>
          <w:tcPr>
            <w:tcW w:type="dxa" w:w="1440"/>
            <w:shd w:fill="FAFAFA" w:val="clear"/>
          </w:tcPr>
          <w:p>
            <w:r>
              <w:rPr>
                <w:sz w:val="17"/>
              </w:rPr>
              <w:t>5,817</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4,964</w:t>
            </w:r>
          </w:p>
        </w:tc>
        <w:tc>
          <w:tcPr>
            <w:tcW w:type="dxa" w:w="1440"/>
            <w:shd w:fill="FAFAFA" w:val="clear"/>
          </w:tcPr>
          <w:p>
            <w:r>
              <w:rPr>
                <w:b/>
                <w:sz w:val="17"/>
              </w:rPr>
              <w:t>5,401</w:t>
            </w:r>
          </w:p>
        </w:tc>
        <w:tc>
          <w:tcPr>
            <w:tcW w:type="dxa" w:w="1440"/>
            <w:shd w:fill="FAFAFA" w:val="clear"/>
          </w:tcPr>
          <w:p>
            <w:r>
              <w:rPr>
                <w:sz w:val="17"/>
              </w:rPr>
              <w:t>5,838</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4,937</w:t>
            </w:r>
          </w:p>
        </w:tc>
        <w:tc>
          <w:tcPr>
            <w:tcW w:type="dxa" w:w="1440"/>
            <w:shd w:fill="FAFAFA" w:val="clear"/>
          </w:tcPr>
          <w:p>
            <w:r>
              <w:rPr>
                <w:b/>
                <w:sz w:val="17"/>
              </w:rPr>
              <w:t>5,397</w:t>
            </w:r>
          </w:p>
        </w:tc>
        <w:tc>
          <w:tcPr>
            <w:tcW w:type="dxa" w:w="1440"/>
            <w:shd w:fill="FAFAFA" w:val="clear"/>
          </w:tcPr>
          <w:p>
            <w:r>
              <w:rPr>
                <w:sz w:val="17"/>
              </w:rPr>
              <w:t>5,857</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111,49 milliards FCFA, BOAN se positionne comme une valeur de taille intermédiaire sur la BRVM, représentant une capitalisation modeste à l'échelle du compartiment bancaire régional. Le BPA de 20 FCFA/action reflète un bénéfice unitaire très faible, conséquence directe de l'effondrement du résultat net 2025 à 409 millions FCFA. Le PER de 272,6x constitue un signal d'alerte majeur : les investisseurs paient plus de 270 fois les bénéfices actuels, un niveau stratosphérique comparé à la moyenne BRVM (~8-12x), traduisant soit une anticipation de rebond spectaculaire, soit une décorrélation préoccupante entre le cours et la réalité bénéficiaire. Le P/B de 3,09x indique que le marché valorise la banque à plus de trois fois ses fonds propres comptables (36,06 milliards FCFA), soit une prime de croissance significative difficile à justifier par les performances actuelles. L'EV/EBITDA de 40,5x, très supérieur au seuil de 15x généralement considéré comme exigeant, confirme que la valeur d'entreprise intègre des anticipations de redressement opérationnel très ambitieuses, rendant le titre vulnérable à toute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performance exceptionnelle de +59,52%, portée par un rallye haussier de grande ampleur, bien que la dernière séance (J-1) marque une correction de -3,86%, signalant une prise de profit après cette ascension rapide. Le cours actuel de 5 360 FCFA se situe dans la partie haute du range de trading établi entre 3 360 FCFA (plus bas) et 5 645 FCFA (plus haut), soit un écart de 2 285 FCFA (68% du plus bas), confirmant une tendance haussière dominante mais avec une volatilité intra-période élevée. Les statistiques descriptives révèlent une moyenne de 4 459 FCFA supérieure à la médiane de 4 220 FCFA, indiquant une asymétrie positive modérée (tirée vers le haut par les récents sommets), tandis que le mode à 3 500 FCFA rappelle que le cours a longtemps stagné en bas de range avant l'envolée récente. L'écart-type de 797 FCFA avec un coefficient de variation de 17,9% traduit une dispersion modérée à élevée du cours autour de sa moyenne, cohérente avec un titre en forte tendance. Le kurtosis négatif (-1,728, distribution platykurtique) indique une distribution aplatie avec une faible concentration des rendements autour de la moyenne, suggérant moins de pics extrêmes que dans une distribution normale — un élément rassurant pour la gestion du risque. Le skewness quasi nul (0,071) confirme une distribution symétrique des rendements, sans biais directionnel marqué. Enfin, la volatilité annualisée de 37,4% classe BOAN dans la catégorie des titres à volatilité élevée (&gt;30%), exigeant une tolérance au risque importante de la part des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(5 416 FCFA) et la MM50 (5 198,6 FCFA) se situent toutes deux sous le cours actuel (5 360 FCFA), avec la MM20 au-dessus de la MM50, configurant un croisement haussier classique (golden cross) et une structure de tendance positive. Le cours évoluant au-dessus de ses deux moyennes mobiles, la dynamique de court et moyen terme reste favorable, justifiant la décision technique d'**Achat**. Toutefois, l'écart entre le cours et la MM20 (56 FCFA, soit ~1%) est faible, suggérant une possible consolidation avant une nouvelle impulsion.</w:t>
      </w:r>
    </w:p>
    <w:p>
      <w:pPr>
        <w:spacing w:after="120" w:line="276" w:lineRule="auto"/>
      </w:pPr>
      <w:r>
        <w:t>**Bandes de Bollinger** : Le cours actuel (5 360 FCFA) se situe à l'intérieur des bandes, entre la borne inférieure (5 148,7 FCFA) et la borne supérieure (5 683,3 FCFA), mais plus proche de la borne basse que de la borne haute. Cette position médiane-basse, combinée à un RSI neutre, justifie la décision **Neutre** : le titre n'est ni en zone de surachat technique, ni en zone de survente, et la largeur des bandes (534,6 FCFA) reflète une volatilité encore présente mais en voie de normalisation après le rallye.</w:t>
      </w:r>
    </w:p>
    <w:p>
      <w:pPr>
        <w:spacing w:after="120" w:line="276" w:lineRule="auto"/>
      </w:pPr>
      <w:r>
        <w:t>**MACD** : La valeur du MACD (101,811) est inférieure à son signal (119,569), générant un croisement baissier (MACD sous signal) qui traduit un essoufflement du momentum haussier. Cette divergence négative, bien que modérée, justifie la décision de **Vente** technique à court terme, suggérant que la pression acheteuse s'affaiblit après la forte progression récente et qu'une correction ou consolidation est probable.</w:t>
      </w:r>
    </w:p>
    <w:p>
      <w:pPr>
        <w:spacing w:after="120" w:line="276" w:lineRule="auto"/>
      </w:pPr>
      <w:r>
        <w:t>**RSI** : À 50,244, le RSI se situe exactement en zone neutre (entre 30 et 70), ni en surachat (&gt;70) ni en survente (&lt;30). Cette position médiane indique un équilibre entre acheteurs et vendeurs, sans pression directionnelle dominante, justifiant la décision **Neutre**. Le RSI ne fournit donc pas de signal fort, laissant la primauté aux autres indicateurs pour la décision finale.</w:t>
      </w:r>
    </w:p>
    <w:p>
      <w:pPr>
        <w:spacing w:after="120" w:line="276" w:lineRule="auto"/>
      </w:pPr>
      <w:r>
        <w:t>**Stochastique** : Le %K à 0,0 (valeur extrême basse) contraste fortement avec le %D à 53,065, générant un croisement baissier marqué (%K sous %D) qui signale une perte de momentum haussière et une possible poursuite de la correction. Paradoxalement, la décision technique affichée est **Achat**, probablement en anticipation d'un rebond technique après ce que certains interprètent comme une survente à court terme (%K à 0 étant un niveau extrême). Cette divergence entre le signal brut (baissier) et la décision (achat) traduit une lecture contrariante : le marché anticipe un retournement haussier après la correction.</w:t>
      </w:r>
    </w:p>
    <w:p>
      <w:pPr>
        <w:spacing w:after="120" w:line="276" w:lineRule="auto"/>
      </w:pPr>
      <w:r>
        <w:t>**Conclusion technique** : Les indicateurs techniques présentent un tableau mitigé et divergent. Les moyennes mobiles restent haussières (cours &gt; MM20 &gt; MM50), mais le MACD et le stochastique signalent un essoufflement du momentum, tandis que le RSI et les bandes de Bollinger sont neutres. Cette configuration suggère une phase de consolidation ou de correction à court terme après le rallye de +59,52%, avec un risque de poursuite de la baisse vers la MM20 (5 416 FCFA) voire la borne inférieure de Bollinger (5 148 FCFA). La décision globale est **Neutre à légèrement baissière** à court terme, en attendant une clarification des signaux.</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BOAN a enregistré un Produit Net Bancaire (PNB) de 21 125 millions FCFA, en léger repli de -1,2% par rapport à 2024 (21 380 millions FCFA), marquant une stagnation de l'activité commerciale. Le résultat net s'est effondré à 409 millions FCFA, contre 5 002 millions FCFA en 2024, soit une chute de -91,8%, principalement due à une explosion du coût du risque (provisions) et à des charges exceptionnelles. Les ratios de rentabilité sont catastrophiques : ROE de 1,13% (contre 11,39% en 2024) et ROA de 0,14% (contre 1,49% en 2024), bien en deçà des standards bancaires (ROE &gt;15% = excellent). Le coefficient d'exploitation se dégrade à 74,37% (contre 58,1% au S1 2025), dépassant largement le seuil de 60% au-delà duquel une banque est considérée comme inefficace. Le coût du risque/charges financières atteint 67,30%, reflétant un portefeuille de crédits très dégradé (taux de créances en souffrance de 24% au Niger, contre 12% en moyenne UEMOA). La structure financière reste fragile : autonomie financière de 12,36% (capitaux propres/total bilan), ratio d'endettement de 178,61%, et trésorerie nette négative de -43,516 milliards FCFA. Les dépôts clientèle (183,28 milliards FCFA) couvrent les créances clientèle (128,45 milliards FCFA), avec un ratio de transformation de 70%, correct mais en baisse. **Estimations basées sur les rapports trimestriels** : Le rapport T1 2026 (publié le 31 mars 2026, analysé le 5 septembre 2026) fait état d'un PNB de 5 170 millions FCFA (+7,9% sur un an), d'un résultat net de 1 467,3 millions FCFA (+28,9%), et d'un coefficient d'exploitation ramené à 56,2% (contre 66,8% au T1 2025), signalant un début de redressement opérationnel. Le rapport du S2 2025 (publié le 31 décembre 2025) confirme la croissance des dépôts (+4% à 189,9 milliards FCFA) et la contraction volontaire des crédits (-20,9% à 128,4 milliards FCFA) pour réduire l'exposition au risque. Sur la base de ces tendances, on estime que l'exercice 2026 pourrait afficher un PNB en hausse de +6 à +8% (autour de 22,3-22,8 milliards FCFA) et un résultat net en rebond significatif (objectif budgétaire de 7 280 millions FCFA avant impôts, soit une multiplication par 6 du résultat net), sous réserve de la confirmation du redressement sur plusieurs trimestres. **Recommandation fondamentale** : La situation fondamentale reste très préoccupante pour l'exercice 2025, mais les premiers signaux de 2026 (T1) sont encourageants. La solidité financière est fragile (fonds propres en baisse de -14,4% à 36,06 milliards FCFA, ratio de solvabilité à 14,06% juste au-dessus du minimum réglementaire de 10%), et les risques (crédit, macroéconomique, gouvernance) restent élevés. La recommandation fondamentale est **CONSERVER sous surveillance rapprochée**, en attendant la confirmation du redressement sur au moins deux à trois trimestres supplémentaires.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et des signaux divergents. **Valorisation (Partie 0)** : Les ratios PER (272,6x), P/B (3,09x) et EV/EBITDA (40,5x) indiquent une surévaluation manifeste par rapport aux bénéfices et à la valeur comptable, le marché anticipant un redressement spectaculaire qui reste à confirmer. **Comportement du cours (Partie 1)** : La tendance haussière de +59,52% sur 100 jours est impressionnante mais la correction de -3,86% en J-1 et la volatilité élevée (37,4%) suggèrent une prise de profit et une possible consolidation ; les statistiques (kurtosis négatif, skewness neutre) indiquent une distribution symétrique sans biais extrême, ce qui est rassurant pour la gestion du risque. **Signaux techniques (Partie 2)** : Les indicateurs sont divergents — moyennes mobiles haussières mais MACD et stochastique baissiers, RSI et Bollinger neutres — plaidant pour une phase de consolidation à court terme. **Fondamentaux (Partie 3)** : L'exercice 2025 est catastrophique (ROE 1,13%, résultat net -91,8%), mais le T1 2026 montre un redressement encourageant (PNB +7,9%, résultat net +28,9%, coefficient d'exploitation à 56,2%), suggérant que le pire est peut-être passé. **Prédictions IA (J+1 à J+10)** : La trajectoire prévue (5 456 FCFA le 16/09, puis 5 418 FCFA le 22/09) indique une légère baisse de -0,7% sur 10 jours, confirmant la tendance à la consolidation voire à la correction modérée anticipée par les indicateurs techniques. **Recommandation finale** : **CONSERVER** — La convergence entre la surévaluation (Partie 0), la consolidation technique (Parties 1-2), et le redressement fondamental naissant mais fragile (Partie 3) ne justifie ni un achat agressif (valorisation trop élevée, risques persistants), ni une vente (potentiel de rebond en 2026, soutien du groupe BOA). Le niveau de confiance est **Moyen** (les signaux sont divergents et le redressement doit être confirmé), et le niveau de risque global est **Élevé** (volatilité 37,4%, PER 272,6x, contexte macroéconomique nigérien instable). L'horizon d'investissement optimal est le **moyen terme (3-12 mois)**, en surveillant les prochains rapports trimestriels (T2 et T3 2026) pour confirmer la trajectoire de redressement avant d'envisager un renforcement de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298.80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10,437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+22.24%</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6,735 FCFA</w:t>
            </w:r>
          </w:p>
          <w:p>
            <w:r>
              <w:rPr>
                <w:b/>
                <w:color w:val="503200"/>
                <w:sz w:val="16"/>
              </w:rPr>
              <w:t xml:space="preserve">Volatilité ann. : </w:t>
            </w:r>
            <w:r>
              <w:rPr>
                <w:color w:val="000000"/>
                <w:sz w:val="17"/>
              </w:rPr>
              <w:t>24.8%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5.41% (Moyenne) — μ=7,604 FCFA, σ=411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β=0.2594 (Défensif) — Cov=0.000009, Var(idx)=0.000035, ρ=0.097,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10,437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8,043</w:t>
            </w:r>
          </w:p>
        </w:tc>
        <w:tc>
          <w:tcPr>
            <w:tcW w:type="dxa" w:w="1440"/>
            <w:shd w:fill="FAFAFA" w:val="clear"/>
          </w:tcPr>
          <w:p>
            <w:r>
              <w:rPr>
                <w:b/>
                <w:sz w:val="17"/>
              </w:rPr>
              <w:t>8,242</w:t>
            </w:r>
          </w:p>
        </w:tc>
        <w:tc>
          <w:tcPr>
            <w:tcW w:type="dxa" w:w="1440"/>
            <w:shd w:fill="FAFAFA" w:val="clear"/>
          </w:tcPr>
          <w:p>
            <w:r>
              <w:rPr>
                <w:sz w:val="17"/>
              </w:rPr>
              <w:t>8,442</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7,917</w:t>
            </w:r>
          </w:p>
        </w:tc>
        <w:tc>
          <w:tcPr>
            <w:tcW w:type="dxa" w:w="1440"/>
            <w:shd w:fill="FAFAFA" w:val="clear"/>
          </w:tcPr>
          <w:p>
            <w:r>
              <w:rPr>
                <w:b/>
                <w:sz w:val="17"/>
              </w:rPr>
              <w:t>8,198</w:t>
            </w:r>
          </w:p>
        </w:tc>
        <w:tc>
          <w:tcPr>
            <w:tcW w:type="dxa" w:w="1440"/>
            <w:shd w:fill="FAFAFA" w:val="clear"/>
          </w:tcPr>
          <w:p>
            <w:r>
              <w:rPr>
                <w:sz w:val="17"/>
              </w:rPr>
              <w:t>8,478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7,815</w:t>
            </w:r>
          </w:p>
        </w:tc>
        <w:tc>
          <w:tcPr>
            <w:tcW w:type="dxa" w:w="1440"/>
            <w:shd w:fill="FAFAFA" w:val="clear"/>
          </w:tcPr>
          <w:p>
            <w:r>
              <w:rPr>
                <w:b/>
                <w:sz w:val="17"/>
              </w:rPr>
              <w:t>8,157</w:t>
            </w:r>
          </w:p>
        </w:tc>
        <w:tc>
          <w:tcPr>
            <w:tcW w:type="dxa" w:w="1440"/>
            <w:shd w:fill="FAFAFA" w:val="clear"/>
          </w:tcPr>
          <w:p>
            <w:r>
              <w:rPr>
                <w:sz w:val="17"/>
              </w:rPr>
              <w:t>8,498</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2026-09-21</w:t>
            </w:r>
          </w:p>
        </w:tc>
        <w:tc>
          <w:tcPr>
            <w:tcW w:type="dxa" w:w="1440"/>
            <w:shd w:fill="FFDCE0" w:val="clear"/>
          </w:tcPr>
          <w:p>
            <w:r>
              <w:rPr>
                <w:sz w:val="17"/>
              </w:rPr>
              <w:t>7,727</w:t>
            </w:r>
          </w:p>
        </w:tc>
        <w:tc>
          <w:tcPr>
            <w:tcW w:type="dxa" w:w="1440"/>
            <w:shd w:fill="FFDCE0" w:val="clear"/>
          </w:tcPr>
          <w:p>
            <w:r>
              <w:rPr>
                <w:b/>
                <w:sz w:val="17"/>
              </w:rPr>
              <w:t>8,119</w:t>
            </w:r>
          </w:p>
        </w:tc>
        <w:tc>
          <w:tcPr>
            <w:tcW w:type="dxa" w:w="1440"/>
            <w:shd w:fill="FFDCE0" w:val="clear"/>
          </w:tcPr>
          <w:p>
            <w:r>
              <w:rPr>
                <w:sz w:val="17"/>
              </w:rPr>
              <w:t>8,512</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2026-09-22</w:t>
            </w:r>
          </w:p>
        </w:tc>
        <w:tc>
          <w:tcPr>
            <w:tcW w:type="dxa" w:w="1440"/>
            <w:shd w:fill="FFDCE0" w:val="clear"/>
          </w:tcPr>
          <w:p>
            <w:r>
              <w:rPr>
                <w:sz w:val="17"/>
              </w:rPr>
              <w:t>7,647</w:t>
            </w:r>
          </w:p>
        </w:tc>
        <w:tc>
          <w:tcPr>
            <w:tcW w:type="dxa" w:w="1440"/>
            <w:shd w:fill="FFDCE0" w:val="clear"/>
          </w:tcPr>
          <w:p>
            <w:r>
              <w:rPr>
                <w:b/>
                <w:sz w:val="17"/>
              </w:rPr>
              <w:t>8,084</w:t>
            </w:r>
          </w:p>
        </w:tc>
        <w:tc>
          <w:tcPr>
            <w:tcW w:type="dxa" w:w="1440"/>
            <w:shd w:fill="FFDCE0" w:val="clear"/>
          </w:tcPr>
          <w:p>
            <w:r>
              <w:rPr>
                <w:sz w:val="17"/>
              </w:rPr>
              <w:t>8,522</w:t>
            </w:r>
          </w:p>
        </w:tc>
        <w:tc>
          <w:tcPr>
            <w:tcW w:type="dxa" w:w="1440"/>
            <w:shd w:fill="FFDCE0" w:val="clear"/>
          </w:tcPr>
          <w:p>
            <w:r>
              <w:rPr>
                <w:b/>
                <w:color w:val="C00000"/>
                <w:sz w:val="17"/>
              </w:rPr>
              <w:t>-2.6%</w:t>
            </w:r>
          </w:p>
        </w:tc>
      </w:tr>
      <w:tr>
        <w:tc>
          <w:tcPr>
            <w:tcW w:type="dxa" w:w="1440"/>
            <w:shd w:fill="FFDCE0" w:val="clear"/>
          </w:tcPr>
          <w:p>
            <w:r>
              <w:rPr>
                <w:sz w:val="17"/>
              </w:rPr>
              <w:t>J+6  Moyenne</w:t>
            </w:r>
          </w:p>
        </w:tc>
        <w:tc>
          <w:tcPr>
            <w:tcW w:type="dxa" w:w="1440"/>
            <w:shd w:fill="FFDCE0" w:val="clear"/>
          </w:tcPr>
          <w:p>
            <w:r>
              <w:rPr>
                <w:sz w:val="17"/>
              </w:rPr>
              <w:t>2026-09-23</w:t>
            </w:r>
          </w:p>
        </w:tc>
        <w:tc>
          <w:tcPr>
            <w:tcW w:type="dxa" w:w="1440"/>
            <w:shd w:fill="FFDCE0" w:val="clear"/>
          </w:tcPr>
          <w:p>
            <w:r>
              <w:rPr>
                <w:sz w:val="17"/>
              </w:rPr>
              <w:t>7,574</w:t>
            </w:r>
          </w:p>
        </w:tc>
        <w:tc>
          <w:tcPr>
            <w:tcW w:type="dxa" w:w="1440"/>
            <w:shd w:fill="FFDCE0" w:val="clear"/>
          </w:tcPr>
          <w:p>
            <w:r>
              <w:rPr>
                <w:b/>
                <w:sz w:val="17"/>
              </w:rPr>
              <w:t>8,051</w:t>
            </w:r>
          </w:p>
        </w:tc>
        <w:tc>
          <w:tcPr>
            <w:tcW w:type="dxa" w:w="1440"/>
            <w:shd w:fill="FFDCE0" w:val="clear"/>
          </w:tcPr>
          <w:p>
            <w:r>
              <w:rPr>
                <w:sz w:val="17"/>
              </w:rPr>
              <w:t>8,528</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2026-09-24</w:t>
            </w:r>
          </w:p>
        </w:tc>
        <w:tc>
          <w:tcPr>
            <w:tcW w:type="dxa" w:w="1440"/>
            <w:shd w:fill="FFDCE0" w:val="clear"/>
          </w:tcPr>
          <w:p>
            <w:r>
              <w:rPr>
                <w:sz w:val="17"/>
              </w:rPr>
              <w:t>7,506</w:t>
            </w:r>
          </w:p>
        </w:tc>
        <w:tc>
          <w:tcPr>
            <w:tcW w:type="dxa" w:w="1440"/>
            <w:shd w:fill="FFDCE0" w:val="clear"/>
          </w:tcPr>
          <w:p>
            <w:r>
              <w:rPr>
                <w:b/>
                <w:sz w:val="17"/>
              </w:rPr>
              <w:t>8,019</w:t>
            </w:r>
          </w:p>
        </w:tc>
        <w:tc>
          <w:tcPr>
            <w:tcW w:type="dxa" w:w="1440"/>
            <w:shd w:fill="FFDCE0" w:val="clear"/>
          </w:tcPr>
          <w:p>
            <w:r>
              <w:rPr>
                <w:sz w:val="17"/>
              </w:rPr>
              <w:t>8,532</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2026-09-25</w:t>
            </w:r>
          </w:p>
        </w:tc>
        <w:tc>
          <w:tcPr>
            <w:tcW w:type="dxa" w:w="1440"/>
            <w:shd w:fill="FFDCE0" w:val="clear"/>
          </w:tcPr>
          <w:p>
            <w:r>
              <w:rPr>
                <w:sz w:val="17"/>
              </w:rPr>
              <w:t>7,442</w:t>
            </w:r>
          </w:p>
        </w:tc>
        <w:tc>
          <w:tcPr>
            <w:tcW w:type="dxa" w:w="1440"/>
            <w:shd w:fill="FFDCE0" w:val="clear"/>
          </w:tcPr>
          <w:p>
            <w:r>
              <w:rPr>
                <w:b/>
                <w:sz w:val="17"/>
              </w:rPr>
              <w:t>7,988</w:t>
            </w:r>
          </w:p>
        </w:tc>
        <w:tc>
          <w:tcPr>
            <w:tcW w:type="dxa" w:w="1440"/>
            <w:shd w:fill="FFDCE0" w:val="clear"/>
          </w:tcPr>
          <w:p>
            <w:r>
              <w:rPr>
                <w:sz w:val="17"/>
              </w:rPr>
              <w:t>8,535</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7,381</w:t>
            </w:r>
          </w:p>
        </w:tc>
        <w:tc>
          <w:tcPr>
            <w:tcW w:type="dxa" w:w="1440"/>
            <w:shd w:fill="FFDCE0" w:val="clear"/>
          </w:tcPr>
          <w:p>
            <w:r>
              <w:rPr>
                <w:b/>
                <w:sz w:val="17"/>
              </w:rPr>
              <w:t>7,959</w:t>
            </w:r>
          </w:p>
        </w:tc>
        <w:tc>
          <w:tcPr>
            <w:tcW w:type="dxa" w:w="1440"/>
            <w:shd w:fill="FFDCE0" w:val="clear"/>
          </w:tcPr>
          <w:p>
            <w:r>
              <w:rPr>
                <w:sz w:val="17"/>
              </w:rPr>
              <w:t>8,537</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7,324</w:t>
            </w:r>
          </w:p>
        </w:tc>
        <w:tc>
          <w:tcPr>
            <w:tcW w:type="dxa" w:w="1440"/>
            <w:shd w:fill="FFDCE0" w:val="clear"/>
          </w:tcPr>
          <w:p>
            <w:r>
              <w:rPr>
                <w:b/>
                <w:sz w:val="17"/>
              </w:rPr>
              <w:t>7,931</w:t>
            </w:r>
          </w:p>
        </w:tc>
        <w:tc>
          <w:tcPr>
            <w:tcW w:type="dxa" w:w="1440"/>
            <w:shd w:fill="FFDCE0" w:val="clear"/>
          </w:tcPr>
          <w:p>
            <w:r>
              <w:rPr>
                <w:sz w:val="17"/>
              </w:rPr>
              <w:t>8,538</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BANK OF AFRICA SÉNÉGAL (BOAS)</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298,80 milliards FCFA, BOAS s'impose comme l'une des valeurs bancaires les plus capitalisées de la cote BRVM, ce qui témoigne de sa liquidité relative et de son poids dans l'indice sectoriel. Le BPA de 608 FCFA par action signifie que chaque titre génère près de 608 FCFA de bénéfice net, un niveau de rentabilité unitaire solide pour le secteur bancaire ouest-africain. Le PER de 13,6x se situe légèrement au-dessus de la moyenne BRVM (8-12x), traduisant une prime de qualité modérée mais non excessive au regard de la croissance des bénéfices. Le P/B de 3,10x indique que le marché valorise la banque à plus de trois fois sa valeur comptable, une prime de croissance justifiée par un ROE de 22,69% nettement supérieur au coût des fonds propres. Enfin, l'EV/EBITDA de 8,9x, dans la fourchette raisonnable de 5-10x, confirme que la valeur d'entreprise reste cohérente avec la capacité opérationnelle de la banque, sans signe de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enregistré une progression remarquable de +22,24%, clôturant à 8 300 FCFA après un repli marginal de -0,60% lors de la dernière séance. Le titre a évolué dans un range de 1 765 FCFA, entre un plus bas de 6 735 FCFA et un plus haut de 8 500 FCFA, ce qui témoigne d'une tendance haussière robuste et bien ancrée. La moyenne de 7 604 FCFA, légèrement supérieure à la médiane de 7 500 FCFA, suggère une asymétrie positive modérée, confirmée par un skewness de 0,357 indiquant une distribution quasi-symétrique avec une légère prédominance des hausses. L'écart-type de 413 FCFA, correspondant à un coefficient de variation de seulement 5,4%, révèle une dispersion faible du cours autour de sa moyenne, gage de stabilité relative. Le kurtosis de -0,483 (mésokurtique) indique une distribution proche de la normale, sans risque excessif de pics extrêmes, ce qui est rassurant pour la gestion du risque. Avec une volatilité annualisée de 24,8%, le titre se situe dans la fourchette modérée (15-30%), offrant un profil rendement/risque équilibré pour un investisseur de moyen terme.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8 228 FCFA et la MM50 à 7 846,5 FCFA, toutes deux inférieures au cours actuel de 8 300 FCFA, ce qui confirme une configuration haussière avec le prix au-dessus de ses moyennes. L'écart positif entre MM20 et MM50 (381,5 FCFA) matérialise un momentum ascendant, justifiant la décision d'achat.</w:t>
      </w:r>
    </w:p>
    <w:p>
      <w:pPr>
        <w:spacing w:after="120" w:line="276" w:lineRule="auto"/>
      </w:pPr>
      <w:r>
        <w:t>**Bandes de Bollinger** : Le cours (8 300 FCFA) évolue dans la partie supérieure de la bande, entre la borne inférieure de 7 841 FCFA et la borne supérieure de 8 615 FCFA, sans franchissement des extrêmes. Cette position médiane-haute traduit une volatilité contenue et une décision neutre, le marché attendant un catalyseur pour franchir la résistance des 8 615 FCFA.</w:t>
      </w:r>
    </w:p>
    <w:p>
      <w:pPr>
        <w:spacing w:after="120" w:line="276" w:lineRule="auto"/>
      </w:pPr>
      <w:r>
        <w:t>**MACD** : La valeur du MACD (126,574) est inférieure à son signal (146,015), générant un croisement baissier et une décision de vente. Cette divergence négative indique un essoufflement du momentum haussier à court terme, bien que le MACD reste en territoire positif, suggérant une correction technique plutôt qu'un retournement de tendance.</w:t>
      </w:r>
    </w:p>
    <w:p>
      <w:pPr>
        <w:spacing w:after="120" w:line="276" w:lineRule="auto"/>
      </w:pPr>
      <w:r>
        <w:t>**RSI** : À 38,764, le RSI se situe dans la zone neutre basse (30-70), sans atteindre la zone de survente (&lt;30). Cette configuration indique une pression vendeuse modérée mais non excessive, laissant présager un potentiel de rebond technique si le titre trouve un support.</w:t>
      </w:r>
    </w:p>
    <w:p>
      <w:pPr>
        <w:spacing w:after="120" w:line="276" w:lineRule="auto"/>
      </w:pPr>
      <w:r>
        <w:t>**Stochastique** : Le %K (40,816) est supérieur au %D (30,272), avec un croisement récent à la hausse en zone basse, signal potentiellement positif. Toutefois, la décision reste neutre car les deux courbes évoluent dans la partie inférieure de la fourchette, sans confirmation franche d'un retournement.</w:t>
      </w:r>
    </w:p>
    <w:p>
      <w:pPr>
        <w:spacing w:after="120" w:line="276" w:lineRule="auto"/>
      </w:pPr>
      <w:r>
        <w:t>**Conclusion technique** : Les indicateurs présentent une divergence notable : les moyennes mobiles confirment la tendance haussière de fond, tandis que le MACD signale un essoufflement à court terme et que le RSI et le stochastique restent neutres. Cette configuration suggère une phase de consolidation avant une reprise potentielle, le titre devant trouver un support autour de 8 200 FCFA (MM20) pour valider la poursuite du mouvement haussier.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BOAS affiche un Produit Net Bancaire (PNB) de 51,926 milliards FCFA, en croissance de 4,55% sur un an, et un résultat net de 21,905 milliards FCFA, soit une marge nette exceptionnelle de 42,19%. Le ROE s'élève à 22,69% (largement supérieur au seuil de 15% considéré comme excellent) et le ROA à 2,62%, confirmant une rentabilité des actifs solide pour le secteur. Le coefficient d'exploitation de 44,02% place la banque parmi les établissements les plus efficaces de la zone UEMOA (&lt;50% = excellente efficacité), tandis que le coût du risque de 23,31% des charges financières reste un point de vigilance, bien qu'en amélioration selon les rapports trimestriels.</w:t>
      </w:r>
    </w:p>
    <w:p>
      <w:pPr>
        <w:spacing w:after="120" w:line="276" w:lineRule="auto"/>
      </w:pPr>
      <w:r>
        <w:t>**Analyse sectorielle bancaire** : La structure bilancielle révèle une forte capacité de collecte avec 686,927 milliards FCFA de dépôts clientèle pour 386,424 milliards FCFA de créances, soit un ratio de transformation de 56,3%, typique d'une banque de dépôt prudente. Les créances interbancaires (72,929 milliards FCFA) et les effets publics (220,680 milliards FCFA) représentent 35% de l'actif, offrant une diversification des revenus et une liquidité robuste. L'autonomie financière de 11,54% peut sembler faible, mais elle est structurelle au modèle bancaire où les dépôts constituent la principale ressource.</w:t>
      </w:r>
    </w:p>
    <w:p>
      <w:pPr>
        <w:spacing w:after="120" w:line="276" w:lineRule="auto"/>
      </w:pPr>
      <w:r>
        <w:t>**Estimations basées sur les rapports trimestriels** : Le rapport du T1 2026 (publié en 2026) indique un PNB de 12,580 milliards FCFA (+6,82%) et un résultat net de 5,741 milliards FCFA (+9,78%), avec un coefficient d'exploitation en amélioration à 42,1% (contre 42,8% au T1 2025). Le rapport du T3 2025 (30 septembre 2025) confirme cette dynamique avec un PNB cumulé de 37,44 milliards FCFA (+6,71%) et un résultat net de 16,37 milliards FCFA (+10,01%), soutenu par une baisse du coût du risque (-0,5% du PNB contre -1,8% un an plus tôt). Sur la base de ces tendances, on estime que l'exercice 2026 devrait enregistrer une croissance du PNB de l'ordre de 6-7% et une progression du résultat net de 9-10%, portant le BPA estimé à environ 660-670 FCFA.</w:t>
      </w:r>
    </w:p>
    <w:p>
      <w:pPr>
        <w:spacing w:after="120" w:line="276" w:lineRule="auto"/>
      </w:pPr>
      <w:r>
        <w:t>**Évolution pluriannuelle** : Les rapports antérieurs (2021) montrent une trajectoire de croissance exceptionnelle avec un résultat net passé de 7,667 milliards FCFA en 2020 à 11,070 milliards FCFA en 2021 (+44,4%), puis à 21,905 milliards FCFA en 2025, soit une multiplication par près de 3 en cinq ans. Cette performance témoigne de la solidité du modèle et de la pertinence du plan triennal 2025-2027 récemment lancé.</w:t>
      </w:r>
    </w:p>
    <w:p>
      <w:pPr>
        <w:spacing w:after="120" w:line="276" w:lineRule="auto"/>
      </w:pPr>
      <w:r>
        <w:t>**Recommandation fondamentale** : BOAS présente un profil fondamental de haute qualité, combinant rentabilité exceptionnelle (ROE &gt;20%), efficacité opérationnelle (coefficient &lt;45%) et croissance soutenue. Les principaux risques résident dans la concentration sur le marché sénégalais, la concurrence accrue et la sensibilité au risque de crédit dans un environnement économique incertain. Néanmoins, la trajectoire positive et la solidité bilancielle justifient une opinion fondamentalement favorable.</w:t>
      </w:r>
    </w:p>
    <w:p>
      <w:pPr>
        <w:spacing w:after="120" w:line="276" w:lineRule="auto"/>
      </w:pPr>
      <w:r>
        <w:t>---</w:t>
      </w:r>
    </w:p>
    <w:p>
      <w:pPr>
        <w:spacing w:after="120" w:line="276" w:lineRule="auto"/>
      </w:pPr>
      <w:r>
        <w:t>## PARTIE 4 : CONCLUSION D'INVESTISSEMENT</w:t>
      </w:r>
    </w:p>
    <w:p>
      <w:pPr>
        <w:spacing w:after="120" w:line="276" w:lineRule="auto"/>
      </w:pPr>
      <w:r>
        <w:t>La valorisation de BOAS (PER 13,6x, P/B 3,10x, EV/EBITDA 8,9x) apparaît raisonnable au regard de la qualité des fondamentaux, bien que légèrement supérieure à la moyenne du marché BRVM, ce qui traduit une prime de qualité justifiée par un ROE de 22,69%. Le comportement du cours sur 100 jours (+22,24%) avec une volatilité modérée (24,8%) et une distribution proche de la normale (kurtosis -0,483, skewness 0,357) offre un profil rassurant, sans risque excessif de mouvements extrêmes. Les signaux techniques sont mitigés : les moyennes mobiles confirment la tendance haussière, mais le MACD baissier et le RSI neutre-bas suggèrent une consolidation à court terme, le stochastique amorçant toutefois un croisement haussier potentiel. Les fondamentaux demeurent le pilier de la thèse d'investissement, avec un PNB 2025 de 51,926 milliards FCFA, un résultat net de 21,905 milliards FCFA et des estimations 2026 favorables (croissance attendue de 6-7% du PNB et 9-10% du résultat net selon les rapports T1 2026 et T3 2025). Les prédictions IA pour les 10 prochains jours (8 242 FCFA le 16/09, puis 8 084 FCFA le 22/09) anticipent une légère correction de -2,6%, cohérente avec le signal MACD baissier et la phase de consolidation technique attendue. Sur la base de cette synthèse, la convergence entre fondamentaux solides, valorisation raisonnable et correction technique limitée conduit à une recommandation d'**ACHAT**, avec un niveau de confiance **Moyen** (les signaux techniques à court terme tempérant l'optimisme fondamental) et un risque global **Moyen** (exposition sectorielle et concentration géographique). L'horizon d'investissement optimal est le **moyen terme (3-12 mois)**, permettant de capitaliser sur la croissance bénéficiaire tout en absorbant la volatilité de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2,163 titres</w:t>
            </w:r>
          </w:p>
        </w:tc>
        <w:tc>
          <w:tcPr>
            <w:tcW w:type="dxa" w:w="2268"/>
            <w:shd w:fill="FFF2CC" w:val="clear"/>
          </w:tcPr>
          <w:p>
            <w:r>
              <w:rPr>
                <w:b/>
                <w:color w:val="503200"/>
                <w:sz w:val="16"/>
              </w:rPr>
              <w:t xml:space="preserve">Cours actuel : </w:t>
            </w:r>
            <w:r>
              <w:rPr>
                <w:color w:val="000000"/>
                <w:sz w:val="17"/>
              </w:rPr>
              <w:t>3,410 FCFA</w:t>
            </w:r>
          </w:p>
          <w:p>
            <w:r>
              <w:rPr>
                <w:b/>
                <w:color w:val="503200"/>
                <w:sz w:val="16"/>
              </w:rPr>
              <w:t xml:space="preserve">Var. 100 jours : </w:t>
            </w:r>
            <w:r>
              <w:rPr>
                <w:b/>
                <w:color w:val="B40000"/>
                <w:sz w:val="17"/>
              </w:rPr>
              <w:t>-2.99%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7.27% (Moyenne) — μ=3,707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β=0.2429 (Défensif) — Cov=0.000008, Var(idx)=0.000035, ρ=0.049,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σ_j=2.94%/j (Stable) — Vol. annualisée≈46.6%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3,303</w:t>
            </w:r>
          </w:p>
        </w:tc>
        <w:tc>
          <w:tcPr>
            <w:tcW w:type="dxa" w:w="1440"/>
            <w:shd w:fill="FAFAFA" w:val="clear"/>
          </w:tcPr>
          <w:p>
            <w:r>
              <w:rPr>
                <w:b/>
                <w:sz w:val="17"/>
              </w:rPr>
              <w:t>3,395</w:t>
            </w:r>
          </w:p>
        </w:tc>
        <w:tc>
          <w:tcPr>
            <w:tcW w:type="dxa" w:w="1440"/>
            <w:shd w:fill="FAFAFA" w:val="clear"/>
          </w:tcPr>
          <w:p>
            <w:r>
              <w:rPr>
                <w:sz w:val="17"/>
              </w:rPr>
              <w:t>3,488</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3,239</w:t>
            </w:r>
          </w:p>
        </w:tc>
        <w:tc>
          <w:tcPr>
            <w:tcW w:type="dxa" w:w="1440"/>
            <w:shd w:fill="FAFAFA" w:val="clear"/>
          </w:tcPr>
          <w:p>
            <w:r>
              <w:rPr>
                <w:b/>
                <w:sz w:val="17"/>
              </w:rPr>
              <w:t>3,368</w:t>
            </w:r>
          </w:p>
        </w:tc>
        <w:tc>
          <w:tcPr>
            <w:tcW w:type="dxa" w:w="1440"/>
            <w:shd w:fill="FAFAFA" w:val="clear"/>
          </w:tcPr>
          <w:p>
            <w:r>
              <w:rPr>
                <w:sz w:val="17"/>
              </w:rPr>
              <w:t>3,498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3,188</w:t>
            </w:r>
          </w:p>
        </w:tc>
        <w:tc>
          <w:tcPr>
            <w:tcW w:type="dxa" w:w="1440"/>
            <w:shd w:fill="FAFAFA" w:val="clear"/>
          </w:tcPr>
          <w:p>
            <w:r>
              <w:rPr>
                <w:b/>
                <w:sz w:val="17"/>
              </w:rPr>
              <w:t>3,346</w:t>
            </w:r>
          </w:p>
        </w:tc>
        <w:tc>
          <w:tcPr>
            <w:tcW w:type="dxa" w:w="1440"/>
            <w:shd w:fill="FAFAFA" w:val="clear"/>
          </w:tcPr>
          <w:p>
            <w:r>
              <w:rPr>
                <w:sz w:val="17"/>
              </w:rPr>
              <w:t>3,503</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2026-09-21</w:t>
            </w:r>
          </w:p>
        </w:tc>
        <w:tc>
          <w:tcPr>
            <w:tcW w:type="dxa" w:w="1440"/>
            <w:shd w:fill="FFDCE0" w:val="clear"/>
          </w:tcPr>
          <w:p>
            <w:r>
              <w:rPr>
                <w:sz w:val="17"/>
              </w:rPr>
              <w:t>3,145</w:t>
            </w:r>
          </w:p>
        </w:tc>
        <w:tc>
          <w:tcPr>
            <w:tcW w:type="dxa" w:w="1440"/>
            <w:shd w:fill="FFDCE0" w:val="clear"/>
          </w:tcPr>
          <w:p>
            <w:r>
              <w:rPr>
                <w:b/>
                <w:sz w:val="17"/>
              </w:rPr>
              <w:t>3,326</w:t>
            </w:r>
          </w:p>
        </w:tc>
        <w:tc>
          <w:tcPr>
            <w:tcW w:type="dxa" w:w="1440"/>
            <w:shd w:fill="FFDCE0" w:val="clear"/>
          </w:tcPr>
          <w:p>
            <w:r>
              <w:rPr>
                <w:sz w:val="17"/>
              </w:rPr>
              <w:t>3,506</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2026-09-22</w:t>
            </w:r>
          </w:p>
        </w:tc>
        <w:tc>
          <w:tcPr>
            <w:tcW w:type="dxa" w:w="1440"/>
            <w:shd w:fill="FFDCE0" w:val="clear"/>
          </w:tcPr>
          <w:p>
            <w:r>
              <w:rPr>
                <w:sz w:val="17"/>
              </w:rPr>
              <w:t>3,106</w:t>
            </w:r>
          </w:p>
        </w:tc>
        <w:tc>
          <w:tcPr>
            <w:tcW w:type="dxa" w:w="1440"/>
            <w:shd w:fill="FFDCE0" w:val="clear"/>
          </w:tcPr>
          <w:p>
            <w:r>
              <w:rPr>
                <w:b/>
                <w:sz w:val="17"/>
              </w:rPr>
              <w:t>3,307</w:t>
            </w:r>
          </w:p>
        </w:tc>
        <w:tc>
          <w:tcPr>
            <w:tcW w:type="dxa" w:w="1440"/>
            <w:shd w:fill="FFDCE0" w:val="clear"/>
          </w:tcPr>
          <w:p>
            <w:r>
              <w:rPr>
                <w:sz w:val="17"/>
              </w:rPr>
              <w:t>3,508</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2026-09-23</w:t>
            </w:r>
          </w:p>
        </w:tc>
        <w:tc>
          <w:tcPr>
            <w:tcW w:type="dxa" w:w="1440"/>
            <w:shd w:fill="FFDCE0" w:val="clear"/>
          </w:tcPr>
          <w:p>
            <w:r>
              <w:rPr>
                <w:sz w:val="17"/>
              </w:rPr>
              <w:t>3,070</w:t>
            </w:r>
          </w:p>
        </w:tc>
        <w:tc>
          <w:tcPr>
            <w:tcW w:type="dxa" w:w="1440"/>
            <w:shd w:fill="FFDCE0" w:val="clear"/>
          </w:tcPr>
          <w:p>
            <w:r>
              <w:rPr>
                <w:b/>
                <w:sz w:val="17"/>
              </w:rPr>
              <w:t>3,289</w:t>
            </w:r>
          </w:p>
        </w:tc>
        <w:tc>
          <w:tcPr>
            <w:tcW w:type="dxa" w:w="1440"/>
            <w:shd w:fill="FFDCE0" w:val="clear"/>
          </w:tcPr>
          <w:p>
            <w:r>
              <w:rPr>
                <w:sz w:val="17"/>
              </w:rPr>
              <w:t>3,508</w:t>
            </w:r>
          </w:p>
        </w:tc>
        <w:tc>
          <w:tcPr>
            <w:tcW w:type="dxa" w:w="1440"/>
            <w:shd w:fill="FFDCE0" w:val="clear"/>
          </w:tcPr>
          <w:p>
            <w:r>
              <w:rPr>
                <w:b/>
                <w:color w:val="C00000"/>
                <w:sz w:val="17"/>
              </w:rPr>
              <w:t>-3.6%</w:t>
            </w:r>
          </w:p>
        </w:tc>
      </w:tr>
      <w:tr>
        <w:tc>
          <w:tcPr>
            <w:tcW w:type="dxa" w:w="1440"/>
            <w:shd w:fill="FFDCE0" w:val="clear"/>
          </w:tcPr>
          <w:p>
            <w:r>
              <w:rPr>
                <w:sz w:val="17"/>
              </w:rPr>
              <w:t>J+7  Moyenne</w:t>
            </w:r>
          </w:p>
        </w:tc>
        <w:tc>
          <w:tcPr>
            <w:tcW w:type="dxa" w:w="1440"/>
            <w:shd w:fill="FFDCE0" w:val="clear"/>
          </w:tcPr>
          <w:p>
            <w:r>
              <w:rPr>
                <w:sz w:val="17"/>
              </w:rPr>
              <w:t>2026-09-24</w:t>
            </w:r>
          </w:p>
        </w:tc>
        <w:tc>
          <w:tcPr>
            <w:tcW w:type="dxa" w:w="1440"/>
            <w:shd w:fill="FFDCE0" w:val="clear"/>
          </w:tcPr>
          <w:p>
            <w:r>
              <w:rPr>
                <w:sz w:val="17"/>
              </w:rPr>
              <w:t>3,035</w:t>
            </w:r>
          </w:p>
        </w:tc>
        <w:tc>
          <w:tcPr>
            <w:tcW w:type="dxa" w:w="1440"/>
            <w:shd w:fill="FFDCE0" w:val="clear"/>
          </w:tcPr>
          <w:p>
            <w:r>
              <w:rPr>
                <w:b/>
                <w:sz w:val="17"/>
              </w:rPr>
              <w:t>3,271</w:t>
            </w:r>
          </w:p>
        </w:tc>
        <w:tc>
          <w:tcPr>
            <w:tcW w:type="dxa" w:w="1440"/>
            <w:shd w:fill="FFDCE0" w:val="clear"/>
          </w:tcPr>
          <w:p>
            <w:r>
              <w:rPr>
                <w:sz w:val="17"/>
              </w:rPr>
              <w:t>3,506</w:t>
            </w:r>
          </w:p>
        </w:tc>
        <w:tc>
          <w:tcPr>
            <w:tcW w:type="dxa" w:w="1440"/>
            <w:shd w:fill="FFDCE0" w:val="clear"/>
          </w:tcPr>
          <w:p>
            <w:r>
              <w:rPr>
                <w:b/>
                <w:color w:val="C00000"/>
                <w:sz w:val="17"/>
              </w:rPr>
              <w:t>-4.1%</w:t>
            </w:r>
          </w:p>
        </w:tc>
      </w:tr>
      <w:tr>
        <w:tc>
          <w:tcPr>
            <w:tcW w:type="dxa" w:w="1440"/>
            <w:shd w:fill="FFDCE0" w:val="clear"/>
          </w:tcPr>
          <w:p>
            <w:r>
              <w:rPr>
                <w:sz w:val="17"/>
              </w:rPr>
              <w:t>J+8  Moyenne</w:t>
            </w:r>
          </w:p>
        </w:tc>
        <w:tc>
          <w:tcPr>
            <w:tcW w:type="dxa" w:w="1440"/>
            <w:shd w:fill="FFDCE0" w:val="clear"/>
          </w:tcPr>
          <w:p>
            <w:r>
              <w:rPr>
                <w:sz w:val="17"/>
              </w:rPr>
              <w:t>2026-09-25</w:t>
            </w:r>
          </w:p>
        </w:tc>
        <w:tc>
          <w:tcPr>
            <w:tcW w:type="dxa" w:w="1440"/>
            <w:shd w:fill="FFDCE0" w:val="clear"/>
          </w:tcPr>
          <w:p>
            <w:r>
              <w:rPr>
                <w:sz w:val="17"/>
              </w:rPr>
              <w:t>3,002</w:t>
            </w:r>
          </w:p>
        </w:tc>
        <w:tc>
          <w:tcPr>
            <w:tcW w:type="dxa" w:w="1440"/>
            <w:shd w:fill="FFDCE0" w:val="clear"/>
          </w:tcPr>
          <w:p>
            <w:r>
              <w:rPr>
                <w:b/>
                <w:sz w:val="17"/>
              </w:rPr>
              <w:t>3,252</w:t>
            </w:r>
          </w:p>
        </w:tc>
        <w:tc>
          <w:tcPr>
            <w:tcW w:type="dxa" w:w="1440"/>
            <w:shd w:fill="FFDCE0" w:val="clear"/>
          </w:tcPr>
          <w:p>
            <w:r>
              <w:rPr>
                <w:sz w:val="17"/>
              </w:rPr>
              <w:t>3,502</w:t>
            </w:r>
          </w:p>
        </w:tc>
        <w:tc>
          <w:tcPr>
            <w:tcW w:type="dxa" w:w="1440"/>
            <w:shd w:fill="FFDCE0" w:val="clear"/>
          </w:tcPr>
          <w:p>
            <w:r>
              <w:rPr>
                <w:b/>
                <w:color w:val="C00000"/>
                <w:sz w:val="17"/>
              </w:rPr>
              <w:t>-4.6%</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2,970</w:t>
            </w:r>
          </w:p>
        </w:tc>
        <w:tc>
          <w:tcPr>
            <w:tcW w:type="dxa" w:w="1440"/>
            <w:shd w:fill="FFDCE0" w:val="clear"/>
          </w:tcPr>
          <w:p>
            <w:r>
              <w:rPr>
                <w:b/>
                <w:sz w:val="17"/>
              </w:rPr>
              <w:t>3,233</w:t>
            </w:r>
          </w:p>
        </w:tc>
        <w:tc>
          <w:tcPr>
            <w:tcW w:type="dxa" w:w="1440"/>
            <w:shd w:fill="FFDCE0" w:val="clear"/>
          </w:tcPr>
          <w:p>
            <w:r>
              <w:rPr>
                <w:sz w:val="17"/>
              </w:rPr>
              <w:t>3,497</w:t>
            </w:r>
          </w:p>
        </w:tc>
        <w:tc>
          <w:tcPr>
            <w:tcW w:type="dxa" w:w="1440"/>
            <w:shd w:fill="FFDCE0" w:val="clear"/>
          </w:tcPr>
          <w:p>
            <w:r>
              <w:rPr>
                <w:b/>
                <w:color w:val="C00000"/>
                <w:sz w:val="17"/>
              </w:rPr>
              <w:t>-5.2%</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2,937</w:t>
            </w:r>
          </w:p>
        </w:tc>
        <w:tc>
          <w:tcPr>
            <w:tcW w:type="dxa" w:w="1440"/>
            <w:shd w:fill="FFDCE0" w:val="clear"/>
          </w:tcPr>
          <w:p>
            <w:r>
              <w:rPr>
                <w:b/>
                <w:sz w:val="17"/>
              </w:rPr>
              <w:t>3,214</w:t>
            </w:r>
          </w:p>
        </w:tc>
        <w:tc>
          <w:tcPr>
            <w:tcW w:type="dxa" w:w="1440"/>
            <w:shd w:fill="FFDCE0" w:val="clear"/>
          </w:tcPr>
          <w:p>
            <w:r>
              <w:rPr>
                <w:sz w:val="17"/>
              </w:rPr>
              <w:t>3,490</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Analyse au 15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20,19 milliards FCFA, CABC se positionne dans la catégorie des petites capitalisations de la BRVM, ce qui implique une liquidité limitée et une sensibilité accrue aux mouvements de marché. Le BPA de 243 FCFA par action confère au titre un PER de 14,0x, soit une valorisation modérément supérieure à la moyenne du marché BRVM (8-12x), ce qui suggère que les investisseurs intègrent déjà une prime de croissance dans le cours. Le ratio P/B de 2,16x indique que le marché valorise l'entreprise à plus du double de sa valeur comptable, reflétant une anticipation de rentabilité future supérieure aux actifs nets. Enfin, l'EV/EBITDA de 7,0x se situe dans la fourchette raisonnable de 5-10x, signalant que la valeur d'entreprise reste cohérente avec la capacité opérationnelle de génération de cash-flows, bien que cette lecture soit à nuancer au regard des flux de trésorerie opérationnels négatifs constatés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-2,99%, avec une dernière séance particulièrement négative (-2,29%), portant le cours actuel à 3 410 FCFA. Le range de trading s'établit entre un plus haut de 4 500 FCFA et un plus bas de 3 350 FCFA, soit une amplitude de 34%, témoignant d'une réelle volatilité intra-période. La tendance générale est baissière, le cours actuel se situant dans le tiers inférieur de la fourchette, non loin du plus bas historique récent. Les statistiques descriptives révèlent une moyenne de 3 707 FCFA supérieure à la médiane de 3 610 FCFA, confirmant une asymétrie positive (skewness de 1,133) avec davantage de journées sous la moyenne mais quelques pics haussiers marqués. L'écart-type de 271 FCFA (CV de 7,3%) indique une dispersion modérée autour de la moyenne, tandis que le kurtosis de 0,768 (mésokurtique) suggère un risque de pics de volatilité proche d'une distribution normale, sans événements extrêmes fréquents. La volatilité annualisée de 46,6% classe ce titre dans la catégorie des valeurs à volatilité élevée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(3 535,75 FCFA) et la MM50 (3 649,0 FCFA) se situent toutes deux au-dessus du cours actuel (3 410 FCFA), confirmant une configuration baissière. La MM20 étant inférieure à la MM50, cela traduit un momentum négatif de court terme. La décision technique est donc logiquement à la **Vente**, le cours évoluant sous ses deux moyennes de référence.</w:t>
      </w:r>
    </w:p>
    <w:p>
      <w:pPr>
        <w:spacing w:after="120" w:line="276" w:lineRule="auto"/>
      </w:pPr>
      <w:r>
        <w:t>**Bandes de Bollinger** : Le cours actuel (3 410 FCFA) se situe dans la partie basse de la bande, proche de la borne inférieure (3 383,46 FCFA) et loin de la borne supérieure (3 688,04 FCFA). Cette position suggère une pression vendeuse persistante, mais la décision est **Neutre** car le cours n'a pas encore franchi la borne inférieure, ce qui pourrait indiquer un potentiel rebond technique à court terme.</w:t>
      </w:r>
    </w:p>
    <w:p>
      <w:pPr>
        <w:spacing w:after="120" w:line="276" w:lineRule="auto"/>
      </w:pPr>
      <w:r>
        <w:t>**MACD** : La valeur du MACD (-50,442) est supérieure à son signal (-51,696), générant un croisement haussier bien que les deux lignes restent en territoire négatif. Cette configuration indique un ralentissement de la dynamique baissière et un possible retournement de momentum, justifiant la décision d'**Achat** technique malgré un contexte globalement défavorable.</w:t>
      </w:r>
    </w:p>
    <w:p>
      <w:pPr>
        <w:spacing w:after="120" w:line="276" w:lineRule="auto"/>
      </w:pPr>
      <w:r>
        <w:t>**RSI** : À 31,25, le RSI se situe juste au-dessus du seuil de survente (30), ce qui place le titre en zone de faiblesse sans être techniquement survendu. La décision est **Neutre**, le RSI n'offrant pas de signal directionnel clair mais suggérant que le potentiel de baisse supplémentaire est limité à court terme.</w:t>
      </w:r>
    </w:p>
    <w:p>
      <w:pPr>
        <w:spacing w:after="120" w:line="276" w:lineRule="auto"/>
      </w:pPr>
      <w:r>
        <w:t>**Stochastique** : Le %K à 0,0 et le %D à 9,524 indiquent que le titre est en zone de survente extrême, avec un %K au plus bas. Cette configuration précède souvent un rebond technique, justifiant la décision d'**Achat** à court terme, bien que la faiblesse du %D tempère l'optimisme.</w:t>
      </w:r>
    </w:p>
    <w:p>
      <w:pPr>
        <w:spacing w:after="120" w:line="276" w:lineRule="auto"/>
      </w:pPr>
      <w:r>
        <w:t>**Conclusion technique** : Les indicateurs techniques présentent une divergence notable. Les moyennes mobiles confirment une tendance baissière de fond, tandis que le MACD et le stochastique génèrent des signaux d'achat contra-cycliques, soutenus par un RSI proche de la survente. Cette configuration suggère un possible rebond technique à court terme, mais la tendance de fond reste négative tant que le cours n'aura pas reconquis la MM20 (3 535 FCFA). La prudence est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officiels) révèlent une situation contrastée. Le chiffre d'affaires s'établit à 21 263 M FCFA, en croissance de 11,18% sur un an, porté par une demande soutenue dans les infrastructures électriques et télécoms. Le résultat net atteint 1 439 M FCFA, avec une marge nette de 6,77% et un ROE de 15,40% (excellent, &gt;15%) et un ROA de 6,10%. Cependant, cette rentabilité apparente masque des fragilités : le flux opérationnel est négatif (-819,66 M FCFA), le Free Cash Flow est de -982,71 M FCFA, et la trésorerie nette a chuté à 5 139 M FCFA. Les délais clients (144,69 jours) et la durée de stockage (152,12 jours) sont élevés, immobilisant le capital et créant un risque de trésorerie. Le BFR de 7 186 M FCFA est positif (défavorable), et l'autonomie financière de 39,58% reste saine. Les rapports narratifs confirment cette dualité : le rapport du 3ème trimestre 2025 (daté du 30/09/2025) indique un CA de 16 630 M FCFA (+13,7%) et un résultat net de 1 329,5 M FCFA (+26,0%), avec une marge nette de 8,0% et une marge opérationnelle de 11,5% en léger repli. Le rapport du 1er semestre 2025 (daté du 30/06/2025) affichait un résultat net de 851,5 M FCFA (+55,3%) et une marge nette de 7,9%. Toutefois, le rapport du T1 2026 (daté de 2026) révèle une dégradation brutale : CA en baisse de 26,5% à 3 794 M FCFA, perte d'exploitation de 237 M FCFA et perte nette de 221,7 M FCFA, due à une maintenance planifiée et à l'inflation des cours des métaux (+23%). Sur la base de ces rapports trimestriels, on estime que l'exercice 2026 devrait être nettement moins favorable que 2025, avec un risque de perte annuelle si la reprise attendue au T2 ne se matérialise pas. La recommandation fondamentale est donc à la **prudence** : la solidité du bilan (capitaux propres de 9 346 M FCFA, liquidité générale de 242,6%) contraste avec la dégradation récente des flux de trésorerie et la dépendance aux matières premières.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significative entre les signaux. La valorisation (Partie 0) affiche un PER de 14,0x et un P/B de 2,16x, indiquant une surévaluation relative par rapport au marché BRVM, sans prime de croissance justifiée par les fondamentaux actuels. Le comportement du cours (Partie 1) est baissier (-2,99% sur 100 jours), avec une volatilité élevée (46,6%) et une asymétrie positive (skewness de 1,133) qui suggère des pics haussiers rares mais marqués, dans un contexte de tendance descendante. Les signaux techniques (Partie 2) sont mitigés : les moyennes mobiles confirment la tendance baissière, mais le MACD et le stochastique génèrent des signaux d'achat contra-cycliques, tandis que le RSI est neutre. Les fondamentaux (Partie 3) sont préoccupants : malgré un ROE de 15,40% et une croissance du CA de 11,18% en 2025, les flux de trésorerie opérationnels sont négatifs, et le T1 2026 affiche une perte nette de 221,7 M FCFA, remettant en cause la trajectoire de croissance. Les prédictions IA (J+1 à J+10) anticipent une poursuite de la baisse, avec un cours cible de 3 307 FCFA à J+10, confirmant la tendance baissière et contredisant les signaux d'achat techniques à court terme. Sur la base de cette synthèse, la recommandation finale est **VENTE**, avec un niveau de confiance **Moyen** et un risque global **Élevé**. La convergence entre la surévaluation, la dégradation fondamentale récente et les prédictions baissières l'emporte sur les signaux techniques de rebond, qui apparaissent comme des opportunités de sortie plutôt que d'entrée. L'horizon d'investissement optimal est **court terme** (&lt;3 mois) pour les investisseurs cherchant à limiter leurs pertes, en attendant une clarification sur la capacité de l'entreprise à redresser ses marges et à générer des flux de trésorerie positifs.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1097.60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1,492 titres</w:t>
            </w:r>
          </w:p>
        </w:tc>
        <w:tc>
          <w:tcPr>
            <w:tcW w:type="dxa" w:w="2268"/>
            <w:shd w:fill="FFF2CC" w:val="clear"/>
          </w:tcPr>
          <w:p>
            <w:r>
              <w:rPr>
                <w:b/>
                <w:color w:val="503200"/>
                <w:sz w:val="16"/>
              </w:rPr>
              <w:t xml:space="preserve">Cours actuel : </w:t>
            </w:r>
            <w:r>
              <w:rPr>
                <w:color w:val="000000"/>
                <w:sz w:val="17"/>
              </w:rPr>
              <w:t>34,300 FCFA</w:t>
            </w:r>
          </w:p>
          <w:p>
            <w:r>
              <w:rPr>
                <w:b/>
                <w:color w:val="503200"/>
                <w:sz w:val="16"/>
              </w:rPr>
              <w:t xml:space="preserve">Var. 100 jours : </w:t>
            </w:r>
            <w:r>
              <w:rPr>
                <w:b/>
                <w:color w:val="007800"/>
                <w:sz w:val="17"/>
              </w:rPr>
              <w:t>+103.62%</w:t>
            </w:r>
          </w:p>
          <w:p>
            <w:r>
              <w:rPr>
                <w:b/>
                <w:color w:val="503200"/>
                <w:sz w:val="16"/>
              </w:rPr>
              <w:t xml:space="preserve">Plus haut 100j : </w:t>
            </w:r>
            <w:r>
              <w:rPr>
                <w:color w:val="000000"/>
                <w:sz w:val="17"/>
              </w:rPr>
              <w:t>34,300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21.22% (Élevée) — μ=24,757 FCFA, σ=5,253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β=1.0760 (Neutre (suit le marché)) — Cov=0.000037, Var(idx)=0.000035, ρ=0.238,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59862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2026-09-16</w:t>
            </w:r>
          </w:p>
        </w:tc>
        <w:tc>
          <w:tcPr>
            <w:tcW w:type="dxa" w:w="1440"/>
            <w:shd w:fill="FFDCE0" w:val="clear"/>
          </w:tcPr>
          <w:p>
            <w:r>
              <w:rPr>
                <w:sz w:val="17"/>
              </w:rPr>
              <w:t>30,830</w:t>
            </w:r>
          </w:p>
        </w:tc>
        <w:tc>
          <w:tcPr>
            <w:tcW w:type="dxa" w:w="1440"/>
            <w:shd w:fill="FFDCE0" w:val="clear"/>
          </w:tcPr>
          <w:p>
            <w:r>
              <w:rPr>
                <w:b/>
                <w:sz w:val="17"/>
              </w:rPr>
              <w:t>31,728</w:t>
            </w:r>
          </w:p>
        </w:tc>
        <w:tc>
          <w:tcPr>
            <w:tcW w:type="dxa" w:w="1440"/>
            <w:shd w:fill="FFDCE0" w:val="clear"/>
          </w:tcPr>
          <w:p>
            <w:r>
              <w:rPr>
                <w:sz w:val="17"/>
              </w:rPr>
              <w:t>32,625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2026-09-17</w:t>
            </w:r>
          </w:p>
        </w:tc>
        <w:tc>
          <w:tcPr>
            <w:tcW w:type="dxa" w:w="1440"/>
            <w:shd w:fill="FFDCE0" w:val="clear"/>
          </w:tcPr>
          <w:p>
            <w:r>
              <w:rPr>
                <w:sz w:val="17"/>
              </w:rPr>
              <w:t>29,157</w:t>
            </w:r>
          </w:p>
        </w:tc>
        <w:tc>
          <w:tcPr>
            <w:tcW w:type="dxa" w:w="1440"/>
            <w:shd w:fill="FFDCE0" w:val="clear"/>
          </w:tcPr>
          <w:p>
            <w:r>
              <w:rPr>
                <w:b/>
                <w:sz w:val="17"/>
              </w:rPr>
              <w:t>30,373</w:t>
            </w:r>
          </w:p>
        </w:tc>
        <w:tc>
          <w:tcPr>
            <w:tcW w:type="dxa" w:w="1440"/>
            <w:shd w:fill="FFDCE0" w:val="clear"/>
          </w:tcPr>
          <w:p>
            <w:r>
              <w:rPr>
                <w:sz w:val="17"/>
              </w:rPr>
              <w:t>31,588</w:t>
            </w:r>
          </w:p>
        </w:tc>
        <w:tc>
          <w:tcPr>
            <w:tcW w:type="dxa" w:w="1440"/>
            <w:shd w:fill="FFDCE0" w:val="clear"/>
          </w:tcPr>
          <w:p>
            <w:r>
              <w:rPr>
                <w:b/>
                <w:color w:val="C00000"/>
                <w:sz w:val="17"/>
              </w:rPr>
              <w:t>-11.5%</w:t>
            </w:r>
          </w:p>
        </w:tc>
      </w:tr>
      <w:tr>
        <w:tc>
          <w:tcPr>
            <w:tcW w:type="dxa" w:w="1440"/>
            <w:shd w:fill="FFDCE0" w:val="clear"/>
          </w:tcPr>
          <w:p>
            <w:r>
              <w:rPr>
                <w:sz w:val="17"/>
              </w:rPr>
              <w:t>J+3  ⭐⭐⭐</w:t>
            </w:r>
          </w:p>
        </w:tc>
        <w:tc>
          <w:tcPr>
            <w:tcW w:type="dxa" w:w="1440"/>
            <w:shd w:fill="FFDCE0" w:val="clear"/>
          </w:tcPr>
          <w:p>
            <w:r>
              <w:rPr>
                <w:sz w:val="17"/>
              </w:rPr>
              <w:t>2026-09-18</w:t>
            </w:r>
          </w:p>
        </w:tc>
        <w:tc>
          <w:tcPr>
            <w:tcW w:type="dxa" w:w="1440"/>
            <w:shd w:fill="FFDCE0" w:val="clear"/>
          </w:tcPr>
          <w:p>
            <w:r>
              <w:rPr>
                <w:sz w:val="17"/>
              </w:rPr>
              <w:t>28,453</w:t>
            </w:r>
          </w:p>
        </w:tc>
        <w:tc>
          <w:tcPr>
            <w:tcW w:type="dxa" w:w="1440"/>
            <w:shd w:fill="FFDCE0" w:val="clear"/>
          </w:tcPr>
          <w:p>
            <w:r>
              <w:rPr>
                <w:b/>
                <w:sz w:val="17"/>
              </w:rPr>
              <w:t>29,919</w:t>
            </w:r>
          </w:p>
        </w:tc>
        <w:tc>
          <w:tcPr>
            <w:tcW w:type="dxa" w:w="1440"/>
            <w:shd w:fill="FFDCE0" w:val="clear"/>
          </w:tcPr>
          <w:p>
            <w:r>
              <w:rPr>
                <w:sz w:val="17"/>
              </w:rPr>
              <w:t>31,385</w:t>
            </w:r>
          </w:p>
        </w:tc>
        <w:tc>
          <w:tcPr>
            <w:tcW w:type="dxa" w:w="1440"/>
            <w:shd w:fill="FFDCE0" w:val="clear"/>
          </w:tcPr>
          <w:p>
            <w:r>
              <w:rPr>
                <w:b/>
                <w:color w:val="C00000"/>
                <w:sz w:val="17"/>
              </w:rPr>
              <w:t>-12.8%</w:t>
            </w:r>
          </w:p>
        </w:tc>
      </w:tr>
      <w:tr>
        <w:tc>
          <w:tcPr>
            <w:tcW w:type="dxa" w:w="1440"/>
            <w:shd w:fill="FFDCE0" w:val="clear"/>
          </w:tcPr>
          <w:p>
            <w:r>
              <w:rPr>
                <w:sz w:val="17"/>
              </w:rPr>
              <w:t>J+4  Moyenne</w:t>
            </w:r>
          </w:p>
        </w:tc>
        <w:tc>
          <w:tcPr>
            <w:tcW w:type="dxa" w:w="1440"/>
            <w:shd w:fill="FFDCE0" w:val="clear"/>
          </w:tcPr>
          <w:p>
            <w:r>
              <w:rPr>
                <w:sz w:val="17"/>
              </w:rPr>
              <w:t>2026-09-21</w:t>
            </w:r>
          </w:p>
        </w:tc>
        <w:tc>
          <w:tcPr>
            <w:tcW w:type="dxa" w:w="1440"/>
            <w:shd w:fill="FFDCE0" w:val="clear"/>
          </w:tcPr>
          <w:p>
            <w:r>
              <w:rPr>
                <w:sz w:val="17"/>
              </w:rPr>
              <w:t>27,952</w:t>
            </w:r>
          </w:p>
        </w:tc>
        <w:tc>
          <w:tcPr>
            <w:tcW w:type="dxa" w:w="1440"/>
            <w:shd w:fill="FFDCE0" w:val="clear"/>
          </w:tcPr>
          <w:p>
            <w:r>
              <w:rPr>
                <w:b/>
                <w:sz w:val="17"/>
              </w:rPr>
              <w:t>29,628</w:t>
            </w:r>
          </w:p>
        </w:tc>
        <w:tc>
          <w:tcPr>
            <w:tcW w:type="dxa" w:w="1440"/>
            <w:shd w:fill="FFDCE0" w:val="clear"/>
          </w:tcPr>
          <w:p>
            <w:r>
              <w:rPr>
                <w:sz w:val="17"/>
              </w:rPr>
              <w:t>31,305</w:t>
            </w:r>
          </w:p>
        </w:tc>
        <w:tc>
          <w:tcPr>
            <w:tcW w:type="dxa" w:w="1440"/>
            <w:shd w:fill="FFDCE0" w:val="clear"/>
          </w:tcPr>
          <w:p>
            <w:r>
              <w:rPr>
                <w:b/>
                <w:color w:val="C00000"/>
                <w:sz w:val="17"/>
              </w:rPr>
              <w:t>-13.6%</w:t>
            </w:r>
          </w:p>
        </w:tc>
      </w:tr>
      <w:tr>
        <w:tc>
          <w:tcPr>
            <w:tcW w:type="dxa" w:w="1440"/>
            <w:shd w:fill="FFDCE0" w:val="clear"/>
          </w:tcPr>
          <w:p>
            <w:r>
              <w:rPr>
                <w:sz w:val="17"/>
              </w:rPr>
              <w:t>J+5  Moyenne</w:t>
            </w:r>
          </w:p>
        </w:tc>
        <w:tc>
          <w:tcPr>
            <w:tcW w:type="dxa" w:w="1440"/>
            <w:shd w:fill="FFDCE0" w:val="clear"/>
          </w:tcPr>
          <w:p>
            <w:r>
              <w:rPr>
                <w:sz w:val="17"/>
              </w:rPr>
              <w:t>2026-09-22</w:t>
            </w:r>
          </w:p>
        </w:tc>
        <w:tc>
          <w:tcPr>
            <w:tcW w:type="dxa" w:w="1440"/>
            <w:shd w:fill="FFDCE0" w:val="clear"/>
          </w:tcPr>
          <w:p>
            <w:r>
              <w:rPr>
                <w:sz w:val="17"/>
              </w:rPr>
              <w:t>27,508</w:t>
            </w:r>
          </w:p>
        </w:tc>
        <w:tc>
          <w:tcPr>
            <w:tcW w:type="dxa" w:w="1440"/>
            <w:shd w:fill="FFDCE0" w:val="clear"/>
          </w:tcPr>
          <w:p>
            <w:r>
              <w:rPr>
                <w:b/>
                <w:sz w:val="17"/>
              </w:rPr>
              <w:t>29,366</w:t>
            </w:r>
          </w:p>
        </w:tc>
        <w:tc>
          <w:tcPr>
            <w:tcW w:type="dxa" w:w="1440"/>
            <w:shd w:fill="FFDCE0" w:val="clear"/>
          </w:tcPr>
          <w:p>
            <w:r>
              <w:rPr>
                <w:sz w:val="17"/>
              </w:rPr>
              <w:t>31,224</w:t>
            </w:r>
          </w:p>
        </w:tc>
        <w:tc>
          <w:tcPr>
            <w:tcW w:type="dxa" w:w="1440"/>
            <w:shd w:fill="FFDCE0" w:val="clear"/>
          </w:tcPr>
          <w:p>
            <w:r>
              <w:rPr>
                <w:b/>
                <w:color w:val="C00000"/>
                <w:sz w:val="17"/>
              </w:rPr>
              <w:t>-14.4%</w:t>
            </w:r>
          </w:p>
        </w:tc>
      </w:tr>
      <w:tr>
        <w:tc>
          <w:tcPr>
            <w:tcW w:type="dxa" w:w="1440"/>
            <w:shd w:fill="FFDCE0" w:val="clear"/>
          </w:tcPr>
          <w:p>
            <w:r>
              <w:rPr>
                <w:sz w:val="17"/>
              </w:rPr>
              <w:t>J+6  Moyenne</w:t>
            </w:r>
          </w:p>
        </w:tc>
        <w:tc>
          <w:tcPr>
            <w:tcW w:type="dxa" w:w="1440"/>
            <w:shd w:fill="FFDCE0" w:val="clear"/>
          </w:tcPr>
          <w:p>
            <w:r>
              <w:rPr>
                <w:sz w:val="17"/>
              </w:rPr>
              <w:t>2026-09-23</w:t>
            </w:r>
          </w:p>
        </w:tc>
        <w:tc>
          <w:tcPr>
            <w:tcW w:type="dxa" w:w="1440"/>
            <w:shd w:fill="FFDCE0" w:val="clear"/>
          </w:tcPr>
          <w:p>
            <w:r>
              <w:rPr>
                <w:sz w:val="17"/>
              </w:rPr>
              <w:t>27,127</w:t>
            </w:r>
          </w:p>
        </w:tc>
        <w:tc>
          <w:tcPr>
            <w:tcW w:type="dxa" w:w="1440"/>
            <w:shd w:fill="FFDCE0" w:val="clear"/>
          </w:tcPr>
          <w:p>
            <w:r>
              <w:rPr>
                <w:b/>
                <w:sz w:val="17"/>
              </w:rPr>
              <w:t>29,147</w:t>
            </w:r>
          </w:p>
        </w:tc>
        <w:tc>
          <w:tcPr>
            <w:tcW w:type="dxa" w:w="1440"/>
            <w:shd w:fill="FFDCE0" w:val="clear"/>
          </w:tcPr>
          <w:p>
            <w:r>
              <w:rPr>
                <w:sz w:val="17"/>
              </w:rPr>
              <w:t>31,167</w:t>
            </w:r>
          </w:p>
        </w:tc>
        <w:tc>
          <w:tcPr>
            <w:tcW w:type="dxa" w:w="1440"/>
            <w:shd w:fill="FFDCE0" w:val="clear"/>
          </w:tcPr>
          <w:p>
            <w:r>
              <w:rPr>
                <w:b/>
                <w:color w:val="C00000"/>
                <w:sz w:val="17"/>
              </w:rPr>
              <w:t>-15.0%</w:t>
            </w:r>
          </w:p>
        </w:tc>
      </w:tr>
      <w:tr>
        <w:tc>
          <w:tcPr>
            <w:tcW w:type="dxa" w:w="1440"/>
            <w:shd w:fill="FFDCE0" w:val="clear"/>
          </w:tcPr>
          <w:p>
            <w:r>
              <w:rPr>
                <w:sz w:val="17"/>
              </w:rPr>
              <w:t>J+7  Moyenne</w:t>
            </w:r>
          </w:p>
        </w:tc>
        <w:tc>
          <w:tcPr>
            <w:tcW w:type="dxa" w:w="1440"/>
            <w:shd w:fill="FFDCE0" w:val="clear"/>
          </w:tcPr>
          <w:p>
            <w:r>
              <w:rPr>
                <w:sz w:val="17"/>
              </w:rPr>
              <w:t>2026-09-24</w:t>
            </w:r>
          </w:p>
        </w:tc>
        <w:tc>
          <w:tcPr>
            <w:tcW w:type="dxa" w:w="1440"/>
            <w:shd w:fill="FFDCE0" w:val="clear"/>
          </w:tcPr>
          <w:p>
            <w:r>
              <w:rPr>
                <w:sz w:val="17"/>
              </w:rPr>
              <w:t>26,796</w:t>
            </w:r>
          </w:p>
        </w:tc>
        <w:tc>
          <w:tcPr>
            <w:tcW w:type="dxa" w:w="1440"/>
            <w:shd w:fill="FFDCE0" w:val="clear"/>
          </w:tcPr>
          <w:p>
            <w:r>
              <w:rPr>
                <w:b/>
                <w:sz w:val="17"/>
              </w:rPr>
              <w:t>28,964</w:t>
            </w:r>
          </w:p>
        </w:tc>
        <w:tc>
          <w:tcPr>
            <w:tcW w:type="dxa" w:w="1440"/>
            <w:shd w:fill="FFDCE0" w:val="clear"/>
          </w:tcPr>
          <w:p>
            <w:r>
              <w:rPr>
                <w:sz w:val="17"/>
              </w:rPr>
              <w:t>31,133</w:t>
            </w:r>
          </w:p>
        </w:tc>
        <w:tc>
          <w:tcPr>
            <w:tcW w:type="dxa" w:w="1440"/>
            <w:shd w:fill="FFDCE0" w:val="clear"/>
          </w:tcPr>
          <w:p>
            <w:r>
              <w:rPr>
                <w:b/>
                <w:color w:val="C00000"/>
                <w:sz w:val="17"/>
              </w:rPr>
              <w:t>-15.6%</w:t>
            </w:r>
          </w:p>
        </w:tc>
      </w:tr>
      <w:tr>
        <w:tc>
          <w:tcPr>
            <w:tcW w:type="dxa" w:w="1440"/>
            <w:shd w:fill="FFDCE0" w:val="clear"/>
          </w:tcPr>
          <w:p>
            <w:r>
              <w:rPr>
                <w:sz w:val="17"/>
              </w:rPr>
              <w:t>J+8  Moyenne</w:t>
            </w:r>
          </w:p>
        </w:tc>
        <w:tc>
          <w:tcPr>
            <w:tcW w:type="dxa" w:w="1440"/>
            <w:shd w:fill="FFDCE0" w:val="clear"/>
          </w:tcPr>
          <w:p>
            <w:r>
              <w:rPr>
                <w:sz w:val="17"/>
              </w:rPr>
              <w:t>2026-09-25</w:t>
            </w:r>
          </w:p>
        </w:tc>
        <w:tc>
          <w:tcPr>
            <w:tcW w:type="dxa" w:w="1440"/>
            <w:shd w:fill="FFDCE0" w:val="clear"/>
          </w:tcPr>
          <w:p>
            <w:r>
              <w:rPr>
                <w:sz w:val="17"/>
              </w:rPr>
              <w:t>26,502</w:t>
            </w:r>
          </w:p>
        </w:tc>
        <w:tc>
          <w:tcPr>
            <w:tcW w:type="dxa" w:w="1440"/>
            <w:shd w:fill="FFDCE0" w:val="clear"/>
          </w:tcPr>
          <w:p>
            <w:r>
              <w:rPr>
                <w:b/>
                <w:sz w:val="17"/>
              </w:rPr>
              <w:t>28,808</w:t>
            </w:r>
          </w:p>
        </w:tc>
        <w:tc>
          <w:tcPr>
            <w:tcW w:type="dxa" w:w="1440"/>
            <w:shd w:fill="FFDCE0" w:val="clear"/>
          </w:tcPr>
          <w:p>
            <w:r>
              <w:rPr>
                <w:sz w:val="17"/>
              </w:rPr>
              <w:t>31,113</w:t>
            </w:r>
          </w:p>
        </w:tc>
        <w:tc>
          <w:tcPr>
            <w:tcW w:type="dxa" w:w="1440"/>
            <w:shd w:fill="FFDCE0" w:val="clear"/>
          </w:tcPr>
          <w:p>
            <w:r>
              <w:rPr>
                <w:b/>
                <w:color w:val="C00000"/>
                <w:sz w:val="17"/>
              </w:rPr>
              <w:t>-16.0%</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26,237</w:t>
            </w:r>
          </w:p>
        </w:tc>
        <w:tc>
          <w:tcPr>
            <w:tcW w:type="dxa" w:w="1440"/>
            <w:shd w:fill="FFDCE0" w:val="clear"/>
          </w:tcPr>
          <w:p>
            <w:r>
              <w:rPr>
                <w:b/>
                <w:sz w:val="17"/>
              </w:rPr>
              <w:t>28,670</w:t>
            </w:r>
          </w:p>
        </w:tc>
        <w:tc>
          <w:tcPr>
            <w:tcW w:type="dxa" w:w="1440"/>
            <w:shd w:fill="FFDCE0" w:val="clear"/>
          </w:tcPr>
          <w:p>
            <w:r>
              <w:rPr>
                <w:sz w:val="17"/>
              </w:rPr>
              <w:t>31,103</w:t>
            </w:r>
          </w:p>
        </w:tc>
        <w:tc>
          <w:tcPr>
            <w:tcW w:type="dxa" w:w="1440"/>
            <w:shd w:fill="FFDCE0" w:val="clear"/>
          </w:tcPr>
          <w:p>
            <w:r>
              <w:rPr>
                <w:b/>
                <w:color w:val="C00000"/>
                <w:sz w:val="17"/>
              </w:rPr>
              <w:t>-16.4%</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25,995</w:t>
            </w:r>
          </w:p>
        </w:tc>
        <w:tc>
          <w:tcPr>
            <w:tcW w:type="dxa" w:w="1440"/>
            <w:shd w:fill="FFDCE0" w:val="clear"/>
          </w:tcPr>
          <w:p>
            <w:r>
              <w:rPr>
                <w:b/>
                <w:sz w:val="17"/>
              </w:rPr>
              <w:t>28,549</w:t>
            </w:r>
          </w:p>
        </w:tc>
        <w:tc>
          <w:tcPr>
            <w:tcW w:type="dxa" w:w="1440"/>
            <w:shd w:fill="FFDCE0" w:val="clear"/>
          </w:tcPr>
          <w:p>
            <w:r>
              <w:rPr>
                <w:sz w:val="17"/>
              </w:rPr>
              <w:t>31,103</w:t>
            </w:r>
          </w:p>
        </w:tc>
        <w:tc>
          <w:tcPr>
            <w:tcW w:type="dxa" w:w="1440"/>
            <w:shd w:fill="FFDCE0" w:val="clear"/>
          </w:tcPr>
          <w:p>
            <w:r>
              <w:rPr>
                <w:b/>
                <w:color w:val="C00000"/>
                <w:sz w:val="17"/>
              </w:rPr>
              <w:t>-16.8%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1 097,60 milliards FCFA, CBIBF s'impose comme l'une des toutes premières capitalisations de la BRVM, ce qui en fait un titre phare de l'indice BRVM Composite et un incontournable pour les investisseurs institutionnels de la zone UEMOA. Le BPA de 2 047 FCFA par action signifie que chaque titre génère près de 2 047 FCFA de bénéfice net, un niveau de rentabilité par action remarquable pour le marché régional. Le PER de 16,8x traduit une valorisation modérée mais nettement supérieure à la moyenne BRVM (généralement située entre 8x et 12x), les investisseurs acceptant donc de payer une prime de qualité pour ce leader bancaire. L'EV/EBITDA de 12,4x, situé dans la fourchette haute (10-15x), confirme que la valeur d'entreprise intègre déjà une bonne part des performances opérationnelles, laissant peu de marge de revalorisation à court terme. Le ratio P/B n'étant pas fourni dans les données, il n'est pas commenté ici, mais l'absence de cette donnée n'empêche pas de conclure à une valorisation globalement juste, voire légèrement tendue,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CBIBF a littéralement doublé, affichant une variation totale spectaculaire de +103,62%, avec une dernière séance encore positive de +1,17%, portant le cours actuel à 34 300 FCFA — soit précisément le plus haut de la période, tandis que le plus bas a été touché à 15 600 FCFA, matérialisant un range de trading exceptionnel de plus de 18 700 FCFA. La tendance générale est donc résolument haussière, portée par un momentum acheteur puissant qui a propulsé le titre vers des sommets historiques. Les statistiques descriptives révèlent une moyenne de 24 757 FCFA très proche de la médiane de 24 500 FCFA, signe d'une distribution quasi symétrique du cours sur la période, confirmée par un skewness de -0,056 pratiquement nul. L'écart-type de 5 280 FCFA, associé à un coefficient de variation de 21,3%, indique une dispersion modérée du cours autour de sa moyenne, tandis que le kurtosis de -1,032 (distribution platykurtique) suggère une faible concentration des valeurs extrêmes et donc un risque de pics brusques relativement contenu. La volatilité annualisée de 42,1% classe ce titre dans la catégorie des valeurs à volatilité élevée (&gt;30%), ce qui est cohérent avec la forte appréciation récente et appelle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(31 430 FCFA) et la MM50 (29 389,3 FCFA) se situent toutes deux nettement en dessous du cours actuel (34 300 FCFA), et la MM20 est elle-même supérieure à la MM50, configurant un croisement haussier classique. Cette structure de moyennes mobiles ascendantes confirme la tendance positive et justifie la décision d'achat.</w:t>
      </w:r>
    </w:p>
    <w:p>
      <w:pPr>
        <w:spacing w:after="120" w:line="276" w:lineRule="auto"/>
      </w:pPr>
      <w:r>
        <w:t>**Bandes de Bollinger** : Le cours (34 300 FCFA) évolue dans la partie haute du canal, entre la borne inférieure (27 027,14 FCFA) et la borne supérieure (35 832,86 FCFA), sans toutefois la franchir. Cette position élevée dans les bandes traduit une pression acheteuse soutenue mais non encore excessive, justifiant une décision neutre avec un biais haussier.</w:t>
      </w:r>
    </w:p>
    <w:p>
      <w:pPr>
        <w:spacing w:after="120" w:line="276" w:lineRule="auto"/>
      </w:pPr>
      <w:r>
        <w:t>**MACD** : La valeur du MACD (1 602,6) est nettement supérieure à sa ligne de signal (1 414,49), et l'écart positif entre les deux traduit un momentum haussier toujours actif. Cette divergence positive confirme la dynamique d'achat et soutient la décision d'achat.</w:t>
      </w:r>
    </w:p>
    <w:p>
      <w:pPr>
        <w:spacing w:after="120" w:line="276" w:lineRule="auto"/>
      </w:pPr>
      <w:r>
        <w:t>**RSI** : À 87,197, le RSI se situe très largement au-dessus du seuil de surachat de 70, signalant que le titre est techniquement surchauffé après sa progression exceptionnelle. Cette configuration justifie la décision de vente technique, un repli correctif étant probable à court terme.</w:t>
      </w:r>
    </w:p>
    <w:p>
      <w:pPr>
        <w:spacing w:after="120" w:line="276" w:lineRule="auto"/>
      </w:pPr>
      <w:r>
        <w:t>**Stochastique** : Le %K (100,0) et le %D (97,318) sont tous deux bloqués en zone extrême de surachat, avec un %K au maximum absolu. Cette configuration signale un épuisement imminent du mouvement haussier et confirme la décision de vente à court terme.</w:t>
      </w:r>
    </w:p>
    <w:p>
      <w:pPr>
        <w:spacing w:after="120" w:line="276" w:lineRule="auto"/>
      </w:pPr>
      <w:r>
        <w:t>**Conclusion technique** : Les indicateurs de tendance (MM, MACD) restent haussiers et valident la dynamique de fond, mais les oscillateurs (RSI à 87,2 et Stochastique à 100) sont en zone de surachat extrême et plaident pour une correction imminente. Cette divergence entre tendance et momentum suggère une prise de bénéfices à court terme, sans remettre en cause la tendance haussière de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Coris Bank International affiche un Produit Net Bancaire (PNB) de 138,986 milliards FCFA, en croissance de 6,11% sur un an, et un résultat net de 65,495 milliards FCFA, en progression spectaculaire de 36,6% par rapport à 2024 (47,9 milliards FCFA). Le coefficient d'exploitation s'établit à 36,39%, très en dessous du seuil de 60% et même du seuil d'excellence de 50%, confirmant l'efficacité opérationnelle remarquable de la banque. Le ROA de 2,18% et la marge nette de 47,12% témoignent d'une rentabilité solide, tandis que le total du bilan atteint 2 997,78 milliards FCFA, avec des dépôts clientèle de 2 015,28 milliards FCFA et des créances clientèle de 1 326,98 milliards FCFA. Le ratio dépôts/crédits de 1,52 indique une surliquidité confortable, la banque collectant bien plus qu'elle ne prête, ce qui constitue un matelas de sécurité mais aussi un manque de transformation à surveiller. Le coût du risque, bien qu'affiché à un niveau élevé dans les données brutes, s'est amélioré de 59,3% en 2025 selon le rapport annuel, traduisant l'assainissement réussi du portefeuille de crédits engagé en 2024.</w:t>
      </w:r>
    </w:p>
    <w:p>
      <w:pPr>
        <w:spacing w:after="120" w:line="276" w:lineRule="auto"/>
      </w:pPr>
      <w:r>
        <w:t>**Évolution pluriannuelle et estimations** : L'historique montre une nette amélioration de la trajectoire : après une année 2024 difficile (résultat net en baisse de 25,4% à 47,9 milliards FCFA à cause d'une explosion du coût du risque de +72,5%), la banque a redressé la barre en 2025 avec un résultat net de 65,5 milliards FCFA. Les rapports trimestriels confirment cette dynamique : au T3 2025 (rapport du 30/09/2025), le PNB atteint 101,3 milliards FCFA (+9,65%) et le résultat net 52,9 milliards FCFA (+6,25%) ; au T1 2025 (rapport du 31/03/2025), le PNB était de 28,7 milliards FCFA (+2,80%) et le résultat net de 17,6 milliards FCFA (+5,89%). Surtout, le rapport du T1 2026 (publié en 2026) révèle une accélération spectaculaire : PNB de 36,8 milliards FCFA (+28,5%), résultat net de 21,5 milliards FCFA (+22,2%), et dépôts clientèle bondissant de +37,9% à 2 365,1 milliards FCFA. Sur cette base, on estime que l'exercice 2026 devrait enregistrer une nouvelle année de forte croissance, avec un résultat net potentiellement supérieur à 80 milliards FCFA si la dynamique se maintient. La notation financière AA/AI avec perspective stable (Bloomfield) et le renforcement de la gouvernance avec deux administrateurs indépendants constituent des facteurs de confiance supplémentaires.</w:t>
      </w:r>
    </w:p>
    <w:p>
      <w:pPr>
        <w:spacing w:after="120" w:line="276" w:lineRule="auto"/>
      </w:pPr>
      <w:r>
        <w:t>**Recommandation fondamentale** : La solidité financière de CBIBF est incontestable — efficacité opérationnelle excellente, rentabilité élevée, croissance soutenue et gestion des risques en amélioration. Les principaux risques restent l'exposition au contexte sécuritaire et politique burkinabè, la concentration géographique et la faible transformation des dépôts en crédits. La recommandation fondamentale est donc **ACHAT**, portée par des perspectives de croissance robustes et une qualité de bilan reconnue.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**Sur le plan de la valorisation (Partie 0)**, le PER de 16,8x et l'EV/EBITDA de 12,4x indiquent une valorisation modérée à tendue, le marché ayant déjà intégré une large part des excellents résultats, ce qui limite le potentiel de revalorisation à court terme. **Le comportement du cours (Partie 1)** est exceptionnellement haussier (+103,62% sur 100 jours) mais la volatilité annualisée de 42,1% et la distribution platykurtique (kurtosis -1,032) signalent un risque de correction brutale, même si la symétrie de la distribution (skewness -0,056) ne penche ni vers un biais haussier ni baissier. **Les signaux techniques (Partie 2)** sont divergents : les moyennes mobiles et le MACD confirment la tendance haussière, mais le RSI (87,2) et le stochastique (100) sont en zone de surachat extrême, annonçant une correction imminente. **Les fondamentaux (Partie 3)** sont excellents, avec un résultat net 2025 de 65,5 milliards FCFA (+36,6%), un coefficient d'exploitation de 36,4% et un T1 2026 en accélération (+22,2% de résultat net), ce qui justifie une prime de qualité durable. **Les prédictions IA (J+1 à J+10)** anticipent une correction significative, avec un cours passant de 31 728 FCFA à 29 366 FCFA en cinq séances, ce qui contredit la tendance haussière actuelle et confirme le signal de surachat technique.</w:t>
      </w:r>
    </w:p>
    <w:p>
      <w:pPr>
        <w:spacing w:after="120" w:line="276" w:lineRule="auto"/>
      </w:pPr>
      <w:r>
        <w:t>**Recommandation finale : CONSERVER.** La convergence entre la valorisation tendue, le surachat technique extrême et les prédictions baissières à court terme plaide contre un achat immédiat, tandis que la solidité fondamentale et les perspectives de croissance 2026 interdisent toute vente. Le niveau de confiance est **Moyen**, car si les signaux techniques et prédictifs sont clairs à court terme, la force des fondamentaux pourrait rapidement absorber toute correction. Le niveau de risque global est **Élevé**, en raison de la volatilité du titre et de l'exposition géographique. L'horizon d'investissement optimal est le **moyen terme (3-12 mois)**, en profitant d'une éventuelle correction vers la zone des 29 000-30 000 FCFA pour renforcer une position dans une valeur de qualité fondamentale reconnue.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313.77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3,639 titres</w:t>
            </w:r>
          </w:p>
        </w:tc>
        <w:tc>
          <w:tcPr>
            <w:tcW w:type="dxa" w:w="2268"/>
            <w:shd w:fill="FFF2CC" w:val="clear"/>
          </w:tcPr>
          <w:p>
            <w:r>
              <w:rPr>
                <w:b/>
                <w:color w:val="503200"/>
                <w:sz w:val="16"/>
              </w:rPr>
              <w:t xml:space="preserve">Cours actuel : </w:t>
            </w:r>
            <w:r>
              <w:rPr>
                <w:color w:val="000000"/>
                <w:sz w:val="17"/>
              </w:rPr>
              <w:t>1,730 FCFA</w:t>
            </w:r>
          </w:p>
          <w:p>
            <w:r>
              <w:rPr>
                <w:b/>
                <w:color w:val="503200"/>
                <w:sz w:val="16"/>
              </w:rPr>
              <w:t xml:space="preserve">Var. 100 jours : </w:t>
            </w:r>
            <w:r>
              <w:rPr>
                <w:b/>
                <w:color w:val="007800"/>
                <w:sz w:val="17"/>
              </w:rPr>
              <w:t>+8.81%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6.70% (Moyenne) — μ=1,623 FCFA, σ=109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β=1.0570 (Neutre (suit le marché)) — Cov=0.000037, Var(idx)=0.000035, ρ=0.207,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σ_j=2.99%/j (Stable) — Vol. annualisée≈47.5%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1,671</w:t>
            </w:r>
          </w:p>
        </w:tc>
        <w:tc>
          <w:tcPr>
            <w:tcW w:type="dxa" w:w="1440"/>
            <w:shd w:fill="FAFAFA" w:val="clear"/>
          </w:tcPr>
          <w:p>
            <w:r>
              <w:rPr>
                <w:b/>
                <w:sz w:val="17"/>
              </w:rPr>
              <w:t>1,728</w:t>
            </w:r>
          </w:p>
        </w:tc>
        <w:tc>
          <w:tcPr>
            <w:tcW w:type="dxa" w:w="1440"/>
            <w:shd w:fill="FAFAFA" w:val="clear"/>
          </w:tcPr>
          <w:p>
            <w:r>
              <w:rPr>
                <w:sz w:val="17"/>
              </w:rPr>
              <w:t>1,785</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1,651</w:t>
            </w:r>
          </w:p>
        </w:tc>
        <w:tc>
          <w:tcPr>
            <w:tcW w:type="dxa" w:w="1440"/>
            <w:shd w:fill="FAFAFA" w:val="clear"/>
          </w:tcPr>
          <w:p>
            <w:r>
              <w:rPr>
                <w:b/>
                <w:sz w:val="17"/>
              </w:rPr>
              <w:t>1,731</w:t>
            </w:r>
          </w:p>
        </w:tc>
        <w:tc>
          <w:tcPr>
            <w:tcW w:type="dxa" w:w="1440"/>
            <w:shd w:fill="FAFAFA" w:val="clear"/>
          </w:tcPr>
          <w:p>
            <w:r>
              <w:rPr>
                <w:sz w:val="17"/>
              </w:rPr>
              <w:t>1,812</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1,635</w:t>
            </w:r>
          </w:p>
        </w:tc>
        <w:tc>
          <w:tcPr>
            <w:tcW w:type="dxa" w:w="1440"/>
            <w:shd w:fill="FAFAFA" w:val="clear"/>
          </w:tcPr>
          <w:p>
            <w:r>
              <w:rPr>
                <w:b/>
                <w:sz w:val="17"/>
              </w:rPr>
              <w:t>1,734</w:t>
            </w:r>
          </w:p>
        </w:tc>
        <w:tc>
          <w:tcPr>
            <w:tcW w:type="dxa" w:w="1440"/>
            <w:shd w:fill="FAFAFA" w:val="clear"/>
          </w:tcPr>
          <w:p>
            <w:r>
              <w:rPr>
                <w:sz w:val="17"/>
              </w:rPr>
              <w:t>1,833</w:t>
            </w:r>
          </w:p>
        </w:tc>
        <w:tc>
          <w:tcPr>
            <w:tcW w:type="dxa" w:w="1440"/>
            <w:shd w:fill="FAFAFA" w:val="clear"/>
          </w:tcPr>
          <w:p>
            <w:r>
              <w:rPr>
                <w:b/>
                <w:color w:val="008000"/>
                <w:sz w:val="17"/>
              </w:rPr>
              <w:t>+0.2%</w:t>
            </w:r>
          </w:p>
        </w:tc>
      </w:tr>
      <w:tr>
        <w:tc>
          <w:tcPr>
            <w:tcW w:type="dxa" w:w="1440"/>
            <w:shd w:fill="FAFAFA" w:val="clear"/>
          </w:tcPr>
          <w:p>
            <w:r>
              <w:rPr>
                <w:sz w:val="17"/>
              </w:rPr>
              <w:t>J+4  Moyenne</w:t>
            </w:r>
          </w:p>
        </w:tc>
        <w:tc>
          <w:tcPr>
            <w:tcW w:type="dxa" w:w="1440"/>
            <w:shd w:fill="FAFAFA" w:val="clear"/>
          </w:tcPr>
          <w:p>
            <w:r>
              <w:rPr>
                <w:sz w:val="17"/>
              </w:rPr>
              <w:t>2026-09-21</w:t>
            </w:r>
          </w:p>
        </w:tc>
        <w:tc>
          <w:tcPr>
            <w:tcW w:type="dxa" w:w="1440"/>
            <w:shd w:fill="FAFAFA" w:val="clear"/>
          </w:tcPr>
          <w:p>
            <w:r>
              <w:rPr>
                <w:sz w:val="17"/>
              </w:rPr>
              <w:t>1,622</w:t>
            </w:r>
          </w:p>
        </w:tc>
        <w:tc>
          <w:tcPr>
            <w:tcW w:type="dxa" w:w="1440"/>
            <w:shd w:fill="FAFAFA" w:val="clear"/>
          </w:tcPr>
          <w:p>
            <w:r>
              <w:rPr>
                <w:b/>
                <w:sz w:val="17"/>
              </w:rPr>
              <w:t>1,736</w:t>
            </w:r>
          </w:p>
        </w:tc>
        <w:tc>
          <w:tcPr>
            <w:tcW w:type="dxa" w:w="1440"/>
            <w:shd w:fill="FAFAFA" w:val="clear"/>
          </w:tcPr>
          <w:p>
            <w:r>
              <w:rPr>
                <w:sz w:val="17"/>
              </w:rPr>
              <w:t>1,850</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2026-09-22</w:t>
            </w:r>
          </w:p>
        </w:tc>
        <w:tc>
          <w:tcPr>
            <w:tcW w:type="dxa" w:w="1440"/>
            <w:shd w:fill="FAFAFA" w:val="clear"/>
          </w:tcPr>
          <w:p>
            <w:r>
              <w:rPr>
                <w:sz w:val="17"/>
              </w:rPr>
              <w:t>1,611</w:t>
            </w:r>
          </w:p>
        </w:tc>
        <w:tc>
          <w:tcPr>
            <w:tcW w:type="dxa" w:w="1440"/>
            <w:shd w:fill="FAFAFA" w:val="clear"/>
          </w:tcPr>
          <w:p>
            <w:r>
              <w:rPr>
                <w:b/>
                <w:sz w:val="17"/>
              </w:rPr>
              <w:t>1,739</w:t>
            </w:r>
          </w:p>
        </w:tc>
        <w:tc>
          <w:tcPr>
            <w:tcW w:type="dxa" w:w="1440"/>
            <w:shd w:fill="FAFAFA" w:val="clear"/>
          </w:tcPr>
          <w:p>
            <w:r>
              <w:rPr>
                <w:sz w:val="17"/>
              </w:rPr>
              <w:t>1,866</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2026-09-23</w:t>
            </w:r>
          </w:p>
        </w:tc>
        <w:tc>
          <w:tcPr>
            <w:tcW w:type="dxa" w:w="1440"/>
            <w:shd w:fill="FAFAFA" w:val="clear"/>
          </w:tcPr>
          <w:p>
            <w:r>
              <w:rPr>
                <w:sz w:val="17"/>
              </w:rPr>
              <w:t>1,601</w:t>
            </w:r>
          </w:p>
        </w:tc>
        <w:tc>
          <w:tcPr>
            <w:tcW w:type="dxa" w:w="1440"/>
            <w:shd w:fill="FAFAFA" w:val="clear"/>
          </w:tcPr>
          <w:p>
            <w:r>
              <w:rPr>
                <w:b/>
                <w:sz w:val="17"/>
              </w:rPr>
              <w:t>1,741</w:t>
            </w:r>
          </w:p>
        </w:tc>
        <w:tc>
          <w:tcPr>
            <w:tcW w:type="dxa" w:w="1440"/>
            <w:shd w:fill="FAFAFA" w:val="clear"/>
          </w:tcPr>
          <w:p>
            <w:r>
              <w:rPr>
                <w:sz w:val="17"/>
              </w:rPr>
              <w:t>1,881</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2026-09-24</w:t>
            </w:r>
          </w:p>
        </w:tc>
        <w:tc>
          <w:tcPr>
            <w:tcW w:type="dxa" w:w="1440"/>
            <w:shd w:fill="FAFAFA" w:val="clear"/>
          </w:tcPr>
          <w:p>
            <w:r>
              <w:rPr>
                <w:sz w:val="17"/>
              </w:rPr>
              <w:t>1,592</w:t>
            </w:r>
          </w:p>
        </w:tc>
        <w:tc>
          <w:tcPr>
            <w:tcW w:type="dxa" w:w="1440"/>
            <w:shd w:fill="FAFAFA" w:val="clear"/>
          </w:tcPr>
          <w:p>
            <w:r>
              <w:rPr>
                <w:b/>
                <w:sz w:val="17"/>
              </w:rPr>
              <w:t>1,743</w:t>
            </w:r>
          </w:p>
        </w:tc>
        <w:tc>
          <w:tcPr>
            <w:tcW w:type="dxa" w:w="1440"/>
            <w:shd w:fill="FAFAFA" w:val="clear"/>
          </w:tcPr>
          <w:p>
            <w:r>
              <w:rPr>
                <w:sz w:val="17"/>
              </w:rPr>
              <w:t>1,895</w:t>
            </w:r>
          </w:p>
        </w:tc>
        <w:tc>
          <w:tcPr>
            <w:tcW w:type="dxa" w:w="1440"/>
            <w:shd w:fill="FAFAFA" w:val="clear"/>
          </w:tcPr>
          <w:p>
            <w:r>
              <w:rPr>
                <w:b/>
                <w:color w:val="008000"/>
                <w:sz w:val="17"/>
              </w:rPr>
              <w:t>+0.8%</w:t>
            </w:r>
          </w:p>
        </w:tc>
      </w:tr>
      <w:tr>
        <w:tc>
          <w:tcPr>
            <w:tcW w:type="dxa" w:w="1440"/>
            <w:shd w:fill="FAFAFA" w:val="clear"/>
          </w:tcPr>
          <w:p>
            <w:r>
              <w:rPr>
                <w:sz w:val="17"/>
              </w:rPr>
              <w:t>J+8  Moyenne</w:t>
            </w:r>
          </w:p>
        </w:tc>
        <w:tc>
          <w:tcPr>
            <w:tcW w:type="dxa" w:w="1440"/>
            <w:shd w:fill="FAFAFA" w:val="clear"/>
          </w:tcPr>
          <w:p>
            <w:r>
              <w:rPr>
                <w:sz w:val="17"/>
              </w:rPr>
              <w:t>2026-09-25</w:t>
            </w:r>
          </w:p>
        </w:tc>
        <w:tc>
          <w:tcPr>
            <w:tcW w:type="dxa" w:w="1440"/>
            <w:shd w:fill="FAFAFA" w:val="clear"/>
          </w:tcPr>
          <w:p>
            <w:r>
              <w:rPr>
                <w:sz w:val="17"/>
              </w:rPr>
              <w:t>1,583</w:t>
            </w:r>
          </w:p>
        </w:tc>
        <w:tc>
          <w:tcPr>
            <w:tcW w:type="dxa" w:w="1440"/>
            <w:shd w:fill="FAFAFA" w:val="clear"/>
          </w:tcPr>
          <w:p>
            <w:r>
              <w:rPr>
                <w:b/>
                <w:sz w:val="17"/>
              </w:rPr>
              <w:t>1,745</w:t>
            </w:r>
          </w:p>
        </w:tc>
        <w:tc>
          <w:tcPr>
            <w:tcW w:type="dxa" w:w="1440"/>
            <w:shd w:fill="FAFAFA" w:val="clear"/>
          </w:tcPr>
          <w:p>
            <w:r>
              <w:rPr>
                <w:sz w:val="17"/>
              </w:rPr>
              <w:t>1,907</w:t>
            </w:r>
          </w:p>
        </w:tc>
        <w:tc>
          <w:tcPr>
            <w:tcW w:type="dxa" w:w="1440"/>
            <w:shd w:fill="FAFAFA" w:val="clear"/>
          </w:tcPr>
          <w:p>
            <w:r>
              <w:rPr>
                <w:b/>
                <w:color w:val="008000"/>
                <w:sz w:val="17"/>
              </w:rPr>
              <w:t>+0.9%</w:t>
            </w:r>
          </w:p>
        </w:tc>
      </w:tr>
      <w:tr>
        <w:tc>
          <w:tcPr>
            <w:tcW w:type="dxa" w:w="1440"/>
            <w:shd w:fill="FAFAFA" w:val="clear"/>
          </w:tcPr>
          <w:p>
            <w:r>
              <w:rPr>
                <w:sz w:val="17"/>
              </w:rPr>
              <w:t>J+9  Moyenne</w:t>
            </w:r>
          </w:p>
        </w:tc>
        <w:tc>
          <w:tcPr>
            <w:tcW w:type="dxa" w:w="1440"/>
            <w:shd w:fill="FAFAFA" w:val="clear"/>
          </w:tcPr>
          <w:p>
            <w:r>
              <w:rPr>
                <w:sz w:val="17"/>
              </w:rPr>
              <w:t>2026-09-28</w:t>
            </w:r>
          </w:p>
        </w:tc>
        <w:tc>
          <w:tcPr>
            <w:tcW w:type="dxa" w:w="1440"/>
            <w:shd w:fill="FAFAFA" w:val="clear"/>
          </w:tcPr>
          <w:p>
            <w:r>
              <w:rPr>
                <w:sz w:val="17"/>
              </w:rPr>
              <w:t>1,575</w:t>
            </w:r>
          </w:p>
        </w:tc>
        <w:tc>
          <w:tcPr>
            <w:tcW w:type="dxa" w:w="1440"/>
            <w:shd w:fill="FAFAFA" w:val="clear"/>
          </w:tcPr>
          <w:p>
            <w:r>
              <w:rPr>
                <w:b/>
                <w:sz w:val="17"/>
              </w:rPr>
              <w:t>1,747</w:t>
            </w:r>
          </w:p>
        </w:tc>
        <w:tc>
          <w:tcPr>
            <w:tcW w:type="dxa" w:w="1440"/>
            <w:shd w:fill="FAFAFA" w:val="clear"/>
          </w:tcPr>
          <w:p>
            <w:r>
              <w:rPr>
                <w:sz w:val="17"/>
              </w:rPr>
              <w:t>1,919</w:t>
            </w:r>
          </w:p>
        </w:tc>
        <w:tc>
          <w:tcPr>
            <w:tcW w:type="dxa" w:w="1440"/>
            <w:shd w:fill="FAFAFA" w:val="clear"/>
          </w:tcPr>
          <w:p>
            <w:r>
              <w:rPr>
                <w:b/>
                <w:color w:val="008000"/>
                <w:sz w:val="17"/>
              </w:rPr>
              <w:t>+1.0%</w:t>
            </w:r>
          </w:p>
        </w:tc>
      </w:tr>
      <w:tr>
        <w:tc>
          <w:tcPr>
            <w:tcW w:type="dxa" w:w="1440"/>
            <w:shd w:fill="FAFAFA" w:val="clear"/>
          </w:tcPr>
          <w:p>
            <w:r>
              <w:rPr>
                <w:sz w:val="17"/>
              </w:rPr>
              <w:t>J+10  Moyenne</w:t>
            </w:r>
          </w:p>
        </w:tc>
        <w:tc>
          <w:tcPr>
            <w:tcW w:type="dxa" w:w="1440"/>
            <w:shd w:fill="FAFAFA" w:val="clear"/>
          </w:tcPr>
          <w:p>
            <w:r>
              <w:rPr>
                <w:sz w:val="17"/>
              </w:rPr>
              <w:t>2026-09-29</w:t>
            </w:r>
          </w:p>
        </w:tc>
        <w:tc>
          <w:tcPr>
            <w:tcW w:type="dxa" w:w="1440"/>
            <w:shd w:fill="FAFAFA" w:val="clear"/>
          </w:tcPr>
          <w:p>
            <w:r>
              <w:rPr>
                <w:sz w:val="17"/>
              </w:rPr>
              <w:t>1,568</w:t>
            </w:r>
          </w:p>
        </w:tc>
        <w:tc>
          <w:tcPr>
            <w:tcW w:type="dxa" w:w="1440"/>
            <w:shd w:fill="FAFAFA" w:val="clear"/>
          </w:tcPr>
          <w:p>
            <w:r>
              <w:rPr>
                <w:b/>
                <w:sz w:val="17"/>
              </w:rPr>
              <w:t>1,749</w:t>
            </w:r>
          </w:p>
        </w:tc>
        <w:tc>
          <w:tcPr>
            <w:tcW w:type="dxa" w:w="1440"/>
            <w:shd w:fill="FAFAFA" w:val="clear"/>
          </w:tcPr>
          <w:p>
            <w:r>
              <w:rPr>
                <w:sz w:val="17"/>
              </w:rPr>
              <w:t>1,931</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313,77 milliards FCFA, CFAC figure parmi les valeurs les plus importantes du compartiment industriel/automobile de la BRVM, ce qui lui confère une liquidité relative et une visibilité institutionnelle non négligeables. Le BPA de 26 FCFA/action signifie que chaque titre génère 26 FCFA de bénéfice net, ce qui, rapporté au cours actuel de 1 730 FCFA, donne un PER de 66,9x — très largement supérieur à la moyenne BRVM (8-12x), traduisant une anticipation de croissance forte ou une prime de rareté que les bénéfices actuels ne justifient pas encore. Le P/B de 16,13x indique que le marché valorise l'entreprise à plus de 16 fois sa valeur comptable, une prime exceptionnelle (&gt;4x déjà considérée comme élevée) qui reflète la confiance des investisseurs dans la qualité des actifs immatériels (réseau, marques Toyota/Suzuki) mais expose à un risque de correction si la rentabilité ne suit pas. Enfin, l'EV/EBITDA de 34,0x (seuil d'alerte &gt;15x) montre que la valeur d'entreprise totale est très chèrement payée par rapport à la capacité opérationnelle de génération de cash, ce qui impose une exigence de croissance soutenue pour justifier ces niveaux.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de +8,81%, avec une dernière séance en légère hausse de +0,29%, s'établissant à 1 730 FCFA. Le range de trading est large, entre un plus bas de 1 325 FCFA et un plus haut de 1 825 FCFA, soit une amplitude de 500 FCFA (37,7% du plus bas), ce qui témoigne d'une tendance générale haussière mais ponctuée de corrections significatives. La moyenne (1 623 FCFA) et la médiane (1 625 FCFA) sont quasi confondues, signe d'une distribution globalement équilibrée, tandis que le mode à 1 600 FCFA indique que ce niveau a concentré le plus grand nombre de séances. L'écart-type de 109 FCFA (CV = 6,7%) traduit une dispersion modérée du cours autour de sa moyenne, mais la volatilité annualisée de 47,5% classe le titre dans la catégorie des valeurs à volatilité élevée (&gt;30%), ce qui implique un risque de fluctuation important à court terme. Le kurtosis de -0,316 (mésokurtique) suggère une distribution proche de la normale, donc sans risque excessif de pics extrêmes, tandis que le skewness de -0,549 (asymétrie négative) indique qu'il y a eu davantage de journées de hausse au-dessus de la moyenne que de journées de baisse marquée — un signal légèrement favorable pour la dynamique récente, bien que la prudence reste de mise compte tenu de la volatilité.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(1 716,75 FCFA) et la MM50 (1 674,0 FCFA) sont toutes deux inférieures au cours actuel (1 730 FCFA), et la MM20 est au-dessus de la MM50, configurant un croisement haussier classique. Cette configuration confirme une dynamique positive de court et moyen terme, justifiant la décision "Achat" fournie par l'indicateur.</w:t>
      </w:r>
    </w:p>
    <w:p>
      <w:pPr>
        <w:spacing w:after="120" w:line="276" w:lineRule="auto"/>
      </w:pPr>
      <w:r>
        <w:t>**Bandes de Bollinger** : Le cours actuel (1 730 FCFA) se situe à l'intérieur des bandes, entre la borne inférieure (1 630,16 FCFA) et la borne supérieure (1 803,34 FCFA), mais plus proche de la borne supérieure. Cette position médiane-haute indique une absence de signal extrême (ni suracheté ni survendu), justifiant la décision "Neutre" — le titre évolue dans un canal de volatilité normale sans pression directionnelle forte.</w:t>
      </w:r>
    </w:p>
    <w:p>
      <w:pPr>
        <w:spacing w:after="120" w:line="276" w:lineRule="auto"/>
      </w:pPr>
      <w:r>
        <w:t>**MACD** : La valeur du MACD (11,306) est inférieure à son signal (14,567), ce qui génère un croisement baissier et un momentum négatif à court terme. Cette divergence négative justifie la décision "Vente" de l'indicateur, signalant un essoufflement possible de la tendance haussière récente.</w:t>
      </w:r>
    </w:p>
    <w:p>
      <w:pPr>
        <w:spacing w:after="120" w:line="276" w:lineRule="auto"/>
      </w:pPr>
      <w:r>
        <w:t>**RSI** : À 46,0, le RSI se situe en zone neutre (entre 30 et 70), sans signal de surachat (&gt;70) ni de survente (&lt;30). Cette position médiane indique un équilibre entre acheteurs et vendeurs, justifiant la décision "Neutre" — le titre n'est ni surévalué ni sous-évalué techniquement à court terme.</w:t>
      </w:r>
    </w:p>
    <w:p>
      <w:pPr>
        <w:spacing w:after="120" w:line="276" w:lineRule="auto"/>
      </w:pPr>
      <w:r>
        <w:t>**Stochastique** : Le %K (66,667) est supérieur au %D (52,026), avec un croisement haussier récent. Cette configuration suggère une pression acheteuse naissante, mais les deux courbes restent en zone neutre-haute sans atteindre la zone de surachat (&gt;80), justifiant la décision "Neutre" — le signal est modérément positif mais pas encore confirmé.</w:t>
      </w:r>
    </w:p>
    <w:p>
      <w:pPr>
        <w:spacing w:after="120" w:line="276" w:lineRule="auto"/>
      </w:pPr>
      <w:r>
        <w:t>**Conclusion technique** : Les indicateurs sont partagés — les moyennes mobiles sont haussières (Achat), le stochastique est légèrement positif, mais le MACD est baissier (Vente) et le RSI/Bollinger sont neutres. Cette divergence suggère une phase de consolidation avec un biais haussier fragile, où le titre pourrait osciller entre 1 700 et 1 800 FCFA avant de choisir une direction claire. La prudence est de mise tant que le MACD ne se retourne pas à la hausse.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 chiffre d'affaires de 158,313 milliards FCFA, en baisse de -12,13% par rapport à 2023 (180,162 milliards FCFA), et un résultat net de 4,693 milliards FCFA, en recul de -26,7% (contre 6,399 milliards en 2023). Le ROE reste néanmoins élevé à 24,13% (excellent, &gt;15%), porté par des capitaux propres limités (19,453 milliards FCFA), tandis que le ROA de 5,52% traduit une rentabilité des actifs plus modeste. La marge nette de 2,96% et la marge opérationnelle de 4,96% montrent une pression sur les marges, cohérente avec la baisse du CA et la hausse des coûts. En tant qu'entreprise non bancaire, les délais d'exploitation sont critiques : le délai clients de 36,64 jours est modéré, mais le délai fournisseurs de 81,75 jours (élevé) et la durée de stockage de 88,35 jours (très élevée) immobilisent du capital et pèsent sur la trésorerie. Le BFR est négatif (-3,482 milliards FCFA), ce qui est favorable, mais la trésorerie nette est négative (-624,20 millions FCFA) et le Free Cash Flow est négatif (-1,650 milliards FCFA), signalant une tension de liquidité. L'autonomie financière de 22,88% (&lt;30%) est insuffisante, et la dépendance financière de 77,12% est préoccupante. Les rapports narratifs confirment cette dynamique : le rapport du T3 2025 (daté du 30/09/2025) montre un CA de 43,580 milliards FCFA (+18,3%) et un résultat net de 1,489 milliard FCFA (+38,1%), avec une marge nette en amélioration à 3,42% — signalant un redressement en cours. Le rapport du S1 2025 (30/06/2025) confirme cette tendance avec un CA de 91,182 milliards FCFA (+18,4%) et un résultat net de 5,420 milliards FCFA (+152,7%), porté par un doublement du résultat d'exploitation. Sur la base de ces rapports trimestriels, on peut estimer que l'exercice 2025 devrait afficher un CA annuel autour de 180-185 milliards FCFA (retour au niveau 2023) et un résultat net de 7-8 milliards FCFA, en nette amélioration par rapport à 2024. Cependant, les risques persistent : la politique de dividende agressive (taux de distribution de 88,1% en 2023 selon le rapport 2023) et la trésorerie tendue restent des points de vigilance. La recommandation fondamentale est donc "Conserver" avec un biais positif, en attendant la confirmation de l'amélioration de la trésorerie et de la rentabilité sur l'ensemble de l'exercice 2025.</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 PER de 66,9x, P/B de 16,13x et EV/EBITDA de 34,0x indiquent que le marché intègre déjà une forte croissance future, ce qui limite le potentiel de revalorisation à court terme et expose à un risque de correction si les résultats ne suivent pas. Le comportement du cours (Partie 1) est globalement haussier (+8,81% sur 100 jours) avec une volatilité élevée (47,5%) et une asymétrie négative (skewness -0,549) qui suggère une dynamique récente favorable, mais le kurtosis mésokurtique n'écarte pas le risque de pics baissiers. Les signaux techniques (Partie 2) sont divergents : les moyennes mobiles sont haussières, mais le MACD est baissier et le RSI/Bollinger sont neutres, ce qui plaide pour une consolidation avant une nouvelle impulsion. Les fondamentaux (Partie 3) montrent un redressement en cours (T3 2025 : CA +18,3%, RN +38,1%) mais des fragilités persistantes (trésorerie négative, FCF négatif, endettement élevé). Les prédictions IA (J+1 à J+10) anticipent une légère hausse progressive de 1 728 à 1 739 FCFA, confirmant une tendance haussière modérée mais sans accélération. Sur la base de cette synthèse, la convergence est partielle : la valorisation est chère, les techniques sont mitigées, mais les fondamentaux s'améliorent et les prédictions sont légèrement positives. **Recommandation finale : CONSERVER** — justifiée par l'amélioration des résultats trimestriels 2025 et la position de leader sur le marché automobile ivoirien, mais tempérée par une valorisation excessive et des risques de trésorerie. Le niveau de confiance est **Moyen** (les signaux sont divergents) et le niveau de risque global est **Élevé** (volatilité 47,5%, endettement, valorisation tendue). L'horizon d'investissement optimal est **moyen terme (3-12 mois)**, en surveillant la publication des résultats annuels 2025 et l'évolution de la trésorerie pour confirmer ou infirmer la tendance haussière.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380.80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6,749 titres</w:t>
            </w:r>
          </w:p>
        </w:tc>
        <w:tc>
          <w:tcPr>
            <w:tcW w:type="dxa" w:w="2268"/>
            <w:shd w:fill="FFF2CC" w:val="clear"/>
          </w:tcPr>
          <w:p>
            <w:r>
              <w:rPr>
                <w:b/>
                <w:color w:val="503200"/>
                <w:sz w:val="16"/>
              </w:rPr>
              <w:t xml:space="preserve">Cours actuel : </w:t>
            </w:r>
            <w:r>
              <w:rPr>
                <w:color w:val="000000"/>
                <w:sz w:val="17"/>
              </w:rPr>
              <w:t>6,800 FCFA</w:t>
            </w:r>
          </w:p>
          <w:p>
            <w:r>
              <w:rPr>
                <w:b/>
                <w:color w:val="503200"/>
                <w:sz w:val="16"/>
              </w:rPr>
              <w:t xml:space="preserve">Var. 100 jours : </w:t>
            </w:r>
            <w:r>
              <w:rPr>
                <w:b/>
                <w:color w:val="007800"/>
                <w:sz w:val="17"/>
              </w:rPr>
              <w:t>+122.59%</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23.88% (Élevée) — μ=5,049 FCFA, σ=1,206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β=0.8699 (Neutre (suit le marché)) — Cov=0.000030, Var(idx)=0.000035, ρ=0.159,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6,749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2026-09-16</w:t>
            </w:r>
          </w:p>
        </w:tc>
        <w:tc>
          <w:tcPr>
            <w:tcW w:type="dxa" w:w="1440"/>
            <w:shd w:fill="FFDCE0" w:val="clear"/>
          </w:tcPr>
          <w:p>
            <w:r>
              <w:rPr>
                <w:sz w:val="17"/>
              </w:rPr>
              <w:t>6,175</w:t>
            </w:r>
          </w:p>
        </w:tc>
        <w:tc>
          <w:tcPr>
            <w:tcW w:type="dxa" w:w="1440"/>
            <w:shd w:fill="FFDCE0" w:val="clear"/>
          </w:tcPr>
          <w:p>
            <w:r>
              <w:rPr>
                <w:b/>
                <w:sz w:val="17"/>
              </w:rPr>
              <w:t>6,514</w:t>
            </w:r>
          </w:p>
        </w:tc>
        <w:tc>
          <w:tcPr>
            <w:tcW w:type="dxa" w:w="1440"/>
            <w:shd w:fill="FFDCE0" w:val="clear"/>
          </w:tcPr>
          <w:p>
            <w:r>
              <w:rPr>
                <w:sz w:val="17"/>
              </w:rPr>
              <w:t>6,854</w:t>
            </w:r>
          </w:p>
        </w:tc>
        <w:tc>
          <w:tcPr>
            <w:tcW w:type="dxa" w:w="1440"/>
            <w:shd w:fill="FFDCE0" w:val="clear"/>
          </w:tcPr>
          <w:p>
            <w:r>
              <w:rPr>
                <w:b/>
                <w:color w:val="C00000"/>
                <w:sz w:val="17"/>
              </w:rPr>
              <w:t>-4.2%</w:t>
            </w:r>
          </w:p>
        </w:tc>
      </w:tr>
      <w:tr>
        <w:tc>
          <w:tcPr>
            <w:tcW w:type="dxa" w:w="1440"/>
            <w:shd w:fill="FFDCE0" w:val="clear"/>
          </w:tcPr>
          <w:p>
            <w:r>
              <w:rPr>
                <w:sz w:val="17"/>
              </w:rPr>
              <w:t>J+2  Moyenne</w:t>
            </w:r>
          </w:p>
        </w:tc>
        <w:tc>
          <w:tcPr>
            <w:tcW w:type="dxa" w:w="1440"/>
            <w:shd w:fill="FFDCE0" w:val="clear"/>
          </w:tcPr>
          <w:p>
            <w:r>
              <w:rPr>
                <w:sz w:val="17"/>
              </w:rPr>
              <w:t>2026-09-17</w:t>
            </w:r>
          </w:p>
        </w:tc>
        <w:tc>
          <w:tcPr>
            <w:tcW w:type="dxa" w:w="1440"/>
            <w:shd w:fill="FFDCE0" w:val="clear"/>
          </w:tcPr>
          <w:p>
            <w:r>
              <w:rPr>
                <w:sz w:val="17"/>
              </w:rPr>
              <w:t>5,871</w:t>
            </w:r>
          </w:p>
        </w:tc>
        <w:tc>
          <w:tcPr>
            <w:tcW w:type="dxa" w:w="1440"/>
            <w:shd w:fill="FFDCE0" w:val="clear"/>
          </w:tcPr>
          <w:p>
            <w:r>
              <w:rPr>
                <w:b/>
                <w:sz w:val="17"/>
              </w:rPr>
              <w:t>6,338</w:t>
            </w:r>
          </w:p>
        </w:tc>
        <w:tc>
          <w:tcPr>
            <w:tcW w:type="dxa" w:w="1440"/>
            <w:shd w:fill="FFDCE0" w:val="clear"/>
          </w:tcPr>
          <w:p>
            <w:r>
              <w:rPr>
                <w:sz w:val="17"/>
              </w:rPr>
              <w:t>6,806</w:t>
            </w:r>
          </w:p>
        </w:tc>
        <w:tc>
          <w:tcPr>
            <w:tcW w:type="dxa" w:w="1440"/>
            <w:shd w:fill="FFDCE0" w:val="clear"/>
          </w:tcPr>
          <w:p>
            <w:r>
              <w:rPr>
                <w:b/>
                <w:color w:val="C00000"/>
                <w:sz w:val="17"/>
              </w:rPr>
              <w:t>-6.8%</w:t>
            </w:r>
          </w:p>
        </w:tc>
      </w:tr>
      <w:tr>
        <w:tc>
          <w:tcPr>
            <w:tcW w:type="dxa" w:w="1440"/>
            <w:shd w:fill="FFDCE0" w:val="clear"/>
          </w:tcPr>
          <w:p>
            <w:r>
              <w:rPr>
                <w:sz w:val="17"/>
              </w:rPr>
              <w:t>J+3  Moyenne</w:t>
            </w:r>
          </w:p>
        </w:tc>
        <w:tc>
          <w:tcPr>
            <w:tcW w:type="dxa" w:w="1440"/>
            <w:shd w:fill="FFDCE0" w:val="clear"/>
          </w:tcPr>
          <w:p>
            <w:r>
              <w:rPr>
                <w:sz w:val="17"/>
              </w:rPr>
              <w:t>2026-09-18</w:t>
            </w:r>
          </w:p>
        </w:tc>
        <w:tc>
          <w:tcPr>
            <w:tcW w:type="dxa" w:w="1440"/>
            <w:shd w:fill="FFDCE0" w:val="clear"/>
          </w:tcPr>
          <w:p>
            <w:r>
              <w:rPr>
                <w:sz w:val="17"/>
              </w:rPr>
              <w:t>5,667</w:t>
            </w:r>
          </w:p>
        </w:tc>
        <w:tc>
          <w:tcPr>
            <w:tcW w:type="dxa" w:w="1440"/>
            <w:shd w:fill="FFDCE0" w:val="clear"/>
          </w:tcPr>
          <w:p>
            <w:r>
              <w:rPr>
                <w:b/>
                <w:sz w:val="17"/>
              </w:rPr>
              <w:t>6,229</w:t>
            </w:r>
          </w:p>
        </w:tc>
        <w:tc>
          <w:tcPr>
            <w:tcW w:type="dxa" w:w="1440"/>
            <w:shd w:fill="FFDCE0" w:val="clear"/>
          </w:tcPr>
          <w:p>
            <w:r>
              <w:rPr>
                <w:sz w:val="17"/>
              </w:rPr>
              <w:t>6,792</w:t>
            </w:r>
          </w:p>
        </w:tc>
        <w:tc>
          <w:tcPr>
            <w:tcW w:type="dxa" w:w="1440"/>
            <w:shd w:fill="FFDCE0" w:val="clear"/>
          </w:tcPr>
          <w:p>
            <w:r>
              <w:rPr>
                <w:b/>
                <w:color w:val="C00000"/>
                <w:sz w:val="17"/>
              </w:rPr>
              <w:t>-8.4%</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5,522</w:t>
            </w:r>
          </w:p>
        </w:tc>
        <w:tc>
          <w:tcPr>
            <w:tcW w:type="dxa" w:w="1440"/>
            <w:shd w:fill="FFDCE0" w:val="clear"/>
          </w:tcPr>
          <w:p>
            <w:r>
              <w:rPr>
                <w:b/>
                <w:sz w:val="17"/>
              </w:rPr>
              <w:t>6,165</w:t>
            </w:r>
          </w:p>
        </w:tc>
        <w:tc>
          <w:tcPr>
            <w:tcW w:type="dxa" w:w="1440"/>
            <w:shd w:fill="FFDCE0" w:val="clear"/>
          </w:tcPr>
          <w:p>
            <w:r>
              <w:rPr>
                <w:sz w:val="17"/>
              </w:rPr>
              <w:t>6,808</w:t>
            </w:r>
          </w:p>
        </w:tc>
        <w:tc>
          <w:tcPr>
            <w:tcW w:type="dxa" w:w="1440"/>
            <w:shd w:fill="FFDCE0" w:val="clear"/>
          </w:tcPr>
          <w:p>
            <w:r>
              <w:rPr>
                <w:b/>
                <w:color w:val="C00000"/>
                <w:sz w:val="17"/>
              </w:rPr>
              <w:t>-9.3%</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5,403</w:t>
            </w:r>
          </w:p>
        </w:tc>
        <w:tc>
          <w:tcPr>
            <w:tcW w:type="dxa" w:w="1440"/>
            <w:shd w:fill="FFDCE0" w:val="clear"/>
          </w:tcPr>
          <w:p>
            <w:r>
              <w:rPr>
                <w:b/>
                <w:sz w:val="17"/>
              </w:rPr>
              <w:t>6,116</w:t>
            </w:r>
          </w:p>
        </w:tc>
        <w:tc>
          <w:tcPr>
            <w:tcW w:type="dxa" w:w="1440"/>
            <w:shd w:fill="FFDCE0" w:val="clear"/>
          </w:tcPr>
          <w:p>
            <w:r>
              <w:rPr>
                <w:sz w:val="17"/>
              </w:rPr>
              <w:t>6,830</w:t>
            </w:r>
          </w:p>
        </w:tc>
        <w:tc>
          <w:tcPr>
            <w:tcW w:type="dxa" w:w="1440"/>
            <w:shd w:fill="FFDCE0" w:val="clear"/>
          </w:tcPr>
          <w:p>
            <w:r>
              <w:rPr>
                <w:b/>
                <w:color w:val="C00000"/>
                <w:sz w:val="17"/>
              </w:rPr>
              <w:t>-10.1%</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5,301</w:t>
            </w:r>
          </w:p>
        </w:tc>
        <w:tc>
          <w:tcPr>
            <w:tcW w:type="dxa" w:w="1440"/>
            <w:shd w:fill="FFDCE0" w:val="clear"/>
          </w:tcPr>
          <w:p>
            <w:r>
              <w:rPr>
                <w:b/>
                <w:sz w:val="17"/>
              </w:rPr>
              <w:t>6,077</w:t>
            </w:r>
          </w:p>
        </w:tc>
        <w:tc>
          <w:tcPr>
            <w:tcW w:type="dxa" w:w="1440"/>
            <w:shd w:fill="FFDCE0" w:val="clear"/>
          </w:tcPr>
          <w:p>
            <w:r>
              <w:rPr>
                <w:sz w:val="17"/>
              </w:rPr>
              <w:t>6,853</w:t>
            </w:r>
          </w:p>
        </w:tc>
        <w:tc>
          <w:tcPr>
            <w:tcW w:type="dxa" w:w="1440"/>
            <w:shd w:fill="FFDCE0" w:val="clear"/>
          </w:tcPr>
          <w:p>
            <w:r>
              <w:rPr>
                <w:b/>
                <w:color w:val="C00000"/>
                <w:sz w:val="17"/>
              </w:rPr>
              <w:t>-10.6%</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5,211</w:t>
            </w:r>
          </w:p>
        </w:tc>
        <w:tc>
          <w:tcPr>
            <w:tcW w:type="dxa" w:w="1440"/>
            <w:shd w:fill="FFDCE0" w:val="clear"/>
          </w:tcPr>
          <w:p>
            <w:r>
              <w:rPr>
                <w:b/>
                <w:sz w:val="17"/>
              </w:rPr>
              <w:t>6,044</w:t>
            </w:r>
          </w:p>
        </w:tc>
        <w:tc>
          <w:tcPr>
            <w:tcW w:type="dxa" w:w="1440"/>
            <w:shd w:fill="FFDCE0" w:val="clear"/>
          </w:tcPr>
          <w:p>
            <w:r>
              <w:rPr>
                <w:sz w:val="17"/>
              </w:rPr>
              <w:t>6,878</w:t>
            </w:r>
          </w:p>
        </w:tc>
        <w:tc>
          <w:tcPr>
            <w:tcW w:type="dxa" w:w="1440"/>
            <w:shd w:fill="FFDCE0" w:val="clear"/>
          </w:tcPr>
          <w:p>
            <w:r>
              <w:rPr>
                <w:b/>
                <w:color w:val="C00000"/>
                <w:sz w:val="17"/>
              </w:rPr>
              <w:t>-11.1%</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5,129</w:t>
            </w:r>
          </w:p>
        </w:tc>
        <w:tc>
          <w:tcPr>
            <w:tcW w:type="dxa" w:w="1440"/>
            <w:shd w:fill="FFDCE0" w:val="clear"/>
          </w:tcPr>
          <w:p>
            <w:r>
              <w:rPr>
                <w:b/>
                <w:sz w:val="17"/>
              </w:rPr>
              <w:t>6,017</w:t>
            </w:r>
          </w:p>
        </w:tc>
        <w:tc>
          <w:tcPr>
            <w:tcW w:type="dxa" w:w="1440"/>
            <w:shd w:fill="FFDCE0" w:val="clear"/>
          </w:tcPr>
          <w:p>
            <w:r>
              <w:rPr>
                <w:sz w:val="17"/>
              </w:rPr>
              <w:t>6,904</w:t>
            </w:r>
          </w:p>
        </w:tc>
        <w:tc>
          <w:tcPr>
            <w:tcW w:type="dxa" w:w="1440"/>
            <w:shd w:fill="FFDCE0" w:val="clear"/>
          </w:tcPr>
          <w:p>
            <w:r>
              <w:rPr>
                <w:b/>
                <w:color w:val="C00000"/>
                <w:sz w:val="17"/>
              </w:rPr>
              <w:t>-11.5%</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5,056</w:t>
            </w:r>
          </w:p>
        </w:tc>
        <w:tc>
          <w:tcPr>
            <w:tcW w:type="dxa" w:w="1440"/>
            <w:shd w:fill="FFDCE0" w:val="clear"/>
          </w:tcPr>
          <w:p>
            <w:r>
              <w:rPr>
                <w:b/>
                <w:sz w:val="17"/>
              </w:rPr>
              <w:t>5,993</w:t>
            </w:r>
          </w:p>
        </w:tc>
        <w:tc>
          <w:tcPr>
            <w:tcW w:type="dxa" w:w="1440"/>
            <w:shd w:fill="FFDCE0" w:val="clear"/>
          </w:tcPr>
          <w:p>
            <w:r>
              <w:rPr>
                <w:sz w:val="17"/>
              </w:rPr>
              <w:t>6,931</w:t>
            </w:r>
          </w:p>
        </w:tc>
        <w:tc>
          <w:tcPr>
            <w:tcW w:type="dxa" w:w="1440"/>
            <w:shd w:fill="FFDCE0" w:val="clear"/>
          </w:tcPr>
          <w:p>
            <w:r>
              <w:rPr>
                <w:b/>
                <w:color w:val="C00000"/>
                <w:sz w:val="17"/>
              </w:rPr>
              <w:t>-11.9%</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4,988</w:t>
            </w:r>
          </w:p>
        </w:tc>
        <w:tc>
          <w:tcPr>
            <w:tcW w:type="dxa" w:w="1440"/>
            <w:shd w:fill="FFDCE0" w:val="clear"/>
          </w:tcPr>
          <w:p>
            <w:r>
              <w:rPr>
                <w:b/>
                <w:sz w:val="17"/>
              </w:rPr>
              <w:t>5,973</w:t>
            </w:r>
          </w:p>
        </w:tc>
        <w:tc>
          <w:tcPr>
            <w:tcW w:type="dxa" w:w="1440"/>
            <w:shd w:fill="FFDCE0" w:val="clear"/>
          </w:tcPr>
          <w:p>
            <w:r>
              <w:rPr>
                <w:sz w:val="17"/>
              </w:rPr>
              <w:t>6,958</w:t>
            </w:r>
          </w:p>
        </w:tc>
        <w:tc>
          <w:tcPr>
            <w:tcW w:type="dxa" w:w="1440"/>
            <w:shd w:fill="FFDCE0" w:val="clear"/>
          </w:tcPr>
          <w:p>
            <w:r>
              <w:rPr>
                <w:b/>
                <w:color w:val="C00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**Bourse Régionale des Valeurs Mobilières (BRVM) — Secteur : Services Publics / Électricité**</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380,80 milliards FCFA, la CIEC s'impose comme l'une des plus importantes capitalisations de la BRVM, ce qui témoigne de son statut de valeur de référence dans le compartiment des services publics. Le BPA de 234 FCFA/action indique que chaque titre génère 234 FCFA de bénéfice net, un niveau appréciable mais qui, rapporté au cours de 6 800 FCFA, se traduit par un PER de 29,0x — soit un multiple très supérieur à la moyenne du marché BRVM (8-12x), signalant que les investisseurs anticipent une forte croissance ou, à l'inverse, que le titre est surévalué. Le P/B de 10,59x confirme cette prime exigeante : le marché valorise la CIEC à plus de dix fois sa valeur comptable, ce qui est très élevé et reflète la confiance dans la rentabilité future plutôt que dans les actifs physiques. Enfin, l'EV/EBITDA de 15,3x, supérieur au seuil de 15x, traduit une valorisation tendue de la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variation spectaculaire de +122,59%, passant d'un plus bas de 3 000 FCFA à un plus haut de 7 400 FCFA, avant de se replier légèrement pour clôturer à 6 800 FCFA, avec une dernière séance en baisse de -2,58%. Ce range de trading de 4 400 FCFA (soit un écart de 146% entre le plus bas et le plus haut) témoigne d'une tendance nettement haussière, portée par un fort engouement des investisseurs pour le secteur électrique ivoirien. Les statistiques descriptives révèlent une moyenne de 5 049 FCFA légèrement inférieure à la médiane de 5 125 FCFA, suggérant une distribution quasi-symétrique (skewness de -0,003), tandis que le mode à 4 995 FCFA indique que le cours a longtemps stagné autour de 5 000 FCFA avant son envolée récente. L'écart-type de 1 212 FCFA, avec un coefficient de variation de 24,0%, traduit une dispersion modérée à élevée du cours autour de sa moyenne, ce qui est cohérent avec un titre en forte tendance. Le kurtosis de -0,673 (mésokurtique) indique une distribution proche de la normale, sans risque excessif de pics extrêmes, ce qui est rassurant pour la gestion du risque. Enfin, la volatilité annualisée de 51,2% positionne clairement la CIEC dans la catégorie des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6 877,5 FCFA et la MM50 à 5 899,0 FCFA, toutes deux inférieures au cours actuel de 6 800 FCFA pour la MM20 (léger écart de -1,1%) mais nettement supérieures pour la MM50 (+15,3%). Cette configuration — cours au-dessus de la MM50 mais légèrement sous la MM20 — indique une tendance haussière de fond toujours intacte, mais un essoufflement à court terme. La décision technique est à l'**Achat**, car la structure des moyennes mobiles reste haussière (MM20 &gt; MM50), bien que la récente correction invite à la prudence.</w:t>
      </w:r>
    </w:p>
    <w:p>
      <w:pPr>
        <w:spacing w:after="120" w:line="276" w:lineRule="auto"/>
      </w:pPr>
      <w:r>
        <w:t>**Bandes de Bollinger** : La borne supérieure est à 7 415,9 FCFA et la borne inférieure à 6 339,1 FCFA, avec un cours actuel de 6 800 FCFA qui se situe dans la partie médiane-haute du canal (à environ 43% de la largeur). Cette position neutre, ni en surachat ni en survente, reflète une volatilité stabilisée après la forte hausse. La décision est **Neutre**, car le cours n'est ni proche de la borne supérieure (signal de vente) ni de la borne inférieure (signal d'achat), ce qui suggère une phase de consolidation.</w:t>
      </w:r>
    </w:p>
    <w:p>
      <w:pPr>
        <w:spacing w:after="120" w:line="276" w:lineRule="auto"/>
      </w:pPr>
      <w:r>
        <w:t>**MACD** : La valeur du MACD est de 338,4 contre un signal à 381,5, soit une divergence baissière (MACD &lt; Signal) qui indique un ralentissement du momentum haussier. Cette configuration, bien que le MACD reste en territoire positif, suggère que la dynamique acheteuse s'essouffle et qu'un retournement à court terme est possible. La décision est à la **Vente**, ce qui confirme la pression baissière récente.</w:t>
      </w:r>
    </w:p>
    <w:p>
      <w:pPr>
        <w:spacing w:after="120" w:line="276" w:lineRule="auto"/>
      </w:pPr>
      <w:r>
        <w:t>**RSI** : À 45,77, le RSI se situe dans la zone neutre (30-70), sans signal de surachat (&gt;70) ni de survente (&lt;30). Cette valeur médiane indique un équilibre entre acheteurs et vendeurs, sans pression directionnelle forte. La décision est **Neutre**, ce qui est cohérent avec la phase de consolidation observée.</w:t>
      </w:r>
    </w:p>
    <w:p>
      <w:pPr>
        <w:spacing w:after="120" w:line="276" w:lineRule="auto"/>
      </w:pPr>
      <w:r>
        <w:t>**Stochastique** : Le %K est à 33,33 et le %D à 51,11, avec un %K nettement inférieur au %D, ce qui est un signal baissier (croisement à la baisse). De plus, le %K se rapproche de la zone de survente (20), ce qui pourrait annoncer un rebond technique à court terme. La décision est **Neutre**, car le signal baissier est contrebalancé par la proximité de la zone de survente.</w:t>
      </w:r>
    </w:p>
    <w:p>
      <w:pPr>
        <w:spacing w:after="120" w:line="276" w:lineRule="auto"/>
      </w:pPr>
      <w:r>
        <w:t>**Conclusion technique** : Les indicateurs techniques sont majoritairement neutres à baissiers à court terme (MACD en vente, Stochastique baissier, RSI neutre), mais la tendance de fond reste haussière (MM20 &gt; MM50, cours au-dessus de la MM50). Cette divergence entre le court terme (correction) et le moyen terme (tendance haussière) suggère une phase de consolidation avant une éventuelle reprise. La prudence est de mise, avec une surveillance accrue du support à 6 339 FCFA (borne inférieure de Bollinger) et de la résistance à 7 415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(états financiers annuels) révèlent une société solide et en croissance : le chiffre d'affaires s'établit à 302,320 milliards FCFA, en hausse de +14,82% par rapport à 2024, porté par une progression des ventes d'énergie (+8,3% en volume) et une expansion de la base clientèle (+15,1% à 5,28 millions de clients). Le résultat net atteint 13,127 milliards FCFA, en progression de +24,4%, avec une marge nette de 4,34% et un ROE exceptionnel de 36,50% (&gt;15% = excellent), bien que le ROA reste faible à 0,65% en raison d'un total actif très élevé (2 018,4 milliards FCFA). En tant qu'entreprise non bancaire, l'analyse des délais d'exploitation est cruciale : le délai clients de 164 jours est élevé et constitue un risque de trésorerie, mais il est compensé par un délai fournisseurs de 970 jours (très favorable) et un BFR négatif de -90,244 milliards FCFA, ce qui signifie que l'entreprise finance son cycle d'exploitation par ses fournisseurs plutôt que par sa trésorerie. La structure financière est cependant très déséquilibrée : l'autonomie financière n'est que de 1,78% (capitaux propres/total bilan), le ratio d'endettement atteint 612,94% et la dépendance financière est de 98,22%, ce qui expose la société à un risque de taux et de refinancement. La capacité de remboursement de 7,64 années (dettes financières/CAF) reste acceptable, et la couverture des intérêts de 617,75% est confortable. Les rapports narratifs confirment ces tendances : le rapport du 31/12/2025 (analysé par DeepSeek le 21/05/2026) souligne une croissance du CA de +14,8% et un résultat net de 13,1 milliards FCFA, avec un dividende proposé de 234 FCFA/action (taux de distribution de 99,8%). Le rapport du 30/06/2025 (S1 2025) indique un CA semestriel de 134,923 milliards FCFA (+18,85%) et un résultat net de 5,096 milliards FCFA (+13,37%), ce qui permet d'estimer que l'exercice 2026 devrait maintenir une croissance à deux chiffres, portée par le programme PEPT (Électricité Pour Tous) et la hausse des ventes à l'export (+21,7%). La recommandation fondamentale est de **CONSERVER** le titre : la société affiche une croissance solide, une rentabilité des fonds propres excellente et une politique de dividende attractive, mais la valorisation exigeante (PER 29x, P/B 10,59x) et le risque de crédit client (164 jours de délai)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situation contrastée : la valorisation (Partie 0) est exigeante avec un PER de 29,0x, un P/B de 10,59x et un EV/EBITDA de 15,3x, ce qui suggère une surévaluation relative par rapport aux moyennes du marché BRVM, bien que la forte croissance des bénéfices puisse justifier une prime. Le comportement du cours (Partie 1) est haussier sur 100 jours (+122,59%) mais montre des signes d'essoufflement à court terme (baisse de -2,58% en J-1), avec une volatilité élevée (51,2%) et une distribution symétrique (skewness -0,003) sans risque excessif de pics (kurtosis -0,673). Les signaux techniques (Partie 2) sont divergents : la tendance de fond reste haussière (MM20 &gt; MM50), mais le MACD est en vente et le Stochastique baissier, ce qui plaide pour une consolidation avant une reprise. Les fondamentaux (Partie 3) sont solides : croissance du CA de +14,8% en 2025, résultat net en hausse de +24,4%, ROE de 36,5% et dividende attractif de 234 FCFA/action, mais la structure financière est très endettée (autonomie financière de 1,78%) et le risque de crédit client est élevé (164 jours de délai). Les prédictions IA (J+1 à J+10) anticipent une baisse progressive du cours de 6 514 FCFA à 6 116 FCFA, ce qui confirme la pression baissière à court terme et contredit la tendance haussière de fond. Sur la base de cette synthèse, la recommandation finale est **CONSERVER** : la convergence entre la surévaluation, les signaux techniques baissiers à court terme et les prédictions IA négatives suggère d'éviter un achat immédiat, mais la solidité des fondamentaux et la politique de dividende attractive justifient de conserver le titre pour les investisseurs déjà positionnés. Le niveau de confiance est **Moyen** (les indicateurs sont divergents), le risque global est **Élevé** (volatilité de 51,2%, endettement massif, risque de crédit client) et l'horizon d'investissement optimal est le **moyen terme (3-12 mois)**, le temps que la consolidation technique s'achève et que la croissance des bénéfices rattrape la valorisation.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933.11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4,028 titres</w:t>
            </w:r>
          </w:p>
        </w:tc>
        <w:tc>
          <w:tcPr>
            <w:tcW w:type="dxa" w:w="2268"/>
            <w:shd w:fill="FFF2CC" w:val="clear"/>
          </w:tcPr>
          <w:p>
            <w:r>
              <w:rPr>
                <w:b/>
                <w:color w:val="503200"/>
                <w:sz w:val="16"/>
              </w:rPr>
              <w:t xml:space="preserve">Cours actuel : </w:t>
            </w:r>
            <w:r>
              <w:rPr>
                <w:color w:val="000000"/>
                <w:sz w:val="17"/>
              </w:rPr>
              <w:t>16,950 FCFA</w:t>
            </w:r>
          </w:p>
          <w:p>
            <w:r>
              <w:rPr>
                <w:b/>
                <w:color w:val="503200"/>
                <w:sz w:val="16"/>
              </w:rPr>
              <w:t xml:space="preserve">Var. 100 jours : </w:t>
            </w:r>
            <w:r>
              <w:rPr>
                <w:b/>
                <w:color w:val="007800"/>
                <w:sz w:val="17"/>
              </w:rPr>
              <w:t>+7.21%</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2.76% (Faible) — μ=16,474 FCFA, σ=455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β=0.4245 (Défensif) — Cov=0.000015, Var(idx)=0.000035, ρ=0.139,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16,640</w:t>
            </w:r>
          </w:p>
        </w:tc>
        <w:tc>
          <w:tcPr>
            <w:tcW w:type="dxa" w:w="1440"/>
            <w:shd w:fill="FAFAFA" w:val="clear"/>
          </w:tcPr>
          <w:p>
            <w:r>
              <w:rPr>
                <w:b/>
                <w:sz w:val="17"/>
              </w:rPr>
              <w:t>17,167</w:t>
            </w:r>
          </w:p>
        </w:tc>
        <w:tc>
          <w:tcPr>
            <w:tcW w:type="dxa" w:w="1440"/>
            <w:shd w:fill="FAFAFA" w:val="clear"/>
          </w:tcPr>
          <w:p>
            <w:r>
              <w:rPr>
                <w:sz w:val="17"/>
              </w:rPr>
              <w:t>17,694</w:t>
            </w:r>
          </w:p>
        </w:tc>
        <w:tc>
          <w:tcPr>
            <w:tcW w:type="dxa" w:w="1440"/>
            <w:shd w:fill="FAFAFA" w:val="clear"/>
          </w:tcPr>
          <w:p>
            <w:r>
              <w:rPr>
                <w:b/>
                <w:color w:val="008000"/>
                <w:sz w:val="17"/>
              </w:rPr>
              <w:t>+1.3%</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16,433</w:t>
            </w:r>
          </w:p>
        </w:tc>
        <w:tc>
          <w:tcPr>
            <w:tcW w:type="dxa" w:w="1440"/>
            <w:shd w:fill="FAFAFA" w:val="clear"/>
          </w:tcPr>
          <w:p>
            <w:r>
              <w:rPr>
                <w:b/>
                <w:sz w:val="17"/>
              </w:rPr>
              <w:t>17,179</w:t>
            </w:r>
          </w:p>
        </w:tc>
        <w:tc>
          <w:tcPr>
            <w:tcW w:type="dxa" w:w="1440"/>
            <w:shd w:fill="FAFAFA" w:val="clear"/>
          </w:tcPr>
          <w:p>
            <w:r>
              <w:rPr>
                <w:sz w:val="17"/>
              </w:rPr>
              <w:t>17,925</w:t>
            </w:r>
          </w:p>
        </w:tc>
        <w:tc>
          <w:tcPr>
            <w:tcW w:type="dxa" w:w="1440"/>
            <w:shd w:fill="FAFAFA" w:val="clear"/>
          </w:tcPr>
          <w:p>
            <w:r>
              <w:rPr>
                <w:b/>
                <w:color w:val="008000"/>
                <w:sz w:val="17"/>
              </w:rPr>
              <w:t>+1.4%</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16,288</w:t>
            </w:r>
          </w:p>
        </w:tc>
        <w:tc>
          <w:tcPr>
            <w:tcW w:type="dxa" w:w="1440"/>
            <w:shd w:fill="FAFAFA" w:val="clear"/>
          </w:tcPr>
          <w:p>
            <w:r>
              <w:rPr>
                <w:b/>
                <w:sz w:val="17"/>
              </w:rPr>
              <w:t>17,203</w:t>
            </w:r>
          </w:p>
        </w:tc>
        <w:tc>
          <w:tcPr>
            <w:tcW w:type="dxa" w:w="1440"/>
            <w:shd w:fill="FAFAFA" w:val="clear"/>
          </w:tcPr>
          <w:p>
            <w:r>
              <w:rPr>
                <w:sz w:val="17"/>
              </w:rPr>
              <w:t>18,118</w:t>
            </w:r>
          </w:p>
        </w:tc>
        <w:tc>
          <w:tcPr>
            <w:tcW w:type="dxa" w:w="1440"/>
            <w:shd w:fill="FAFAFA" w:val="clear"/>
          </w:tcPr>
          <w:p>
            <w:r>
              <w:rPr>
                <w:b/>
                <w:color w:val="008000"/>
                <w:sz w:val="17"/>
              </w:rPr>
              <w:t>+1.5%</w:t>
            </w:r>
          </w:p>
        </w:tc>
      </w:tr>
      <w:tr>
        <w:tc>
          <w:tcPr>
            <w:tcW w:type="dxa" w:w="1440"/>
            <w:shd w:fill="FAFAFA" w:val="clear"/>
          </w:tcPr>
          <w:p>
            <w:r>
              <w:rPr>
                <w:sz w:val="17"/>
              </w:rPr>
              <w:t>J+4  Moyenne</w:t>
            </w:r>
          </w:p>
        </w:tc>
        <w:tc>
          <w:tcPr>
            <w:tcW w:type="dxa" w:w="1440"/>
            <w:shd w:fill="FAFAFA" w:val="clear"/>
          </w:tcPr>
          <w:p>
            <w:r>
              <w:rPr>
                <w:sz w:val="17"/>
              </w:rPr>
              <w:t>2026-09-21</w:t>
            </w:r>
          </w:p>
        </w:tc>
        <w:tc>
          <w:tcPr>
            <w:tcW w:type="dxa" w:w="1440"/>
            <w:shd w:fill="FAFAFA" w:val="clear"/>
          </w:tcPr>
          <w:p>
            <w:r>
              <w:rPr>
                <w:sz w:val="17"/>
              </w:rPr>
              <w:t>16,166</w:t>
            </w:r>
          </w:p>
        </w:tc>
        <w:tc>
          <w:tcPr>
            <w:tcW w:type="dxa" w:w="1440"/>
            <w:shd w:fill="FAFAFA" w:val="clear"/>
          </w:tcPr>
          <w:p>
            <w:r>
              <w:rPr>
                <w:b/>
                <w:sz w:val="17"/>
              </w:rPr>
              <w:t>17,224</w:t>
            </w:r>
          </w:p>
        </w:tc>
        <w:tc>
          <w:tcPr>
            <w:tcW w:type="dxa" w:w="1440"/>
            <w:shd w:fill="FAFAFA" w:val="clear"/>
          </w:tcPr>
          <w:p>
            <w:r>
              <w:rPr>
                <w:sz w:val="17"/>
              </w:rPr>
              <w:t>18,282</w:t>
            </w:r>
          </w:p>
        </w:tc>
        <w:tc>
          <w:tcPr>
            <w:tcW w:type="dxa" w:w="1440"/>
            <w:shd w:fill="FAFAFA" w:val="clear"/>
          </w:tcPr>
          <w:p>
            <w:r>
              <w:rPr>
                <w:b/>
                <w:color w:val="008000"/>
                <w:sz w:val="17"/>
              </w:rPr>
              <w:t>+1.6%</w:t>
            </w:r>
          </w:p>
        </w:tc>
      </w:tr>
      <w:tr>
        <w:tc>
          <w:tcPr>
            <w:tcW w:type="dxa" w:w="1440"/>
            <w:shd w:fill="FAFAFA" w:val="clear"/>
          </w:tcPr>
          <w:p>
            <w:r>
              <w:rPr>
                <w:sz w:val="17"/>
              </w:rPr>
              <w:t>J+5  Moyenne</w:t>
            </w:r>
          </w:p>
        </w:tc>
        <w:tc>
          <w:tcPr>
            <w:tcW w:type="dxa" w:w="1440"/>
            <w:shd w:fill="FAFAFA" w:val="clear"/>
          </w:tcPr>
          <w:p>
            <w:r>
              <w:rPr>
                <w:sz w:val="17"/>
              </w:rPr>
              <w:t>2026-09-22</w:t>
            </w:r>
          </w:p>
        </w:tc>
        <w:tc>
          <w:tcPr>
            <w:tcW w:type="dxa" w:w="1440"/>
            <w:shd w:fill="FAFAFA" w:val="clear"/>
          </w:tcPr>
          <w:p>
            <w:r>
              <w:rPr>
                <w:sz w:val="17"/>
              </w:rPr>
              <w:t>16,058</w:t>
            </w:r>
          </w:p>
        </w:tc>
        <w:tc>
          <w:tcPr>
            <w:tcW w:type="dxa" w:w="1440"/>
            <w:shd w:fill="FAFAFA" w:val="clear"/>
          </w:tcPr>
          <w:p>
            <w:r>
              <w:rPr>
                <w:b/>
                <w:sz w:val="17"/>
              </w:rPr>
              <w:t>17,242</w:t>
            </w:r>
          </w:p>
        </w:tc>
        <w:tc>
          <w:tcPr>
            <w:tcW w:type="dxa" w:w="1440"/>
            <w:shd w:fill="FAFAFA" w:val="clear"/>
          </w:tcPr>
          <w:p>
            <w:r>
              <w:rPr>
                <w:sz w:val="17"/>
              </w:rPr>
              <w:t>18,426</w:t>
            </w:r>
          </w:p>
        </w:tc>
        <w:tc>
          <w:tcPr>
            <w:tcW w:type="dxa" w:w="1440"/>
            <w:shd w:fill="FAFAFA" w:val="clear"/>
          </w:tcPr>
          <w:p>
            <w:r>
              <w:rPr>
                <w:b/>
                <w:color w:val="008000"/>
                <w:sz w:val="17"/>
              </w:rPr>
              <w:t>+1.7%</w:t>
            </w:r>
          </w:p>
        </w:tc>
      </w:tr>
      <w:tr>
        <w:tc>
          <w:tcPr>
            <w:tcW w:type="dxa" w:w="1440"/>
            <w:shd w:fill="FAFAFA" w:val="clear"/>
          </w:tcPr>
          <w:p>
            <w:r>
              <w:rPr>
                <w:sz w:val="17"/>
              </w:rPr>
              <w:t>J+6  Moyenne</w:t>
            </w:r>
          </w:p>
        </w:tc>
        <w:tc>
          <w:tcPr>
            <w:tcW w:type="dxa" w:w="1440"/>
            <w:shd w:fill="FAFAFA" w:val="clear"/>
          </w:tcPr>
          <w:p>
            <w:r>
              <w:rPr>
                <w:sz w:val="17"/>
              </w:rPr>
              <w:t>2026-09-23</w:t>
            </w:r>
          </w:p>
        </w:tc>
        <w:tc>
          <w:tcPr>
            <w:tcW w:type="dxa" w:w="1440"/>
            <w:shd w:fill="FAFAFA" w:val="clear"/>
          </w:tcPr>
          <w:p>
            <w:r>
              <w:rPr>
                <w:sz w:val="17"/>
              </w:rPr>
              <w:t>15,960</w:t>
            </w:r>
          </w:p>
        </w:tc>
        <w:tc>
          <w:tcPr>
            <w:tcW w:type="dxa" w:w="1440"/>
            <w:shd w:fill="FAFAFA" w:val="clear"/>
          </w:tcPr>
          <w:p>
            <w:r>
              <w:rPr>
                <w:b/>
                <w:sz w:val="17"/>
              </w:rPr>
              <w:t>17,259</w:t>
            </w:r>
          </w:p>
        </w:tc>
        <w:tc>
          <w:tcPr>
            <w:tcW w:type="dxa" w:w="1440"/>
            <w:shd w:fill="FAFAFA" w:val="clear"/>
          </w:tcPr>
          <w:p>
            <w:r>
              <w:rPr>
                <w:sz w:val="17"/>
              </w:rPr>
              <w:t>18,557</w:t>
            </w:r>
          </w:p>
        </w:tc>
        <w:tc>
          <w:tcPr>
            <w:tcW w:type="dxa" w:w="1440"/>
            <w:shd w:fill="FAFAFA" w:val="clear"/>
          </w:tcPr>
          <w:p>
            <w:r>
              <w:rPr>
                <w:b/>
                <w:color w:val="008000"/>
                <w:sz w:val="17"/>
              </w:rPr>
              <w:t>+1.8%</w:t>
            </w:r>
          </w:p>
        </w:tc>
      </w:tr>
      <w:tr>
        <w:tc>
          <w:tcPr>
            <w:tcW w:type="dxa" w:w="1440"/>
            <w:shd w:fill="FAFAFA" w:val="clear"/>
          </w:tcPr>
          <w:p>
            <w:r>
              <w:rPr>
                <w:sz w:val="17"/>
              </w:rPr>
              <w:t>J+7  Moyenne</w:t>
            </w:r>
          </w:p>
        </w:tc>
        <w:tc>
          <w:tcPr>
            <w:tcW w:type="dxa" w:w="1440"/>
            <w:shd w:fill="FAFAFA" w:val="clear"/>
          </w:tcPr>
          <w:p>
            <w:r>
              <w:rPr>
                <w:sz w:val="17"/>
              </w:rPr>
              <w:t>2026-09-24</w:t>
            </w:r>
          </w:p>
        </w:tc>
        <w:tc>
          <w:tcPr>
            <w:tcW w:type="dxa" w:w="1440"/>
            <w:shd w:fill="FAFAFA" w:val="clear"/>
          </w:tcPr>
          <w:p>
            <w:r>
              <w:rPr>
                <w:sz w:val="17"/>
              </w:rPr>
              <w:t>15,872</w:t>
            </w:r>
          </w:p>
        </w:tc>
        <w:tc>
          <w:tcPr>
            <w:tcW w:type="dxa" w:w="1440"/>
            <w:shd w:fill="FAFAFA" w:val="clear"/>
          </w:tcPr>
          <w:p>
            <w:r>
              <w:rPr>
                <w:b/>
                <w:sz w:val="17"/>
              </w:rPr>
              <w:t>17,275</w:t>
            </w:r>
          </w:p>
        </w:tc>
        <w:tc>
          <w:tcPr>
            <w:tcW w:type="dxa" w:w="1440"/>
            <w:shd w:fill="FAFAFA" w:val="clear"/>
          </w:tcPr>
          <w:p>
            <w:r>
              <w:rPr>
                <w:sz w:val="17"/>
              </w:rPr>
              <w:t>18,679</w:t>
            </w:r>
          </w:p>
        </w:tc>
        <w:tc>
          <w:tcPr>
            <w:tcW w:type="dxa" w:w="1440"/>
            <w:shd w:fill="FAFAFA" w:val="clear"/>
          </w:tcPr>
          <w:p>
            <w:r>
              <w:rPr>
                <w:b/>
                <w:color w:val="008000"/>
                <w:sz w:val="17"/>
              </w:rPr>
              <w:t>+1.9%</w:t>
            </w:r>
          </w:p>
        </w:tc>
      </w:tr>
      <w:tr>
        <w:tc>
          <w:tcPr>
            <w:tcW w:type="dxa" w:w="1440"/>
            <w:shd w:fill="C6EFCE" w:val="clear"/>
          </w:tcPr>
          <w:p>
            <w:r>
              <w:rPr>
                <w:sz w:val="17"/>
              </w:rPr>
              <w:t>J+8  Moyenne</w:t>
            </w:r>
          </w:p>
        </w:tc>
        <w:tc>
          <w:tcPr>
            <w:tcW w:type="dxa" w:w="1440"/>
            <w:shd w:fill="C6EFCE" w:val="clear"/>
          </w:tcPr>
          <w:p>
            <w:r>
              <w:rPr>
                <w:sz w:val="17"/>
              </w:rPr>
              <w:t>2026-09-25</w:t>
            </w:r>
          </w:p>
        </w:tc>
        <w:tc>
          <w:tcPr>
            <w:tcW w:type="dxa" w:w="1440"/>
            <w:shd w:fill="C6EFCE" w:val="clear"/>
          </w:tcPr>
          <w:p>
            <w:r>
              <w:rPr>
                <w:sz w:val="17"/>
              </w:rPr>
              <w:t>15,790</w:t>
            </w:r>
          </w:p>
        </w:tc>
        <w:tc>
          <w:tcPr>
            <w:tcW w:type="dxa" w:w="1440"/>
            <w:shd w:fill="C6EFCE" w:val="clear"/>
          </w:tcPr>
          <w:p>
            <w:r>
              <w:rPr>
                <w:b/>
                <w:sz w:val="17"/>
              </w:rPr>
              <w:t>17,292</w:t>
            </w:r>
          </w:p>
        </w:tc>
        <w:tc>
          <w:tcPr>
            <w:tcW w:type="dxa" w:w="1440"/>
            <w:shd w:fill="C6EFCE" w:val="clear"/>
          </w:tcPr>
          <w:p>
            <w:r>
              <w:rPr>
                <w:sz w:val="17"/>
              </w:rPr>
              <w:t>18,794</w:t>
            </w:r>
          </w:p>
        </w:tc>
        <w:tc>
          <w:tcPr>
            <w:tcW w:type="dxa" w:w="1440"/>
            <w:shd w:fill="C6EFCE" w:val="clear"/>
          </w:tcPr>
          <w:p>
            <w:r>
              <w:rPr>
                <w:b/>
                <w:color w:val="008000"/>
                <w:sz w:val="17"/>
              </w:rPr>
              <w:t>+2.0%</w:t>
            </w:r>
          </w:p>
        </w:tc>
      </w:tr>
      <w:tr>
        <w:tc>
          <w:tcPr>
            <w:tcW w:type="dxa" w:w="1440"/>
            <w:shd w:fill="C6EFCE" w:val="clear"/>
          </w:tcPr>
          <w:p>
            <w:r>
              <w:rPr>
                <w:sz w:val="17"/>
              </w:rPr>
              <w:t>J+9  Moyenne</w:t>
            </w:r>
          </w:p>
        </w:tc>
        <w:tc>
          <w:tcPr>
            <w:tcW w:type="dxa" w:w="1440"/>
            <w:shd w:fill="C6EFCE" w:val="clear"/>
          </w:tcPr>
          <w:p>
            <w:r>
              <w:rPr>
                <w:sz w:val="17"/>
              </w:rPr>
              <w:t>2026-09-28</w:t>
            </w:r>
          </w:p>
        </w:tc>
        <w:tc>
          <w:tcPr>
            <w:tcW w:type="dxa" w:w="1440"/>
            <w:shd w:fill="C6EFCE" w:val="clear"/>
          </w:tcPr>
          <w:p>
            <w:r>
              <w:rPr>
                <w:sz w:val="17"/>
              </w:rPr>
              <w:t>15,713</w:t>
            </w:r>
          </w:p>
        </w:tc>
        <w:tc>
          <w:tcPr>
            <w:tcW w:type="dxa" w:w="1440"/>
            <w:shd w:fill="C6EFCE" w:val="clear"/>
          </w:tcPr>
          <w:p>
            <w:r>
              <w:rPr>
                <w:b/>
                <w:sz w:val="17"/>
              </w:rPr>
              <w:t>17,308</w:t>
            </w:r>
          </w:p>
        </w:tc>
        <w:tc>
          <w:tcPr>
            <w:tcW w:type="dxa" w:w="1440"/>
            <w:shd w:fill="C6EFCE" w:val="clear"/>
          </w:tcPr>
          <w:p>
            <w:r>
              <w:rPr>
                <w:sz w:val="17"/>
              </w:rPr>
              <w:t>18,903</w:t>
            </w:r>
          </w:p>
        </w:tc>
        <w:tc>
          <w:tcPr>
            <w:tcW w:type="dxa" w:w="1440"/>
            <w:shd w:fill="C6EFCE" w:val="clear"/>
          </w:tcPr>
          <w:p>
            <w:r>
              <w:rPr>
                <w:b/>
                <w:color w:val="008000"/>
                <w:sz w:val="17"/>
              </w:rPr>
              <w:t>+2.1%</w:t>
            </w:r>
          </w:p>
        </w:tc>
      </w:tr>
      <w:tr>
        <w:tc>
          <w:tcPr>
            <w:tcW w:type="dxa" w:w="1440"/>
            <w:shd w:fill="C6EFCE" w:val="clear"/>
          </w:tcPr>
          <w:p>
            <w:r>
              <w:rPr>
                <w:sz w:val="17"/>
              </w:rPr>
              <w:t>J+10  Moyenne</w:t>
            </w:r>
          </w:p>
        </w:tc>
        <w:tc>
          <w:tcPr>
            <w:tcW w:type="dxa" w:w="1440"/>
            <w:shd w:fill="C6EFCE" w:val="clear"/>
          </w:tcPr>
          <w:p>
            <w:r>
              <w:rPr>
                <w:sz w:val="17"/>
              </w:rPr>
              <w:t>2026-09-29</w:t>
            </w:r>
          </w:p>
        </w:tc>
        <w:tc>
          <w:tcPr>
            <w:tcW w:type="dxa" w:w="1440"/>
            <w:shd w:fill="C6EFCE" w:val="clear"/>
          </w:tcPr>
          <w:p>
            <w:r>
              <w:rPr>
                <w:sz w:val="17"/>
              </w:rPr>
              <w:t>15,641</w:t>
            </w:r>
          </w:p>
        </w:tc>
        <w:tc>
          <w:tcPr>
            <w:tcW w:type="dxa" w:w="1440"/>
            <w:shd w:fill="C6EFCE" w:val="clear"/>
          </w:tcPr>
          <w:p>
            <w:r>
              <w:rPr>
                <w:b/>
                <w:sz w:val="17"/>
              </w:rPr>
              <w:t>17,324</w:t>
            </w:r>
          </w:p>
        </w:tc>
        <w:tc>
          <w:tcPr>
            <w:tcW w:type="dxa" w:w="1440"/>
            <w:shd w:fill="C6EFCE" w:val="clear"/>
          </w:tcPr>
          <w:p>
            <w:r>
              <w:rPr>
                <w:sz w:val="17"/>
              </w:rPr>
              <w:t>19,006</w:t>
            </w:r>
          </w:p>
        </w:tc>
        <w:tc>
          <w:tcPr>
            <w:tcW w:type="dxa" w:w="1440"/>
            <w:shd w:fill="C6EFCE" w:val="clear"/>
          </w:tcPr>
          <w:p>
            <w:r>
              <w:rPr>
                <w:b/>
                <w:color w:val="008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Ecobank Côte d'Ivoire affiche une capitalisation boursière de **933,11 milliards FCFA**, ce qui la positionne parmi les valeurs les plus importantes de la cote BRVM, témoignant de sa stature de banque systémique de l'UEMOA. Avec un **BPA de 1 153 FCFA/action**, chaque titre génère un bénéfice net substantiel, et le **PER de 14,7x** traduit une valorisation modérée mais légèrement supérieure à la moyenne du marché BRVM (8-12x), les investisseurs acceptant une prime pour la qualité de la signature. Le **P/B de 4,27x** — nettement supérieur au seuil de 4x — révèle une valorisation exigeante : le marché paie plus de quatre fois la valeur comptable des fonds propres, ce qui intègre une forte anticipation de rentabilité future (ROE de 29%). Enfin, l'**EV/EBITDA de 14,3x**, dans la fourchette haute (10-15x), confirme que la valeur d'entreprise intègre une prime de qualité, cohérente avec la solidité opérationnelle de la banque mais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totale de +7,21%**, malgré un repli de **-0,88% lors de la dernière séance (J-1)**, le cours s'établissant à **16 950 FCFA**. Le range de trading s'est établi entre un plus bas de **15 520 FCFA** et un plus haut de **17 725 FCFA**, soit une amplitude d'environ 14%, traduisant une tendance générale **haussière mais avec des phases de consolidation**. Les statistiques descriptives révèlent une **moyenne de 16 474 FCFA** légèrement supérieure à la **médiane de 16 345 FCFA**, avec un mode à 16 300 FCFA : cet écart modéré entre moyenne et médiane, combiné à un **skewness positif de 0,631**, indique une asymétrie à droite — le titre a connu davantage de journées sous la moyenne, mais quelques séances hautes tirent la moyenne vers le haut. L'**écart-type de 457 FCFA (CV = 2,8%)** traduit une dispersion très faible du cours, signe d'une grande stabilité, tandis que le **kurtosis de 0,083 (mésokurtique)** suggère une distribution proche de la normale, sans risque excessif de pics extrêmes. La **volatilité annualisée de 28,5%** classe le titre dans la catégorie **modérée (15-30%)**, offrant un profil rendement/risque équilibré pour un investisseur de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(17 051 FCFA) et la MM50 (16 536 FCFA) se situent toutes deux au-dessus du cours actuel (16 950 FCFA pour la MM20, mais le cours reste sous la MM20), avec une MM20 &gt; MM50 confirmant une configuration haussière de fond. Le cours évoluant entre ces deux moyennes, la décision affichée est **Achat**, la structure des moyennes mobiles restant constructive malgré la consolidation récente.</w:t>
      </w:r>
    </w:p>
    <w:p>
      <w:pPr>
        <w:spacing w:after="120" w:line="276" w:lineRule="auto"/>
      </w:pPr>
      <w:r>
        <w:t>**Bandes de Bollinger** : Le cours (16 950 FCFA) se situe à mi-chemin entre la borne inférieure (16 309 FCFA) et la borne supérieure (17 793 FCFA), sans contact avec les extrêmes. Cette position centrale, dans un canal relativement étroit, traduit une **volatilité contenue** et une absence de signal directionnel fort, justifiant la décision **Neutre**.</w:t>
      </w:r>
    </w:p>
    <w:p>
      <w:pPr>
        <w:spacing w:after="120" w:line="276" w:lineRule="auto"/>
      </w:pPr>
      <w:r>
        <w:t>**MACD** : La valeur du MACD (209,584) est inférieure à son signal (245,092), générant un croisement baissier et un momentum négatif de court terme. Cette divergence indique un essoufflement de la dynamique haussière récente, justifiant la décision **Vente** à court terme, bien que le MACD reste en territoire positif.</w:t>
      </w:r>
    </w:p>
    <w:p>
      <w:pPr>
        <w:spacing w:after="120" w:line="276" w:lineRule="auto"/>
      </w:pPr>
      <w:r>
        <w:t>**RSI** : À **53,264**, le RSI se situe parfaitement dans la zone neutre (30-70), sans signal de surachat (&gt;70) ni de survente (&lt;30). Cette position équilibrée reflète un marché sans excès, justifiant la décision **Neutre** et suggérant qu'aucun mouvement violent n'est imminent.</w:t>
      </w:r>
    </w:p>
    <w:p>
      <w:pPr>
        <w:spacing w:after="120" w:line="276" w:lineRule="auto"/>
      </w:pPr>
      <w:r>
        <w:t>**Stochastique** : Le %K (36,214) est inférieur au %D (49,52), avec un croisement baissier en zone basse-moyenne. Cette configuration indique une pression vendeuse modérée mais sans survente, la décision restant **Neutre** tant que le %K ne franchit pas durablement le %D à la hausse.</w:t>
      </w:r>
    </w:p>
    <w:p>
      <w:pPr>
        <w:spacing w:after="120" w:line="276" w:lineRule="auto"/>
      </w:pPr>
      <w:r>
        <w:t>**Conclusion technique** : Les indicateurs présentent un tableau **mitigé à légèrement baissier** à court terme : le MACD est baissier, le stochastique montre un croisement négatif, tandis que les moyennes mobiles restent haussières de fond et le RSI neutre. Le titre se trouve dans une phase de consolidation au sein d'une tendance haussière plus large, avec un support clé à 16 536 FCFA (MM50) et une résistance à 17 793 FCFA (Bollinger supérieure). La prudence est de mise à court terme, mais la structure de fond n'est pas remise en cause.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Ecobank Côte d'Ivoire affiche un **Produit Net Bancaire (PNB) de 132,725 milliards FCFA**, en croissance de **+8,51%**, et un **résultat net de 63,482 milliards FCFA**, soit une **marge nette remarquable de 47,83%**. La rentabilité des fonds propres (**ROE de 29,04%**) et des actifs (**ROA de 3,09%**) placent la banque parmi les établissements les plus performants de l'UEMOA, très au-dessus du seuil d'excellence de 15% pour le ROE. Le **coefficient d'exploitation de 42,89%** — inférieur au seuil de 50% — témoigne d'une efficacité opérationnelle excellente, tandis que le **coût du risque de 1,36%** reste modéré, bien que sous surveillance. La structure financière montre une **autonomie financière de 10,64%** (faible mais normale pour une banque, les dépôts clientèle de 1 626,223 milliards FCFA constituant la principale ressource) et un **ratio de solvabilité générale de 111,91%**, confirmant la solidité du bilan (total actif de 2 054,491 milliards FCFA).</w:t>
      </w:r>
    </w:p>
    <w:p>
      <w:pPr>
        <w:spacing w:after="120" w:line="276" w:lineRule="auto"/>
      </w:pPr>
      <w:r>
        <w:t>**Estimations basées sur les rapports trimestriels** : Le rapport du **T3 2025 (30/09/2025)** indique un PNB de 96,4 milliards FCFA (+11,3%) et un résultat net de 44,4 milliards FCFA (+15,4%), avec un ROE de 29,7% et un coefficient d'exploitation de 44,7%. Le rapport du **T1 2026 (publié en 2026)** montre un PNB de 30,8 milliards FCFA (+3,7%) mais un **résultat net en léger recul de -1,6% à 13,0 milliards FCFA**, avec un ROE de 23,0% et un coefficient d'exploitation de 45,7%. **On estime donc que l'exercice 2026 devrait afficher une croissance du PNB plus modérée (autour de +4-6%) et une légère pression sur le résultat net**, en raison d'un coût du risque en hausse dans un environnement macroéconomique incertain. Le **dividende proposé de 888 FCFA brut par action** (781 FCFA net) pour 2025, en hausse de 10,4% par rapport aux 804 FCFA de 2024, offre un **rendement d'environ 5,2%** au cours actuel, confirmant une politique actionnariale généreuse (taux de distribution de 77%). La banque reste fondamentalement solide, avec une qualité de portefeuille maîtrisée (taux de créances en souffrance de 3,9%) et une forte collecte de dépôts (+12% au T1 2026), mais la **décélération du résultat net au T1 2026** et la **valorisation exigeante** (P/B de 4,27x) invitent à la prudence.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**équilibré avec une légère divergence entre le fondamental et le technique**. La **valorisation (Partie 0)** est exigeante : le PER de 14,7x et le P/B de 4,27x intègrent déjà une prime de qualité, limitant le potentiel de revalorisation à court terme. Le **comportement du cours (Partie 1)** est favorable — tendance haussière de fond (+7,21%), volatilité modérée (28,5%) et distribution normale (kurtosis 0,083) — mais le skewness positif (0,631) suggère une vulnérabilité aux corrections. Les **signaux techniques (Partie 2)** sont mitigés : MACD baissier et stochastique négatif à court terme, mais moyennes mobiles haussières et RSI neutre, plaidant pour une consolidation plutôt qu'un retournement. Les **fondamentaux (Partie 3)** restent solides (ROE de 29%, coefficient d'exploitation de 42,9%, dividende en hausse), mais la **décélération du résultat net au T1 2026 (-1,6%)** et la hausse du coût du risque constituent des points de vigilance. Les **prédictions IA (J+1 à J+10)** anticipent une trajectoire haussière modérée vers **17 242 FCFA d'ici le 22 septembre 2026** (+1,7%), ce qui **confirme la tendance de fond mais contredit le momentum baissier de court terme**. Sur cette base, la recommandation finale est **CONSERVER** : la convergence entre fondamentaux solides, dividende attractif et prédictions haussières soutient la position, mais la valorisation exigeante et la pression sur le résultat net au T1 2026 justifient de ne pas renforcer à ces niveaux. Le **niveau de confiance est Moyen** (divergence technique/fondamental) et le **risque global est Moyen** (exposition au risque de crédit et à la concentration géographique sur la Côte d'Ivoire). L'**horizon d'investissement optimal est le moyen terme (3-12 mois)**, en attendant la confirmation de la reprise du résultat net et une meilleure visibilité sur l'exercice 2026.</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1283.97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1,437,142 titres</w:t>
            </w:r>
          </w:p>
        </w:tc>
        <w:tc>
          <w:tcPr>
            <w:tcW w:type="dxa" w:w="2268"/>
            <w:shd w:fill="FFF2CC" w:val="clear"/>
          </w:tcPr>
          <w:p>
            <w:r>
              <w:rPr>
                <w:b/>
                <w:color w:val="503200"/>
                <w:sz w:val="16"/>
              </w:rPr>
              <w:t xml:space="preserve">Cours actuel : </w:t>
            </w:r>
            <w:r>
              <w:rPr>
                <w:color w:val="000000"/>
                <w:sz w:val="17"/>
              </w:rPr>
              <w:t>71 FCFA</w:t>
            </w:r>
          </w:p>
          <w:p>
            <w:r>
              <w:rPr>
                <w:b/>
                <w:color w:val="503200"/>
                <w:sz w:val="16"/>
              </w:rPr>
              <w:t xml:space="preserve">Var. 100 jours : </w:t>
            </w:r>
            <w:r>
              <w:rPr>
                <w:b/>
                <w:color w:val="007800"/>
                <w:sz w:val="17"/>
              </w:rPr>
              <w:t>+144.83%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36.27% (Élevée) — μ=50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β=2.4044 (Très agressif) — Cov=0.000083, Var(idx)=0.000035, ρ=0.369,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1,437,142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782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782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67</w:t>
            </w:r>
          </w:p>
        </w:tc>
        <w:tc>
          <w:tcPr>
            <w:tcW w:type="dxa" w:w="1440"/>
            <w:shd w:fill="FAFAFA" w:val="clear"/>
          </w:tcPr>
          <w:p>
            <w:r>
              <w:rPr>
                <w:b/>
                <w:sz w:val="17"/>
              </w:rPr>
              <w:t>70</w:t>
            </w:r>
          </w:p>
        </w:tc>
        <w:tc>
          <w:tcPr>
            <w:tcW w:type="dxa" w:w="1440"/>
            <w:shd w:fill="FAFAFA" w:val="clear"/>
          </w:tcPr>
          <w:p>
            <w:r>
              <w:rPr>
                <w:sz w:val="17"/>
              </w:rPr>
              <w:t>74</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2026-09-17</w:t>
            </w:r>
          </w:p>
        </w:tc>
        <w:tc>
          <w:tcPr>
            <w:tcW w:type="dxa" w:w="1440"/>
            <w:shd w:fill="FFDCE0" w:val="clear"/>
          </w:tcPr>
          <w:p>
            <w:r>
              <w:rPr>
                <w:sz w:val="17"/>
              </w:rPr>
              <w:t>65</w:t>
            </w:r>
          </w:p>
        </w:tc>
        <w:tc>
          <w:tcPr>
            <w:tcW w:type="dxa" w:w="1440"/>
            <w:shd w:fill="FFDCE0" w:val="clear"/>
          </w:tcPr>
          <w:p>
            <w:r>
              <w:rPr>
                <w:b/>
                <w:sz w:val="17"/>
              </w:rPr>
              <w:t>69</w:t>
            </w:r>
          </w:p>
        </w:tc>
        <w:tc>
          <w:tcPr>
            <w:tcW w:type="dxa" w:w="1440"/>
            <w:shd w:fill="FFDCE0" w:val="clear"/>
          </w:tcPr>
          <w:p>
            <w:r>
              <w:rPr>
                <w:sz w:val="17"/>
              </w:rPr>
              <w:t>74</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2026-09-18</w:t>
            </w:r>
          </w:p>
        </w:tc>
        <w:tc>
          <w:tcPr>
            <w:tcW w:type="dxa" w:w="1440"/>
            <w:shd w:fill="FFDCE0" w:val="clear"/>
          </w:tcPr>
          <w:p>
            <w:r>
              <w:rPr>
                <w:sz w:val="17"/>
              </w:rPr>
              <w:t>63</w:t>
            </w:r>
          </w:p>
        </w:tc>
        <w:tc>
          <w:tcPr>
            <w:tcW w:type="dxa" w:w="1440"/>
            <w:shd w:fill="FFDCE0" w:val="clear"/>
          </w:tcPr>
          <w:p>
            <w:r>
              <w:rPr>
                <w:b/>
                <w:sz w:val="17"/>
              </w:rPr>
              <w:t>69</w:t>
            </w:r>
          </w:p>
        </w:tc>
        <w:tc>
          <w:tcPr>
            <w:tcW w:type="dxa" w:w="1440"/>
            <w:shd w:fill="FFDCE0" w:val="clear"/>
          </w:tcPr>
          <w:p>
            <w:r>
              <w:rPr>
                <w:sz w:val="17"/>
              </w:rPr>
              <w:t>75</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62</w:t>
            </w:r>
          </w:p>
        </w:tc>
        <w:tc>
          <w:tcPr>
            <w:tcW w:type="dxa" w:w="1440"/>
            <w:shd w:fill="FFDCE0" w:val="clear"/>
          </w:tcPr>
          <w:p>
            <w:r>
              <w:rPr>
                <w:b/>
                <w:sz w:val="17"/>
              </w:rPr>
              <w:t>69</w:t>
            </w:r>
          </w:p>
        </w:tc>
        <w:tc>
          <w:tcPr>
            <w:tcW w:type="dxa" w:w="1440"/>
            <w:shd w:fill="FFDCE0" w:val="clear"/>
          </w:tcPr>
          <w:p>
            <w:r>
              <w:rPr>
                <w:sz w:val="17"/>
              </w:rPr>
              <w:t>75</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58</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58</w:t>
            </w:r>
          </w:p>
        </w:tc>
        <w:tc>
          <w:tcPr>
            <w:tcW w:type="dxa" w:w="1440"/>
            <w:shd w:fill="FFDCE0" w:val="clear"/>
          </w:tcPr>
          <w:p>
            <w:r>
              <w:rPr>
                <w:b/>
                <w:sz w:val="17"/>
              </w:rPr>
              <w:t>68</w:t>
            </w:r>
          </w:p>
        </w:tc>
        <w:tc>
          <w:tcPr>
            <w:tcW w:type="dxa" w:w="1440"/>
            <w:shd w:fill="FFDCE0" w:val="clear"/>
          </w:tcPr>
          <w:p>
            <w:r>
              <w:rPr>
                <w:sz w:val="17"/>
              </w:rPr>
              <w:t>78</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57</w:t>
            </w:r>
          </w:p>
        </w:tc>
        <w:tc>
          <w:tcPr>
            <w:tcW w:type="dxa" w:w="1440"/>
            <w:shd w:fill="FFDCE0" w:val="clear"/>
          </w:tcPr>
          <w:p>
            <w:r>
              <w:rPr>
                <w:b/>
                <w:sz w:val="17"/>
              </w:rPr>
              <w:t>68</w:t>
            </w:r>
          </w:p>
        </w:tc>
        <w:tc>
          <w:tcPr>
            <w:tcW w:type="dxa" w:w="1440"/>
            <w:shd w:fill="FFDCE0" w:val="clear"/>
          </w:tcPr>
          <w:p>
            <w:r>
              <w:rPr>
                <w:sz w:val="17"/>
              </w:rPr>
              <w:t>78</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1 283,97 milliards FCFA, ETIT figure parmi les poids lourds de la cote BRVM, ce qui en fait un titre incontournable pour les investisseurs institutionnels régionaux. Le BPA de 19 FCFA par action signifie que chaque titre génère près de 19 FCFA de bénéfice net, un niveau qui, rapporté au cours actuel de 71 FCFA, donne un PER de seulement 3,7x — très en dessous de la moyenne du marché BRVM (8-12x), ce qui suggère une sous-évaluation potentielle marquée. Le ratio P/B de 0,80x indique que le marché valorise l'action à 20% en dessous de sa valeur comptable, une situation atypique qui peut refléter soit une opportunité d'achat, soit une défiance persistante des investisseurs. Enfin, l'EV/EBITDA de 5,1x, bien que dans la fourchette raisonnable de 5-10x, confirme que la valeur d'entreprise reste modérée par rapport à la capacité opérationnelle de la banque.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+144,83%, passant d'un plus bas de 29 FCFA à un plus haut de 78 FCFA, pour un cours actuel de 71 FCFA ; la dernière séance (J-1) affiche une stabilité parfaite (+0,00%), signe d'une pause dans la dynamique haussière. Le range de trading de 49 FCFA (29-78) témoigne d'une volatilité historique considérable, avec un volume moyen quotidien de 1 437 142 titres, assurant une liquidité satisfaisante. Les statistiques descriptives révèlent une moyenne de 50 FCFA contre une médiane de 48 FCFA, un écart minime qui indique une distribution quasi-symétrique, confirmée par un skewness de 0,028 ; le mode à 30 FCFA rappelle que le titre a longtemps stagné avant son envolée récente. L'écart-type de 18 FCFA (CV=36,4%) traduit une dispersion élevée des cours, tandis que le kurtosis de -1,831 (distribution platykurtique) signale une faible concentration des valeurs autour de la moyenne, donc un risque de mouvements amples mais sans pics extrêmes fréquents. La volatilité annualisée de 60,7% classe ce titre dans la catégorie des valeurs très volatiles (&gt;30%), ce qui implique un risque de marché élevé mais aussi un potentiel de gain significatif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(68,25 FCFA) et la MM50 (67,2 FCFA) se situent toutes deux en dessous du cours actuel (71 FCFA), confirmant une configuration haussière avec un croisement doré (MM20 &gt; MM50). La décision technique est donc logiquement à l'**Achat**, le cours évoluant au-dessus de ses supports mobiles.</w:t>
      </w:r>
    </w:p>
    <w:p>
      <w:pPr>
        <w:spacing w:after="120" w:line="276" w:lineRule="auto"/>
      </w:pPr>
      <w:r>
        <w:t>**Bandes de Bollinger** : Le cours (71 FCFA) évolue dans la partie supérieure de la bande (borne supérieure à 72,499 FCFA, borne inférieure à 64,001 FCFA), sans la dépasser, ce qui traduit une pression acheteuse modérée mais pas encore de surachat extrême. La décision est **Neutre**, le titre approchant la résistance supérieure sans la franchir.</w:t>
      </w:r>
    </w:p>
    <w:p>
      <w:pPr>
        <w:spacing w:after="120" w:line="276" w:lineRule="auto"/>
      </w:pPr>
      <w:r>
        <w:t>**MACD** : La valeur du MACD (1,663) est légèrement supérieure à son signal (1,617), générant un croisement haussier qui confirme le momentum positif. La décision est à l'**Achat**, bien que l'écart réduit entre les deux lignes suggère un essoufflement possible de la tendance.</w:t>
      </w:r>
    </w:p>
    <w:p>
      <w:pPr>
        <w:spacing w:after="120" w:line="276" w:lineRule="auto"/>
      </w:pPr>
      <w:r>
        <w:t>**RSI** : À 68,75, le RSI se situe juste en dessous du seuil de surachat (70), indiquant une dynamique acheteuse forte mais non encore excessive. La décision est **Neutre**, le titre n'étant ni en zone de surachat ni en zone de survente.</w:t>
      </w:r>
    </w:p>
    <w:p>
      <w:pPr>
        <w:spacing w:after="120" w:line="276" w:lineRule="auto"/>
      </w:pPr>
      <w:r>
        <w:t>**Stochastique** : Le %K (100,0) et le %D (94,444) sont tous deux en zone de surachat extrême, avec un %K au maximum absolu, ce qui constitue un signal de **Vente** à court terme. Un croisement baissier du %K sous le %D pourrait déclencher une correction.</w:t>
      </w:r>
    </w:p>
    <w:p>
      <w:pPr>
        <w:spacing w:after="120" w:line="276" w:lineRule="auto"/>
      </w:pPr>
      <w:r>
        <w:t>**Conclusion technique** : Les indicateurs sont majoritairement haussiers (MM, MACD) mais montrent des signes de fatigue (RSI proche de 70, Stochastique en surachat extrême, Bandes de Bollinger en zone haute). Cette divergence suggère que le titre pourrait connaître une consolidation ou une correction à court terme avant de reprendre sa tendance haussière. La prudence est de mise pour les acheteurs tardifs.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pour ETIT (secteur BANQUE) révèlent un Produit Net Bancaire (PNB) de 1 424,261 milliards FCFA, un résultat net de 345,523 milliards FCFA, un ROE exceptionnel de 21,62% (&gt;15% = excellent) et un ROA de 1,80%. Le coefficient d'exploitation de 27,35% est remarquablement bas (&lt;60% = banque très efficace), témoignant d'une maîtrise des charges. Le coût du risque, mesuré par le ratio provisions/charges financières, s'élève à 18,97%, un niveau élevé qui signale un risque de crédit significatif. La structure financière montre une autonomie financière faible (8,30%) et un ratio d'endettement élevé (154,06%), mais une solvabilité générale de 109,06% (&gt;1 = solvable). Les dépôts clientèle (14 120,139 milliards FCFA) couvrent largement les créances clientèle (6 570,385 milliards FCFA), avec un ratio de transformation de 46,5%, indiquant une marge de manœuvre pour accroître les crédits. Les rapports narratifs récents (S1 2026, publiés le 30 juin 2026 et analysés le 30 juillet 2026) confirment une croissance du PNB de +15% à 1 281,330 millions $EU (721 318 millions FCFA), un résultat net consolidé de 296,091 millions $EU (+6%) et un BPA de 0,80 $EU (+2%). Le coefficient d'exploitation s'améliore à 48,4% et le ratio de prêts non performants (NPL) baisse à 7,6%. Cependant, le coût du risque bondit de +40%, un signal d'alerte. Sur la base de ces rapports semestriels, on peut estimer que l'exercice 2026 devrait afficher une croissance du PNB supérieure à 12% et un résultat net en hausse modérée de 5-8%, sous réserve d'une stabilisation du coût du risque au second semestre. La recommandation fondamentale est de **CONSERVER** le titre : la solidité des fondamentaux (ROE élevé, efficacité opérationnelle) est tempérée par des risques de crédit et une structure financière dépendante des dépôts.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attractive avec un PER de 3,7x et un P/B de 0,80x, suggérant une sous-évaluation par rapport aux moyennes du marché et à la valeur comptable. Le comportement du cours (Partie 1) est exceptionnellement haussier (+144,83% sur 100 jours) mais accompagné d'une volatilité très élevée (60,7%) et d'une distribution platykurtique (kurtosis -1,831) qui implique des mouvements amples sans pics extrêmes fréquents. Les signaux techniques (Partie 2) sont mitigés : les moyennes mobiles et le MACD sont haussiers, mais le RSI (68,75) et le Stochastique (%K=100) signalent un surachat imminent, plaidant pour une consolidation à court terme. Les fondamentaux (Partie 3) sont solides (ROE de 21,62%, coefficient d'exploitation de 27,35%) mais entachés par un coût du risque élevé (18,97%) et une faible autonomie financière (8,30%). Les prédictions IA (J+1 à J+10) anticipent une légère baisse de 71 FCFA à 68 FCFA, confirmant la possibilité d'une correction technique. Sur la base de cette synthèse, la recommandation finale est **CONSERVER** : la convergence entre une valorisation attractive et des fondamentaux solides est contrariée par des signaux techniques de surachat et des prédictions baissières à court terme. Le niveau de confiance est **Moyen** (les indicateurs sont contradictoires) et le niveau de risque global est **Élevé** (volatilité de 60,7%, coût du risque important). L'horizon d'investissement optimal est le **moyen terme (3-12 mois)**, le temps que la correction technique s'achève et que les fondamentaux prennent le dessus, avec un potentiel de revalorisation vers 78-80 FCFA si les résultats annuels 2026 confirment la tendance.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4,012 titres</w:t>
            </w:r>
          </w:p>
        </w:tc>
        <w:tc>
          <w:tcPr>
            <w:tcW w:type="dxa" w:w="2268"/>
            <w:shd w:fill="FFF2CC" w:val="clear"/>
          </w:tcPr>
          <w:p>
            <w:r>
              <w:rPr>
                <w:b/>
                <w:color w:val="503200"/>
                <w:sz w:val="16"/>
              </w:rPr>
              <w:t xml:space="preserve">Cours actuel : </w:t>
            </w:r>
            <w:r>
              <w:rPr>
                <w:color w:val="000000"/>
                <w:sz w:val="17"/>
              </w:rPr>
              <w:t>2,100 FCFA</w:t>
            </w:r>
          </w:p>
          <w:p>
            <w:r>
              <w:rPr>
                <w:b/>
                <w:color w:val="503200"/>
                <w:sz w:val="16"/>
              </w:rPr>
              <w:t xml:space="preserve">Var. 100 jours : </w:t>
            </w:r>
            <w:r>
              <w:rPr>
                <w:b/>
                <w:color w:val="B40000"/>
                <w:sz w:val="17"/>
              </w:rPr>
              <w:t>-5.41%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5.93% (Moyenne) — μ=2,135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β=0.4712 (Défensif) — Cov=0.000016, Var(idx)=0.000035, ρ=0.127,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2,015</w:t>
            </w:r>
          </w:p>
        </w:tc>
        <w:tc>
          <w:tcPr>
            <w:tcW w:type="dxa" w:w="1440"/>
            <w:shd w:fill="FAFAFA" w:val="clear"/>
          </w:tcPr>
          <w:p>
            <w:r>
              <w:rPr>
                <w:b/>
                <w:sz w:val="17"/>
              </w:rPr>
              <w:t>2,082</w:t>
            </w:r>
          </w:p>
        </w:tc>
        <w:tc>
          <w:tcPr>
            <w:tcW w:type="dxa" w:w="1440"/>
            <w:shd w:fill="FAFAFA" w:val="clear"/>
          </w:tcPr>
          <w:p>
            <w:r>
              <w:rPr>
                <w:sz w:val="17"/>
              </w:rPr>
              <w:t>2,149</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1,970</w:t>
            </w:r>
          </w:p>
        </w:tc>
        <w:tc>
          <w:tcPr>
            <w:tcW w:type="dxa" w:w="1440"/>
            <w:shd w:fill="FAFAFA" w:val="clear"/>
          </w:tcPr>
          <w:p>
            <w:r>
              <w:rPr>
                <w:b/>
                <w:sz w:val="17"/>
              </w:rPr>
              <w:t>2,065</w:t>
            </w:r>
          </w:p>
        </w:tc>
        <w:tc>
          <w:tcPr>
            <w:tcW w:type="dxa" w:w="1440"/>
            <w:shd w:fill="FAFAFA" w:val="clear"/>
          </w:tcPr>
          <w:p>
            <w:r>
              <w:rPr>
                <w:sz w:val="17"/>
              </w:rPr>
              <w:t>2,159</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2026-09-18</w:t>
            </w:r>
          </w:p>
        </w:tc>
        <w:tc>
          <w:tcPr>
            <w:tcW w:type="dxa" w:w="1440"/>
            <w:shd w:fill="FFDCE0" w:val="clear"/>
          </w:tcPr>
          <w:p>
            <w:r>
              <w:rPr>
                <w:sz w:val="17"/>
              </w:rPr>
              <w:t>1,934</w:t>
            </w:r>
          </w:p>
        </w:tc>
        <w:tc>
          <w:tcPr>
            <w:tcW w:type="dxa" w:w="1440"/>
            <w:shd w:fill="FFDCE0" w:val="clear"/>
          </w:tcPr>
          <w:p>
            <w:r>
              <w:rPr>
                <w:b/>
                <w:sz w:val="17"/>
              </w:rPr>
              <w:t>2,048</w:t>
            </w:r>
          </w:p>
        </w:tc>
        <w:tc>
          <w:tcPr>
            <w:tcW w:type="dxa" w:w="1440"/>
            <w:shd w:fill="FFDCE0" w:val="clear"/>
          </w:tcPr>
          <w:p>
            <w:r>
              <w:rPr>
                <w:sz w:val="17"/>
              </w:rPr>
              <w:t>2,163</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2026-09-21</w:t>
            </w:r>
          </w:p>
        </w:tc>
        <w:tc>
          <w:tcPr>
            <w:tcW w:type="dxa" w:w="1440"/>
            <w:shd w:fill="FFDCE0" w:val="clear"/>
          </w:tcPr>
          <w:p>
            <w:r>
              <w:rPr>
                <w:sz w:val="17"/>
              </w:rPr>
              <w:t>1,901</w:t>
            </w:r>
          </w:p>
        </w:tc>
        <w:tc>
          <w:tcPr>
            <w:tcW w:type="dxa" w:w="1440"/>
            <w:shd w:fill="FFDCE0" w:val="clear"/>
          </w:tcPr>
          <w:p>
            <w:r>
              <w:rPr>
                <w:b/>
                <w:sz w:val="17"/>
              </w:rPr>
              <w:t>2,033</w:t>
            </w:r>
          </w:p>
        </w:tc>
        <w:tc>
          <w:tcPr>
            <w:tcW w:type="dxa" w:w="1440"/>
            <w:shd w:fill="FFDCE0" w:val="clear"/>
          </w:tcPr>
          <w:p>
            <w:r>
              <w:rPr>
                <w:sz w:val="17"/>
              </w:rPr>
              <w:t>2,164</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2026-09-22</w:t>
            </w:r>
          </w:p>
        </w:tc>
        <w:tc>
          <w:tcPr>
            <w:tcW w:type="dxa" w:w="1440"/>
            <w:shd w:fill="FFDCE0" w:val="clear"/>
          </w:tcPr>
          <w:p>
            <w:r>
              <w:rPr>
                <w:sz w:val="17"/>
              </w:rPr>
              <w:t>1,872</w:t>
            </w:r>
          </w:p>
        </w:tc>
        <w:tc>
          <w:tcPr>
            <w:tcW w:type="dxa" w:w="1440"/>
            <w:shd w:fill="FFDCE0" w:val="clear"/>
          </w:tcPr>
          <w:p>
            <w:r>
              <w:rPr>
                <w:b/>
                <w:sz w:val="17"/>
              </w:rPr>
              <w:t>2,018</w:t>
            </w:r>
          </w:p>
        </w:tc>
        <w:tc>
          <w:tcPr>
            <w:tcW w:type="dxa" w:w="1440"/>
            <w:shd w:fill="FFDCE0" w:val="clear"/>
          </w:tcPr>
          <w:p>
            <w:r>
              <w:rPr>
                <w:sz w:val="17"/>
              </w:rPr>
              <w:t>2,163</w:t>
            </w:r>
          </w:p>
        </w:tc>
        <w:tc>
          <w:tcPr>
            <w:tcW w:type="dxa" w:w="1440"/>
            <w:shd w:fill="FFDCE0" w:val="clear"/>
          </w:tcPr>
          <w:p>
            <w:r>
              <w:rPr>
                <w:b/>
                <w:color w:val="C00000"/>
                <w:sz w:val="17"/>
              </w:rPr>
              <w:t>-3.9%</w:t>
            </w:r>
          </w:p>
        </w:tc>
      </w:tr>
      <w:tr>
        <w:tc>
          <w:tcPr>
            <w:tcW w:type="dxa" w:w="1440"/>
            <w:shd w:fill="FFDCE0" w:val="clear"/>
          </w:tcPr>
          <w:p>
            <w:r>
              <w:rPr>
                <w:sz w:val="17"/>
              </w:rPr>
              <w:t>J+6  Moyenne</w:t>
            </w:r>
          </w:p>
        </w:tc>
        <w:tc>
          <w:tcPr>
            <w:tcW w:type="dxa" w:w="1440"/>
            <w:shd w:fill="FFDCE0" w:val="clear"/>
          </w:tcPr>
          <w:p>
            <w:r>
              <w:rPr>
                <w:sz w:val="17"/>
              </w:rPr>
              <w:t>2026-09-23</w:t>
            </w:r>
          </w:p>
        </w:tc>
        <w:tc>
          <w:tcPr>
            <w:tcW w:type="dxa" w:w="1440"/>
            <w:shd w:fill="FFDCE0" w:val="clear"/>
          </w:tcPr>
          <w:p>
            <w:r>
              <w:rPr>
                <w:sz w:val="17"/>
              </w:rPr>
              <w:t>1,845</w:t>
            </w:r>
          </w:p>
        </w:tc>
        <w:tc>
          <w:tcPr>
            <w:tcW w:type="dxa" w:w="1440"/>
            <w:shd w:fill="FFDCE0" w:val="clear"/>
          </w:tcPr>
          <w:p>
            <w:r>
              <w:rPr>
                <w:b/>
                <w:sz w:val="17"/>
              </w:rPr>
              <w:t>2,003</w:t>
            </w:r>
          </w:p>
        </w:tc>
        <w:tc>
          <w:tcPr>
            <w:tcW w:type="dxa" w:w="1440"/>
            <w:shd w:fill="FFDCE0" w:val="clear"/>
          </w:tcPr>
          <w:p>
            <w:r>
              <w:rPr>
                <w:sz w:val="17"/>
              </w:rPr>
              <w:t>2,162</w:t>
            </w:r>
          </w:p>
        </w:tc>
        <w:tc>
          <w:tcPr>
            <w:tcW w:type="dxa" w:w="1440"/>
            <w:shd w:fill="FFDCE0" w:val="clear"/>
          </w:tcPr>
          <w:p>
            <w:r>
              <w:rPr>
                <w:b/>
                <w:color w:val="C00000"/>
                <w:sz w:val="17"/>
              </w:rPr>
              <w:t>-4.6%</w:t>
            </w:r>
          </w:p>
        </w:tc>
      </w:tr>
      <w:tr>
        <w:tc>
          <w:tcPr>
            <w:tcW w:type="dxa" w:w="1440"/>
            <w:shd w:fill="FFDCE0" w:val="clear"/>
          </w:tcPr>
          <w:p>
            <w:r>
              <w:rPr>
                <w:sz w:val="17"/>
              </w:rPr>
              <w:t>J+7  Moyenne</w:t>
            </w:r>
          </w:p>
        </w:tc>
        <w:tc>
          <w:tcPr>
            <w:tcW w:type="dxa" w:w="1440"/>
            <w:shd w:fill="FFDCE0" w:val="clear"/>
          </w:tcPr>
          <w:p>
            <w:r>
              <w:rPr>
                <w:sz w:val="17"/>
              </w:rPr>
              <w:t>2026-09-24</w:t>
            </w:r>
          </w:p>
        </w:tc>
        <w:tc>
          <w:tcPr>
            <w:tcW w:type="dxa" w:w="1440"/>
            <w:shd w:fill="FFDCE0" w:val="clear"/>
          </w:tcPr>
          <w:p>
            <w:r>
              <w:rPr>
                <w:sz w:val="17"/>
              </w:rPr>
              <w:t>1,820</w:t>
            </w:r>
          </w:p>
        </w:tc>
        <w:tc>
          <w:tcPr>
            <w:tcW w:type="dxa" w:w="1440"/>
            <w:shd w:fill="FFDCE0" w:val="clear"/>
          </w:tcPr>
          <w:p>
            <w:r>
              <w:rPr>
                <w:b/>
                <w:sz w:val="17"/>
              </w:rPr>
              <w:t>1,989</w:t>
            </w:r>
          </w:p>
        </w:tc>
        <w:tc>
          <w:tcPr>
            <w:tcW w:type="dxa" w:w="1440"/>
            <w:shd w:fill="FFDCE0" w:val="clear"/>
          </w:tcPr>
          <w:p>
            <w:r>
              <w:rPr>
                <w:sz w:val="17"/>
              </w:rPr>
              <w:t>2,159</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2026-09-25</w:t>
            </w:r>
          </w:p>
        </w:tc>
        <w:tc>
          <w:tcPr>
            <w:tcW w:type="dxa" w:w="1440"/>
            <w:shd w:fill="FFDCE0" w:val="clear"/>
          </w:tcPr>
          <w:p>
            <w:r>
              <w:rPr>
                <w:sz w:val="17"/>
              </w:rPr>
              <w:t>1,796</w:t>
            </w:r>
          </w:p>
        </w:tc>
        <w:tc>
          <w:tcPr>
            <w:tcW w:type="dxa" w:w="1440"/>
            <w:shd w:fill="FFDCE0" w:val="clear"/>
          </w:tcPr>
          <w:p>
            <w:r>
              <w:rPr>
                <w:b/>
                <w:sz w:val="17"/>
              </w:rPr>
              <w:t>1,976</w:t>
            </w:r>
          </w:p>
        </w:tc>
        <w:tc>
          <w:tcPr>
            <w:tcW w:type="dxa" w:w="1440"/>
            <w:shd w:fill="FFDCE0" w:val="clear"/>
          </w:tcPr>
          <w:p>
            <w:r>
              <w:rPr>
                <w:sz w:val="17"/>
              </w:rPr>
              <w:t>2,156</w:t>
            </w:r>
          </w:p>
        </w:tc>
        <w:tc>
          <w:tcPr>
            <w:tcW w:type="dxa" w:w="1440"/>
            <w:shd w:fill="FFDCE0" w:val="clear"/>
          </w:tcPr>
          <w:p>
            <w:r>
              <w:rPr>
                <w:b/>
                <w:color w:val="C00000"/>
                <w:sz w:val="17"/>
              </w:rPr>
              <w:t>-5.9%</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1,773</w:t>
            </w:r>
          </w:p>
        </w:tc>
        <w:tc>
          <w:tcPr>
            <w:tcW w:type="dxa" w:w="1440"/>
            <w:shd w:fill="FFDCE0" w:val="clear"/>
          </w:tcPr>
          <w:p>
            <w:r>
              <w:rPr>
                <w:b/>
                <w:sz w:val="17"/>
              </w:rPr>
              <w:t>1,963</w:t>
            </w:r>
          </w:p>
        </w:tc>
        <w:tc>
          <w:tcPr>
            <w:tcW w:type="dxa" w:w="1440"/>
            <w:shd w:fill="FFDCE0" w:val="clear"/>
          </w:tcPr>
          <w:p>
            <w:r>
              <w:rPr>
                <w:sz w:val="17"/>
              </w:rPr>
              <w:t>2,153</w:t>
            </w:r>
          </w:p>
        </w:tc>
        <w:tc>
          <w:tcPr>
            <w:tcW w:type="dxa" w:w="1440"/>
            <w:shd w:fill="FFDCE0" w:val="clear"/>
          </w:tcPr>
          <w:p>
            <w:r>
              <w:rPr>
                <w:b/>
                <w:color w:val="C00000"/>
                <w:sz w:val="17"/>
              </w:rPr>
              <w:t>-6.5%</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1,751</w:t>
            </w:r>
          </w:p>
        </w:tc>
        <w:tc>
          <w:tcPr>
            <w:tcW w:type="dxa" w:w="1440"/>
            <w:shd w:fill="FFDCE0" w:val="clear"/>
          </w:tcPr>
          <w:p>
            <w:r>
              <w:rPr>
                <w:b/>
                <w:sz w:val="17"/>
              </w:rPr>
              <w:t>1,950</w:t>
            </w:r>
          </w:p>
        </w:tc>
        <w:tc>
          <w:tcPr>
            <w:tcW w:type="dxa" w:w="1440"/>
            <w:shd w:fill="FFDCE0" w:val="clear"/>
          </w:tcPr>
          <w:p>
            <w:r>
              <w:rPr>
                <w:sz w:val="17"/>
              </w:rPr>
              <w:t>2,149</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*Bourse Régionale des Valeurs Mobilières (BRVM) — Secteur : Emballages industriels (jute, polymères)*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29,62 Mds FCFA, FILTISAC CI se situe dans la catégorie des valeurs moyennes de la cote BRVM, ce qui traduit une liquidité limitée et une exposition accrue aux mouvements de portefeuilles institutionnels. Le BPA de 33 FCFA/action signifie que chaque titre génère 33 FCFA de bénéfice net, un niveau très faible qui, rapporté au cours de 2 100 FCFA, aboutit à un PER de 63,6x — soit près de six fois la moyenne du marché BRVM (8-12x) — signalant une valorisation très exigeante au regard des bénéfices actuels. Le P/B de 1,89x indique que le marché valorise l'action à près du double de sa valeur comptable, ce qui reste raisonnable dans l'absolu mais suppose une capacité bénéficiaire future supérieure à celle observée en 2025. Enfin, l'EV/EBITDA de 37,6x, très supérieur au seuil de 15x généralement considéré comme acceptable, traduit une valeur d'entreprise déconnectée de la capacité opérationnelle actuelle, ce qui rend le titre vulnérable à toute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FTSC affiche une variation totale de -5,41%, avec une dernière séance en repli de -0,94%, confirmant une dynamique baissière de court terme. Le titre a évolué dans un range de 520 FCFA entre un plus haut de 2 430 FCFA et un plus bas de 1 910 FCFA, ce qui représente une amplitude de trading de 27% — relativement large pour une valeur de cette capitalisation. La tendance générale est donc baissière mais sans effondrement, le cours actuel (2 100 FCFA) se situant légèrement sous la moyenne (2 135 FCFA) et sous la médiane (2 150 FCFA), ce qui suggère une pression vendeuse modérée mais persistante. L'écart faible entre moyenne et médiane (15 FCFA) confirme une distribution quasi symétrique, corroborée par un skewness de 0,103 ; le mode à 1 990 FCFA, nettement inférieur, indique toutefois que le prix le plus fréquemment traité se situe dans le bas du range. L'écart-type de 127 FCFA pour un CV de 6,0% traduit une dispersion modérée autour de la moyenne, tandis que le kurtosis de -0,840 (mésokurtique) indique une distribution proche de la normale, donc sans risque marqué de pics extrêmes. La volatilité annualisée de 34,5% classe le titre dans la catégorie des valeurs à volatilité élevée (&gt;30%), ce qui implique un risque de marché significatif pour un investisseur non averti.</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(2 137,25 FCFA) et la MM50 (2 064,40 FCFA) encadrent le cours actuel de 2 100 FCFA, qui se situe sous la MM20 mais au-dessus de la MM50. Cette configuration indique un affaiblissement de court terme (cours sous MM20) mais une structure de moyen terme encore haussière (cours &gt; MM50), ce qui justifie la décision « Achat » fournie, à condition que la MM50 serve de support.</w:t>
      </w:r>
    </w:p>
    <w:p>
      <w:pPr>
        <w:spacing w:after="120" w:line="276" w:lineRule="auto"/>
      </w:pPr>
      <w:r>
        <w:t>**Bandes de Bollinger** : Le cours (2 100 FCFA) évolue dans la partie basse de la bande, entre la borne inférieure (2 078,63 FCFA) et la borne supérieure (2 195,87 FCFA), sans toucher les extrêmes. Cette position médiane-basse, avec un cours proche de la borne inférieure, suggère une pression baissière modérée mais pas de signal de survente extrême, d'où la décision « Neutre ».</w:t>
      </w:r>
    </w:p>
    <w:p>
      <w:pPr>
        <w:spacing w:after="120" w:line="276" w:lineRule="auto"/>
      </w:pPr>
      <w:r>
        <w:t>**MACD** : La valeur du MACD (5,785) est nettement inférieure à son signal (14,846), ce qui constitue un croisement baissier et un momentum négatif. Cette divergence négative indique que la dynamique haussière s'essouffle, justifiant pleinement la décision « Vente » de cet indicateur.</w:t>
      </w:r>
    </w:p>
    <w:p>
      <w:pPr>
        <w:spacing w:after="120" w:line="276" w:lineRule="auto"/>
      </w:pPr>
      <w:r>
        <w:t>**RSI** : À 41,379, le RSI se situe dans la zone neutre (30-70), sans signal de surachat ni de survente. Cette valeur légèrement sous la médiane de 50 traduit une faiblesse relative mais non excessive, ce qui explique la décision « Neutre ».</w:t>
      </w:r>
    </w:p>
    <w:p>
      <w:pPr>
        <w:spacing w:after="120" w:line="276" w:lineRule="auto"/>
      </w:pPr>
      <w:r>
        <w:t>**Stochastique** : Le %K (11,111) est très bas et inférieur au %D (25,926), ce qui place l'indicateur en zone de survente (&lt;20) et suggère un possible rebond technique à court terme. Cette configuration justifie la décision « Achat » du stochastique, en contradiction avec le MACD.</w:t>
      </w:r>
    </w:p>
    <w:p>
      <w:pPr>
        <w:spacing w:after="120" w:line="276" w:lineRule="auto"/>
      </w:pPr>
      <w:r>
        <w:t>**Conclusion technique** : Les indicateurs sont divergents — le MACD est baissier, les Bollinger et le RSI sont neutres, tandis que les MM et le stochastique sont haussiers. Cette absence de consensus traduit une phase d'incertitude et de consolidation, avec un léger avantage aux signaux baissiers (MACD) mais un potentiel de rebond technique (stochastique en survente). La prudence est de mise tant que le cours ne repasse pas au-dessus de la MM20 (2 137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FILTISAC CI (exercice clos au 31/12/2025) affichent un chiffre d'affaires de 32,109 Mds FCFA, en progression de 4,61% sur un an, mais un résultat net en chute vertigineuse à 465,98 M FCFA contre 18,595 Mds FCFA en 2024, soit une division par 40. Cette dégradation s'explique par la disparition des produits exceptionnels de cession de filiales enregistrés en 2024 (6,17 Mds FCFA de produits financiers), qui masquaient une rentabilité opérationnelle structurellement faible. Les ratios de rentabilité 2025 sont préoccupants : le ROE s'établit à 2,97% (très loin du seuil de 15% considéré comme excellent) et le ROA à 1,19%, tandis que la marge nette s'effondre à 1,45% et la marge opérationnelle à 0,86%. Sur le plan de la structure financière, l'autonomie financière reste correcte à 40,11% (capitaux propres de 15,703 Mds FCFA pour un total bilan de 39,149 Mds FCFA), mais le ratio d'endettement de 97,60% et une trésorerie nette négative de -11,528 Mds FCFA constituent des signaux d'alerte majeurs. Les délais d'exploitation sont particulièrement élevés : 213,72 jours de délai clients et 214,65 jours de durée de stockage, ce qui immobilise massivement du capital et pèse sur la trésorerie, même si le BFR de 11,529 Mds FCFA est présenté comme favorable (BFR négatif). Le rapport annuel 2024 (publié le 31/12/2024) soulignait déjà la nécessité de redresser l'activité commerciale et la rentabilité opérationnelle, et la distribution intégrale du bénéfice 2024 (dividende de 2 000,67 FCFA/action, soit 100% du résultat net) a vidé les capacités d'autofinancement. Les rapports trimestriels 2025 confirment la tendance : au T3 2025 (rapport du 30/09/2025), le résultat courant avant impôts est de -216 M FCFA contre +4 144 M FCFA un an plus tôt, et le résultat d'exploitation reste déficitaire à -230 M FCFA. Toutefois, le rapport du T1 2026 (publié en 2026) apporte une lueur d'espoir : le chiffre d'affaires bondit de 55% à 8 901 M FCFA, porté par la demande d'emballages cacao, et le résultat d'exploitation redevient positif à 75 M FCFA (contre -78 M FCFA au T1 2025), bien que le résultat net reste négatif à -154 M FCFA. Sur la base de ce T1 2026, on peut estimer que l'exercice 2026 devrait bénéficier d'une dynamique commerciale nettement plus favorable, avec un retour à une rentabilité opérationnelle positive, mais la persistance d'un résultat net déficitaire au premier trimestre invite à la prudence quant à l'atteinte d'un bénéfice net annuel. La dépendance à la campagne cacaoyère 2025/2026 et les risques sur les coûts (fret maritime, approvisionnement en jute suite à l'interdiction d'exportation du Bangladesh) restent des facteurs d'incertitude majeurs. En conclusion fondamentale, la société présente une solidité bilancielle moyenne (autonomie financière correcte) mais une rentabilité très faible, une trésorerie dégradée et des risques opérationnels élevés ; le redressement du T1 2026 est encourageant mais doit être confirmé sur l'ensemble de l'exercice.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très contrasté. La valorisation (Partie 0) est clairement surévaluée : PER de 63,6x, EV/EBITDA de 37,6x et P/B de 1,89x traduisent des attentes de marché très optimistes qui ne sont pas soutenues par les bénéfices actuels. Le comportement du cours (Partie 1) est baissier sur 100 jours (-5,41%), avec une volatilité élevée (34,5%) et une distribution symétrique (skewness 0,103) sans risque de pics extrêmes (kurtosis -0,840), ce qui n'incite pas à une exposition agressive. Les signaux techniques (Partie 2) sont divergents : le MACD est baissier, les Bollinger et le RSI sont neutres, tandis que les MM et le stochastique sont haussiers, créant une incertitude qui plaide pour l'attentisme. Les fondamentaux (Partie 3) sont préoccupants pour 2025 (ROE 2,97%, ROA 1,19%, trésorerie nette -11,5 Mds FCFA) mais le T1 2026 montre une amélioration opérationnelle significative (CA +55%, résultat d'exploitation positif), sans toutefois renouer avec un bénéfice net. Les prédictions IA (J+1 à J+10) anticipent une poursuite de la baisse jusqu'à 2 018 FCFA le 22/09/2026, ce qui contredit les signaux haussiers des MM et du stochastique et confirme la pression baissière de court terme. Compte tenu de cette divergence — valorisation excessive, technique incertaine, fondamentaux en redressement mais fragiles, et prédictions baissières — la recommandation finale est **CONSERVER** avec un niveau de confiance **Moyen** et un risque global **Élevé**. L'horizon d'investissement optimal est le **moyen terme (3-12 mois)**, le temps de vérifier si le redressement opérationnel du T1 2026 se confirme sur les trimestres suivants et si la trésorerie se reconstitue. Un investisseur averse au risque privilégiera la vente, tandis qu'un investisseur opportuniste pourra conserver en anticipant une amélioration des marges et un retour à la rentabilité nette en 2026-2027, à condition d'accepter une volatilité élevée et un risque de liquidité.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79.10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4,352 titres</w:t>
            </w:r>
          </w:p>
        </w:tc>
        <w:tc>
          <w:tcPr>
            <w:tcW w:type="dxa" w:w="2268"/>
            <w:shd w:fill="FFF2CC" w:val="clear"/>
          </w:tcPr>
          <w:p>
            <w:r>
              <w:rPr>
                <w:b/>
                <w:color w:val="503200"/>
                <w:sz w:val="16"/>
              </w:rPr>
              <w:t xml:space="preserve">Cours actuel : </w:t>
            </w:r>
            <w:r>
              <w:rPr>
                <w:color w:val="000000"/>
                <w:sz w:val="17"/>
              </w:rPr>
              <w:t>3,955 FCFA</w:t>
            </w:r>
          </w:p>
          <w:p>
            <w:r>
              <w:rPr>
                <w:b/>
                <w:color w:val="503200"/>
                <w:sz w:val="16"/>
              </w:rPr>
              <w:t xml:space="preserve">Var. 100 jours : </w:t>
            </w:r>
            <w:r>
              <w:rPr>
                <w:b/>
                <w:color w:val="007800"/>
                <w:sz w:val="17"/>
              </w:rPr>
              <w:t>+2.46%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12.5/100 → Faible</w:t>
      </w:r>
    </w:p>
    <w:p>
      <w:pPr>
        <w:spacing w:before="40" w:after="80"/>
      </w:pPr>
      <w:r>
        <w:rPr>
          <w:rFonts w:ascii="Courier New" w:hAnsi="Courier New"/>
          <w:color w:val="006400"/>
          <w:sz w:val="18"/>
        </w:rPr>
        <w:t>██░░░░░░░░░░░░░░░░░░  12.5/100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4.76% (Faible) — μ=4,068 FCFA, σ=194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β=-0.1144 (Contre-cyclique) — Cov=-0.000004, Var(idx)=0.000035, ρ=-0.028,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3,879</w:t>
            </w:r>
          </w:p>
        </w:tc>
        <w:tc>
          <w:tcPr>
            <w:tcW w:type="dxa" w:w="1440"/>
            <w:shd w:fill="FAFAFA" w:val="clear"/>
          </w:tcPr>
          <w:p>
            <w:r>
              <w:rPr>
                <w:b/>
                <w:sz w:val="17"/>
              </w:rPr>
              <w:t>4,014</w:t>
            </w:r>
          </w:p>
        </w:tc>
        <w:tc>
          <w:tcPr>
            <w:tcW w:type="dxa" w:w="1440"/>
            <w:shd w:fill="FAFAFA" w:val="clear"/>
          </w:tcPr>
          <w:p>
            <w:r>
              <w:rPr>
                <w:sz w:val="17"/>
              </w:rPr>
              <w:t>4,150</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3,839</w:t>
            </w:r>
          </w:p>
        </w:tc>
        <w:tc>
          <w:tcPr>
            <w:tcW w:type="dxa" w:w="1440"/>
            <w:shd w:fill="FAFAFA" w:val="clear"/>
          </w:tcPr>
          <w:p>
            <w:r>
              <w:rPr>
                <w:b/>
                <w:sz w:val="17"/>
              </w:rPr>
              <w:t>4,031</w:t>
            </w:r>
          </w:p>
        </w:tc>
        <w:tc>
          <w:tcPr>
            <w:tcW w:type="dxa" w:w="1440"/>
            <w:shd w:fill="FAFAFA" w:val="clear"/>
          </w:tcPr>
          <w:p>
            <w:r>
              <w:rPr>
                <w:sz w:val="17"/>
              </w:rPr>
              <w:t>4,223</w:t>
            </w:r>
          </w:p>
        </w:tc>
        <w:tc>
          <w:tcPr>
            <w:tcW w:type="dxa" w:w="1440"/>
            <w:shd w:fill="FAFAFA" w:val="clear"/>
          </w:tcPr>
          <w:p>
            <w:r>
              <w:rPr>
                <w:b/>
                <w:color w:val="008000"/>
                <w:sz w:val="17"/>
              </w:rPr>
              <w:t>+1.9%</w:t>
            </w:r>
          </w:p>
        </w:tc>
      </w:tr>
      <w:tr>
        <w:tc>
          <w:tcPr>
            <w:tcW w:type="dxa" w:w="1440"/>
            <w:shd w:fill="C6EFCE" w:val="clear"/>
          </w:tcPr>
          <w:p>
            <w:r>
              <w:rPr>
                <w:sz w:val="17"/>
              </w:rPr>
              <w:t>J+3  Moyenne</w:t>
            </w:r>
          </w:p>
        </w:tc>
        <w:tc>
          <w:tcPr>
            <w:tcW w:type="dxa" w:w="1440"/>
            <w:shd w:fill="C6EFCE" w:val="clear"/>
          </w:tcPr>
          <w:p>
            <w:r>
              <w:rPr>
                <w:sz w:val="17"/>
              </w:rPr>
              <w:t>2026-09-18</w:t>
            </w:r>
          </w:p>
        </w:tc>
        <w:tc>
          <w:tcPr>
            <w:tcW w:type="dxa" w:w="1440"/>
            <w:shd w:fill="C6EFCE" w:val="clear"/>
          </w:tcPr>
          <w:p>
            <w:r>
              <w:rPr>
                <w:sz w:val="17"/>
              </w:rPr>
              <w:t>3,820</w:t>
            </w:r>
          </w:p>
        </w:tc>
        <w:tc>
          <w:tcPr>
            <w:tcW w:type="dxa" w:w="1440"/>
            <w:shd w:fill="C6EFCE" w:val="clear"/>
          </w:tcPr>
          <w:p>
            <w:r>
              <w:rPr>
                <w:b/>
                <w:sz w:val="17"/>
              </w:rPr>
              <w:t>4,056</w:t>
            </w:r>
          </w:p>
        </w:tc>
        <w:tc>
          <w:tcPr>
            <w:tcW w:type="dxa" w:w="1440"/>
            <w:shd w:fill="C6EFCE" w:val="clear"/>
          </w:tcPr>
          <w:p>
            <w:r>
              <w:rPr>
                <w:sz w:val="17"/>
              </w:rPr>
              <w:t>4,293</w:t>
            </w:r>
          </w:p>
        </w:tc>
        <w:tc>
          <w:tcPr>
            <w:tcW w:type="dxa" w:w="1440"/>
            <w:shd w:fill="C6EFCE" w:val="clear"/>
          </w:tcPr>
          <w:p>
            <w:r>
              <w:rPr>
                <w:b/>
                <w:color w:val="008000"/>
                <w:sz w:val="17"/>
              </w:rPr>
              <w:t>+2.6%</w:t>
            </w:r>
          </w:p>
        </w:tc>
      </w:tr>
      <w:tr>
        <w:tc>
          <w:tcPr>
            <w:tcW w:type="dxa" w:w="1440"/>
            <w:shd w:fill="C6EFCE" w:val="clear"/>
          </w:tcPr>
          <w:p>
            <w:r>
              <w:rPr>
                <w:sz w:val="17"/>
              </w:rPr>
              <w:t>J+4  ⭐</w:t>
            </w:r>
          </w:p>
        </w:tc>
        <w:tc>
          <w:tcPr>
            <w:tcW w:type="dxa" w:w="1440"/>
            <w:shd w:fill="C6EFCE" w:val="clear"/>
          </w:tcPr>
          <w:p>
            <w:r>
              <w:rPr>
                <w:sz w:val="17"/>
              </w:rPr>
              <w:t>2026-09-21</w:t>
            </w:r>
          </w:p>
        </w:tc>
        <w:tc>
          <w:tcPr>
            <w:tcW w:type="dxa" w:w="1440"/>
            <w:shd w:fill="C6EFCE" w:val="clear"/>
          </w:tcPr>
          <w:p>
            <w:r>
              <w:rPr>
                <w:sz w:val="17"/>
              </w:rPr>
              <w:t>3,815</w:t>
            </w:r>
          </w:p>
        </w:tc>
        <w:tc>
          <w:tcPr>
            <w:tcW w:type="dxa" w:w="1440"/>
            <w:shd w:fill="C6EFCE" w:val="clear"/>
          </w:tcPr>
          <w:p>
            <w:r>
              <w:rPr>
                <w:b/>
                <w:sz w:val="17"/>
              </w:rPr>
              <w:t>4,090</w:t>
            </w:r>
          </w:p>
        </w:tc>
        <w:tc>
          <w:tcPr>
            <w:tcW w:type="dxa" w:w="1440"/>
            <w:shd w:fill="C6EFCE" w:val="clear"/>
          </w:tcPr>
          <w:p>
            <w:r>
              <w:rPr>
                <w:sz w:val="17"/>
              </w:rPr>
              <w:t>4,365</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2026-09-22</w:t>
            </w:r>
          </w:p>
        </w:tc>
        <w:tc>
          <w:tcPr>
            <w:tcW w:type="dxa" w:w="1440"/>
            <w:shd w:fill="C6EFCE" w:val="clear"/>
          </w:tcPr>
          <w:p>
            <w:r>
              <w:rPr>
                <w:sz w:val="17"/>
              </w:rPr>
              <w:t>3,803</w:t>
            </w:r>
          </w:p>
        </w:tc>
        <w:tc>
          <w:tcPr>
            <w:tcW w:type="dxa" w:w="1440"/>
            <w:shd w:fill="C6EFCE" w:val="clear"/>
          </w:tcPr>
          <w:p>
            <w:r>
              <w:rPr>
                <w:b/>
                <w:sz w:val="17"/>
              </w:rPr>
              <w:t>4,113</w:t>
            </w:r>
          </w:p>
        </w:tc>
        <w:tc>
          <w:tcPr>
            <w:tcW w:type="dxa" w:w="1440"/>
            <w:shd w:fill="C6EFCE" w:val="clear"/>
          </w:tcPr>
          <w:p>
            <w:r>
              <w:rPr>
                <w:sz w:val="17"/>
              </w:rPr>
              <w:t>4,422</w:t>
            </w:r>
          </w:p>
        </w:tc>
        <w:tc>
          <w:tcPr>
            <w:tcW w:type="dxa" w:w="1440"/>
            <w:shd w:fill="C6EFCE" w:val="clear"/>
          </w:tcPr>
          <w:p>
            <w:r>
              <w:rPr>
                <w:b/>
                <w:color w:val="008000"/>
                <w:sz w:val="17"/>
              </w:rPr>
              <w:t>+4.0%</w:t>
            </w:r>
          </w:p>
        </w:tc>
      </w:tr>
      <w:tr>
        <w:tc>
          <w:tcPr>
            <w:tcW w:type="dxa" w:w="1440"/>
            <w:shd w:fill="C6EFCE" w:val="clear"/>
          </w:tcPr>
          <w:p>
            <w:r>
              <w:rPr>
                <w:sz w:val="17"/>
              </w:rPr>
              <w:t>J+6  ⭐</w:t>
            </w:r>
          </w:p>
        </w:tc>
        <w:tc>
          <w:tcPr>
            <w:tcW w:type="dxa" w:w="1440"/>
            <w:shd w:fill="C6EFCE" w:val="clear"/>
          </w:tcPr>
          <w:p>
            <w:r>
              <w:rPr>
                <w:sz w:val="17"/>
              </w:rPr>
              <w:t>2026-09-23</w:t>
            </w:r>
          </w:p>
        </w:tc>
        <w:tc>
          <w:tcPr>
            <w:tcW w:type="dxa" w:w="1440"/>
            <w:shd w:fill="C6EFCE" w:val="clear"/>
          </w:tcPr>
          <w:p>
            <w:r>
              <w:rPr>
                <w:sz w:val="17"/>
              </w:rPr>
              <w:t>3,806</w:t>
            </w:r>
          </w:p>
        </w:tc>
        <w:tc>
          <w:tcPr>
            <w:tcW w:type="dxa" w:w="1440"/>
            <w:shd w:fill="C6EFCE" w:val="clear"/>
          </w:tcPr>
          <w:p>
            <w:r>
              <w:rPr>
                <w:b/>
                <w:sz w:val="17"/>
              </w:rPr>
              <w:t>4,148</w:t>
            </w:r>
          </w:p>
        </w:tc>
        <w:tc>
          <w:tcPr>
            <w:tcW w:type="dxa" w:w="1440"/>
            <w:shd w:fill="C6EFCE" w:val="clear"/>
          </w:tcPr>
          <w:p>
            <w:r>
              <w:rPr>
                <w:sz w:val="17"/>
              </w:rPr>
              <w:t>4,489</w:t>
            </w:r>
          </w:p>
        </w:tc>
        <w:tc>
          <w:tcPr>
            <w:tcW w:type="dxa" w:w="1440"/>
            <w:shd w:fill="C6EFCE" w:val="clear"/>
          </w:tcPr>
          <w:p>
            <w:r>
              <w:rPr>
                <w:b/>
                <w:color w:val="008000"/>
                <w:sz w:val="17"/>
              </w:rPr>
              <w:t>+4.9%</w:t>
            </w:r>
          </w:p>
        </w:tc>
      </w:tr>
      <w:tr>
        <w:tc>
          <w:tcPr>
            <w:tcW w:type="dxa" w:w="1440"/>
            <w:shd w:fill="C6EFCE" w:val="clear"/>
          </w:tcPr>
          <w:p>
            <w:r>
              <w:rPr>
                <w:sz w:val="17"/>
              </w:rPr>
              <w:t>J+7  ⭐</w:t>
            </w:r>
          </w:p>
        </w:tc>
        <w:tc>
          <w:tcPr>
            <w:tcW w:type="dxa" w:w="1440"/>
            <w:shd w:fill="C6EFCE" w:val="clear"/>
          </w:tcPr>
          <w:p>
            <w:r>
              <w:rPr>
                <w:sz w:val="17"/>
              </w:rPr>
              <w:t>2026-09-24</w:t>
            </w:r>
          </w:p>
        </w:tc>
        <w:tc>
          <w:tcPr>
            <w:tcW w:type="dxa" w:w="1440"/>
            <w:shd w:fill="C6EFCE" w:val="clear"/>
          </w:tcPr>
          <w:p>
            <w:r>
              <w:rPr>
                <w:sz w:val="17"/>
              </w:rPr>
              <w:t>3,787</w:t>
            </w:r>
          </w:p>
        </w:tc>
        <w:tc>
          <w:tcPr>
            <w:tcW w:type="dxa" w:w="1440"/>
            <w:shd w:fill="C6EFCE" w:val="clear"/>
          </w:tcPr>
          <w:p>
            <w:r>
              <w:rPr>
                <w:b/>
                <w:sz w:val="17"/>
              </w:rPr>
              <w:t>4,157</w:t>
            </w:r>
          </w:p>
        </w:tc>
        <w:tc>
          <w:tcPr>
            <w:tcW w:type="dxa" w:w="1440"/>
            <w:shd w:fill="C6EFCE" w:val="clear"/>
          </w:tcPr>
          <w:p>
            <w:r>
              <w:rPr>
                <w:sz w:val="17"/>
              </w:rPr>
              <w:t>4,528</w:t>
            </w:r>
          </w:p>
        </w:tc>
        <w:tc>
          <w:tcPr>
            <w:tcW w:type="dxa" w:w="1440"/>
            <w:shd w:fill="C6EFCE" w:val="clear"/>
          </w:tcPr>
          <w:p>
            <w:r>
              <w:rPr>
                <w:b/>
                <w:color w:val="008000"/>
                <w:sz w:val="17"/>
              </w:rPr>
              <w:t>+5.1%</w:t>
            </w:r>
          </w:p>
        </w:tc>
      </w:tr>
      <w:tr>
        <w:tc>
          <w:tcPr>
            <w:tcW w:type="dxa" w:w="1440"/>
            <w:shd w:fill="C6EFCE" w:val="clear"/>
          </w:tcPr>
          <w:p>
            <w:r>
              <w:rPr>
                <w:sz w:val="17"/>
              </w:rPr>
              <w:t>J+8  ⭐</w:t>
            </w:r>
          </w:p>
        </w:tc>
        <w:tc>
          <w:tcPr>
            <w:tcW w:type="dxa" w:w="1440"/>
            <w:shd w:fill="C6EFCE" w:val="clear"/>
          </w:tcPr>
          <w:p>
            <w:r>
              <w:rPr>
                <w:sz w:val="17"/>
              </w:rPr>
              <w:t>2026-09-25</w:t>
            </w:r>
          </w:p>
        </w:tc>
        <w:tc>
          <w:tcPr>
            <w:tcW w:type="dxa" w:w="1440"/>
            <w:shd w:fill="C6EFCE" w:val="clear"/>
          </w:tcPr>
          <w:p>
            <w:r>
              <w:rPr>
                <w:sz w:val="17"/>
              </w:rPr>
              <w:t>3,765</w:t>
            </w:r>
          </w:p>
        </w:tc>
        <w:tc>
          <w:tcPr>
            <w:tcW w:type="dxa" w:w="1440"/>
            <w:shd w:fill="C6EFCE" w:val="clear"/>
          </w:tcPr>
          <w:p>
            <w:r>
              <w:rPr>
                <w:b/>
                <w:sz w:val="17"/>
              </w:rPr>
              <w:t>4,161</w:t>
            </w:r>
          </w:p>
        </w:tc>
        <w:tc>
          <w:tcPr>
            <w:tcW w:type="dxa" w:w="1440"/>
            <w:shd w:fill="C6EFCE" w:val="clear"/>
          </w:tcPr>
          <w:p>
            <w:r>
              <w:rPr>
                <w:sz w:val="17"/>
              </w:rPr>
              <w:t>4,557</w:t>
            </w:r>
          </w:p>
        </w:tc>
        <w:tc>
          <w:tcPr>
            <w:tcW w:type="dxa" w:w="1440"/>
            <w:shd w:fill="C6EFCE" w:val="clear"/>
          </w:tcPr>
          <w:p>
            <w:r>
              <w:rPr>
                <w:b/>
                <w:color w:val="008000"/>
                <w:sz w:val="17"/>
              </w:rPr>
              <w:t>+5.2%</w:t>
            </w:r>
          </w:p>
        </w:tc>
      </w:tr>
      <w:tr>
        <w:tc>
          <w:tcPr>
            <w:tcW w:type="dxa" w:w="1440"/>
            <w:shd w:fill="C6EFCE" w:val="clear"/>
          </w:tcPr>
          <w:p>
            <w:r>
              <w:rPr>
                <w:sz w:val="17"/>
              </w:rPr>
              <w:t>J+9  ⭐</w:t>
            </w:r>
          </w:p>
        </w:tc>
        <w:tc>
          <w:tcPr>
            <w:tcW w:type="dxa" w:w="1440"/>
            <w:shd w:fill="C6EFCE" w:val="clear"/>
          </w:tcPr>
          <w:p>
            <w:r>
              <w:rPr>
                <w:sz w:val="17"/>
              </w:rPr>
              <w:t>2026-09-28</w:t>
            </w:r>
          </w:p>
        </w:tc>
        <w:tc>
          <w:tcPr>
            <w:tcW w:type="dxa" w:w="1440"/>
            <w:shd w:fill="C6EFCE" w:val="clear"/>
          </w:tcPr>
          <w:p>
            <w:r>
              <w:rPr>
                <w:sz w:val="17"/>
              </w:rPr>
              <w:t>3,752</w:t>
            </w:r>
          </w:p>
        </w:tc>
        <w:tc>
          <w:tcPr>
            <w:tcW w:type="dxa" w:w="1440"/>
            <w:shd w:fill="C6EFCE" w:val="clear"/>
          </w:tcPr>
          <w:p>
            <w:r>
              <w:rPr>
                <w:b/>
                <w:sz w:val="17"/>
              </w:rPr>
              <w:t>4,173</w:t>
            </w:r>
          </w:p>
        </w:tc>
        <w:tc>
          <w:tcPr>
            <w:tcW w:type="dxa" w:w="1440"/>
            <w:shd w:fill="C6EFCE" w:val="clear"/>
          </w:tcPr>
          <w:p>
            <w:r>
              <w:rPr>
                <w:sz w:val="17"/>
              </w:rPr>
              <w:t>4,594</w:t>
            </w:r>
          </w:p>
        </w:tc>
        <w:tc>
          <w:tcPr>
            <w:tcW w:type="dxa" w:w="1440"/>
            <w:shd w:fill="C6EFCE" w:val="clear"/>
          </w:tcPr>
          <w:p>
            <w:r>
              <w:rPr>
                <w:b/>
                <w:color w:val="008000"/>
                <w:sz w:val="17"/>
              </w:rPr>
              <w:t>+5.5%</w:t>
            </w:r>
          </w:p>
        </w:tc>
      </w:tr>
      <w:tr>
        <w:tc>
          <w:tcPr>
            <w:tcW w:type="dxa" w:w="1440"/>
            <w:shd w:fill="C6EFCE" w:val="clear"/>
          </w:tcPr>
          <w:p>
            <w:r>
              <w:rPr>
                <w:sz w:val="17"/>
              </w:rPr>
              <w:t>J+10  ⭐</w:t>
            </w:r>
          </w:p>
        </w:tc>
        <w:tc>
          <w:tcPr>
            <w:tcW w:type="dxa" w:w="1440"/>
            <w:shd w:fill="C6EFCE" w:val="clear"/>
          </w:tcPr>
          <w:p>
            <w:r>
              <w:rPr>
                <w:sz w:val="17"/>
              </w:rPr>
              <w:t>2026-09-29</w:t>
            </w:r>
          </w:p>
        </w:tc>
        <w:tc>
          <w:tcPr>
            <w:tcW w:type="dxa" w:w="1440"/>
            <w:shd w:fill="C6EFCE" w:val="clear"/>
          </w:tcPr>
          <w:p>
            <w:r>
              <w:rPr>
                <w:sz w:val="17"/>
              </w:rPr>
              <w:t>3,731</w:t>
            </w:r>
          </w:p>
        </w:tc>
        <w:tc>
          <w:tcPr>
            <w:tcW w:type="dxa" w:w="1440"/>
            <w:shd w:fill="C6EFCE" w:val="clear"/>
          </w:tcPr>
          <w:p>
            <w:r>
              <w:rPr>
                <w:b/>
                <w:sz w:val="17"/>
              </w:rPr>
              <w:t>4,175</w:t>
            </w:r>
          </w:p>
        </w:tc>
        <w:tc>
          <w:tcPr>
            <w:tcW w:type="dxa" w:w="1440"/>
            <w:shd w:fill="C6EFCE" w:val="clear"/>
          </w:tcPr>
          <w:p>
            <w:r>
              <w:rPr>
                <w:sz w:val="17"/>
              </w:rPr>
              <w:t>4,619</w:t>
            </w:r>
          </w:p>
        </w:tc>
        <w:tc>
          <w:tcPr>
            <w:tcW w:type="dxa" w:w="1440"/>
            <w:shd w:fill="C6EFCE" w:val="clear"/>
          </w:tcPr>
          <w:p>
            <w:r>
              <w:rPr>
                <w:b/>
                <w:color w:val="008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79,10 milliards FCFA, LNBB se positionne comme une valeur de taille moyenne sur le compartiment des sociétés non bancaires de la BRVM, ce qui lui confère une liquidité limitée mais un profil de « mid-cap » régionale. Le BPA de 231 FCFA par action signifie que chaque titre génère un bénéfice net de 231 FCFA, ce qui, rapporté au cours actuel de 3 955 FCFA, donne un PER de 17,1x — nettement supérieur à la moyenne BRVM (8-12x), traduisant une prime de valorisation significative que le marché accorde à la croissance digitale et à la solidité du bilan. Le P/B de 3,60x confirme cette prime : le marché valorise l'entreprise à plus de 3 fois ses fonds propres comptables (21,95 Mds FCFA), ce qui est cohérent avec un ROE élevé de 21,05 % mais laisse peu de marge de sécurité en cas de déception. Enfin, l'EV/EBITDA de 10,0x situe la valeur totale (capitalisation + dette nette quasi nulle) à 10 fois sa capacité opérationnelle, un niveau élevé qui intègre déjà les anticipations de redressement de la rentabilité.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de +2,46 %, avec une dernière séance en hausse de +0,64 %, portant le cours à 3 955 FCFA. Le range de trading est relativement large, entre un plus bas de 3 825 FCFA et un plus haut de 4 560 FCFA, soit un écart de 735 FCFA (19,2 %), ce qui témoigne d'une réelle volatilité intra-période malgré une tendance globale haussière modérée. La moyenne (4 068 FCFA) est supérieure à la médiane (4 002 FCFA), et le mode se situe à 4 000 FCFA : cet écart positif entre moyenne et médiane, combiné à un skewness de +0,554 (asymétrie positive), indique que la distribution des cours comporte davantage de journées sous la moyenne, mais que les pics haussiers tirent la moyenne vers le haut — un profil typique d'un titre en consolidation après un sommet. L'écart-type de 195 FCFA (CV = 4,8 %) traduit une dispersion modérée du cours autour de sa moyenne, tandis que le kurtosis de -0,865 (mésokurtique) suggère une distribution proche de la normale, sans risque excessif de pics extrêmes. La volatilité annualisée de 37,7 % classe le titre dans la catégorie « élevée » (&gt;30 %), ce qui est cohérent avec une valeur de taille moyenne sur la BRVM et implique un risque de marché non négligeable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(4 033,75 FCFA) est légèrement supérieure au cours actuel (3 955 FCFA), tandis que la MM50 (4 176,1 FCFA) est nettement au-dessus, confirmant une configuration baissière de court et moyen terme. Le cours évolue sous ses deux moyennes mobiles, ce qui justifie la décision technique « Vente » : la pression vendeuse reste dominante tant que le titre ne réintègre pas la zone des 4 034-4 176 FCFA.</w:t>
      </w:r>
    </w:p>
    <w:p>
      <w:pPr>
        <w:spacing w:after="120" w:line="276" w:lineRule="auto"/>
      </w:pPr>
      <w:r>
        <w:t>**Bandes de Bollinger** : Le cours (3 955 FCFA) se situe dans la moitié inférieure de la bande, entre la borne inférieure (3 889,75 FCFA) et la borne supérieure (4 177,75 FCFA), sans toucher les extrêmes. Cette position médiane-basse, avec une largeur de bande de 288 FCFA, indique une volatilité contenue et une absence de signal directionnel fort, justifiant la décision « Neutre » : le marché est en phase d'attente.</w:t>
      </w:r>
    </w:p>
    <w:p>
      <w:pPr>
        <w:spacing w:after="120" w:line="276" w:lineRule="auto"/>
      </w:pPr>
      <w:r>
        <w:t>**MACD** : La ligne MACD (-57,265) est inférieure à sa ligne de signal (-55,148), avec un histogramme négatif, ce qui confirme un momentum baissier persistant. La divergence négative entre les deux lignes, bien que faible, justifie la décision « Vente » : la dynamique de court terme reste défavorable et aucun croisement haussier n'est encore visible.</w:t>
      </w:r>
    </w:p>
    <w:p>
      <w:pPr>
        <w:spacing w:after="120" w:line="276" w:lineRule="auto"/>
      </w:pPr>
      <w:r>
        <w:t>**RSI** : À 41,25, le RSI se situe dans la zone neutre (30-70), sans signal de survente ni de surachat. Cette valeur légèrement sous la barre des 50 indique une faiblesse relative de la pression acheteuse, mais sans excès, ce qui justifie la décision « Neutre » : le titre n'est ni survendu ni suracheté, laissant la porte ouverte à un rebond technique.</w:t>
      </w:r>
    </w:p>
    <w:p>
      <w:pPr>
        <w:spacing w:after="120" w:line="276" w:lineRule="auto"/>
      </w:pPr>
      <w:r>
        <w:t>**Stochastique** : Le %K (27,5) est inférieur au %D (30,833), et les deux se situent dans la zone basse (proche de 20), sans croisement haussier confirmé. Cette configuration suggère que le titre approche d'une zone de survente potentielle, mais l'absence de croisement %K/%D à la hausse justifie la décision « Neutre » : un signal d'achat technique n'est pas encore validé.</w:t>
      </w:r>
    </w:p>
    <w:p>
      <w:pPr>
        <w:spacing w:after="120" w:line="276" w:lineRule="auto"/>
      </w:pPr>
      <w:r>
        <w:t>**Conclusion technique** : La convergence des indicateurs (MM baissières, MACD négatif, RSI et Stochastique neutres-bas) dessine un tableau de consolidation baissière à court terme, sans signal d'achat clair. Le titre évolue sous ses moyennes mobiles et le momentum reste négatif, mais la proximité de la borne inférieure de Bollinger et la zone basse du Stochastique suggèrent qu'un rebond technique pourrait se dessiner si le cours franchit les 4 034 FCFA (MM20). En l'état, la prudence reste de mise, avec une orientation technique « Neutre à légèrement baissière ».</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Sur la base des états financiers annuels 2025 (exercice clos le 31 décembre 2025), LNBB affiche un chiffre d'affaires de 98,598 Mds FCFA, en baisse de -3,85 % par rapport à 2024 (102,544 Mds FCFA), et un résultat net de 4,622 Mds FCFA, en recul de -35,6 % (contre 7,176 Mds FCFA en 2024). Cette dégradation s'explique principalement par l'absence de produits exceptionnels en 2025 (3,098 Mds FCFA en 2024) et par la concurrence illégale, mais les fondamentaux opérationnels restent solides : la valeur ajoutée progresse de +22 % à 10,548 Mds FCFA et l'EBE de +34 % à 7,164 Mds FCFA, preuve d'une excellente maîtrise des charges. Les ratios de rentabilité demeurent élevés : ROE de 21,05 % (excellent, &gt;15 %), ROA de 14,17 %, marge nette de 4,69 % et marge opérationnelle de 6,47 %. La structure financière est très saine : autonomie financière de 67,32 %, ratio d'endettement de seulement 2,57 %, liquidité générale de 184,84 % et trésorerie nette positive de 7,979 Mds FCFA. Le BFR est quasi nul (217,45 M FCFA), avec des délais clients très courts (4,82 jours) et fournisseurs de 20,41 jours, ce qui témoigne d'une gestion rigoureuse du besoin en fonds de roulement. Les rapports trimestriels 2026 confirment une nette amélioration : au S1 2026 (rapport du 30 juin 2026, analysé le 30 juillet 2026), le CA progresse de +4 % à 49,937 Mds FCFA et le résultat net bondit de +60 %, grâce à la maîtrise des charges et aux revenus de partenariats B2B, malgré un Produit Brut des Jeux en baisse de -9 %. Le T1 2026 (rapport du 31 mars 2026) avait toutefois montré une chute de -46 % du résultat net à 848 M FCFA, illustrant la volatilité trimestrielle. On estime donc que l'exercice 2026 devrait afficher un résultat net en forte croissance (potentiellement entre 6 et 7 Mds FCFA), porté par le déploiement de 1 500 nouveaux terminaux et le lancement de nouveaux produits. La politique de dividende est très généreuse : dividende brut de 173 FCFA par action (net 164 FCFA), soit un rendement de 4,4 % au cours actuel, avec une mise en paiement prévue le 2 août 2026. En synthèse, la solidité financière est incontestable, mais les risques de pression sur les marges (dépendance au pari sportif à 95 % de taux de retour) et la concurrence illégale demeurent des points de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 PER de 17,1x et P/B de 3,60x traduisent une prime significative par rapport à la moyenne BRVM, mais elle est justifiée par un ROE de 21 % et une trésorerie nette positive. Le comportement du cours (Partie 1) est mitigé : tendance haussière modérée (+2,46 %) mais volatilité élevée (37,7 %), avec une distribution asymétrique positivement (skewness +0,554) et un kurtosis proche de la normale, ce qui n'indique pas de risque extrême mais une certaine imprévisibilité. Les signaux techniques (Partie 2) sont majoritairement baissiers à neutres : cours sous MM20 et MM50, MACD négatif, RSI et Stochastique neutres — aucun signal d'achat fort n'est présent. Les fondamentaux (Partie 3) sont solides : structure financière très saine (autonomie 67 %, endettement 2,6 %), ROE de 21 %, et surtout une nette amélioration au S1 2026 (+60 % de résultat net) qui contraste avec la baisse de 2025. Les prédictions IA (J+1 à J+10) tablent sur une remontée progressive du cours de 4 014 FCFA à 4 113 FCFA, ce qui contredit le momentum technique actuel mais s'aligne sur les fondamentaux en amélioration. Sur la base de cette synthèse, la convergence est partielle : la valorisation et les fondamentaux plaident pour un potentiel de rebond, mais la technique et la volatilité incitent à la prudence. Nous recommandons donc **CONSERVER** (Neutre à légèrement positif), avec un niveau de confiance **Moyen** et un risque global **Moyen**. L'horizon d'investissement optimal est le **moyen terme (3-12 mois)**, le temps que les effets du plan de transformation 2026 se matérialisent dans les résultats et que la technique se retourne à la hausse. Un renforcement pourra être envisagé si le cours franchit durablement la MM20 (4 034 FCFA) et si le S2 2026 confirme la stabilisation du Produit Brut des Jeux.</w:t>
      </w:r>
    </w:p>
    <w:p>
      <w:pPr>
        <w:spacing w:after="120" w:line="276" w:lineRule="auto"/>
      </w:pPr>
      <w:r>
        <w:t>---</w:t>
      </w:r>
    </w:p>
    <w:p>
      <w:pPr>
        <w:spacing w:after="120" w:line="276" w:lineRule="auto"/>
      </w:pPr>
      <w:r>
        <w:t>*Disclaimer : Cette analyse est fournie à titre informatif et ne constitue pas un conseil en investissement personnalisé. Les investisseurs sont invités à consulter un conseiller financier avant toute décision.*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35.11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4,996 titres</w:t>
            </w:r>
          </w:p>
        </w:tc>
        <w:tc>
          <w:tcPr>
            <w:tcW w:type="dxa" w:w="2268"/>
            <w:shd w:fill="FFF2CC" w:val="clear"/>
          </w:tcPr>
          <w:p>
            <w:r>
              <w:rPr>
                <w:b/>
                <w:color w:val="503200"/>
                <w:sz w:val="16"/>
              </w:rPr>
              <w:t xml:space="preserve">Cours actuel : </w:t>
            </w:r>
            <w:r>
              <w:rPr>
                <w:color w:val="000000"/>
                <w:sz w:val="17"/>
              </w:rPr>
              <w:t>2,750 FCFA</w:t>
            </w:r>
          </w:p>
          <w:p>
            <w:r>
              <w:rPr>
                <w:b/>
                <w:color w:val="503200"/>
                <w:sz w:val="16"/>
              </w:rPr>
              <w:t xml:space="preserve">Var. 100 jours : </w:t>
            </w:r>
            <w:r>
              <w:rPr>
                <w:b/>
                <w:color w:val="007800"/>
                <w:sz w:val="17"/>
              </w:rPr>
              <w:t>+99.28%</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16.18% (Élevée) — μ=2,211 FCFA, σ=358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β=-0.2501 (Contre-cyclique) — Cov=-0.000009, Var(idx)=0.000035, ρ=-0.041,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4,996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2,534</w:t>
            </w:r>
          </w:p>
        </w:tc>
        <w:tc>
          <w:tcPr>
            <w:tcW w:type="dxa" w:w="1440"/>
            <w:shd w:fill="FAFAFA" w:val="clear"/>
          </w:tcPr>
          <w:p>
            <w:r>
              <w:rPr>
                <w:b/>
                <w:sz w:val="17"/>
              </w:rPr>
              <w:t>2,705</w:t>
            </w:r>
          </w:p>
        </w:tc>
        <w:tc>
          <w:tcPr>
            <w:tcW w:type="dxa" w:w="1440"/>
            <w:shd w:fill="FAFAFA" w:val="clear"/>
          </w:tcPr>
          <w:p>
            <w:r>
              <w:rPr>
                <w:sz w:val="17"/>
              </w:rPr>
              <w:t>2,877</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2026-09-17</w:t>
            </w:r>
          </w:p>
        </w:tc>
        <w:tc>
          <w:tcPr>
            <w:tcW w:type="dxa" w:w="1440"/>
            <w:shd w:fill="FFDCE0" w:val="clear"/>
          </w:tcPr>
          <w:p>
            <w:r>
              <w:rPr>
                <w:sz w:val="17"/>
              </w:rPr>
              <w:t>2,418</w:t>
            </w:r>
          </w:p>
        </w:tc>
        <w:tc>
          <w:tcPr>
            <w:tcW w:type="dxa" w:w="1440"/>
            <w:shd w:fill="FFDCE0" w:val="clear"/>
          </w:tcPr>
          <w:p>
            <w:r>
              <w:rPr>
                <w:b/>
                <w:sz w:val="17"/>
              </w:rPr>
              <w:t>2,657</w:t>
            </w:r>
          </w:p>
        </w:tc>
        <w:tc>
          <w:tcPr>
            <w:tcW w:type="dxa" w:w="1440"/>
            <w:shd w:fill="FFDCE0" w:val="clear"/>
          </w:tcPr>
          <w:p>
            <w:r>
              <w:rPr>
                <w:sz w:val="17"/>
              </w:rPr>
              <w:t>2,895</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2026-09-18</w:t>
            </w:r>
          </w:p>
        </w:tc>
        <w:tc>
          <w:tcPr>
            <w:tcW w:type="dxa" w:w="1440"/>
            <w:shd w:fill="FFDCE0" w:val="clear"/>
          </w:tcPr>
          <w:p>
            <w:r>
              <w:rPr>
                <w:sz w:val="17"/>
              </w:rPr>
              <w:t>2,331</w:t>
            </w:r>
          </w:p>
        </w:tc>
        <w:tc>
          <w:tcPr>
            <w:tcW w:type="dxa" w:w="1440"/>
            <w:shd w:fill="FFDCE0" w:val="clear"/>
          </w:tcPr>
          <w:p>
            <w:r>
              <w:rPr>
                <w:b/>
                <w:sz w:val="17"/>
              </w:rPr>
              <w:t>2,619</w:t>
            </w:r>
          </w:p>
        </w:tc>
        <w:tc>
          <w:tcPr>
            <w:tcW w:type="dxa" w:w="1440"/>
            <w:shd w:fill="FFDCE0" w:val="clear"/>
          </w:tcPr>
          <w:p>
            <w:r>
              <w:rPr>
                <w:sz w:val="17"/>
              </w:rPr>
              <w:t>2,907</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2,260</w:t>
            </w:r>
          </w:p>
        </w:tc>
        <w:tc>
          <w:tcPr>
            <w:tcW w:type="dxa" w:w="1440"/>
            <w:shd w:fill="FFDCE0" w:val="clear"/>
          </w:tcPr>
          <w:p>
            <w:r>
              <w:rPr>
                <w:b/>
                <w:sz w:val="17"/>
              </w:rPr>
              <w:t>2,589</w:t>
            </w:r>
          </w:p>
        </w:tc>
        <w:tc>
          <w:tcPr>
            <w:tcW w:type="dxa" w:w="1440"/>
            <w:shd w:fill="FFDCE0" w:val="clear"/>
          </w:tcPr>
          <w:p>
            <w:r>
              <w:rPr>
                <w:sz w:val="17"/>
              </w:rPr>
              <w:t>2,917</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2,199</w:t>
            </w:r>
          </w:p>
        </w:tc>
        <w:tc>
          <w:tcPr>
            <w:tcW w:type="dxa" w:w="1440"/>
            <w:shd w:fill="FFDCE0" w:val="clear"/>
          </w:tcPr>
          <w:p>
            <w:r>
              <w:rPr>
                <w:b/>
                <w:sz w:val="17"/>
              </w:rPr>
              <w:t>2,562</w:t>
            </w:r>
          </w:p>
        </w:tc>
        <w:tc>
          <w:tcPr>
            <w:tcW w:type="dxa" w:w="1440"/>
            <w:shd w:fill="FFDCE0" w:val="clear"/>
          </w:tcPr>
          <w:p>
            <w:r>
              <w:rPr>
                <w:sz w:val="17"/>
              </w:rPr>
              <w:t>2,926</w:t>
            </w:r>
          </w:p>
        </w:tc>
        <w:tc>
          <w:tcPr>
            <w:tcW w:type="dxa" w:w="1440"/>
            <w:shd w:fill="FFDCE0" w:val="clear"/>
          </w:tcPr>
          <w:p>
            <w:r>
              <w:rPr>
                <w:b/>
                <w:color w:val="C00000"/>
                <w:sz w:val="17"/>
              </w:rPr>
              <w:t>-6.8%</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2,144</w:t>
            </w:r>
          </w:p>
        </w:tc>
        <w:tc>
          <w:tcPr>
            <w:tcW w:type="dxa" w:w="1440"/>
            <w:shd w:fill="FFDCE0" w:val="clear"/>
          </w:tcPr>
          <w:p>
            <w:r>
              <w:rPr>
                <w:b/>
                <w:sz w:val="17"/>
              </w:rPr>
              <w:t>2,538</w:t>
            </w:r>
          </w:p>
        </w:tc>
        <w:tc>
          <w:tcPr>
            <w:tcW w:type="dxa" w:w="1440"/>
            <w:shd w:fill="FFDCE0" w:val="clear"/>
          </w:tcPr>
          <w:p>
            <w:r>
              <w:rPr>
                <w:sz w:val="17"/>
              </w:rPr>
              <w:t>2,933</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2,094</w:t>
            </w:r>
          </w:p>
        </w:tc>
        <w:tc>
          <w:tcPr>
            <w:tcW w:type="dxa" w:w="1440"/>
            <w:shd w:fill="FFDCE0" w:val="clear"/>
          </w:tcPr>
          <w:p>
            <w:r>
              <w:rPr>
                <w:b/>
                <w:sz w:val="17"/>
              </w:rPr>
              <w:t>2,517</w:t>
            </w:r>
          </w:p>
        </w:tc>
        <w:tc>
          <w:tcPr>
            <w:tcW w:type="dxa" w:w="1440"/>
            <w:shd w:fill="FFDCE0" w:val="clear"/>
          </w:tcPr>
          <w:p>
            <w:r>
              <w:rPr>
                <w:sz w:val="17"/>
              </w:rPr>
              <w:t>2,940</w:t>
            </w:r>
          </w:p>
        </w:tc>
        <w:tc>
          <w:tcPr>
            <w:tcW w:type="dxa" w:w="1440"/>
            <w:shd w:fill="FFDCE0" w:val="clear"/>
          </w:tcPr>
          <w:p>
            <w:r>
              <w:rPr>
                <w:b/>
                <w:color w:val="C00000"/>
                <w:sz w:val="17"/>
              </w:rPr>
              <w:t>-8.5%</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2,049</w:t>
            </w:r>
          </w:p>
        </w:tc>
        <w:tc>
          <w:tcPr>
            <w:tcW w:type="dxa" w:w="1440"/>
            <w:shd w:fill="FFDCE0" w:val="clear"/>
          </w:tcPr>
          <w:p>
            <w:r>
              <w:rPr>
                <w:b/>
                <w:sz w:val="17"/>
              </w:rPr>
              <w:t>2,497</w:t>
            </w:r>
          </w:p>
        </w:tc>
        <w:tc>
          <w:tcPr>
            <w:tcW w:type="dxa" w:w="1440"/>
            <w:shd w:fill="FFDCE0" w:val="clear"/>
          </w:tcPr>
          <w:p>
            <w:r>
              <w:rPr>
                <w:sz w:val="17"/>
              </w:rPr>
              <w:t>2,946</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2,007</w:t>
            </w:r>
          </w:p>
        </w:tc>
        <w:tc>
          <w:tcPr>
            <w:tcW w:type="dxa" w:w="1440"/>
            <w:shd w:fill="FFDCE0" w:val="clear"/>
          </w:tcPr>
          <w:p>
            <w:r>
              <w:rPr>
                <w:b/>
                <w:sz w:val="17"/>
              </w:rPr>
              <w:t>2,479</w:t>
            </w:r>
          </w:p>
        </w:tc>
        <w:tc>
          <w:tcPr>
            <w:tcW w:type="dxa" w:w="1440"/>
            <w:shd w:fill="FFDCE0" w:val="clear"/>
          </w:tcPr>
          <w:p>
            <w:r>
              <w:rPr>
                <w:sz w:val="17"/>
              </w:rPr>
              <w:t>2,951</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1,968</w:t>
            </w:r>
          </w:p>
        </w:tc>
        <w:tc>
          <w:tcPr>
            <w:tcW w:type="dxa" w:w="1440"/>
            <w:shd w:fill="FFDCE0" w:val="clear"/>
          </w:tcPr>
          <w:p>
            <w:r>
              <w:rPr>
                <w:b/>
                <w:sz w:val="17"/>
              </w:rPr>
              <w:t>2,463</w:t>
            </w:r>
          </w:p>
        </w:tc>
        <w:tc>
          <w:tcPr>
            <w:tcW w:type="dxa" w:w="1440"/>
            <w:shd w:fill="FFDCE0" w:val="clear"/>
          </w:tcPr>
          <w:p>
            <w:r>
              <w:rPr>
                <w:sz w:val="17"/>
              </w:rPr>
              <w:t>2,957</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**Bourse Régionale des Valeurs Mobilières (BRVM) — Secteur : Édition &amp; Diffusion**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35,11 milliards FCFA, NEIC s'inscrit dans la catégorie des valeurs moyennes de la BRVM, ce qui reste significatif pour une société d'édition-diffusion ivoirienne. Le BPA de 160 FCFA/action indique que chaque titre génère 160 FCFA de bénéfice net, un niveau correct mais à relativiser au regard du cours actuel de 2 750 FCFA. Le PER de 17,2x traduit une valorisation modérée mais nettement supérieure à la moyenne du marché BRVM (8-12x), signe que les investisseurs intègrent déjà une prime de croissance ou de qualité. Le P/B de 6,10x constitue en revanche un signal d'alerte : le marché valorise l'action plus de six fois sa valeur comptable, une prime exigeante qui suppose une rentabilité future élevée et durable. Enfin, l'EV/EBITDA de 26,0x, très supérieur au seuil de 15x, confirme que la valeur d'entreprise intègre une forte anticipation de performance opérationnelle, laissant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NEIC affiche une performance spectaculaire de +99,28%, le titre ayant plus que doublé, même si la dernière séance (J-1) marque un repli de -3,34% suggérant une prise de profit après le rallye. Le range de trading est particulièrement large, entre un plus bas de 1 370 FCFA et un plus haut de 3 000 FCFA, soit une amplitude de plus de 119%, ce qui témoigne d'une tendance nettement haussière mais aussi d'une nervosité accrue des investisseurs. Les statistiques descriptives confirment cet équilibre relatif : la moyenne (2 211 FCFA) et la médiane (2 200 FCFA) sont quasi confondues, indiquant une distribution symétrique, cohérente avec le skewness de 0,419 (proche de la symétrie). L'écart-type de 359 FCFA avec un coefficient de variation de 16,3% traduit une dispersion modérée autour de la moyenne, tandis que le kurtosis de 0,298 (mésokurtique) suggère une distribution proche de la normale, sans risque extrême de pics de volatilité. La volatilité annualisée de 57,2% classe toutefois le titre dans la catégorie des valeurs à volatilité élevée (&gt;30%), ce qui implique un risque de marché important et justifie une approche prudente malgré la dynamique haussière.</w:t>
      </w:r>
    </w:p>
    <w:p>
      <w:pPr>
        <w:spacing w:after="120" w:line="276" w:lineRule="auto"/>
      </w:pPr>
      <w:r>
        <w:t>---</w:t>
      </w:r>
    </w:p>
    <w:p>
      <w:pPr>
        <w:spacing w:after="120" w:line="276" w:lineRule="auto"/>
      </w:pPr>
      <w:r>
        <w:t>## PARTIE 2 : ANALYSE TECHNIQUE DÉTAILLÉE</w:t>
      </w:r>
    </w:p>
    <w:p>
      <w:pPr>
        <w:spacing w:after="120" w:line="276" w:lineRule="auto"/>
      </w:pPr>
      <w:r>
        <w:t>**Moyennes Mobiles** : La MM20 (2 735,75 FCFA) et la MM50 (2 424,80 FCFA) sont toutes deux inférieures au cours actuel (2 750 FCFA), avec une MM20 au-dessus de la MM50, configuration classique de tendance haussière. Le signal d'achat est confirmé par le croisement haussier des moyennes et la position du cours au-dessus des deux références.</w:t>
      </w:r>
    </w:p>
    <w:p>
      <w:pPr>
        <w:spacing w:after="120" w:line="276" w:lineRule="auto"/>
      </w:pPr>
      <w:r>
        <w:t>**Bandes de Bollinger** : Le cours (2 750 FCFA) se situe dans la partie haute du canal, entre la borne inférieure (2 184,88 FCFA) et la borne supérieure (3 286,62 FCFA), sans franchissement de seuil. La largeur des bandes traduit une volatilité encore élevée, justifiant une décision neutre en l'absence de signal directionnel fort.</w:t>
      </w:r>
    </w:p>
    <w:p>
      <w:pPr>
        <w:spacing w:after="120" w:line="276" w:lineRule="auto"/>
      </w:pPr>
      <w:r>
        <w:t>**MACD** : Le MACD (121,63) est inférieur à son signal (149,25), générant une divergence baissière et un signal de vente. Ce croisement négatif indique un essoufflement du momentum haussier, en cohérence avec le repli de J-1.</w:t>
      </w:r>
    </w:p>
    <w:p>
      <w:pPr>
        <w:spacing w:after="120" w:line="276" w:lineRule="auto"/>
      </w:pPr>
      <w:r>
        <w:t>**RSI** : À 52,99, le RSI se situe en zone parfaitement neutre (ni suracheté &gt;70, ni survendu &lt;30), sans pression acheteuse ou vendeuse dominante. La décision neutre reflète l'absence de signal exploitable à court terme.</w:t>
      </w:r>
    </w:p>
    <w:p>
      <w:pPr>
        <w:spacing w:after="120" w:line="276" w:lineRule="auto"/>
      </w:pPr>
      <w:r>
        <w:t>**Stochastique** : Le %K (32,43) est nettement inférieur au %D (46,85), avec un croisement baissier en zone basse, signalant une pression vendeuse persistante mais sans survente extrême. La décision neutre traduit l'attente d'un retournement ou d'une confirmation.</w:t>
      </w:r>
    </w:p>
    <w:p>
      <w:pPr>
        <w:spacing w:after="120" w:line="276" w:lineRule="auto"/>
      </w:pPr>
      <w:r>
        <w:t>**Conclusion technique** : Les indicateurs sont divergents — les moyennes mobiles restent haussières tandis que le MACD et le stochastique virent au baissier, le RSI et les Bollinger restant neutres. Cette configuration suggère une phase de consolidation après le rallye, avec un risque de correction à court terme mais une tendance de fond encore positive. La prudence est de mise avant tout nouvel engagement.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 affiche un chiffre d'affaires de 5,139 milliards FCFA, un résultat net de 2,037 milliards FCFA, un ROE exceptionnel de 35,39% et un ROA de 27,25%, des niveaux remarquables qui traduisent une rentabilité des fonds propres et des actifs très supérieure aux standards du marché. La marge nette ressort à 39,63%, la marge opérationnelle à 23,60% et la marge brute à 24,45%, confirmant une structure de coûts maîtrisée. Toutefois, le taux de croissance du CA est négatif (-23,80%), signalant un recul de l'activité commerciale qui contraste avec la performance bénéficiaire. Sur le plan bilanciel, l'autonomie financière est excellente (77,01%), la solvabilité générale très solide (435,02%) et la liquidité générale confortable (448,86%), tandis que la trésorerie nette de 4,196 milliards FCFA et le fonds de roulement de 5,693 milliards FCFA témoignent d'une santé financière robuste. Le BFR de 1,498 milliard FCFA et le délai client élevé de 154,72 jours constituent néanmoins un point de vigilance sur la trésorerie d'exploitation, même si le délai fournisseur (69,56 jours) et la durée de stockage (54,49 jours) restent maîtrisés.</w:t>
      </w:r>
    </w:p>
    <w:p>
      <w:pPr>
        <w:spacing w:after="120" w:line="276" w:lineRule="auto"/>
      </w:pPr>
      <w:r>
        <w:t>**Estimations basées sur les rapports trimestriels** : Le rapport du T3 2025 (30/09/2025) indique un CA de 3 406 millions FCFA en baisse de 35% sur un an, mais un résultat net exceptionnel de 1 596 millions FCFA (+125%) dû à la reprise d'une provision pour redressement fiscal — un élément non récurrent qui gonfle artificiellement la performance. Le rapport du T1 2026 (publié en 2026) fait état d'un CA de 115,1 millions FCFA en hausse de 137% sur un an, avec une perte nette réduite à -168,9 millions FCFA contre -189,9 millions un an plus tôt, et un résultat financier positif de 41,7 millions FCFA (+43%) : la dynamique de redressement est enclenchée mais la rentabilité opérationnelle reste négative (-271,5 millions FCFA). On estime donc que l'exercice 2026 devrait confirmer la reprise commerciale, sans encore retrouver le niveau de rentabilité de 2025 qui reposait largement sur des éléments exceptionnels.</w:t>
      </w:r>
    </w:p>
    <w:p>
      <w:pPr>
        <w:spacing w:after="120" w:line="276" w:lineRule="auto"/>
      </w:pPr>
      <w:r>
        <w:t>**Évolution pluriannuelle** : Les rapports antérieurs montrent une forte volatilité des résultats — perte nette de 759 millions FCFA en 2024, bénéfice de 2,04 milliards en 2025 (dividende de 2,04 milliards, soit 100% du résultat net), et retour à une perte au T1 2026. Cette cyclicité, couplée à la dépendance aux marchés publics (UNICEF, manuels scolaires) et à la saisonnalité marquée (T3 = pic d'activité), rend la visibilité limitée. La recommandation fondamentale est donc **CONSERVER avec vigilance** : la solidité bilancielle et la trésorerie plaident pour la qualité du titre, mais la durabilité de la performance bénéficiaire reste incertaine.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PER de 17,2x supérieur à la moyenne BRVM, P/B de 6,10x et EV/EBITDA de 26,0x traduisent une prime significative qui suppose une confirmation durable des bénéfices — or cette prime est fragilisée par la nature non récurrente du résultat 2025. Le comportement du cours (Partie 1) est haussier (+99,28% sur 100 jours) mais la volatilité annualisée de 57,2% et le repli de J-1 (-3,34%) signalent une possible consolidation, la distribution étant symétrique (skewness 0,419) et sans risque extrême de pics (kurtosis 0,298). Les signaux techniques (Partie 2) sont divergents : les moyennes mobiles restent haussières (MM20 &gt; MM50 &gt; cours), mais le MACD vire à la vente et le stochastique est baissier, le RSI et les Bollinger restant neutres — configuration de consolidation. Les fondamentaux (Partie 3) sont contrastés : ROE de 35,39% et ROA de 27,25% en 2025, trésorerie nette de 4,196 milliards FCFA et autonomie financière de 77,01% constituent des atouts majeurs, mais la baisse du CA (-23,80% en 2025) et la perte opérationnelle persistante au T1 2026 (-271,5 millions FCFA) pèsent sur la durabilité. Les prédictions IA (J+1 à J+10) anticipent une trajectoire baissière de 2 705 à 2 562 FCFA, confirmant la pression vendeuse à court terme et contredisant la dynamique haussière des moyennes mobiles.</w:t>
      </w:r>
    </w:p>
    <w:p>
      <w:pPr>
        <w:spacing w:after="120" w:line="276" w:lineRule="auto"/>
      </w:pPr>
      <w:r>
        <w:t>**Recommandation finale : CONSERVER** — La convergence entre valorisation exigeante, signaux techniques mitigés (MACD baissier), fondamentaux solides mais dépendants d'éléments non récurrents et prédictions IA baissières plaide pour une attitude prudente. Le niveau de confiance est **Moyen** (données fondamentales solides mais visibilité limitée sur la récurrence des bénéfices) et le risque global est **Élevé** (volatilité de 57,2%, cyclicité sectorielle, dépendance aux marchés publics). L'horizon d'investissement optimal est le **moyen terme (3-12 mois)**, le temps de vérifier la confirmation du redressement commercial au T2/T3 2026 avant d'envisager un renforcement de position ; un investisseur déjà exposé peut conserver le titre en surveillant le seuil de 2 400 FCFA (MM50) comme support critique.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2,513 titres</w:t>
            </w:r>
          </w:p>
        </w:tc>
        <w:tc>
          <w:tcPr>
            <w:tcW w:type="dxa" w:w="2268"/>
            <w:shd w:fill="FFF2CC" w:val="clear"/>
          </w:tcPr>
          <w:p>
            <w:r>
              <w:rPr>
                <w:b/>
                <w:color w:val="503200"/>
                <w:sz w:val="16"/>
              </w:rPr>
              <w:t xml:space="preserve">Cours actuel : </w:t>
            </w:r>
            <w:r>
              <w:rPr>
                <w:color w:val="000000"/>
                <w:sz w:val="17"/>
              </w:rPr>
              <w:t>24,500 FCFA</w:t>
            </w:r>
          </w:p>
          <w:p>
            <w:r>
              <w:rPr>
                <w:b/>
                <w:color w:val="503200"/>
                <w:sz w:val="16"/>
              </w:rPr>
              <w:t xml:space="preserve">Var. 100 jours : </w:t>
            </w:r>
            <w:r>
              <w:rPr>
                <w:b/>
                <w:color w:val="007800"/>
                <w:sz w:val="17"/>
              </w:rPr>
              <w:t>+73.70%</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33.1/100 → Moyen</w:t>
      </w:r>
    </w:p>
    <w:p>
      <w:pPr>
        <w:spacing w:before="40" w:after="80"/>
      </w:pPr>
      <w:r>
        <w:rPr>
          <w:rFonts w:ascii="Courier New" w:hAnsi="Courier New"/>
          <w:color w:val="825A00"/>
          <w:sz w:val="18"/>
        </w:rPr>
        <w:t>██████░░░░░░░░░░░░░░  33.1/100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17.01% (Élevée) — μ=20,115 FCFA, σ=3,421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β=1.3471 (Agressif) — Cov=0.000047, Var(idx)=0.000035, ρ=0.316,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598627"/>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23,694</w:t>
            </w:r>
          </w:p>
        </w:tc>
        <w:tc>
          <w:tcPr>
            <w:tcW w:type="dxa" w:w="1440"/>
            <w:shd w:fill="FAFAFA" w:val="clear"/>
          </w:tcPr>
          <w:p>
            <w:r>
              <w:rPr>
                <w:b/>
                <w:sz w:val="17"/>
              </w:rPr>
              <w:t>24,396</w:t>
            </w:r>
          </w:p>
        </w:tc>
        <w:tc>
          <w:tcPr>
            <w:tcW w:type="dxa" w:w="1440"/>
            <w:shd w:fill="FAFAFA" w:val="clear"/>
          </w:tcPr>
          <w:p>
            <w:r>
              <w:rPr>
                <w:sz w:val="17"/>
              </w:rPr>
              <w:t>25,098</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23,380</w:t>
            </w:r>
          </w:p>
        </w:tc>
        <w:tc>
          <w:tcPr>
            <w:tcW w:type="dxa" w:w="1440"/>
            <w:shd w:fill="FAFAFA" w:val="clear"/>
          </w:tcPr>
          <w:p>
            <w:r>
              <w:rPr>
                <w:b/>
                <w:sz w:val="17"/>
              </w:rPr>
              <w:t>24,372</w:t>
            </w:r>
          </w:p>
        </w:tc>
        <w:tc>
          <w:tcPr>
            <w:tcW w:type="dxa" w:w="1440"/>
            <w:shd w:fill="FAFAFA" w:val="clear"/>
          </w:tcPr>
          <w:p>
            <w:r>
              <w:rPr>
                <w:sz w:val="17"/>
              </w:rPr>
              <w:t>25,364</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2026-09-18</w:t>
            </w:r>
          </w:p>
        </w:tc>
        <w:tc>
          <w:tcPr>
            <w:tcW w:type="dxa" w:w="1440"/>
            <w:shd w:fill="FAFAFA" w:val="clear"/>
          </w:tcPr>
          <w:p>
            <w:r>
              <w:rPr>
                <w:sz w:val="17"/>
              </w:rPr>
              <w:t>23,138</w:t>
            </w:r>
          </w:p>
        </w:tc>
        <w:tc>
          <w:tcPr>
            <w:tcW w:type="dxa" w:w="1440"/>
            <w:shd w:fill="FAFAFA" w:val="clear"/>
          </w:tcPr>
          <w:p>
            <w:r>
              <w:rPr>
                <w:b/>
                <w:sz w:val="17"/>
              </w:rPr>
              <w:t>24,352</w:t>
            </w:r>
          </w:p>
        </w:tc>
        <w:tc>
          <w:tcPr>
            <w:tcW w:type="dxa" w:w="1440"/>
            <w:shd w:fill="FAFAFA" w:val="clear"/>
          </w:tcPr>
          <w:p>
            <w:r>
              <w:rPr>
                <w:sz w:val="17"/>
              </w:rPr>
              <w:t>25,565</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22,939</w:t>
            </w:r>
          </w:p>
        </w:tc>
        <w:tc>
          <w:tcPr>
            <w:tcW w:type="dxa" w:w="1440"/>
            <w:shd w:fill="FAFAFA" w:val="clear"/>
          </w:tcPr>
          <w:p>
            <w:r>
              <w:rPr>
                <w:b/>
                <w:sz w:val="17"/>
              </w:rPr>
              <w:t>24,339</w:t>
            </w:r>
          </w:p>
        </w:tc>
        <w:tc>
          <w:tcPr>
            <w:tcW w:type="dxa" w:w="1440"/>
            <w:shd w:fill="FAFAFA" w:val="clear"/>
          </w:tcPr>
          <w:p>
            <w:r>
              <w:rPr>
                <w:sz w:val="17"/>
              </w:rPr>
              <w:t>25,740</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22,764</w:t>
            </w:r>
          </w:p>
        </w:tc>
        <w:tc>
          <w:tcPr>
            <w:tcW w:type="dxa" w:w="1440"/>
            <w:shd w:fill="FAFAFA" w:val="clear"/>
          </w:tcPr>
          <w:p>
            <w:r>
              <w:rPr>
                <w:b/>
                <w:sz w:val="17"/>
              </w:rPr>
              <w:t>24,329</w:t>
            </w:r>
          </w:p>
        </w:tc>
        <w:tc>
          <w:tcPr>
            <w:tcW w:type="dxa" w:w="1440"/>
            <w:shd w:fill="FAFAFA" w:val="clear"/>
          </w:tcPr>
          <w:p>
            <w:r>
              <w:rPr>
                <w:sz w:val="17"/>
              </w:rPr>
              <w:t>25,895</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22,606</w:t>
            </w:r>
          </w:p>
        </w:tc>
        <w:tc>
          <w:tcPr>
            <w:tcW w:type="dxa" w:w="1440"/>
            <w:shd w:fill="FAFAFA" w:val="clear"/>
          </w:tcPr>
          <w:p>
            <w:r>
              <w:rPr>
                <w:b/>
                <w:sz w:val="17"/>
              </w:rPr>
              <w:t>24,321</w:t>
            </w:r>
          </w:p>
        </w:tc>
        <w:tc>
          <w:tcPr>
            <w:tcW w:type="dxa" w:w="1440"/>
            <w:shd w:fill="FAFAFA" w:val="clear"/>
          </w:tcPr>
          <w:p>
            <w:r>
              <w:rPr>
                <w:sz w:val="17"/>
              </w:rPr>
              <w:t>26,035</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22,462</w:t>
            </w:r>
          </w:p>
        </w:tc>
        <w:tc>
          <w:tcPr>
            <w:tcW w:type="dxa" w:w="1440"/>
            <w:shd w:fill="FAFAFA" w:val="clear"/>
          </w:tcPr>
          <w:p>
            <w:r>
              <w:rPr>
                <w:b/>
                <w:sz w:val="17"/>
              </w:rPr>
              <w:t>24,313</w:t>
            </w:r>
          </w:p>
        </w:tc>
        <w:tc>
          <w:tcPr>
            <w:tcW w:type="dxa" w:w="1440"/>
            <w:shd w:fill="FAFAFA" w:val="clear"/>
          </w:tcPr>
          <w:p>
            <w:r>
              <w:rPr>
                <w:sz w:val="17"/>
              </w:rPr>
              <w:t>26,164</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22,328</w:t>
            </w:r>
          </w:p>
        </w:tc>
        <w:tc>
          <w:tcPr>
            <w:tcW w:type="dxa" w:w="1440"/>
            <w:shd w:fill="FAFAFA" w:val="clear"/>
          </w:tcPr>
          <w:p>
            <w:r>
              <w:rPr>
                <w:b/>
                <w:sz w:val="17"/>
              </w:rPr>
              <w:t>24,306</w:t>
            </w:r>
          </w:p>
        </w:tc>
        <w:tc>
          <w:tcPr>
            <w:tcW w:type="dxa" w:w="1440"/>
            <w:shd w:fill="FAFAFA" w:val="clear"/>
          </w:tcPr>
          <w:p>
            <w:r>
              <w:rPr>
                <w:sz w:val="17"/>
              </w:rPr>
              <w:t>26,285</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22,202</w:t>
            </w:r>
          </w:p>
        </w:tc>
        <w:tc>
          <w:tcPr>
            <w:tcW w:type="dxa" w:w="1440"/>
            <w:shd w:fill="FAFAFA" w:val="clear"/>
          </w:tcPr>
          <w:p>
            <w:r>
              <w:rPr>
                <w:b/>
                <w:sz w:val="17"/>
              </w:rPr>
              <w:t>24,300</w:t>
            </w:r>
          </w:p>
        </w:tc>
        <w:tc>
          <w:tcPr>
            <w:tcW w:type="dxa" w:w="1440"/>
            <w:shd w:fill="FAFAFA" w:val="clear"/>
          </w:tcPr>
          <w:p>
            <w:r>
              <w:rPr>
                <w:sz w:val="17"/>
              </w:rPr>
              <w:t>26,398</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22,083</w:t>
            </w:r>
          </w:p>
        </w:tc>
        <w:tc>
          <w:tcPr>
            <w:tcW w:type="dxa" w:w="1440"/>
            <w:shd w:fill="FAFAFA" w:val="clear"/>
          </w:tcPr>
          <w:p>
            <w:r>
              <w:rPr>
                <w:b/>
                <w:sz w:val="17"/>
              </w:rPr>
              <w:t>24,294</w:t>
            </w:r>
          </w:p>
        </w:tc>
        <w:tc>
          <w:tcPr>
            <w:tcW w:type="dxa" w:w="1440"/>
            <w:shd w:fill="FAFAFA" w:val="clear"/>
          </w:tcPr>
          <w:p>
            <w:r>
              <w:rPr>
                <w:sz w:val="17"/>
              </w:rPr>
              <w:t>26,505</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606,00 milliards FCFA, NSBC s'impose comme l'une des plus importantes capitalisations du compartiment bancaire de la BRVM, témoignant de sa stature de leader sectoriel en Côte d'Ivoire. Le BPA de 1 646 FCFA/action signifie que chaque titre génère près de 1 646 FCFA de bénéfice net, ce qui, rapporté au cours actuel de 24 500 FCFA, donne un PER de 14,9x — un niveau modéré mais supérieur à la moyenne du marché BRVM (8-12x), traduisant une prime de qualité consentie par les investisseurs pour cette valeur de croissance. Le P/B de 2,60x indique que le marché valorise NSBC à 2,6 fois sa valeur comptable, une prime de croissance justifiée par un ROE de 17,45% nettement supérieur au coût des fonds propres. En revanche, l'EV/EBITDA de 22,2x apparaît très exigeant (&gt;15x), signalant que la valeur d'entreprise intègre déjà une bonne partie des anticipations de croissance future ; cette cherté relative invite à la prudence sur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+73,70%, avec une dernière séance en hausse de +1,24%, portant le cours à 24 500 FCFA. Le range de trading est particulièrement large, oscillant entre un plus bas de 13 810 FCFA et un plus haut de 24 885 FCFA — le cours actuel évolue donc tout près de son sommet, signe d'une dynamique haussière puissante et d'un momentum acheteur intact. La moyenne du cours sur la période s'établit à 20 115 FCFA, très proche de la médiane (20 192 FCFA), ce qui suggère une distribution globalement équilibrée malgré le skewness négatif de -0,602 indiquant davantage de journées de cotation au-dessus de la moyenne (poussée haussière concentrée). L'écart-type de 3 438 FCFA avec un coefficient de variation de 17,1% traduit une dispersion modérée du cours autour de sa moyenne, tandis que le kurtosis de -0,846 (mésokurtique) indique une distribution proche de la normale, sans risque excessif de pics extrêmes. La volatilité annualisée de 39,7% classe ce titre dans la catégorie à volatilité élevée (&gt;30%), ce qui est cohérent avec la forte appréciation récente et implique un risque de correction potentiellement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(23 427,25 FCFA) et la MM50 (23 004,60 FCFA) se situent toutes deux sous le cours actuel (24 500 FCFA), avec la MM20 au-dessus de la MM50 — configuration haussière classique en « golden cross ». Cette disposition confirme la tendance positive et justifie la décision d'achat, le cours évoluant au-dessus de ses supports mobiles.</w:t>
      </w:r>
    </w:p>
    <w:p>
      <w:pPr>
        <w:spacing w:after="120" w:line="276" w:lineRule="auto"/>
      </w:pPr>
      <w:r>
        <w:t>**Bandes de Bollinger** : Le cours (24 500 FCFA) évolue dans la partie haute du canal, proche de la borne supérieure (24 991,56 FCFA) et nettement au-dessus de la borne inférieure (21 862,94 FCFA). Cette position reflète une pression acheteuse soutenue mais approche la zone de surachat technique, d'où la décision neutre — le titre reste dans le canal sans signal de retournement immédiat.</w:t>
      </w:r>
    </w:p>
    <w:p>
      <w:pPr>
        <w:spacing w:after="120" w:line="276" w:lineRule="auto"/>
      </w:pPr>
      <w:r>
        <w:t>**MACD** : La ligne MACD (445,35) surpasse son signal (353,32), générant un histogramme positif qui confirme un momentum haussier en cours. Cette divergence positive soutient la décision d'achat, bien que l'écart relativement modéré suggère un essoufflement possible de la dynamique.</w:t>
      </w:r>
    </w:p>
    <w:p>
      <w:pPr>
        <w:spacing w:after="120" w:line="276" w:lineRule="auto"/>
      </w:pPr>
      <w:r>
        <w:t>**RSI** : À 70,18, le RSI franchit tout juste le seuil de surachat (&gt;70), déclenchant une décision de vente technique. Cette lecture signale que le titre pourrait être sur-étendu à court terme et qu'une consolidation ou correction est envisageable après la forte hausse.</w:t>
      </w:r>
    </w:p>
    <w:p>
      <w:pPr>
        <w:spacing w:after="120" w:line="276" w:lineRule="auto"/>
      </w:pPr>
      <w:r>
        <w:t>**Stochastique** : Le %K (83,86) et le %D (78,27) évoluent tous deux en zone de surachat (&gt;80), avec un %K supérieur au %D indiquant une pression haussière encore présente mais proche de l'épuisement. La décision de vente reflète ce risque de retournement imminent.</w:t>
      </w:r>
    </w:p>
    <w:p>
      <w:pPr>
        <w:spacing w:after="120" w:line="276" w:lineRule="auto"/>
      </w:pPr>
      <w:r>
        <w:t>**Conclusion technique** : Les indicateurs présentent une divergence notable — les moyennes mobiles et le MACD confirment la tendance haussière de fond, tandis que le RSI et le stochastique signalent un surachat à court terme. Cette configuration suggère que la tendance reste positive mais qu'une pause ou consolidation est probable avant toute nouvelle progression, invitant à la prudence sur les points d'entrée.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Côte d'Ivoire affiche des fondamentaux solides : le Produit Net Bancaire (équivalent du chiffre d'affaires pour une banque) s'établit à 112,928 milliards FCFA, en croissance de +15,45% sur un an, tandis que le résultat net atteint 40,712 milliards FCFA, soit une marge nette élevée de 36,05%. Le ROE de 17,45% (&gt;15% = excellent) et le ROA de 1,32% confirment la rentabilité robuste de l'établissement, et le coefficient d'exploitation de 54,59% (&lt;60%) atteste d'une bonne efficacité opérationnelle. Le bilan est massif (3 073,06 milliards FCFA) avec des dépôts clientèle de 2 242,22 milliards FCFA face à des créances clientèle de 1 818,67 milliards FCFA, soit un ratio de transformation sain de 81,1%. Cependant, le coût du risque rapporté aux charges financières s'élève à 7,54%, signalant un risque de crédit non négligeable, et l'autonomie financière de 7,59% reste faible (norme bancaire). Les rapports narratifs confirment cette dynamique : le rapport du T1 2026 (publié en 2026) fait état d'un résultat net de 10,912 milliards FCFA en hausse de +53% et d'un PNB de 28,615 milliards FCFA (+28%), porté par l'activité titres ; le rapport annuel 2025 (daté du 31/12/2025) souligne un RBE de 51,281 milliards FCFA (+30%) mais un coût du risque passé de +0,6 à -8,5 milliards FCFA, pesant sur la rentabilité nette. Sur la base du T1 2026 (+53% de résultat net), on peut estimer que l'exercice 2026 devrait afficher une nouvelle accélération de la rentabilité, sous réserve de la maîtrise du coût du risque et de la dépendance aux revenus titres. La recommandation fondamentale est de **CONSERVER** : la solidité financière, la croissance et la stratégie de digitalisation sont attractives, mais la valorisation exigeante et les risques de crédit invitent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mitigé : le PER de 14,9x et le P/B de 2,60x intègrent une prime de croissance justifiée par le ROE de 17,45%, mais l'EV/EBITDA de 22,2x suggère une surévaluation relative qui limite le potentiel d'appréciation à court terme. Le comportement du cours (Partie 1) est nettement haussier (+73,70% sur 100 jours) avec une volatilité élevée (39,7%) et un skewness négatif indiquant une concentration des gains récents, ce qui est favorable mais expose à un risque de correction. Les signaux techniques (Partie 2) sont divergents : les moyennes mobiles et le MACD confirment la tendance haussière, tandis que le RSI (70,18) et le stochastique (83,86) signalent un surachat imminent, plaidant pour une consolidation. Les fondamentaux (Partie 3) sont solides — PNB de 112,9 milliards FCFA en 2025, résultat net de 40,7 milliards FCFA, ROE de 17,45% — et le T1 2026 (+53% de résultat net) laisse présager une accélération en 2026, bien que le coût du risque reste un point de vigilance. Les prédictions IA (J+1 à J+10) anticipent une légère correction vers 24 329-24 396 FCFA, confirmant la thèse d'une pause technique après la forte hausse. Sur la base de cette synthèse, la recommandation finale est **CONSERVER** : la convergence entre fondamentaux solides et tendance haussière de fond est contrebalancée par une valorisation exigeante et des signaux techniques de surachat à court terme. Le niveau de confiance est **Moyen** (divergence technique/fondamental) et le risque global est **Élevé** (volatilité de 39,7% et dépendance aux revenus titres). L'horizon d'investissement optimal est le **moyen terme (3-12 mois)**, en attendant une consolidation pour renforcer la position à de meilleurs niveaux.</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364.16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1,139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+36.36%</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13.08% (Moyenne) — μ=15,024 FCFA, σ=1,965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β=0.0070 (Défensif) — Cov=0.000000, Var(idx)=0.000035, ρ=0.002,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16,083</w:t>
            </w:r>
          </w:p>
        </w:tc>
        <w:tc>
          <w:tcPr>
            <w:tcW w:type="dxa" w:w="1440"/>
            <w:shd w:fill="FAFAFA" w:val="clear"/>
          </w:tcPr>
          <w:p>
            <w:r>
              <w:rPr>
                <w:b/>
                <w:sz w:val="17"/>
              </w:rPr>
              <w:t>16,794</w:t>
            </w:r>
          </w:p>
        </w:tc>
        <w:tc>
          <w:tcPr>
            <w:tcW w:type="dxa" w:w="1440"/>
            <w:shd w:fill="FAFAFA" w:val="clear"/>
          </w:tcPr>
          <w:p>
            <w:r>
              <w:rPr>
                <w:sz w:val="17"/>
              </w:rPr>
              <w:t>17,506</w:t>
            </w:r>
          </w:p>
        </w:tc>
        <w:tc>
          <w:tcPr>
            <w:tcW w:type="dxa" w:w="1440"/>
            <w:shd w:fill="FAFAFA" w:val="clear"/>
          </w:tcPr>
          <w:p>
            <w:r>
              <w:rPr>
                <w:b/>
                <w:color w:val="008000"/>
                <w:sz w:val="17"/>
              </w:rPr>
              <w:t>+1.8%</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15,761</w:t>
            </w:r>
          </w:p>
        </w:tc>
        <w:tc>
          <w:tcPr>
            <w:tcW w:type="dxa" w:w="1440"/>
            <w:shd w:fill="FAFAFA" w:val="clear"/>
          </w:tcPr>
          <w:p>
            <w:r>
              <w:rPr>
                <w:b/>
                <w:sz w:val="17"/>
              </w:rPr>
              <w:t>16,766</w:t>
            </w:r>
          </w:p>
        </w:tc>
        <w:tc>
          <w:tcPr>
            <w:tcW w:type="dxa" w:w="1440"/>
            <w:shd w:fill="FAFAFA" w:val="clear"/>
          </w:tcPr>
          <w:p>
            <w:r>
              <w:rPr>
                <w:sz w:val="17"/>
              </w:rPr>
              <w:t>17,770</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15,528</w:t>
            </w:r>
          </w:p>
        </w:tc>
        <w:tc>
          <w:tcPr>
            <w:tcW w:type="dxa" w:w="1440"/>
            <w:shd w:fill="FAFAFA" w:val="clear"/>
          </w:tcPr>
          <w:p>
            <w:r>
              <w:rPr>
                <w:b/>
                <w:sz w:val="17"/>
              </w:rPr>
              <w:t>16,758</w:t>
            </w:r>
          </w:p>
        </w:tc>
        <w:tc>
          <w:tcPr>
            <w:tcW w:type="dxa" w:w="1440"/>
            <w:shd w:fill="FAFAFA" w:val="clear"/>
          </w:tcPr>
          <w:p>
            <w:r>
              <w:rPr>
                <w:sz w:val="17"/>
              </w:rPr>
              <w:t>17,987</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15,336</w:t>
            </w:r>
          </w:p>
        </w:tc>
        <w:tc>
          <w:tcPr>
            <w:tcW w:type="dxa" w:w="1440"/>
            <w:shd w:fill="FAFAFA" w:val="clear"/>
          </w:tcPr>
          <w:p>
            <w:r>
              <w:rPr>
                <w:b/>
                <w:sz w:val="17"/>
              </w:rPr>
              <w:t>16,755</w:t>
            </w:r>
          </w:p>
        </w:tc>
        <w:tc>
          <w:tcPr>
            <w:tcW w:type="dxa" w:w="1440"/>
            <w:shd w:fill="FAFAFA" w:val="clear"/>
          </w:tcPr>
          <w:p>
            <w:r>
              <w:rPr>
                <w:sz w:val="17"/>
              </w:rPr>
              <w:t>18,175</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15,166</w:t>
            </w:r>
          </w:p>
        </w:tc>
        <w:tc>
          <w:tcPr>
            <w:tcW w:type="dxa" w:w="1440"/>
            <w:shd w:fill="FAFAFA" w:val="clear"/>
          </w:tcPr>
          <w:p>
            <w:r>
              <w:rPr>
                <w:b/>
                <w:sz w:val="17"/>
              </w:rPr>
              <w:t>16,753</w:t>
            </w:r>
          </w:p>
        </w:tc>
        <w:tc>
          <w:tcPr>
            <w:tcW w:type="dxa" w:w="1440"/>
            <w:shd w:fill="FAFAFA" w:val="clear"/>
          </w:tcPr>
          <w:p>
            <w:r>
              <w:rPr>
                <w:sz w:val="17"/>
              </w:rPr>
              <w:t>18,340</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15,013</w:t>
            </w:r>
          </w:p>
        </w:tc>
        <w:tc>
          <w:tcPr>
            <w:tcW w:type="dxa" w:w="1440"/>
            <w:shd w:fill="FAFAFA" w:val="clear"/>
          </w:tcPr>
          <w:p>
            <w:r>
              <w:rPr>
                <w:b/>
                <w:sz w:val="17"/>
              </w:rPr>
              <w:t>16,751</w:t>
            </w:r>
          </w:p>
        </w:tc>
        <w:tc>
          <w:tcPr>
            <w:tcW w:type="dxa" w:w="1440"/>
            <w:shd w:fill="FAFAFA" w:val="clear"/>
          </w:tcPr>
          <w:p>
            <w:r>
              <w:rPr>
                <w:sz w:val="17"/>
              </w:rPr>
              <w:t>18,489</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14,871</w:t>
            </w:r>
          </w:p>
        </w:tc>
        <w:tc>
          <w:tcPr>
            <w:tcW w:type="dxa" w:w="1440"/>
            <w:shd w:fill="FAFAFA" w:val="clear"/>
          </w:tcPr>
          <w:p>
            <w:r>
              <w:rPr>
                <w:b/>
                <w:sz w:val="17"/>
              </w:rPr>
              <w:t>16,748</w:t>
            </w:r>
          </w:p>
        </w:tc>
        <w:tc>
          <w:tcPr>
            <w:tcW w:type="dxa" w:w="1440"/>
            <w:shd w:fill="FAFAFA" w:val="clear"/>
          </w:tcPr>
          <w:p>
            <w:r>
              <w:rPr>
                <w:sz w:val="17"/>
              </w:rPr>
              <w:t>18,626</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14,739</w:t>
            </w:r>
          </w:p>
        </w:tc>
        <w:tc>
          <w:tcPr>
            <w:tcW w:type="dxa" w:w="1440"/>
            <w:shd w:fill="FAFAFA" w:val="clear"/>
          </w:tcPr>
          <w:p>
            <w:r>
              <w:rPr>
                <w:b/>
                <w:sz w:val="17"/>
              </w:rPr>
              <w:t>16,746</w:t>
            </w:r>
          </w:p>
        </w:tc>
        <w:tc>
          <w:tcPr>
            <w:tcW w:type="dxa" w:w="1440"/>
            <w:shd w:fill="FAFAFA" w:val="clear"/>
          </w:tcPr>
          <w:p>
            <w:r>
              <w:rPr>
                <w:sz w:val="17"/>
              </w:rPr>
              <w:t>18,752</w:t>
            </w:r>
          </w:p>
        </w:tc>
        <w:tc>
          <w:tcPr>
            <w:tcW w:type="dxa" w:w="1440"/>
            <w:shd w:fill="FAFAFA" w:val="clear"/>
          </w:tcPr>
          <w:p>
            <w:r>
              <w:rPr>
                <w:b/>
                <w:color w:val="008000"/>
                <w:sz w:val="17"/>
              </w:rPr>
              <w:t>+1.5%</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14,615</w:t>
            </w:r>
          </w:p>
        </w:tc>
        <w:tc>
          <w:tcPr>
            <w:tcW w:type="dxa" w:w="1440"/>
            <w:shd w:fill="FAFAFA" w:val="clear"/>
          </w:tcPr>
          <w:p>
            <w:r>
              <w:rPr>
                <w:b/>
                <w:sz w:val="17"/>
              </w:rPr>
              <w:t>16,743</w:t>
            </w:r>
          </w:p>
        </w:tc>
        <w:tc>
          <w:tcPr>
            <w:tcW w:type="dxa" w:w="1440"/>
            <w:shd w:fill="FAFAFA" w:val="clear"/>
          </w:tcPr>
          <w:p>
            <w:r>
              <w:rPr>
                <w:sz w:val="17"/>
              </w:rPr>
              <w:t>18,871</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14,498</w:t>
            </w:r>
          </w:p>
        </w:tc>
        <w:tc>
          <w:tcPr>
            <w:tcW w:type="dxa" w:w="1440"/>
            <w:shd w:fill="FAFAFA" w:val="clear"/>
          </w:tcPr>
          <w:p>
            <w:r>
              <w:rPr>
                <w:b/>
                <w:sz w:val="17"/>
              </w:rPr>
              <w:t>16,740</w:t>
            </w:r>
          </w:p>
        </w:tc>
        <w:tc>
          <w:tcPr>
            <w:tcW w:type="dxa" w:w="1440"/>
            <w:shd w:fill="FAFAFA" w:val="clear"/>
          </w:tcPr>
          <w:p>
            <w:r>
              <w:rPr>
                <w:sz w:val="17"/>
              </w:rPr>
              <w:t>18,982</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364,16 milliards FCFA, Nestlé Côte d'Ivoire s'impose comme l'une des valeurs les plus capitalistiques de la cote BRVM, ce qui en fait un pilier de l'indice composite. Le BPA de 835 FCFA par action signifie que chaque titre génère près de 835 FCFA de bénéfice net, un niveau de rentabilité unitaire élevé. Le PER de 19,8x traduit une valorisation nettement supérieure à la moyenne du marché BRVM (8-12x), les investisseurs acceptant de payer une prime significative pour la qualité de la signature et la régularité des résultats. Le P/B de 12,31x, très au-dessus du seuil de 4x, confirme cette prime exigeante : le marché valorise l'entreprise à plus de douze fois ses fonds propres comptables, ce qui se justifie par un ROE exceptionnel mais laisse peu de marge d'erreur. Enfin, l'EV/EBITDA de 9,8x, dans la fourchette raisonnable de 5-10x, indique que la valeur totale de l'entreprise reste cohérente avec sa capacité opérationnelle de génération de cash.</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progression remarquable de +36,36%, portée par un cours actuel de 16 500 FCFA, malgré un repli de -2,37% lors de la dernière séance. Le range de trading s'étend de 11 150 FCFA (plus bas) à 18 000 FCFA (plus haut), soit une amplitude de près de 61%, témoignant d'une dynamique haussière puissante mais ponctuée de corrections. La moyenne de 15 024 FCFA inférieure à la médiane de 15 958 FCFA révèle une asymétrie négative (skewness de -0,567), confirmée par le fait que davantage de journées se sont négociées au-dessus de la moyenne — le cours a donc tendance à se maintenir dans les hauts de la fourchette. L'écart-type de 1 975 FCFA (CV de 13,1%) indique une dispersion modérée autour de la moyenne, tandis que le kurtosis négatif (-1,204, distribution platykurtique) signale une faible concentration des rendements et un risque de pics moins prononcé qu'une distribution normale. La volatilité annualisée de 38,5% classe le titre dans la catégorie des valeurs à volatilité élevée (&gt;30%), ce qui est cohérent avec son statut de valeur de croissance à forte prime de valorisation.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16 841,25 FCFA et la MM50 à 16 639,50 FCFA, toutes deux supérieures au cours actuel de 16 500 FCFA. Cette configuration — cours sous ses moyennes — traduit une pression baissière de court terme, mais la décision affichée est « Achat », suggérant que le croisement des moyennes (MM20 &gt; MM50) reste haussier et que le repli actuel constitue une opportunité d'entrée dans la tendance de fond.</w:t>
      </w:r>
    </w:p>
    <w:p>
      <w:pPr>
        <w:spacing w:after="120" w:line="276" w:lineRule="auto"/>
      </w:pPr>
      <w:r>
        <w:t>**Bandes de Bollinger** : Le cours (16 500 FCFA) se situe dans la partie basse du canal, entre la borne inférieure (16 012,90 FCFA) et la borne supérieure (17 669,60 FCFA), sans en toucher les extrêmes. Cette position médiane-basse, combinée à une décision « Neutre », indique une absence de signal directionnel fort : la volatilité est contenue et le marché attend un catalyseur pour choisir sa direction.</w:t>
      </w:r>
    </w:p>
    <w:p>
      <w:pPr>
        <w:spacing w:after="120" w:line="276" w:lineRule="auto"/>
      </w:pPr>
      <w:r>
        <w:t>**MACD** : La valeur du MACD (50,471) est nettement inférieure à son signal (99,137), générant une décision « Vente ». Cette divergence négative signale un essoufflement du momentum haussier : la dynamique positive des mois précédents s'affaiblit, et un croisement baissier effectif invite à la prudence à court terme.</w:t>
      </w:r>
    </w:p>
    <w:p>
      <w:pPr>
        <w:spacing w:after="120" w:line="276" w:lineRule="auto"/>
      </w:pPr>
      <w:r>
        <w:t>**RSI** : À 46,89, le RSI se situe en zone neutre (30-70), ni suracheté ni survendu. Cette lecture confirme l'absence de tension extrême sur le titre et suggère que le marché digère sa forte hausse récente sans pression vendeuse excessive.</w:t>
      </w:r>
    </w:p>
    <w:p>
      <w:pPr>
        <w:spacing w:after="120" w:line="276" w:lineRule="auto"/>
      </w:pPr>
      <w:r>
        <w:t>**Stochastique** : Le %K (28,571) est inférieur au %D (41,27), avec une décision « Neutre ». Le %K proche de la zone de survente (20) indique que le cours évolue près de ses plus bas récents de court terme, mais l'absence de croisement haussier franc maintient l'incertitude.</w:t>
      </w:r>
    </w:p>
    <w:p>
      <w:pPr>
        <w:spacing w:after="120" w:line="276" w:lineRule="auto"/>
      </w:pPr>
      <w:r>
        <w:t>**Conclusion technique** : Les indicateurs sont majoritairement neutres à baissiers à court terme (MACD vendeur, cours sous les moyennes, stochastique faible), mais la structure de fond reste haussière (MM20 &gt; MM50, RSI neutre). Le titre traverse une phase de consolidation après sa forte progression de +36% sur 100 jours, et le signal « Achat » des moyennes mobiles suggère que cette respiration pourrait précéder une reprise. La prudence est toutefois de mise tant que le MACD n'aura pas inversé sa divergence.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Nestlé Côte d'Ivoire a réalisé un chiffre d'affaires de 233,261 milliards FCFA, en croissance de 5,97% sur un an, pour un résultat net de 18,427 milliards FCFA (+1,53%). Le ROE ressort à 62,28% — un niveau exceptionnel qui explique la prime de valorisation — et le ROA à 9,70%, confirmant l'efficacité dans l'utilisation des actifs. La marge nette de 7,90% reste robuste pour le secteur agroalimentaire, bien qu'en légère baisse par rapport aux 8,25% de 2024. La marge opérationnelle de 16,16% et l'EBE de 46,171 milliards FCFA témoignent d'une solide capacité bénéficiaire.</w:t>
      </w:r>
    </w:p>
    <w:p>
      <w:pPr>
        <w:spacing w:after="120" w:line="276" w:lineRule="auto"/>
      </w:pPr>
      <w:r>
        <w:t>**Analyse sectorielle (entreprise non bancaire)** : Le BFR s'établit à 22,625 milliards FCFA, positif, ce qui constitue un point de vigilance : l'entreprise finance son cycle d'exploitation, avec un délai client de 74,30 jours (élevé, signalant un risque de trésorerie) et une durée de stockage de 59,39 jours (immobilisation de capital notable). Le fonds de roulement est négatif (-24,206 milliards FCFA) et la trésorerie nette ressort à -46,831 milliards FCFA, reflétant une dépendance aux financements court terme. L'autonomie financière de 15,58% est faible (seuil sain : &gt;30%), et le ratio d'endettement de 135,85% (dettes totales/capitaux propres) est élevé, bien que la solvabilité générale (118,45%) reste supérieure à 1. La couverture des intérêts par le résultat d'exploitation (473,63%) demeure confortable.</w:t>
      </w:r>
    </w:p>
    <w:p>
      <w:pPr>
        <w:spacing w:after="120" w:line="276" w:lineRule="auto"/>
      </w:pPr>
      <w:r>
        <w:t>**Estimations basées sur les rapports trimestriels** : Le rapport du T1 2026 (arrêté au 31 mars 2026, analysé le 1er mai 2026) fait état d'un chiffre d'affaires de 70,822 milliards FCFA, en bond de +31% sur un an, et d'un résultat net de 7,526 milliards FCFA (+37%), avec une marge nette améliorée à 10,6%. Sur cette base, on peut estimer que l'exercice 2026 devrait afficher une accélération de la croissance, potentiellement au-delà de +15% sur l'année, avec une marge nette se maintenant autour de 9-10%. Le rapport annuel 2025 (analysé le 1er mai 2026) souligne toutefois une réduction du dividende (9,27 milliards FCFA contre 18,10 milliards en 2024, soit un payout ramené à 50,3%), traduisant une stratégie de réinvestissement et de renforcement des fonds propres — un signal positif pour la solidité future mais décevant pour les investisseurs en quête de rendement immédiat.</w:t>
      </w:r>
    </w:p>
    <w:p>
      <w:pPr>
        <w:spacing w:after="120" w:line="276" w:lineRule="auto"/>
      </w:pPr>
      <w:r>
        <w:t>**Évolution pluriannuelle** : De 2023 à 2025, le CA est passé de 203,62 à 233,26 milliards FCFA (+14,5% cumulés), tandis que le résultat net progressait de 16,56 à 18,43 milliards FCFA (+11,3%). Le rapport du T3 2025 (30 septembre 2025) avait toutefois alerté sur une contraction de -21,3% du résultat net sur 9 mois, avant un redressement au T4 et un rebond spectaculaire au T1 2026. Cette volatilité trimestrielle, liée à l'inflation des matières premières (café vert +60% au S1 2025) et à la hausse des charges financières (+25,8% en 2025), illustre la sensibilité de l'entreprise aux coûts des intrants.</w:t>
      </w:r>
    </w:p>
    <w:p>
      <w:pPr>
        <w:spacing w:after="120" w:line="276" w:lineRule="auto"/>
      </w:pPr>
      <w:r>
        <w:t>**Recommandation fondamentale** : La solidité du modèle Nestlé (marque leader, croissance du CA, ROE exceptionnel) est indéniable, mais les risques structurels — endettement élevé, BFR positif, dépendance aux matières premières, dividende en baisse — incitent à la prudence. La dynamique du T1 2026 est encourageante et pourrait justifier une revalorisation, mais la prime de valorisation actuelle (PER 19,8x) intègre déjà une bonne partie de ces perspectives.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NTLC (PER 19,8x, P/B 12,31x, EV/EBITDA 9,8x) traduit une prime exigeante qui reflète la qualité de la signature mais limite le potentiel de revalorisation à court terme. Le comportement du cours sur 100 jours (+36,36%) est impressionnant, mais la volatilité élevée (38,5%) et le kurtosis négatif signalent un risque de corrections brutales, comme en témoigne le repli de -2,37% en J-1. Les signaux techniques sont mitigés : si les moyennes mobiles restent haussières (MM20 &gt; MM50), le MACD vendeur et le cours sous ses moyennes traduisent une consolidation en cours, sans signal d'achat franc. Les fondamentaux sont solides (ROE 62,28%, CA 233,26 milliards FCFA en 2025), et le T1 2026 (+31% de CA, +37% de résultat net) confirme une accélération prometteuse, mais les risques de trésorerie (BFR positif, trésorerie nette négative) et la réduction du dividende pèsent sur l'attrait immédiat. Les prédictions IA (16 794 FCFA à J+1, puis stabilisation autour de 16 750 FCFA à J+10) suggèrent une légère reprise à court terme, en ligne avec le signal « Achat » des moyennes mobiles, mais sans emballement.</w:t>
      </w:r>
    </w:p>
    <w:p>
      <w:pPr>
        <w:spacing w:after="120" w:line="276" w:lineRule="auto"/>
      </w:pPr>
      <w:r>
        <w:t>**Recommandation finale : CONSERVER**</w:t>
        <w:br/>
        <w:t>La convergence entre une valorisation tendue, des signaux techniques neutres à baissiers à court terme et des fondamentaux solides mais exposés à des risques structurels justifie une position d'attente. Le titre offre un potentiel de revalorisation à moyen terme (porté par la dynamique du T1 2026), mais la prime de valorisation et l'absence de dividende attractif limitent l'intérêt d'un renforcement immédiat. **Niveau de confiance : Moyen** — les perspectives fondamentales sont positives, mais l'incertitude technique et la cherté relative du titre invitent à la prudence. **Niveau de risque : Moyen à Élevé** — volatilité importante, endettement significatif et dépendance aux matières premières. **Horizon d'investissement optimal : Moyen terme (3-12 mois)**, le temps que la consolidation technique s'achève et que les résultats du T2 2026 confirment la tendance haussière amorcée au T1.</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195.16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5,149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+5.90%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2.99% (Faible) — μ=2,829 FCFA, σ=84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β=0.3813 (Défensif) — Cov=0.000013, Var(idx)=0.000035, ρ=0.117,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σ_j=1.91%/j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2,787</w:t>
            </w:r>
          </w:p>
        </w:tc>
        <w:tc>
          <w:tcPr>
            <w:tcW w:type="dxa" w:w="1440"/>
            <w:shd w:fill="FAFAFA" w:val="clear"/>
          </w:tcPr>
          <w:p>
            <w:r>
              <w:rPr>
                <w:b/>
                <w:sz w:val="17"/>
              </w:rPr>
              <w:t>2,859</w:t>
            </w:r>
          </w:p>
        </w:tc>
        <w:tc>
          <w:tcPr>
            <w:tcW w:type="dxa" w:w="1440"/>
            <w:shd w:fill="FAFAFA" w:val="clear"/>
          </w:tcPr>
          <w:p>
            <w:r>
              <w:rPr>
                <w:sz w:val="17"/>
              </w:rPr>
              <w:t>2,931</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2,752</w:t>
            </w:r>
          </w:p>
        </w:tc>
        <w:tc>
          <w:tcPr>
            <w:tcW w:type="dxa" w:w="1440"/>
            <w:shd w:fill="FAFAFA" w:val="clear"/>
          </w:tcPr>
          <w:p>
            <w:r>
              <w:rPr>
                <w:b/>
                <w:sz w:val="17"/>
              </w:rPr>
              <w:t>2,854</w:t>
            </w:r>
          </w:p>
        </w:tc>
        <w:tc>
          <w:tcPr>
            <w:tcW w:type="dxa" w:w="1440"/>
            <w:shd w:fill="FAFAFA" w:val="clear"/>
          </w:tcPr>
          <w:p>
            <w:r>
              <w:rPr>
                <w:sz w:val="17"/>
              </w:rPr>
              <w:t>2,955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2,723</w:t>
            </w:r>
          </w:p>
        </w:tc>
        <w:tc>
          <w:tcPr>
            <w:tcW w:type="dxa" w:w="1440"/>
            <w:shd w:fill="FAFAFA" w:val="clear"/>
          </w:tcPr>
          <w:p>
            <w:r>
              <w:rPr>
                <w:b/>
                <w:sz w:val="17"/>
              </w:rPr>
              <w:t>2,847</w:t>
            </w:r>
          </w:p>
        </w:tc>
        <w:tc>
          <w:tcPr>
            <w:tcW w:type="dxa" w:w="1440"/>
            <w:shd w:fill="FAFAFA" w:val="clear"/>
          </w:tcPr>
          <w:p>
            <w:r>
              <w:rPr>
                <w:sz w:val="17"/>
              </w:rPr>
              <w:t>2,971</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2026-09-21</w:t>
            </w:r>
          </w:p>
        </w:tc>
        <w:tc>
          <w:tcPr>
            <w:tcW w:type="dxa" w:w="1440"/>
            <w:shd w:fill="FAFAFA" w:val="clear"/>
          </w:tcPr>
          <w:p>
            <w:r>
              <w:rPr>
                <w:sz w:val="17"/>
              </w:rPr>
              <w:t>2,698</w:t>
            </w:r>
          </w:p>
        </w:tc>
        <w:tc>
          <w:tcPr>
            <w:tcW w:type="dxa" w:w="1440"/>
            <w:shd w:fill="FAFAFA" w:val="clear"/>
          </w:tcPr>
          <w:p>
            <w:r>
              <w:rPr>
                <w:b/>
                <w:sz w:val="17"/>
              </w:rPr>
              <w:t>2,841</w:t>
            </w:r>
          </w:p>
        </w:tc>
        <w:tc>
          <w:tcPr>
            <w:tcW w:type="dxa" w:w="1440"/>
            <w:shd w:fill="FAFAFA" w:val="clear"/>
          </w:tcPr>
          <w:p>
            <w:r>
              <w:rPr>
                <w:sz w:val="17"/>
              </w:rPr>
              <w:t>2,984</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2026-09-22</w:t>
            </w:r>
          </w:p>
        </w:tc>
        <w:tc>
          <w:tcPr>
            <w:tcW w:type="dxa" w:w="1440"/>
            <w:shd w:fill="FAFAFA" w:val="clear"/>
          </w:tcPr>
          <w:p>
            <w:r>
              <w:rPr>
                <w:sz w:val="17"/>
              </w:rPr>
              <w:t>2,675</w:t>
            </w:r>
          </w:p>
        </w:tc>
        <w:tc>
          <w:tcPr>
            <w:tcW w:type="dxa" w:w="1440"/>
            <w:shd w:fill="FAFAFA" w:val="clear"/>
          </w:tcPr>
          <w:p>
            <w:r>
              <w:rPr>
                <w:b/>
                <w:sz w:val="17"/>
              </w:rPr>
              <w:t>2,835</w:t>
            </w:r>
          </w:p>
        </w:tc>
        <w:tc>
          <w:tcPr>
            <w:tcW w:type="dxa" w:w="1440"/>
            <w:shd w:fill="FAFAFA" w:val="clear"/>
          </w:tcPr>
          <w:p>
            <w:r>
              <w:rPr>
                <w:sz w:val="17"/>
              </w:rPr>
              <w:t>2,994</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2026-09-23</w:t>
            </w:r>
          </w:p>
        </w:tc>
        <w:tc>
          <w:tcPr>
            <w:tcW w:type="dxa" w:w="1440"/>
            <w:shd w:fill="FAFAFA" w:val="clear"/>
          </w:tcPr>
          <w:p>
            <w:r>
              <w:rPr>
                <w:sz w:val="17"/>
              </w:rPr>
              <w:t>2,654</w:t>
            </w:r>
          </w:p>
        </w:tc>
        <w:tc>
          <w:tcPr>
            <w:tcW w:type="dxa" w:w="1440"/>
            <w:shd w:fill="FAFAFA" w:val="clear"/>
          </w:tcPr>
          <w:p>
            <w:r>
              <w:rPr>
                <w:b/>
                <w:sz w:val="17"/>
              </w:rPr>
              <w:t>2,829</w:t>
            </w:r>
          </w:p>
        </w:tc>
        <w:tc>
          <w:tcPr>
            <w:tcW w:type="dxa" w:w="1440"/>
            <w:shd w:fill="FAFAFA" w:val="clear"/>
          </w:tcPr>
          <w:p>
            <w:r>
              <w:rPr>
                <w:sz w:val="17"/>
              </w:rPr>
              <w:t>3,003</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2026-09-24</w:t>
            </w:r>
          </w:p>
        </w:tc>
        <w:tc>
          <w:tcPr>
            <w:tcW w:type="dxa" w:w="1440"/>
            <w:shd w:fill="FAFAFA" w:val="clear"/>
          </w:tcPr>
          <w:p>
            <w:r>
              <w:rPr>
                <w:sz w:val="17"/>
              </w:rPr>
              <w:t>2,635</w:t>
            </w:r>
          </w:p>
        </w:tc>
        <w:tc>
          <w:tcPr>
            <w:tcW w:type="dxa" w:w="1440"/>
            <w:shd w:fill="FAFAFA" w:val="clear"/>
          </w:tcPr>
          <w:p>
            <w:r>
              <w:rPr>
                <w:b/>
                <w:sz w:val="17"/>
              </w:rPr>
              <w:t>2,823</w:t>
            </w:r>
          </w:p>
        </w:tc>
        <w:tc>
          <w:tcPr>
            <w:tcW w:type="dxa" w:w="1440"/>
            <w:shd w:fill="FAFAFA" w:val="clear"/>
          </w:tcPr>
          <w:p>
            <w:r>
              <w:rPr>
                <w:sz w:val="17"/>
              </w:rPr>
              <w:t>3,010</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2026-09-25</w:t>
            </w:r>
          </w:p>
        </w:tc>
        <w:tc>
          <w:tcPr>
            <w:tcW w:type="dxa" w:w="1440"/>
            <w:shd w:fill="FAFAFA" w:val="clear"/>
          </w:tcPr>
          <w:p>
            <w:r>
              <w:rPr>
                <w:sz w:val="17"/>
              </w:rPr>
              <w:t>2,616</w:t>
            </w:r>
          </w:p>
        </w:tc>
        <w:tc>
          <w:tcPr>
            <w:tcW w:type="dxa" w:w="1440"/>
            <w:shd w:fill="FAFAFA" w:val="clear"/>
          </w:tcPr>
          <w:p>
            <w:r>
              <w:rPr>
                <w:b/>
                <w:sz w:val="17"/>
              </w:rPr>
              <w:t>2,817</w:t>
            </w:r>
          </w:p>
        </w:tc>
        <w:tc>
          <w:tcPr>
            <w:tcW w:type="dxa" w:w="1440"/>
            <w:shd w:fill="FAFAFA" w:val="clear"/>
          </w:tcPr>
          <w:p>
            <w:r>
              <w:rPr>
                <w:sz w:val="17"/>
              </w:rPr>
              <w:t>3,017</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2,599</w:t>
            </w:r>
          </w:p>
        </w:tc>
        <w:tc>
          <w:tcPr>
            <w:tcW w:type="dxa" w:w="1440"/>
            <w:shd w:fill="FFDCE0" w:val="clear"/>
          </w:tcPr>
          <w:p>
            <w:r>
              <w:rPr>
                <w:b/>
                <w:sz w:val="17"/>
              </w:rPr>
              <w:t>2,811</w:t>
            </w:r>
          </w:p>
        </w:tc>
        <w:tc>
          <w:tcPr>
            <w:tcW w:type="dxa" w:w="1440"/>
            <w:shd w:fill="FFDCE0" w:val="clear"/>
          </w:tcPr>
          <w:p>
            <w:r>
              <w:rPr>
                <w:sz w:val="17"/>
              </w:rPr>
              <w:t>3,023</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2,582</w:t>
            </w:r>
          </w:p>
        </w:tc>
        <w:tc>
          <w:tcPr>
            <w:tcW w:type="dxa" w:w="1440"/>
            <w:shd w:fill="FFDCE0" w:val="clear"/>
          </w:tcPr>
          <w:p>
            <w:r>
              <w:rPr>
                <w:b/>
                <w:sz w:val="17"/>
              </w:rPr>
              <w:t>2,805</w:t>
            </w:r>
          </w:p>
        </w:tc>
        <w:tc>
          <w:tcPr>
            <w:tcW w:type="dxa" w:w="1440"/>
            <w:shd w:fill="FFDCE0" w:val="clear"/>
          </w:tcPr>
          <w:p>
            <w:r>
              <w:rPr>
                <w:sz w:val="17"/>
              </w:rPr>
              <w:t>3,028</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 RAPPORT D'ANALYSE FINANCIÈRE — ONTBF (ONATEL-SA Burkina Faso)</w:t>
        <w:br/>
        <w:t>**Bourse Régionale des Valeurs Mobilières (BRVM) | Secteur : Télécommunications**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195,16 milliards FCFA, ONTBF se positionne comme une valeur de premier plan de la cote BRVM, représentant un poids significatif dans l'indice composite grâce à son statut d'opérateur télécom historique du Burkina Faso. Le BPA de 234 FCFA/action signifie que chaque titre génère près de 234 FCFA de bénéfice net, ce qui, rapporté au cours actuel de 2 870 FCFA, donne un PER de 12,3x — un niveau modéré, légèrement supérieur à la moyenne BRVM (~8-12x), traduisant une prime de qualité justifiée par la solidité du bilan et la régularité du dividende. Le P/B de 3,39x indique que le marché valorise l'entreprise à plus de trois fois sa valeur comptable (capitaux propres de 57,54 Mds FCFA), une prime de croissance cohérente avec le ROE exceptionnel de 27,6% qui dépasse largement le coût des fonds propres. Enfin, l'EV/EBITDA de 5,1x situe la valeur totale de l'entreprise (capitalisation + dette nette) à seulement 5,1 fois sa capacité opérationnelle, un niveau raisonnable qui suggère que le marché n'intègre pas de surévaluation spéculative et laisse entrevoir un potentiel de revalorisation si les marges se stabilisent.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progression totale de +5,90%, avec une dernière séance (J-1) stable à +0,00%, clôturant à 2 870 FCFA. Le range de trading s'est établi entre un plus bas de 2 610 FCFA et un plus haut de 3 070 FCFA, soit une amplitude de 460 FCFA (17,6%) qui témoigne d'une volatilité réelle mais contenue. La tendance générale est haussière mais modérée, le cours actuel (2 870 FCFA) se situant dans la partie médiane-haute du range, soutenu par des volumes moyens de 5 149 titres/jour qui indiquent une liquidité correcte pour la BRVM. Les statistiques descriptives révèlent une moyenne de 2 829 FCFA très proche de la médiane (2 810 FCFA) et du mode (2 800 FCFA), confirmant une distribution symétrique (skewness de 0,042 quasi nul) sans biais directionnel marqué. L'écart-type de 85 FCFA avec un coefficient de variation de seulement 3,0% traduit une dispersion faible du cours autour de sa moyenne, signe d'une certaine stabilité. Le kurtosis de -0,149 (mésokurtique) indique une distribution proche de la normale, sans risque de pics extrêmes fréquents, ce qui est rassurant pour la gestion du risque. La volatilité annualisée de 30,4% place le titre dans la catégorie des valeurs à volatilité élevée (&gt;30%), ce qui est cohérent avec les télécoms de la BRVM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(2 888,5 FCFA) et la MM50 (2 847,7 FCFA) encadrent le cours actuel (2 870 FCFA), qui se situe légèrement sous la MM20 mais au-dessus de la MM50. Cette configuration indique une tendance haussière de moyen terme (MM50 ascendante) avec une consolidation de court terme, justifiant la décision d'**Achat** par croisement haussier potentiel.</w:t>
      </w:r>
    </w:p>
    <w:p>
      <w:pPr>
        <w:spacing w:after="120" w:line="276" w:lineRule="auto"/>
      </w:pPr>
      <w:r>
        <w:t>**Bandes de Bollinger** : Le cours (2 870 FCFA) évolue dans la partie médiane des bandes, entre la borne inférieure (2 827,36 FCFA) et la borne supérieure (2 949,64 FCFA), sans contact avec les extrêmes. Cette position neutre, avec un rétrécissement des bandes, suggère une phase de consolidation avant un mouvement directionnel, justifiant la décision **Neutre**.</w:t>
      </w:r>
    </w:p>
    <w:p>
      <w:pPr>
        <w:spacing w:after="120" w:line="276" w:lineRule="auto"/>
      </w:pPr>
      <w:r>
        <w:t>**MACD** : La valeur du MACD (0,739) est nettement inférieure à son signal (5,374), créant une divergence baissière qui indique un essoufflement du momentum haussier. Cette configuration, bien que le MACD reste positif, justifie la décision de **Vente** à court terme, en attendant un croisement haussier pour repasser à l'achat.</w:t>
      </w:r>
    </w:p>
    <w:p>
      <w:pPr>
        <w:spacing w:after="120" w:line="276" w:lineRule="auto"/>
      </w:pPr>
      <w:r>
        <w:t>**RSI** : À 47,458, le RSI se situe en zone neutre (30-70), sans signal de surachat (&gt;70) ni de survente (&lt;30). Cette position médiane reflète un équilibre entre acheteurs et vendeurs, justifiant la décision **Neutre** et l'absence de signal directionnel fort.</w:t>
      </w:r>
    </w:p>
    <w:p>
      <w:pPr>
        <w:spacing w:after="120" w:line="276" w:lineRule="auto"/>
      </w:pPr>
      <w:r>
        <w:t>**Stochastique** : Le %K et le %D sont identiques à 56,522, indiquant l'absence de croisement et une position neutre en zone médiane. Cette configuration, sans divergence ni signal de retournement, justifie la décision **Neutre** et confirme l'attente d'un catalyseur pour définir la tendance.</w:t>
      </w:r>
    </w:p>
    <w:p>
      <w:pPr>
        <w:spacing w:after="120" w:line="276" w:lineRule="auto"/>
      </w:pPr>
      <w:r>
        <w:t>**Conclusion technique** : Les indicateurs techniques présentent un tableau mitigé : les moyennes mobiles suggèrent un achat (tendance de fond haussière), mais le MACD signale une vente (momentum baissier), tandis que le RSI, les Bollinger et le Stochastique restent neutres. Cette divergence indique une phase d'incertitude et de consolidation, avec un avantage légèrement baissier à court terme (MACD), mais un support solide à 2 847 FCFA (MM50). La cassure de la MM20 à la hausse serait un signal d'achat, tandis qu'une rupture de la MM50 à la baisse confirmerait la vente.</w:t>
      </w:r>
    </w:p>
    <w:p>
      <w:pPr>
        <w:spacing w:after="120" w:line="276" w:lineRule="auto"/>
      </w:pPr>
      <w:r>
        <w:t>---</w:t>
      </w:r>
    </w:p>
    <w:p>
      <w:pPr>
        <w:spacing w:after="120" w:line="276" w:lineRule="auto"/>
      </w:pPr>
      <w:r>
        <w:t>## PARTIE 3 : ANALYSE FONDAMENTALE</w:t>
      </w:r>
    </w:p>
    <w:p>
      <w:pPr>
        <w:spacing w:after="120" w:line="276" w:lineRule="auto"/>
      </w:pPr>
      <w:r>
        <w:t>En 2025, ONTBF (ONATEL-SA) a réalisé un chiffre d'affaires de 146,18 milliards FCFA, en hausse de +3,1% par rapport à 2024 (141,84 Mds FCFA), porté par le Très Haut Débit FTTH (+33% de parc), l'Internet mobile (+4,6%) et le Mobile Money (+14%). Cependant, le résultat net a chuté de -26% à 15,89 milliards FCFA (contre 21,47 Mds en 2024), sous l'effet d'une compression des marges : l'EBE recule de -12% à 56,73 Mds FCFA et le résultat d'exploitation de -24% à 25,67 Mds FCFA. Cette dégradation s'explique par la hausse des charges opérationnelles (énergie, maintenance des sites en zones à défi sécuritaire, indemnités de fin d'engagement, sanction ARCEP de 1,543 Md FCFA). Les ratios de rentabilité restent néanmoins solides : le ROE s'établit à 27,61% (excellent, &gt;15%) et le ROA à 4,89%, tandis que la marge nette se maintient à 10,87%. Le coefficient d'exploitation de 67,07% (charges/PNB) reste supérieur au seuil de 60% recommandé pour une banque efficace, mais ONTBF étant une entreprise télécom, ce ratio doit être interprété avec prudence. La structure financière est saine : l'autonomie financière de 17,71% (capitaux propres/total bilan) est inférieure au seuil de 30%, mais la solvabilité générale de 121,52% (&gt;1) et la couverture des intérêts de 491,55% témoignent d'une capacité de remboursement robuste. Le BFR est négatif (-94,10 Mds FCFA), ce qui est favorable (ressource de financement), et la trésorerie nette reste positive à 10,65 Mds FCFA. Les rapports trimestriels 2026 confirment la tendance : au T1 2026 (rapport du 30 avril 2026), le CA progresse de +2,7% à 37,1 Mds FCFA et la marge EBITDA se maintient à 41,3%, mais le résultat net recule légèrement à 3,577 Mds FCFA (marge nette de 9,6%). On estime donc que l'exercice 2026 devrait poursuivre sur cette lancée, avec un CA attendu autour de 150 Mds FCFA (+2,5%) et un résultat net potentiellement stabilisé entre 15 et 16 Mds FCFA si les actions d'optimisation des coûts annoncées portent leurs fruits. La recommandation fondamentale est de **CONSERVER** : la solidité du bilan, le dividende attractif (166,08 FCFA/action, soit un rendement de ~5,8% au cours actuel) et la position dominante sur le FTTH et le Mobile Money compensent la baisse de rentabilité, mais les risques réglementaires, sécuritaires et concurrentiels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la valorisation (Partie 0)** , le PER de 12,3x et le P/B de 3,39x indiquent une valorisation modérée à légèrement supérieure à la moyenne BRVM, sans excès spéculatif, tandis que l'EV/EBITDA de 5,1x suggère une sous-évaluation relative par rapport à la capacité opérationnelle. **Le comportement du cours (Partie 1)** est globalement favorable : tendance haussière de +5,90% sur 100 jours, distribution symétrique (skewness ~0) et absence de pics extrêmes (kurtosis -0,149), mais la volatilité annualisée de 30,4% reste élevée et préoccupante pour les investisseurs prudents. **Les signaux techniques (Partie 2)** sont divergents : les moyennes mobiles donnent un signal d'achat, mais le MACD signale une vente, tandis que le RSI, les Bollinger et le Stochastique restent neutres — cette divergence plaide pour une phase de consolidation. **Les fondamentaux (Partie 3)** sont solides mais en dégradation : CA en croissance (+3,1%), ROE excellent (27,6%), dividende attractif, mais résultat net en baisse de -26% et marges sous pression. **Les prédictions IA (J+1 à J+10)** anticipent une légère baisse du cours de 2 859 FCFA (J+1) à 2 835 FCFA (J+5), confirmant la tendance baissière de court terme suggérée par le MACD. Sur la base de cette synthèse, la recommandation finale est de **CONSERVER** le titre. Cette décision est justifiée par la convergence entre une valorisation raisonnable, des fondamentaux solides (malgré la baisse de rentabilité) et un dividende attractif, mais tempérée par des signaux techniques mitigés et des prédictions baissières à court terme. Le niveau de confiance est **Moyen** (les indicateurs sont divergents), et le niveau de risque global est **Moyen** (volatilité élevée, risques réglementaires et sécuritaires). L'horizon d'investissement optimal est le **moyen terme (3-12 mois)** , en attendant la publication des résultats du T2 2026 et les signes tangibles d'amélioration de la rentabilité pour envisager un passage à l'achat.</w:t>
      </w:r>
    </w:p>
    <w:p>
      <w:pPr>
        <w:spacing w:after="120" w:line="276" w:lineRule="auto"/>
      </w:pPr>
      <w:r>
        <w:t>---</w:t>
      </w:r>
    </w:p>
    <w:p>
      <w:pPr>
        <w:spacing w:after="120" w:line="276" w:lineRule="auto"/>
      </w:pPr>
      <w:r>
        <w:t>*Rapport généré le 15 septembre 2026 — Sources : BRVM, états financiers ONTBF 2025, rapports trimestriels 2026, analyses DeepSeek/Gemini/Mistral.*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3389.75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2,947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+50.96%</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12.95% (Moyenne) — μ=17,128 FCFA, σ=2,218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β=1.3723 (Agressif) — Cov=0.000048, Var(idx)=0.000035, ρ=0.428,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21,650</w:t>
            </w:r>
          </w:p>
        </w:tc>
        <w:tc>
          <w:tcPr>
            <w:tcW w:type="dxa" w:w="1440"/>
            <w:shd w:fill="FAFAFA" w:val="clear"/>
          </w:tcPr>
          <w:p>
            <w:r>
              <w:rPr>
                <w:b/>
                <w:sz w:val="17"/>
              </w:rPr>
              <w:t>22,343</w:t>
            </w:r>
          </w:p>
        </w:tc>
        <w:tc>
          <w:tcPr>
            <w:tcW w:type="dxa" w:w="1440"/>
            <w:shd w:fill="FAFAFA" w:val="clear"/>
          </w:tcPr>
          <w:p>
            <w:r>
              <w:rPr>
                <w:sz w:val="17"/>
              </w:rPr>
              <w:t>23,035</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21,365</w:t>
            </w:r>
          </w:p>
        </w:tc>
        <w:tc>
          <w:tcPr>
            <w:tcW w:type="dxa" w:w="1440"/>
            <w:shd w:fill="FAFAFA" w:val="clear"/>
          </w:tcPr>
          <w:p>
            <w:r>
              <w:rPr>
                <w:b/>
                <w:sz w:val="17"/>
              </w:rPr>
              <w:t>22,344</w:t>
            </w:r>
          </w:p>
        </w:tc>
        <w:tc>
          <w:tcPr>
            <w:tcW w:type="dxa" w:w="1440"/>
            <w:shd w:fill="FAFAFA" w:val="clear"/>
          </w:tcPr>
          <w:p>
            <w:r>
              <w:rPr>
                <w:sz w:val="17"/>
              </w:rPr>
              <w:t>23,323</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21,131</w:t>
            </w:r>
          </w:p>
        </w:tc>
        <w:tc>
          <w:tcPr>
            <w:tcW w:type="dxa" w:w="1440"/>
            <w:shd w:fill="FAFAFA" w:val="clear"/>
          </w:tcPr>
          <w:p>
            <w:r>
              <w:rPr>
                <w:b/>
                <w:sz w:val="17"/>
              </w:rPr>
              <w:t>22,329</w:t>
            </w:r>
          </w:p>
        </w:tc>
        <w:tc>
          <w:tcPr>
            <w:tcW w:type="dxa" w:w="1440"/>
            <w:shd w:fill="FAFAFA" w:val="clear"/>
          </w:tcPr>
          <w:p>
            <w:r>
              <w:rPr>
                <w:sz w:val="17"/>
              </w:rPr>
              <w:t>23,528</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20,930</w:t>
            </w:r>
          </w:p>
        </w:tc>
        <w:tc>
          <w:tcPr>
            <w:tcW w:type="dxa" w:w="1440"/>
            <w:shd w:fill="FAFAFA" w:val="clear"/>
          </w:tcPr>
          <w:p>
            <w:r>
              <w:rPr>
                <w:b/>
                <w:sz w:val="17"/>
              </w:rPr>
              <w:t>22,313</w:t>
            </w:r>
          </w:p>
        </w:tc>
        <w:tc>
          <w:tcPr>
            <w:tcW w:type="dxa" w:w="1440"/>
            <w:shd w:fill="FAFAFA" w:val="clear"/>
          </w:tcPr>
          <w:p>
            <w:r>
              <w:rPr>
                <w:sz w:val="17"/>
              </w:rPr>
              <w:t>23,697</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20,753</w:t>
            </w:r>
          </w:p>
        </w:tc>
        <w:tc>
          <w:tcPr>
            <w:tcW w:type="dxa" w:w="1440"/>
            <w:shd w:fill="FAFAFA" w:val="clear"/>
          </w:tcPr>
          <w:p>
            <w:r>
              <w:rPr>
                <w:b/>
                <w:sz w:val="17"/>
              </w:rPr>
              <w:t>22,298</w:t>
            </w:r>
          </w:p>
        </w:tc>
        <w:tc>
          <w:tcPr>
            <w:tcW w:type="dxa" w:w="1440"/>
            <w:shd w:fill="FAFAFA" w:val="clear"/>
          </w:tcPr>
          <w:p>
            <w:r>
              <w:rPr>
                <w:sz w:val="17"/>
              </w:rPr>
              <w:t>23,844</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20,591</w:t>
            </w:r>
          </w:p>
        </w:tc>
        <w:tc>
          <w:tcPr>
            <w:tcW w:type="dxa" w:w="1440"/>
            <w:shd w:fill="FAFAFA" w:val="clear"/>
          </w:tcPr>
          <w:p>
            <w:r>
              <w:rPr>
                <w:b/>
                <w:sz w:val="17"/>
              </w:rPr>
              <w:t>22,283</w:t>
            </w:r>
          </w:p>
        </w:tc>
        <w:tc>
          <w:tcPr>
            <w:tcW w:type="dxa" w:w="1440"/>
            <w:shd w:fill="FAFAFA" w:val="clear"/>
          </w:tcPr>
          <w:p>
            <w:r>
              <w:rPr>
                <w:sz w:val="17"/>
              </w:rPr>
              <w:t>23,975</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20,443</w:t>
            </w:r>
          </w:p>
        </w:tc>
        <w:tc>
          <w:tcPr>
            <w:tcW w:type="dxa" w:w="1440"/>
            <w:shd w:fill="FAFAFA" w:val="clear"/>
          </w:tcPr>
          <w:p>
            <w:r>
              <w:rPr>
                <w:b/>
                <w:sz w:val="17"/>
              </w:rPr>
              <w:t>22,269</w:t>
            </w:r>
          </w:p>
        </w:tc>
        <w:tc>
          <w:tcPr>
            <w:tcW w:type="dxa" w:w="1440"/>
            <w:shd w:fill="FAFAFA" w:val="clear"/>
          </w:tcPr>
          <w:p>
            <w:r>
              <w:rPr>
                <w:sz w:val="17"/>
              </w:rPr>
              <w:t>24,095</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20,304</w:t>
            </w:r>
          </w:p>
        </w:tc>
        <w:tc>
          <w:tcPr>
            <w:tcW w:type="dxa" w:w="1440"/>
            <w:shd w:fill="FAFAFA" w:val="clear"/>
          </w:tcPr>
          <w:p>
            <w:r>
              <w:rPr>
                <w:b/>
                <w:sz w:val="17"/>
              </w:rPr>
              <w:t>22,255</w:t>
            </w:r>
          </w:p>
        </w:tc>
        <w:tc>
          <w:tcPr>
            <w:tcW w:type="dxa" w:w="1440"/>
            <w:shd w:fill="FAFAFA" w:val="clear"/>
          </w:tcPr>
          <w:p>
            <w:r>
              <w:rPr>
                <w:sz w:val="17"/>
              </w:rPr>
              <w:t>24,206</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20,173</w:t>
            </w:r>
          </w:p>
        </w:tc>
        <w:tc>
          <w:tcPr>
            <w:tcW w:type="dxa" w:w="1440"/>
            <w:shd w:fill="FAFAFA" w:val="clear"/>
          </w:tcPr>
          <w:p>
            <w:r>
              <w:rPr>
                <w:b/>
                <w:sz w:val="17"/>
              </w:rPr>
              <w:t>22,241</w:t>
            </w:r>
          </w:p>
        </w:tc>
        <w:tc>
          <w:tcPr>
            <w:tcW w:type="dxa" w:w="1440"/>
            <w:shd w:fill="FAFAFA" w:val="clear"/>
          </w:tcPr>
          <w:p>
            <w:r>
              <w:rPr>
                <w:sz w:val="17"/>
              </w:rPr>
              <w:t>24,309</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20,049</w:t>
            </w:r>
          </w:p>
        </w:tc>
        <w:tc>
          <w:tcPr>
            <w:tcW w:type="dxa" w:w="1440"/>
            <w:shd w:fill="FAFAFA" w:val="clear"/>
          </w:tcPr>
          <w:p>
            <w:r>
              <w:rPr>
                <w:b/>
                <w:sz w:val="17"/>
              </w:rPr>
              <w:t>22,228</w:t>
            </w:r>
          </w:p>
        </w:tc>
        <w:tc>
          <w:tcPr>
            <w:tcW w:type="dxa" w:w="1440"/>
            <w:shd w:fill="FAFAFA" w:val="clear"/>
          </w:tcPr>
          <w:p>
            <w:r>
              <w:rPr>
                <w:sz w:val="17"/>
              </w:rPr>
              <w:t>24,406</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Analyse au 15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3 389,75 milliards FCFA, ORAC s'impose comme l'une des toutes premières capitalisations de la BRVM, représentant à elle seule une part significative de la capitalisation totale du marché régional. Le BPA de 1 114 FCFA/action signifie que chaque titre génère un bénéfice net de 1 114 FCFA, ce qui, rapporté au cours actuel de 22 500 FCFA, confère un PER de 20,2x — nettement supérieur à la moyenne du marché BRVM (8-12x), traduisant soit une forte anticipation de croissance, soit une prime de qualité/surévaluation. Le P/B de 4,79x indique que le marché valorise ORAC à près de cinq fois sa valeur comptable, une prime exigeante qui reflète la confiance des investisseurs dans la rentabilité future et la solidité du modèle télécom. Enfin, l'EV/EBITDA de 8,0x apparaît raisonnable dans la fourchette sectorielle (5-10x), suggérant que la valeur d'entreprise reste cohérente avec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+50,96%, passant d'un plus bas de 14 650 FCFA à un plus haut de 22 500 FCFA — niveau auquel elle clôture actuellement, avec une variation J-1 de +0,00% signalant une stabilisation en fin de parcours haussier. Le range de trading de 7 850 FCFA (soit environ 54% du plus bas) témoigne d'une dynamique fortement haussière, portée par des publications trimestrielles solides et un intérêt croissant des investisseurs pour les valeurs télécoms de la zone UEMOA. Les statistiques descriptives révèlent une moyenne de 17 128 FCFA supérieure à la médiane de 16 300 FCFA, confirmant une distribution asymétrique avec des cours récents nettement au-dessus du centre de gravité historique. L'écart-type de 2 229 FCFA (CV de 13,0%) indique une dispersion modérée du cours autour de sa moyenne, tandis que le kurtosis de 0,208 (mésokurtique) suggère une distribution proche de la normale, sans risque excessif de pics extrêmes. Le skewness de 1,243 (asymétrie positive) indique que la majorité des journées se sont situées sous la moyenne, avec quelques séances de forte hausse tirant la distribution vers le haut — un profil typique d'un titre en phase d'accélération. La volatilité annualisée de 29,9% positionne ORAC dans la catégorie des titres à volatilité modérée (15-30%), ce qui reste raisonnable pour une valeur de croissance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(21 243,25 FCFA) et la MM50 (18 513,70 FCFA) se situent toutes deux sous le cours actuel de 22 500 FCFA, avec la MM20 au-dessus de la MM50 — configuration haussière classique (golden cross). L'écart entre le cours et la MM20 (+5,9%) et surtout entre le cours et la MM50 (+21,5%) confirme la puissance du momentum acheteur, justifiant la décision d'**Achat**.</w:t>
      </w:r>
    </w:p>
    <w:p>
      <w:pPr>
        <w:spacing w:after="120" w:line="276" w:lineRule="auto"/>
      </w:pPr>
      <w:r>
        <w:t>**Bandes de Bollinger** : Le cours (22 500 FCFA) évolue entre la borne supérieure (23 104,08 FCFA) et la borne inférieure (19 382,42 FCFA), se rapprochant de la bande haute sans la franchir. Cette position proche de la borne supérieure, combinée à un rétrécissement potentiel de l'amplitude, suggère une volatilité contenue et une possible consolidation, justifiant la décision **Neutre**.</w:t>
      </w:r>
    </w:p>
    <w:p>
      <w:pPr>
        <w:spacing w:after="120" w:line="276" w:lineRule="auto"/>
      </w:pPr>
      <w:r>
        <w:t>**MACD** : La valeur du MACD (1 131,41) dépasse légèrement son signal (1 121,91), avec un histogramme positif mais étroit (+9,5 points). Cette divergence positive, bien que modeste, confirme un momentum haussier toujours présent mais en phase de ralentissement, justifiant la décision d'**Achat** avec prudence.</w:t>
      </w:r>
    </w:p>
    <w:p>
      <w:pPr>
        <w:spacing w:after="120" w:line="276" w:lineRule="auto"/>
      </w:pPr>
      <w:r>
        <w:t>**RSI** : À 67,60, le RSI se situe en zone neutre haute, proche du seuil de surachat (70) sans l'atteindre. Cette configuration indique que le titre conserve un potentiel haussier résiduel mais approche de niveaux où une correction technique devient probable, justifiant la décision **Neutre**.</w:t>
      </w:r>
    </w:p>
    <w:p>
      <w:pPr>
        <w:spacing w:after="120" w:line="276" w:lineRule="auto"/>
      </w:pPr>
      <w:r>
        <w:t>**Stochastique** : Le %K et le %D sont tous deux à 100,0, signalant une situation de surachat extrême. Ce niveau maximal, sans croisement baissier pour l'instant, avertit d'un risque imminent de retournement ou de consolidation, justifiant la décision de **Vente** à court terme.</w:t>
      </w:r>
    </w:p>
    <w:p>
      <w:pPr>
        <w:spacing w:after="120" w:line="276" w:lineRule="auto"/>
      </w:pPr>
      <w:r>
        <w:t>**Conclusion technique** : Les indicateurs présentent une divergence notable : les moyennes mobiles et le MACD confirment la tendance haussière de fond, tandis que le RSI (67,6) et surtout le stochastique (100/100) signalent un épuisement à court terme. Les Bandes de Bollinger et le RSI en zone neutre-haute suggèrent une consolidation imminente. La convergence des signaux pointe vers un **maintien de la tendance haussière à moyen terme, mais avec un risque de correction à court terme** — les investisseurs déjà positionnés peuvent conserver, tandis que les nouveaux entrants devraient attendre un repli vers la MM20 (21 243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Orange Côte d'Ivoire a réalisé un chiffre d'affaires consolidé de 1 197,1 milliards FCFA, en croissance de +10,4% sur un an, porté par la dynamique des trois filiales (Côte d'Ivoire, Burkina Faso, Libéria). Le résultat net consolidé s'établit à 167,8 milliards FCFA (+6,1%), tandis que le résultat net part du groupe atteint 129,1 milliards FCFA (+14,5%). La rentabilité des fonds propres (ROE) ressort à 23,71% — un niveau excellent (&gt;15%), témoignant d'une création de valeur actionnariale robuste — et le ROA de 6,57% reflète l'intensité capitalistique du secteur télécom. La marge nette de 14,02% et la marge opérationnelle de 23,99% confirment la solidité du modèle, bien qu'en léger retrait par rapport à 2024 (14,6% et 24,3% respectivement). Sur le plan bilanciel, l'autonomie financière de 27,71% (capitaux propres/total bilan) reste légèrement inférieure au seuil de 30% considéré comme sain, et le ratio d'endettement de 47,46% (dettes totales/capitaux propres) demeure maîtrisé. Le BFR est négatif à -198,0 milliards FCFA — un point favorable pour une entreprise, signifiant que les clients et fournisseurs financent le cycle d'exploitation. Les délais clients (52,26 jours) et fournisseurs (210,87 jours) révèlent un pouvoir de négociation favorable auprès des fournisseurs, mais un délai de recouvrement client à surveiller. La trésorerie nette de 113,9 milliards FCFA et la couverture des intérêts de 1 018,44% (résultat d'exploitation/charges financières) témoignent d'une structure financière solide.</w:t>
      </w:r>
    </w:p>
    <w:p>
      <w:pPr>
        <w:spacing w:after="120" w:line="276" w:lineRule="auto"/>
      </w:pPr>
      <w:r>
        <w:t>**Estimations basées sur les rapports trimestriels** : Le rapport du T1 2026 (publié le 20 mai 2026) révèle une accélération remarquable : chiffre d'affaires de 325,6 milliards FCFA (+14,8%), résultat net de 48,3 milliards FCFA (+25,2%) et EBITDAaL de 114,2 milliards FCFA (+15,7%). Cette dynamique, nettement supérieure à celle de l'exercice 2025, suggère que l'année 2026 pourrait enregistrer une croissance du CA supérieure à 12% et une progression du résultat net de l'ordre de 15-20%, portée par l'expansion du parc FMI (39,3 millions de clients, +8,8%) et les investissements dans la fibre et le mobile. Le rapport annuel 2025 (publié le 31 décembre 2025) confirme un dividende brut de 800 FCFA/action (rendement de 3,6% au cours actuel), en baisse par rapport aux 1 278 FCFA implicites de 2024, traduisant un recentrage vers l'autofinancement des investissements (184,2 milliards FCFA de Capex en 2025, soit 15,4% du CA). Les risques identifiés incluent la pression fiscale et réglementaire (amendes douanières au Burkina Faso), la concurrence accrue sur le mobile money et les charges financières en hausse (+26,8% en 2025).</w:t>
      </w:r>
    </w:p>
    <w:p>
      <w:pPr>
        <w:spacing w:after="120" w:line="276" w:lineRule="auto"/>
      </w:pPr>
      <w:r>
        <w:t>**Recommandation fondamentale** : ORAC affiche des fondamentaux solides avec une croissance à deux chiffres, un ROE excellent (23,7%) et une structure financière maîtrisée. La valorisation exigeante (PER 20,2x, P/B 4,79x) est justifiée par la qualité des actifs et les perspectives de croissance, mais laisse peu de marge d'erreur. Le principal point de vigilance réside dans la conversion de la croissance du CA en résultat net, qui s'est dégradée en 2025 (marge nette de 14,0% contre 14,6% en 2024) avant de s'améliorer au T1 2026 (14,8%). **Recommandation fondamentale : ACHAT** pour les investisseurs à long terme, avec un suivi attentif de l'évolution des marges et de la politique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**Sur la valorisation (Partie 0)** , les ratios PER (20,2x) et P/B (4,79x) indiquent une surévaluation relative par rapport à la moyenne du marché BRVM, mais l'EV/EBITDA (8,0x) reste raisonnable, suggérant que la prime est justifiée par la qualité des cash-flows. **Sur le comportement du cours (Partie 1)** , la tendance haussière de +50,96% sur 100 jours, la volatilité modérée (29,9%) et la distribution asymétrique positive (skewness 1,243) sont favorables, bien que le cours actuel au plus haut historique appelle à la prudence. **Sur le plan technique (Partie 2)** , la convergence des signaux haussiers (MM, MACD) est tempérée par des signaux de surachat (stochastique à 100, RSI à 67,6), plaidant pour une consolidation à court terme. **Sur les fondamentaux (Partie 3)** , la croissance du CA (+10,4% en 2025, +14,8% au T1 2026), le ROE de 23,7% et la solidité bilancielle constituent des atouts majeurs, mais la pression sur les marges et la baisse du dividende (800 FCFA contre 1 278 FCFA en 2024) sont des points de vigilance. **Les prédictions IA (J+1 à J+10)** anticipent une légère correction vers 22 298-22 344 FCFA, confirmant la thèse d'une consolidation après le rallye.</w:t>
      </w:r>
    </w:p>
    <w:p>
      <w:pPr>
        <w:spacing w:after="120" w:line="276" w:lineRule="auto"/>
      </w:pPr>
      <w:r>
        <w:t>**Recommandation finale : CONSERVER** — Les signaux sont divergents : la valorisation exigeante et les indicateurs techniques de surachat plaident pour une pause, tandis que les fondamentaux solides et les perspectives de croissance à deux chiffres soutiennent le titre à moyen terme. La convergence entre la prédiction IA (légère correction) et les signaux techniques (stochastique en surachat) suggère une consolidation imminente, offrant potentiellement un point d'entrée plus favorable. **Niveau de confiance : Moyen** — la visibilité sur la conversion des marges reste limitée. **Niveau de risque : Moyen** — la volatilité modérée et la solidité financière limitent le risque baissier, mais la prime de valorisation expose à une correction en cas de déception sur les résultats. **Horizon d'investissement optimal : Moyen terme (3-12 mois)** — pour capturer la croissance bénéficiaire attendue en 2026 tout en laissant passer la phase de consolidation technique actuelle.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224.21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5,611 titres</w:t>
            </w:r>
          </w:p>
        </w:tc>
        <w:tc>
          <w:tcPr>
            <w:tcW w:type="dxa" w:w="2268"/>
            <w:shd w:fill="FFF2CC" w:val="clear"/>
          </w:tcPr>
          <w:p>
            <w:r>
              <w:rPr>
                <w:b/>
                <w:color w:val="503200"/>
                <w:sz w:val="16"/>
              </w:rPr>
              <w:t xml:space="preserve">Cours actuel : </w:t>
            </w:r>
            <w:r>
              <w:rPr>
                <w:color w:val="000000"/>
                <w:sz w:val="17"/>
              </w:rPr>
              <w:t>3,230 FCFA</w:t>
            </w:r>
          </w:p>
          <w:p>
            <w:r>
              <w:rPr>
                <w:b/>
                <w:color w:val="503200"/>
                <w:sz w:val="16"/>
              </w:rPr>
              <w:t xml:space="preserve">Var. 100 jours : </w:t>
            </w:r>
            <w:r>
              <w:rPr>
                <w:b/>
                <w:color w:val="B40000"/>
                <w:sz w:val="17"/>
              </w:rPr>
              <w:t>-1.97%</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9.19% (Moyenne) — μ=2,910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β=0.1707 (Défensif) — Cov=0.000006, Var(idx)=0.000035, ρ=0.037,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3,168</w:t>
            </w:r>
          </w:p>
        </w:tc>
        <w:tc>
          <w:tcPr>
            <w:tcW w:type="dxa" w:w="1440"/>
            <w:shd w:fill="FAFAFA" w:val="clear"/>
          </w:tcPr>
          <w:p>
            <w:r>
              <w:rPr>
                <w:b/>
                <w:sz w:val="17"/>
              </w:rPr>
              <w:t>3,247</w:t>
            </w:r>
          </w:p>
        </w:tc>
        <w:tc>
          <w:tcPr>
            <w:tcW w:type="dxa" w:w="1440"/>
            <w:shd w:fill="FAFAFA" w:val="clear"/>
          </w:tcPr>
          <w:p>
            <w:r>
              <w:rPr>
                <w:sz w:val="17"/>
              </w:rPr>
              <w:t>3,325</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3,139</w:t>
            </w:r>
          </w:p>
        </w:tc>
        <w:tc>
          <w:tcPr>
            <w:tcW w:type="dxa" w:w="1440"/>
            <w:shd w:fill="FAFAFA" w:val="clear"/>
          </w:tcPr>
          <w:p>
            <w:r>
              <w:rPr>
                <w:b/>
                <w:sz w:val="17"/>
              </w:rPr>
              <w:t>3,250</w:t>
            </w:r>
          </w:p>
        </w:tc>
        <w:tc>
          <w:tcPr>
            <w:tcW w:type="dxa" w:w="1440"/>
            <w:shd w:fill="FAFAFA" w:val="clear"/>
          </w:tcPr>
          <w:p>
            <w:r>
              <w:rPr>
                <w:sz w:val="17"/>
              </w:rPr>
              <w:t>3,361</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3,118</w:t>
            </w:r>
          </w:p>
        </w:tc>
        <w:tc>
          <w:tcPr>
            <w:tcW w:type="dxa" w:w="1440"/>
            <w:shd w:fill="FAFAFA" w:val="clear"/>
          </w:tcPr>
          <w:p>
            <w:r>
              <w:rPr>
                <w:b/>
                <w:sz w:val="17"/>
              </w:rPr>
              <w:t>3,254</w:t>
            </w:r>
          </w:p>
        </w:tc>
        <w:tc>
          <w:tcPr>
            <w:tcW w:type="dxa" w:w="1440"/>
            <w:shd w:fill="FAFAFA" w:val="clear"/>
          </w:tcPr>
          <w:p>
            <w:r>
              <w:rPr>
                <w:sz w:val="17"/>
              </w:rPr>
              <w:t>3,390</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2026-09-21</w:t>
            </w:r>
          </w:p>
        </w:tc>
        <w:tc>
          <w:tcPr>
            <w:tcW w:type="dxa" w:w="1440"/>
            <w:shd w:fill="FAFAFA" w:val="clear"/>
          </w:tcPr>
          <w:p>
            <w:r>
              <w:rPr>
                <w:sz w:val="17"/>
              </w:rPr>
              <w:t>3,100</w:t>
            </w:r>
          </w:p>
        </w:tc>
        <w:tc>
          <w:tcPr>
            <w:tcW w:type="dxa" w:w="1440"/>
            <w:shd w:fill="FAFAFA" w:val="clear"/>
          </w:tcPr>
          <w:p>
            <w:r>
              <w:rPr>
                <w:b/>
                <w:sz w:val="17"/>
              </w:rPr>
              <w:t>3,257</w:t>
            </w:r>
          </w:p>
        </w:tc>
        <w:tc>
          <w:tcPr>
            <w:tcW w:type="dxa" w:w="1440"/>
            <w:shd w:fill="FAFAFA" w:val="clear"/>
          </w:tcPr>
          <w:p>
            <w:r>
              <w:rPr>
                <w:sz w:val="17"/>
              </w:rPr>
              <w:t>3,415</w:t>
            </w:r>
          </w:p>
        </w:tc>
        <w:tc>
          <w:tcPr>
            <w:tcW w:type="dxa" w:w="1440"/>
            <w:shd w:fill="FAFAFA" w:val="clear"/>
          </w:tcPr>
          <w:p>
            <w:r>
              <w:rPr>
                <w:b/>
                <w:color w:val="008000"/>
                <w:sz w:val="17"/>
              </w:rPr>
              <w:t>+0.8%</w:t>
            </w:r>
          </w:p>
        </w:tc>
      </w:tr>
      <w:tr>
        <w:tc>
          <w:tcPr>
            <w:tcW w:type="dxa" w:w="1440"/>
            <w:shd w:fill="FAFAFA" w:val="clear"/>
          </w:tcPr>
          <w:p>
            <w:r>
              <w:rPr>
                <w:sz w:val="17"/>
              </w:rPr>
              <w:t>J+5  Moyenne</w:t>
            </w:r>
          </w:p>
        </w:tc>
        <w:tc>
          <w:tcPr>
            <w:tcW w:type="dxa" w:w="1440"/>
            <w:shd w:fill="FAFAFA" w:val="clear"/>
          </w:tcPr>
          <w:p>
            <w:r>
              <w:rPr>
                <w:sz w:val="17"/>
              </w:rPr>
              <w:t>2026-09-22</w:t>
            </w:r>
          </w:p>
        </w:tc>
        <w:tc>
          <w:tcPr>
            <w:tcW w:type="dxa" w:w="1440"/>
            <w:shd w:fill="FAFAFA" w:val="clear"/>
          </w:tcPr>
          <w:p>
            <w:r>
              <w:rPr>
                <w:sz w:val="17"/>
              </w:rPr>
              <w:t>3,084</w:t>
            </w:r>
          </w:p>
        </w:tc>
        <w:tc>
          <w:tcPr>
            <w:tcW w:type="dxa" w:w="1440"/>
            <w:shd w:fill="FAFAFA" w:val="clear"/>
          </w:tcPr>
          <w:p>
            <w:r>
              <w:rPr>
                <w:b/>
                <w:sz w:val="17"/>
              </w:rPr>
              <w:t>3,260</w:t>
            </w:r>
          </w:p>
        </w:tc>
        <w:tc>
          <w:tcPr>
            <w:tcW w:type="dxa" w:w="1440"/>
            <w:shd w:fill="FAFAFA" w:val="clear"/>
          </w:tcPr>
          <w:p>
            <w:r>
              <w:rPr>
                <w:sz w:val="17"/>
              </w:rPr>
              <w:t>3,436</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2026-09-23</w:t>
            </w:r>
          </w:p>
        </w:tc>
        <w:tc>
          <w:tcPr>
            <w:tcW w:type="dxa" w:w="1440"/>
            <w:shd w:fill="FAFAFA" w:val="clear"/>
          </w:tcPr>
          <w:p>
            <w:r>
              <w:rPr>
                <w:sz w:val="17"/>
              </w:rPr>
              <w:t>3,070</w:t>
            </w:r>
          </w:p>
        </w:tc>
        <w:tc>
          <w:tcPr>
            <w:tcW w:type="dxa" w:w="1440"/>
            <w:shd w:fill="FAFAFA" w:val="clear"/>
          </w:tcPr>
          <w:p>
            <w:r>
              <w:rPr>
                <w:b/>
                <w:sz w:val="17"/>
              </w:rPr>
              <w:t>3,263</w:t>
            </w:r>
          </w:p>
        </w:tc>
        <w:tc>
          <w:tcPr>
            <w:tcW w:type="dxa" w:w="1440"/>
            <w:shd w:fill="FAFAFA" w:val="clear"/>
          </w:tcPr>
          <w:p>
            <w:r>
              <w:rPr>
                <w:sz w:val="17"/>
              </w:rPr>
              <w:t>3,456</w:t>
            </w:r>
          </w:p>
        </w:tc>
        <w:tc>
          <w:tcPr>
            <w:tcW w:type="dxa" w:w="1440"/>
            <w:shd w:fill="FAFAFA" w:val="clear"/>
          </w:tcPr>
          <w:p>
            <w:r>
              <w:rPr>
                <w:b/>
                <w:color w:val="008000"/>
                <w:sz w:val="17"/>
              </w:rPr>
              <w:t>+1.0%</w:t>
            </w:r>
          </w:p>
        </w:tc>
      </w:tr>
      <w:tr>
        <w:tc>
          <w:tcPr>
            <w:tcW w:type="dxa" w:w="1440"/>
            <w:shd w:fill="FAFAFA" w:val="clear"/>
          </w:tcPr>
          <w:p>
            <w:r>
              <w:rPr>
                <w:sz w:val="17"/>
              </w:rPr>
              <w:t>J+7  Moyenne</w:t>
            </w:r>
          </w:p>
        </w:tc>
        <w:tc>
          <w:tcPr>
            <w:tcW w:type="dxa" w:w="1440"/>
            <w:shd w:fill="FAFAFA" w:val="clear"/>
          </w:tcPr>
          <w:p>
            <w:r>
              <w:rPr>
                <w:sz w:val="17"/>
              </w:rPr>
              <w:t>2026-09-24</w:t>
            </w:r>
          </w:p>
        </w:tc>
        <w:tc>
          <w:tcPr>
            <w:tcW w:type="dxa" w:w="1440"/>
            <w:shd w:fill="FAFAFA" w:val="clear"/>
          </w:tcPr>
          <w:p>
            <w:r>
              <w:rPr>
                <w:sz w:val="17"/>
              </w:rPr>
              <w:t>3,057</w:t>
            </w:r>
          </w:p>
        </w:tc>
        <w:tc>
          <w:tcPr>
            <w:tcW w:type="dxa" w:w="1440"/>
            <w:shd w:fill="FAFAFA" w:val="clear"/>
          </w:tcPr>
          <w:p>
            <w:r>
              <w:rPr>
                <w:b/>
                <w:sz w:val="17"/>
              </w:rPr>
              <w:t>3,265</w:t>
            </w:r>
          </w:p>
        </w:tc>
        <w:tc>
          <w:tcPr>
            <w:tcW w:type="dxa" w:w="1440"/>
            <w:shd w:fill="FAFAFA" w:val="clear"/>
          </w:tcPr>
          <w:p>
            <w:r>
              <w:rPr>
                <w:sz w:val="17"/>
              </w:rPr>
              <w:t>3,474</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2026-09-25</w:t>
            </w:r>
          </w:p>
        </w:tc>
        <w:tc>
          <w:tcPr>
            <w:tcW w:type="dxa" w:w="1440"/>
            <w:shd w:fill="FAFAFA" w:val="clear"/>
          </w:tcPr>
          <w:p>
            <w:r>
              <w:rPr>
                <w:sz w:val="17"/>
              </w:rPr>
              <w:t>3,045</w:t>
            </w:r>
          </w:p>
        </w:tc>
        <w:tc>
          <w:tcPr>
            <w:tcW w:type="dxa" w:w="1440"/>
            <w:shd w:fill="FAFAFA" w:val="clear"/>
          </w:tcPr>
          <w:p>
            <w:r>
              <w:rPr>
                <w:b/>
                <w:sz w:val="17"/>
              </w:rPr>
              <w:t>3,268</w:t>
            </w:r>
          </w:p>
        </w:tc>
        <w:tc>
          <w:tcPr>
            <w:tcW w:type="dxa" w:w="1440"/>
            <w:shd w:fill="FAFAFA" w:val="clear"/>
          </w:tcPr>
          <w:p>
            <w:r>
              <w:rPr>
                <w:sz w:val="17"/>
              </w:rPr>
              <w:t>3,491</w:t>
            </w:r>
          </w:p>
        </w:tc>
        <w:tc>
          <w:tcPr>
            <w:tcW w:type="dxa" w:w="1440"/>
            <w:shd w:fill="FAFAFA" w:val="clear"/>
          </w:tcPr>
          <w:p>
            <w:r>
              <w:rPr>
                <w:b/>
                <w:color w:val="008000"/>
                <w:sz w:val="17"/>
              </w:rPr>
              <w:t>+1.2%</w:t>
            </w:r>
          </w:p>
        </w:tc>
      </w:tr>
      <w:tr>
        <w:tc>
          <w:tcPr>
            <w:tcW w:type="dxa" w:w="1440"/>
            <w:shd w:fill="FAFAFA" w:val="clear"/>
          </w:tcPr>
          <w:p>
            <w:r>
              <w:rPr>
                <w:sz w:val="17"/>
              </w:rPr>
              <w:t>J+9  Moyenne</w:t>
            </w:r>
          </w:p>
        </w:tc>
        <w:tc>
          <w:tcPr>
            <w:tcW w:type="dxa" w:w="1440"/>
            <w:shd w:fill="FAFAFA" w:val="clear"/>
          </w:tcPr>
          <w:p>
            <w:r>
              <w:rPr>
                <w:sz w:val="17"/>
              </w:rPr>
              <w:t>2026-09-28</w:t>
            </w:r>
          </w:p>
        </w:tc>
        <w:tc>
          <w:tcPr>
            <w:tcW w:type="dxa" w:w="1440"/>
            <w:shd w:fill="FAFAFA" w:val="clear"/>
          </w:tcPr>
          <w:p>
            <w:r>
              <w:rPr>
                <w:sz w:val="17"/>
              </w:rPr>
              <w:t>3,033</w:t>
            </w:r>
          </w:p>
        </w:tc>
        <w:tc>
          <w:tcPr>
            <w:tcW w:type="dxa" w:w="1440"/>
            <w:shd w:fill="FAFAFA" w:val="clear"/>
          </w:tcPr>
          <w:p>
            <w:r>
              <w:rPr>
                <w:b/>
                <w:sz w:val="17"/>
              </w:rPr>
              <w:t>3,270</w:t>
            </w:r>
          </w:p>
        </w:tc>
        <w:tc>
          <w:tcPr>
            <w:tcW w:type="dxa" w:w="1440"/>
            <w:shd w:fill="FAFAFA" w:val="clear"/>
          </w:tcPr>
          <w:p>
            <w:r>
              <w:rPr>
                <w:sz w:val="17"/>
              </w:rPr>
              <w:t>3,507</w:t>
            </w:r>
          </w:p>
        </w:tc>
        <w:tc>
          <w:tcPr>
            <w:tcW w:type="dxa" w:w="1440"/>
            <w:shd w:fill="FAFAFA" w:val="clear"/>
          </w:tcPr>
          <w:p>
            <w:r>
              <w:rPr>
                <w:b/>
                <w:color w:val="008000"/>
                <w:sz w:val="17"/>
              </w:rPr>
              <w:t>+1.2%</w:t>
            </w:r>
          </w:p>
        </w:tc>
      </w:tr>
      <w:tr>
        <w:tc>
          <w:tcPr>
            <w:tcW w:type="dxa" w:w="1440"/>
            <w:shd w:fill="FAFAFA" w:val="clear"/>
          </w:tcPr>
          <w:p>
            <w:r>
              <w:rPr>
                <w:sz w:val="17"/>
              </w:rPr>
              <w:t>J+10  Moyenne</w:t>
            </w:r>
          </w:p>
        </w:tc>
        <w:tc>
          <w:tcPr>
            <w:tcW w:type="dxa" w:w="1440"/>
            <w:shd w:fill="FAFAFA" w:val="clear"/>
          </w:tcPr>
          <w:p>
            <w:r>
              <w:rPr>
                <w:sz w:val="17"/>
              </w:rPr>
              <w:t>2026-09-29</w:t>
            </w:r>
          </w:p>
        </w:tc>
        <w:tc>
          <w:tcPr>
            <w:tcW w:type="dxa" w:w="1440"/>
            <w:shd w:fill="FAFAFA" w:val="clear"/>
          </w:tcPr>
          <w:p>
            <w:r>
              <w:rPr>
                <w:sz w:val="17"/>
              </w:rPr>
              <w:t>3,023</w:t>
            </w:r>
          </w:p>
        </w:tc>
        <w:tc>
          <w:tcPr>
            <w:tcW w:type="dxa" w:w="1440"/>
            <w:shd w:fill="FAFAFA" w:val="clear"/>
          </w:tcPr>
          <w:p>
            <w:r>
              <w:rPr>
                <w:b/>
                <w:sz w:val="17"/>
              </w:rPr>
              <w:t>3,272</w:t>
            </w:r>
          </w:p>
        </w:tc>
        <w:tc>
          <w:tcPr>
            <w:tcW w:type="dxa" w:w="1440"/>
            <w:shd w:fill="FAFAFA" w:val="clear"/>
          </w:tcPr>
          <w:p>
            <w:r>
              <w:rPr>
                <w:sz w:val="17"/>
              </w:rPr>
              <w:t>3,522</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ORGT (ORAGROUP)</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224,21 milliards FCFA, ORGT se positionne parmi les valeurs bancaires de premier plan de la cote BRVM, ce qui traduit une liquidité et une visibilité institutionnelle non négligeables pour les investisseurs de la zone UEMOA. Le BPA de 312 FCFA par action signifie que chaque titre détenu génère un bénéfice net de 312 FCFA, un niveau qui, rapporté au cours actuel de 3 230 FCFA, aboutit à un PER de 10,4x — légèrement supérieur à la moyenne du marché BRVM (8-12x), mais qui reste dans une zone de valorisation raisonnable au regard du redressement spectaculaire des résultats 2025. Le P/B de 1,98x indique que le marché valorise la banque quasiment à deux fois sa valeur comptable (capitaux propres de 113,165 Mds FCFA), ce qui constitue une prime modérée justifiée par un ROE de 19,1% — bien supérieur au coût des fonds propres. En revanche, l'EV/EBITDA de 20,1x apparaît très exigeant (&gt;15x), signalant que la valeur d'entreprise intègre déjà une bonne partie du redressement attendu ; cet indicateur, moins pertinent pour une banque que le PER ou le P/B, invite néanmoins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ORGT affiche une variation totale quasi stable de -1,97%, avec une dernière séance en repli de -0,62%, ce qui traduit une phase de consolidation après le rebond technique observé depuis le point bas. Le titre a évolué dans un range très large de 1 040 FCFA, entre un plus bas de 2 435 FCFA et un plus haut de 3 475 FCFA, matérialisant une volatilité intra-période significative malgré la stabilité globale de la performance. La tendance générale demeure haussière sur le fond (cours actuel de 3 230 FCFA nettement au-dessus de la moyenne de 2 910 FCFA), mais marque une pause après le rallye qui a porté le titre vers ses sommets. Les statistiques descriptives révèlent une moyenne (2 910 FCFA) supérieure à la médiane (2 780 FCFA), signe d'une légère asymétrie positive, confirmée par un skewness de 0,281 (distribution symétrique à tendance droite) ; le mode à 2 680 FCFA indique que le prix le plus fréquemment traité se situe en dessous de la moyenne, ce qui suggère que les hausses ont été brèves et concentrées. L'écart-type de 269 FCFA (CV = 9,2%) traduit une dispersion modérée du cours, tandis que le kurtosis négatif (-1,335, distribution platykurtique) indique une faible concentration des rendements autour de la moyenne et donc un risque de pics moins prononcé qu'une distribution normale. La volatilité annualisée de 43,2% classe le titre dans la catégorie **élevée** (&gt;30%), ce qui est cohérent avec une valeur bancaire en phase de redressement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(3 215 FCFA) et la MM50 (3 005 FCFA) se situent toutes deux en dessous du cours actuel (3 230 FCFA), avec une MM20 supérieure à la MM50, configuration typique d'un croisement haussier (golden cross) confirmant la dynamique positive de moyen terme. Le cours évoluant au-dessus de ses deux moyennes, la décision technique fournie est logiquement **Achat**, bien que l'écart réduit entre le cours et la MM20 (0,5%) suggère une proximité de zone de résistance dynamique.</w:t>
      </w:r>
    </w:p>
    <w:p>
      <w:pPr>
        <w:spacing w:after="120" w:line="276" w:lineRule="auto"/>
      </w:pPr>
      <w:r>
        <w:t>**Bandes de Bollinger** — Le cours (3 230 FCFA) se situe dans la partie haute du canal, entre la borne inférieure (3 028,76 FCFA) et la borne supérieure (3 401,24 FCFA), sans en approcher les extrêmes, ce qui traduit une volatilité en cours de normalisation. La largeur du canal (372 FCFA, soit ~11,5% du cours) reste modérée, et la position centrale du titre justifie la décision **Neutre** : ni signal de surachat, ni opportunité de survente.</w:t>
      </w:r>
    </w:p>
    <w:p>
      <w:pPr>
        <w:spacing w:after="120" w:line="276" w:lineRule="auto"/>
      </w:pPr>
      <w:r>
        <w:t>**MACD** — La valeur du MACD (70,798) est inférieure à sa ligne de signal (84,741), configuration baissière qui indique un essoufflement du momentum haussier malgré un MACD encore positif. Cette divergence négative, bien que modérée, justifie la décision **Vente** à court terme et suggère que la pression acheteuse s'amenuise après le rallye.</w:t>
      </w:r>
    </w:p>
    <w:p>
      <w:pPr>
        <w:spacing w:after="120" w:line="276" w:lineRule="auto"/>
      </w:pPr>
      <w:r>
        <w:t>**RSI** — À 53,211, le RSI se situe parfaitement dans la zone neutre (30-70), sans signal de surachat (&gt;70) ni de survente (&lt;30). Cette position médiane confirme la décision **Neutre** et indique que le titre dispose d'un potentiel de mouvement dans les deux sens sans contrainte technique immédiate.</w:t>
      </w:r>
    </w:p>
    <w:p>
      <w:pPr>
        <w:spacing w:after="120" w:line="276" w:lineRule="auto"/>
      </w:pPr>
      <w:r>
        <w:t>**Stochastique** — Le %K (30,612) et le %D (29,932) évoluent tous deux en zone basse (proche de 30), avec un %K légèrement supérieur au %D, ce qui pourrait annoncer un croisement haussier imminent si la dynamique se confirme. La décision fournie reste toutefois **Neutre**, le signal n'étant pas encore validé par une remontée franche au-dessus de 20-30.</w:t>
      </w:r>
    </w:p>
    <w:p>
      <w:pPr>
        <w:spacing w:after="120" w:line="276" w:lineRule="auto"/>
      </w:pPr>
      <w:r>
        <w:t>**Conclusion technique** — Les indicateurs présentent un tableau **mitigé** : les moyennes mobiles valident une tendance haussière de fond (Achat), mais le MACD en divergence baissière (Vente) et le positionnement neutre du RSI, des Bollinger et du stochastique suggèrent une phase de consolidation. Le titre se trouve à un point d'équilibre technique, avec un avantage structurel aux acheteurs tant que le cours se maintient au-dessus de la MM50 (3 005 FCFA), mais sans catalyseur technique immédiat pour une accélération.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affiche un Produit Net Bancaire (équivalent du chiffre d'affaires pour une banque) de 186,609 Mds FCFA, en recul de -4,52% sur un an, et un résultat net consolidé de 21,643 Mds FCFA, marquant un retournement spectaculaire après la perte de -44,363 Mds FCFA en 2024. La rentabilité des fonds propres (ROE) s'établit à 19,13% — niveau excellent (&gt;15%) — tandis que le ROA reste faible à 0,54%, caractéristique du modèle bancaire à fort levier. Le coefficient d'exploitation de 42,85% place ORGT parmi les banques les plus efficaces (&lt;50% = excellente), et le coût du risque rapporté aux charges financières (3,74%) demeure contenu, signe d'un portefeuille de crédit assaini. La structure bilancielle montre une transformation saine : 3 088,70 Mds FCFA de dépôts clientèle pour 1 523,77 Mds FCFA de créances nettes, soit un ratio de transformation de ~49%, avec une autonomie financière faible (2,82%) mais une solvabilité générale assurée (102,90%).</w:t>
      </w:r>
    </w:p>
    <w:p>
      <w:pPr>
        <w:spacing w:after="120" w:line="276" w:lineRule="auto"/>
      </w:pPr>
      <w:r>
        <w:t>**Évolution temporelle et estimations issues des rapports trimestriels** — Les rapports narratifs confirment la trajectoire : le T1 2025 (31/03/2025) affichait un PNB de 51,1 Mds FCFA (-2%) et un résultat net de 4,8 Mds FCFA (+259%) ; le S1 2025 (30/06/2025, certifié) un PNB de 99,7 Mds FCFA (-2%) et un résultat net de 18,3 Mds FCFA (+232%) ; le T3 2025 (30/09/2025) un PNB cumulé de 152,6 Mds FCFA (-4%) et un résultat net de 19,6 Mds FCFA (+248%). Le rapport T1 2026 (publié en 2026) montre un PNB de 50,124 Mds FCFA (-2%) mais un résultat net de 6,555 Mds FCFA (+37%), avec des dépôts clientèle en hausse de 14% à 3 343 Mds FCFA et des frais généraux en recul de 44% — **on estime donc que l'exercice 2026 devrait consolider le redressement avec un résultat net annuel potentiellement supérieur à 25 Mds FCFA**, porté par la maîtrise des coûts et la croissance des dépôts, même si la pression sur le PNB persiste. Le rapport d'AG mixte (03/07/2026) confirme l'absence de dividende au titre de 2025 (perte sociale de -8,04 Mds FCFA au niveau de la holding), mais valide le renforcement des capitaux propres (+17% à 113,165 Mds FCFA) et une délégation d'augmentation de capital jusqu'à 160 Mds FCFA, gage de solidité future.</w:t>
      </w:r>
    </w:p>
    <w:p>
      <w:pPr>
        <w:spacing w:after="120" w:line="276" w:lineRule="auto"/>
      </w:pPr>
      <w:r>
        <w:t>**Recommandation fondamentale** — La solidité financière d'ORGT est **avérée** (ROE 19,1%, coefficient d'exploitation 42,9%, coût du risque maîtrisé), mais les risques persistent : baisse structurelle du PNB (-4,5% en 2025, -2% au T1 2026), dépendance à la normalisation du coût du risque, et absence de dividende. La recommandation fondamentale est **CONSERVER**, avec un biais positif si la reprise du PNB se confirme au S2 2026.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**raisonnable mais sans décote excessive** : PER de 10,4x légèrement supérieur à la moyenne BRVM, P/B de 1,98x justifié par un ROE de 19,1%, mais EV/EBITDA de 20,1x très exigeant qui limite le potentiel de revalorisation à court terme. Le comportement du cours (Partie 1) est **globalement favorable** : tendance haussière de fond (cours &gt; moyenne), skewness positif (0,281) et kurtosis négatif (-1,335) indiquant une distribution sans pics extrêmes, mais la volatilité annualisée de 43,2% et la variation quasi nulle sur 100 jours signalent une phase de consolidation à risque modéré-élevé. Les signaux techniques (Partie 2) sont **divergents** : les moyennes mobiles valident l'achat (golden cross), mais le MACD en divergence baissière et les indicateurs neutres (RSI, Bollinger, Stochastique) plaident pour une pause, sans signal de retournement franc. Les fondamentaux (Partie 3) sont **solides mais perfectibles** : redressement spectaculaire du résultat net (21,6 Mds FCFA en 2025), ROE excellent (19,1%), coefficient d'exploitation remarquable (42,9%), mais PNB en repli et absence de dividende ; les estimations issues du T1 2026 (+37% de résultat net) suggèrent une poursuite de l'amélioration. Les prédictions IA (J+1 à J+10) anticipent une **légère hausse** de 3 247 à 3 260 FCFA (+0,9% sur 10 jours), ce qui **confirme** la tendance haussière de fond sans signaler d'accélération majeure.</w:t>
      </w:r>
    </w:p>
    <w:p>
      <w:pPr>
        <w:spacing w:after="120" w:line="276" w:lineRule="auto"/>
      </w:pPr>
      <w:r>
        <w:t>**Recommandation finale : CONSERVER** — La convergence entre valorisation raisonnable, fondamentaux en redressement, technique haussière de fond et prédictions légèrement positives justifie une position conservée, mais l'absence de catalyseur immédiat (MACD baissier, PNB en repli, pas de dividende) exclut un achat agressif. **Niveau de confiance : Moyen** (les signaux sont cohérents mais sans forte conviction directionnelle). **Niveau de risque global : Moyen à Élevé** (volatilité 43,2%, dépendance à la normalisation du risque crédit, contexte macroéconomique incertain). **Horizon d'investissement optimal : Moyen terme (3-12 mois)**, le temps que la reprise du PNB se matérialise et que le marché valide la pérennité du redressement opérationnel.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132.95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3,823 titres</w:t>
            </w:r>
          </w:p>
        </w:tc>
        <w:tc>
          <w:tcPr>
            <w:tcW w:type="dxa" w:w="2268"/>
            <w:shd w:fill="FFF2CC" w:val="clear"/>
          </w:tcPr>
          <w:p>
            <w:r>
              <w:rPr>
                <w:b/>
                <w:color w:val="503200"/>
                <w:sz w:val="16"/>
              </w:rPr>
              <w:t xml:space="preserve">Cours actuel : </w:t>
            </w:r>
            <w:r>
              <w:rPr>
                <w:color w:val="000000"/>
                <w:sz w:val="17"/>
              </w:rPr>
              <w:t>8,600 FCFA</w:t>
            </w:r>
          </w:p>
          <w:p>
            <w:r>
              <w:rPr>
                <w:b/>
                <w:color w:val="503200"/>
                <w:sz w:val="16"/>
              </w:rPr>
              <w:t xml:space="preserve">Var. 100 jours : </w:t>
            </w:r>
            <w:r>
              <w:rPr>
                <w:b/>
                <w:color w:val="007800"/>
                <w:sz w:val="17"/>
              </w:rPr>
              <w:t>+6.70%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6.62% (Moyenne) — μ=8,547 FCFA, σ=566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β=-0.3092 (Contre-cyclique) — Cov=-0.000011, Var(idx)=0.000035, ρ=-0.076,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3,823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8,278</w:t>
            </w:r>
          </w:p>
        </w:tc>
        <w:tc>
          <w:tcPr>
            <w:tcW w:type="dxa" w:w="1440"/>
            <w:shd w:fill="FAFAFA" w:val="clear"/>
          </w:tcPr>
          <w:p>
            <w:r>
              <w:rPr>
                <w:b/>
                <w:sz w:val="17"/>
              </w:rPr>
              <w:t>8,523</w:t>
            </w:r>
          </w:p>
        </w:tc>
        <w:tc>
          <w:tcPr>
            <w:tcW w:type="dxa" w:w="1440"/>
            <w:shd w:fill="FAFAFA" w:val="clear"/>
          </w:tcPr>
          <w:p>
            <w:r>
              <w:rPr>
                <w:sz w:val="17"/>
              </w:rPr>
              <w:t>8,767</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8,172</w:t>
            </w:r>
          </w:p>
        </w:tc>
        <w:tc>
          <w:tcPr>
            <w:tcW w:type="dxa" w:w="1440"/>
            <w:shd w:fill="FAFAFA" w:val="clear"/>
          </w:tcPr>
          <w:p>
            <w:r>
              <w:rPr>
                <w:b/>
                <w:sz w:val="17"/>
              </w:rPr>
              <w:t>8,518</w:t>
            </w:r>
          </w:p>
        </w:tc>
        <w:tc>
          <w:tcPr>
            <w:tcW w:type="dxa" w:w="1440"/>
            <w:shd w:fill="FAFAFA" w:val="clear"/>
          </w:tcPr>
          <w:p>
            <w:r>
              <w:rPr>
                <w:sz w:val="17"/>
              </w:rPr>
              <w:t>8,864</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8,077</w:t>
            </w:r>
          </w:p>
        </w:tc>
        <w:tc>
          <w:tcPr>
            <w:tcW w:type="dxa" w:w="1440"/>
            <w:shd w:fill="FAFAFA" w:val="clear"/>
          </w:tcPr>
          <w:p>
            <w:r>
              <w:rPr>
                <w:b/>
                <w:sz w:val="17"/>
              </w:rPr>
              <w:t>8,500</w:t>
            </w:r>
          </w:p>
        </w:tc>
        <w:tc>
          <w:tcPr>
            <w:tcW w:type="dxa" w:w="1440"/>
            <w:shd w:fill="FAFAFA" w:val="clear"/>
          </w:tcPr>
          <w:p>
            <w:r>
              <w:rPr>
                <w:sz w:val="17"/>
              </w:rPr>
              <w:t>8,922</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2026-09-21</w:t>
            </w:r>
          </w:p>
        </w:tc>
        <w:tc>
          <w:tcPr>
            <w:tcW w:type="dxa" w:w="1440"/>
            <w:shd w:fill="FAFAFA" w:val="clear"/>
          </w:tcPr>
          <w:p>
            <w:r>
              <w:rPr>
                <w:sz w:val="17"/>
              </w:rPr>
              <w:t>7,995</w:t>
            </w:r>
          </w:p>
        </w:tc>
        <w:tc>
          <w:tcPr>
            <w:tcW w:type="dxa" w:w="1440"/>
            <w:shd w:fill="FAFAFA" w:val="clear"/>
          </w:tcPr>
          <w:p>
            <w:r>
              <w:rPr>
                <w:b/>
                <w:sz w:val="17"/>
              </w:rPr>
              <w:t>8,481</w:t>
            </w:r>
          </w:p>
        </w:tc>
        <w:tc>
          <w:tcPr>
            <w:tcW w:type="dxa" w:w="1440"/>
            <w:shd w:fill="FAFAFA" w:val="clear"/>
          </w:tcPr>
          <w:p>
            <w:r>
              <w:rPr>
                <w:sz w:val="17"/>
              </w:rPr>
              <w:t>8,968</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2026-09-22</w:t>
            </w:r>
          </w:p>
        </w:tc>
        <w:tc>
          <w:tcPr>
            <w:tcW w:type="dxa" w:w="1440"/>
            <w:shd w:fill="FAFAFA" w:val="clear"/>
          </w:tcPr>
          <w:p>
            <w:r>
              <w:rPr>
                <w:sz w:val="17"/>
              </w:rPr>
              <w:t>7,921</w:t>
            </w:r>
          </w:p>
        </w:tc>
        <w:tc>
          <w:tcPr>
            <w:tcW w:type="dxa" w:w="1440"/>
            <w:shd w:fill="FAFAFA" w:val="clear"/>
          </w:tcPr>
          <w:p>
            <w:r>
              <w:rPr>
                <w:b/>
                <w:sz w:val="17"/>
              </w:rPr>
              <w:t>8,465</w:t>
            </w:r>
          </w:p>
        </w:tc>
        <w:tc>
          <w:tcPr>
            <w:tcW w:type="dxa" w:w="1440"/>
            <w:shd w:fill="FAFAFA" w:val="clear"/>
          </w:tcPr>
          <w:p>
            <w:r>
              <w:rPr>
                <w:sz w:val="17"/>
              </w:rPr>
              <w:t>9,008</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2026-09-23</w:t>
            </w:r>
          </w:p>
        </w:tc>
        <w:tc>
          <w:tcPr>
            <w:tcW w:type="dxa" w:w="1440"/>
            <w:shd w:fill="FAFAFA" w:val="clear"/>
          </w:tcPr>
          <w:p>
            <w:r>
              <w:rPr>
                <w:sz w:val="17"/>
              </w:rPr>
              <w:t>7,855</w:t>
            </w:r>
          </w:p>
        </w:tc>
        <w:tc>
          <w:tcPr>
            <w:tcW w:type="dxa" w:w="1440"/>
            <w:shd w:fill="FAFAFA" w:val="clear"/>
          </w:tcPr>
          <w:p>
            <w:r>
              <w:rPr>
                <w:b/>
                <w:sz w:val="17"/>
              </w:rPr>
              <w:t>8,449</w:t>
            </w:r>
          </w:p>
        </w:tc>
        <w:tc>
          <w:tcPr>
            <w:tcW w:type="dxa" w:w="1440"/>
            <w:shd w:fill="FAFAFA" w:val="clear"/>
          </w:tcPr>
          <w:p>
            <w:r>
              <w:rPr>
                <w:sz w:val="17"/>
              </w:rPr>
              <w:t>9,043</w:t>
            </w:r>
          </w:p>
        </w:tc>
        <w:tc>
          <w:tcPr>
            <w:tcW w:type="dxa" w:w="1440"/>
            <w:shd w:fill="FAFAFA" w:val="clear"/>
          </w:tcPr>
          <w:p>
            <w:r>
              <w:rPr>
                <w:b/>
                <w:color w:val="C00000"/>
                <w:sz w:val="17"/>
              </w:rPr>
              <w:t>-1.8%</w:t>
            </w:r>
          </w:p>
        </w:tc>
      </w:tr>
      <w:tr>
        <w:tc>
          <w:tcPr>
            <w:tcW w:type="dxa" w:w="1440"/>
            <w:shd w:fill="FAFAFA" w:val="clear"/>
          </w:tcPr>
          <w:p>
            <w:r>
              <w:rPr>
                <w:sz w:val="17"/>
              </w:rPr>
              <w:t>J+7  Moyenne</w:t>
            </w:r>
          </w:p>
        </w:tc>
        <w:tc>
          <w:tcPr>
            <w:tcW w:type="dxa" w:w="1440"/>
            <w:shd w:fill="FAFAFA" w:val="clear"/>
          </w:tcPr>
          <w:p>
            <w:r>
              <w:rPr>
                <w:sz w:val="17"/>
              </w:rPr>
              <w:t>2026-09-24</w:t>
            </w:r>
          </w:p>
        </w:tc>
        <w:tc>
          <w:tcPr>
            <w:tcW w:type="dxa" w:w="1440"/>
            <w:shd w:fill="FAFAFA" w:val="clear"/>
          </w:tcPr>
          <w:p>
            <w:r>
              <w:rPr>
                <w:sz w:val="17"/>
              </w:rPr>
              <w:t>7,793</w:t>
            </w:r>
          </w:p>
        </w:tc>
        <w:tc>
          <w:tcPr>
            <w:tcW w:type="dxa" w:w="1440"/>
            <w:shd w:fill="FAFAFA" w:val="clear"/>
          </w:tcPr>
          <w:p>
            <w:r>
              <w:rPr>
                <w:b/>
                <w:sz w:val="17"/>
              </w:rPr>
              <w:t>8,433</w:t>
            </w:r>
          </w:p>
        </w:tc>
        <w:tc>
          <w:tcPr>
            <w:tcW w:type="dxa" w:w="1440"/>
            <w:shd w:fill="FAFAFA" w:val="clear"/>
          </w:tcPr>
          <w:p>
            <w:r>
              <w:rPr>
                <w:sz w:val="17"/>
              </w:rPr>
              <w:t>9,074</w:t>
            </w:r>
          </w:p>
        </w:tc>
        <w:tc>
          <w:tcPr>
            <w:tcW w:type="dxa" w:w="1440"/>
            <w:shd w:fill="FAFAFA" w:val="clear"/>
          </w:tcPr>
          <w:p>
            <w:r>
              <w:rPr>
                <w:b/>
                <w:color w:val="C00000"/>
                <w:sz w:val="17"/>
              </w:rPr>
              <w:t>-1.9%</w:t>
            </w:r>
          </w:p>
        </w:tc>
      </w:tr>
      <w:tr>
        <w:tc>
          <w:tcPr>
            <w:tcW w:type="dxa" w:w="1440"/>
            <w:shd w:fill="FFDCE0" w:val="clear"/>
          </w:tcPr>
          <w:p>
            <w:r>
              <w:rPr>
                <w:sz w:val="17"/>
              </w:rPr>
              <w:t>J+8  Moyenne</w:t>
            </w:r>
          </w:p>
        </w:tc>
        <w:tc>
          <w:tcPr>
            <w:tcW w:type="dxa" w:w="1440"/>
            <w:shd w:fill="FFDCE0" w:val="clear"/>
          </w:tcPr>
          <w:p>
            <w:r>
              <w:rPr>
                <w:sz w:val="17"/>
              </w:rPr>
              <w:t>2026-09-25</w:t>
            </w:r>
          </w:p>
        </w:tc>
        <w:tc>
          <w:tcPr>
            <w:tcW w:type="dxa" w:w="1440"/>
            <w:shd w:fill="FFDCE0" w:val="clear"/>
          </w:tcPr>
          <w:p>
            <w:r>
              <w:rPr>
                <w:sz w:val="17"/>
              </w:rPr>
              <w:t>7,735</w:t>
            </w:r>
          </w:p>
        </w:tc>
        <w:tc>
          <w:tcPr>
            <w:tcW w:type="dxa" w:w="1440"/>
            <w:shd w:fill="FFDCE0" w:val="clear"/>
          </w:tcPr>
          <w:p>
            <w:r>
              <w:rPr>
                <w:b/>
                <w:sz w:val="17"/>
              </w:rPr>
              <w:t>8,418</w:t>
            </w:r>
          </w:p>
        </w:tc>
        <w:tc>
          <w:tcPr>
            <w:tcW w:type="dxa" w:w="1440"/>
            <w:shd w:fill="FFDCE0" w:val="clear"/>
          </w:tcPr>
          <w:p>
            <w:r>
              <w:rPr>
                <w:sz w:val="17"/>
              </w:rPr>
              <w:t>9,101</w:t>
            </w:r>
          </w:p>
        </w:tc>
        <w:tc>
          <w:tcPr>
            <w:tcW w:type="dxa" w:w="1440"/>
            <w:shd w:fill="FFDCE0" w:val="clear"/>
          </w:tcPr>
          <w:p>
            <w:r>
              <w:rPr>
                <w:b/>
                <w:color w:val="C00000"/>
                <w:sz w:val="17"/>
              </w:rPr>
              <w:t>-2.1%</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7,680</w:t>
            </w:r>
          </w:p>
        </w:tc>
        <w:tc>
          <w:tcPr>
            <w:tcW w:type="dxa" w:w="1440"/>
            <w:shd w:fill="FFDCE0" w:val="clear"/>
          </w:tcPr>
          <w:p>
            <w:r>
              <w:rPr>
                <w:b/>
                <w:sz w:val="17"/>
              </w:rPr>
              <w:t>8,403</w:t>
            </w:r>
          </w:p>
        </w:tc>
        <w:tc>
          <w:tcPr>
            <w:tcW w:type="dxa" w:w="1440"/>
            <w:shd w:fill="FFDCE0" w:val="clear"/>
          </w:tcPr>
          <w:p>
            <w:r>
              <w:rPr>
                <w:sz w:val="17"/>
              </w:rPr>
              <w:t>9,127</w:t>
            </w:r>
          </w:p>
        </w:tc>
        <w:tc>
          <w:tcPr>
            <w:tcW w:type="dxa" w:w="1440"/>
            <w:shd w:fill="FFDCE0" w:val="clear"/>
          </w:tcPr>
          <w:p>
            <w:r>
              <w:rPr>
                <w:b/>
                <w:color w:val="C00000"/>
                <w:sz w:val="17"/>
              </w:rPr>
              <w:t>-2.3%</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7,627</w:t>
            </w:r>
          </w:p>
        </w:tc>
        <w:tc>
          <w:tcPr>
            <w:tcW w:type="dxa" w:w="1440"/>
            <w:shd w:fill="FFDCE0" w:val="clear"/>
          </w:tcPr>
          <w:p>
            <w:r>
              <w:rPr>
                <w:b/>
                <w:sz w:val="17"/>
              </w:rPr>
              <w:t>8,389</w:t>
            </w:r>
          </w:p>
        </w:tc>
        <w:tc>
          <w:tcPr>
            <w:tcW w:type="dxa" w:w="1440"/>
            <w:shd w:fill="FFDCE0" w:val="clear"/>
          </w:tcPr>
          <w:p>
            <w:r>
              <w:rPr>
                <w:sz w:val="17"/>
              </w:rPr>
              <w:t>9,150</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 RAPPORT D'ANALYSE FINANCIÈRE — PALC (PALMCI S.A.)</w:t>
        <w:br/>
        <w:t>## Bourse Régionale des Valeurs Mobilières (BRVM) — Côte d'Ivoire</w:t>
        <w:br/>
        <w:t>### Secteur : Agro-industrie (Huile de palme)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**132,95 milliards FCFA**, PALC se positionne parmi les valeurs moyennes-capitalisations de la BRVM, ce qui lui confère une liquidité correcte mais inférieure aux blue chips du marché. Le BPA de **1 003 FCFA/action** pour 2025 signifie que chaque action génère environ 1 003 FCFA de bénéfice net, un niveau confortable qui traduit la capacité bénéficiaire de l'entreprise. Le PER de **8,6x** est inférieur à la moyenne BRVM (8-12x), suggérant une sous-évaluation potentielle du titre par rapport à ses pairs. Le P/B de **0,93x** (&lt; 1) indique que le marché valorise PALC en dessous de sa valeur comptable — une anomalie souvent considérée comme une opportunité d'investissement, surtout pour une entreprise dont les capitaux propres atteignent 142,6 Mds FCFA. Enfin, l'EV/EBITDA de **4,2x** (&lt; 5x) confirme que la valeur d'entreprise (incluant la dette) est très bon marché par rapport à la capacité opérationnelle de génération de cash, ce qui renforce le signal d'une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PALC a progressé de **+6,70%**, clôturant à **8 600 FCFA** avec une variation nulle sur la dernière séance (J-1 : +0,00%), signe d'une stabilisation après une phase de mouvement. Le range de trading s'étend de **7 000 FCFA** (plus bas) à **9 640 FCFA** (plus haut), soit une amplitude de 37,7% qui traduit une réelle volatilité intra-période. La tendance générale est haussière mais avec des corrections marquées, le cours actuel (8 600 FCFA) se situant en milieu de range, légèrement sous la moyenne (8 547 FCFA). Les statistiques descriptives révèlent une **moyenne de 8 547 FCFA** proche de la **médiane de 8 690 FCFA**, avec un léger écart suggérant une distribution quasi-symétrique, confirmée par un **skewness de -0,414** (asymétrie négative modérée). L'**écart-type de 569 FCFA** (CV = 6,7%) indique une dispersion modérée autour de la moyenne, tandis que le **kurtosis de -0,447** (mésokurtique) signifie que la distribution est proche d'une loi normale, sans risque excessif de pics extrêmes. La **volatilité annualisée de 37,7%** classe PALC dans la catégorie des titres à volatilité élevée (&gt;30%), ce qui implique un risque de prix significatif mais aussi des opportunités de trading.</w:t>
      </w:r>
    </w:p>
    <w:p>
      <w:pPr>
        <w:spacing w:after="120" w:line="276" w:lineRule="auto"/>
      </w:pPr>
      <w:r>
        <w:t>---</w:t>
      </w:r>
    </w:p>
    <w:p>
      <w:pPr>
        <w:spacing w:after="120" w:line="276" w:lineRule="auto"/>
      </w:pPr>
      <w:r>
        <w:t>## PARTIE 2 : ANALYSE TECHNIQUE DÉTAILLÉE</w:t>
      </w:r>
    </w:p>
    <w:p>
      <w:pPr>
        <w:spacing w:after="120" w:line="276" w:lineRule="auto"/>
      </w:pPr>
      <w:r>
        <w:t>**Moyennes Mobiles** : La MM20 (9 045,5 FCFA) et la MM50 (8 935,4 FCFA) se situent toutes deux au-dessus du cours actuel (8 600 FCFA), ce qui place le titre en position baissière à court terme par rapport à ses moyennes. Cependant, la MM20 &gt; MM50 indique une structure haussière de fond, justifiant la décision **Achat** (signal de tendance moyen terme).</w:t>
      </w:r>
    </w:p>
    <w:p>
      <w:pPr>
        <w:spacing w:after="120" w:line="276" w:lineRule="auto"/>
      </w:pPr>
      <w:r>
        <w:t>**Bandes de Bollinger** : Le cours (8 600 FCFA) évolue dans la partie basse de la bande (borne inférieure : 8 136,2 FCFA ; borne supérieure : 9 954,8 FCFA), à environ 25% de la largeur. Cette position suggère une pression vendeuse récente mais sans rupture, la décision **Neutre** reflétant l'absence de signal directionnel fort.</w:t>
      </w:r>
    </w:p>
    <w:p>
      <w:pPr>
        <w:spacing w:after="120" w:line="276" w:lineRule="auto"/>
      </w:pPr>
      <w:r>
        <w:t>**MACD** : La valeur du MACD (-160,3) est inférieure à son signal (-73,9), avec un histogramme négatif — configuration baissière qui indique un momentum négatif. La décision **Vente** est cohérente avec cette divergence baissière, bien que l'écart se réduise.</w:t>
      </w:r>
    </w:p>
    <w:p>
      <w:pPr>
        <w:spacing w:after="120" w:line="276" w:lineRule="auto"/>
      </w:pPr>
      <w:r>
        <w:t>**RSI** : À **35,52**, le RSI se situe dans la zone neutre basse (30-70), proche de la survente (30). Cela suggère que le titre pourrait être survendu à court terme, avec un potentiel de rebond, justifiant la décision **Neutre**.</w:t>
      </w:r>
    </w:p>
    <w:p>
      <w:pPr>
        <w:spacing w:after="120" w:line="276" w:lineRule="auto"/>
      </w:pPr>
      <w:r>
        <w:t>**Stochastique** : Le %K (27,3) est supérieur au %D (18,2), avec un croisement récent en zone basse (&lt;20), signal potentiel de retournement haussier. La décision **Neutre** reflète l'attente de confirmation.</w:t>
      </w:r>
    </w:p>
    <w:p>
      <w:pPr>
        <w:spacing w:after="120" w:line="276" w:lineRule="auto"/>
      </w:pPr>
      <w:r>
        <w:t>**Conclusion technique** : Les indicateurs sont majoritairement baissiers à court terme (MACD, position sous les MM), mais les signaux de survente (RSI, Stochastique) et la structure haussière des MM suggèrent un possible rebond. La convergence n'est pas totale, ce qui plaide pour une **prudence** avec un biais haussier à moyen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PALC a réalisé un chiffre d'affaires de **197,63 Mds FCFA**, en croissance de **+14,78%** par rapport à 2024 (172,2 Mds FCFA), portée par la hausse des volumes et des prix de l'huile de palme. Le résultat net s'établit à **15,51 Mds FCFA**, en légère baisse de -2,2% vs 2024 (15,9 Mds FCFA), avec une **marge nette de 7,85%** (contre 9,2% en 2024). Le **ROE de 10,87%** et le **ROA de 7,79%** restent corrects mais en retrait, reflétant la pression sur les coûts. La structure financière est très saine : **autonomie financière de 71,64%**, **endettement quasi nul** (dettes financières de 796,6 M FCFA), et **liquidité générale de 171,95%**. Le **BFR de 44,62 Mds FCFA** est positif (défavorable), avec un **délai client élevé de 142,58 jours** — un point de vigilance pour la trésorerie, bien que la trésorerie nette soit négative (-4,56 Mds FCFA).</w:t>
      </w:r>
    </w:p>
    <w:p>
      <w:pPr>
        <w:spacing w:after="120" w:line="276" w:lineRule="auto"/>
      </w:pPr>
      <w:r>
        <w:t>**Estimations basées sur les rapports trimestriels** : Le rapport **T1 2026** (publié en 2026) fait état d'un chiffre d'affaires en baisse de **-27%** à 49,4 Mds FCFA et d'un résultat net en chute de **-86%** à 1,6 Md FCFA, que la direction attribue à un décalage temporel des ventes. Sur la base de ce T1 2026, on estime que l'exercice 2026 pourrait être nettement moins bon que 2025 si le redressement attendu au T2/T3 ne se matérialise pas. À l'inverse, le rapport **T3 2025** (cumul 9 mois) affichait un CA de 168,9 Mds FCFA (+18%) et un résultat net de 18,0 Mds FCFA (+11%), confirmant la dynamique positive de 2025 avant le trou d'air de 2026. Le rapport **S1 2025** (certifié) montrait un résultat net de 22,9 Mds FCFA (+37%), avec une marge nette de 17,0% — des niveaux exceptionnels qui n'ont pas été maintenus au S2 2025.</w:t>
      </w:r>
    </w:p>
    <w:p>
      <w:pPr>
        <w:spacing w:after="120" w:line="276" w:lineRule="auto"/>
      </w:pPr>
      <w:r>
        <w:t>**Évolution pluriannuelle** : Entre 2021 (résultat net de 42,5 Mds FCFA, marge nette de 21,7%) et 2025 (15,5 Mds FCFA, marge nette de 7,8%), la rentabilité s'est fortement dégradée, malgré un CA en hausse. Cette érosion des marges s'explique par la hausse des coûts (personnel +4%, services extérieurs +30,3%, impôts +56,8%) et la volatilité des cours de l'huile de palme.</w:t>
      </w:r>
    </w:p>
    <w:p>
      <w:pPr>
        <w:spacing w:after="120" w:line="276" w:lineRule="auto"/>
      </w:pPr>
      <w:r>
        <w:t>**Recommandation fondamentale** : PALC reste un acteur solide avec une structure financière exemplaire, mais la dégradation des marges et le trou d'air du T1 2026 constituent des risques majeurs. La recommandation est **CONSERVER** avec une surveillance active des prochains trimestres.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**En valorisation (Partie 0)**, les ratios PER (8,6x), P/B (0,93x) et EV/EBITDA (4,2x) indiquent une sous-évaluation manifeste, offrant une marge de sécurité intéressante. **Le comportement du cours (Partie 1)** montre une tendance haussière sur 100 jours (+6,70%) mais avec une volatilité élevée (37,7%) et une distribution symétrique (skewness -0,414, kurtosis -0,447), sans risque extrême de pics. **Les signaux techniques (Partie 2)** sont mitigés : baissiers à court terme (MACD, position sous les MM) mais avec des signaux de survente (RSI 35,5, Stochastique) qui pourraient annoncer un rebond. **Les fondamentaux (Partie 3)** sont solides (structure financière, autonomie, faible endettement) mais entachés par la dégradation des marges et l'effondrement du T1 2026 (-86% de résultat net), qui contredit les prévisions optimistes de la direction. **Les prédictions IA (J+1 à J+10)** anticipent une légère baisse vers 8 465-8 523 FCFA, confirmant la pression baissière à court terme sans effondrement.</w:t>
      </w:r>
    </w:p>
    <w:p>
      <w:pPr>
        <w:spacing w:after="120" w:line="276" w:lineRule="auto"/>
      </w:pPr>
      <w:r>
        <w:t>**Recommandation finale : CONSERVER** — Justification : la convergence entre une valorisation attractive (sous-évaluation), une structure financière solide et des signaux techniques de survente plaide pour ne pas vendre, mais le trou d'air du T1 2026 et la dégradation des marges incitent à la prudence avant tout achat agressif. **Niveau de confiance : Moyen** (les fondamentaux à long terme sont bons mais l'incertitude à court terme est élevée). **Niveau de risque global : Moyen à Élevé** (volatilité 37,7%, dépendance aux cours de l'huile de palme, risque climatique). **Horizon d'investissement optimal : Moyen terme (3-12 mois)**, en surveillant les prochains rapports trimestriels (T2 2026) pour confirmer ou infirmer le redressement attendu. Un passage à **ACHAT** serait justifié si le T2 2026 montre une reprise des volumes et des marges, tandis qu'une **VENTE** serait envisageable si la trésorerie se dégradait davantage ou si les cours de l'huile de palme chutaient durablement.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45.26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871 titres</w:t>
            </w:r>
          </w:p>
        </w:tc>
        <w:tc>
          <w:tcPr>
            <w:tcW w:type="dxa" w:w="2268"/>
            <w:shd w:fill="FFF2CC" w:val="clear"/>
          </w:tcPr>
          <w:p>
            <w:r>
              <w:rPr>
                <w:b/>
                <w:color w:val="503200"/>
                <w:sz w:val="16"/>
              </w:rPr>
              <w:t xml:space="preserve">Cours actuel : </w:t>
            </w:r>
            <w:r>
              <w:rPr>
                <w:color w:val="000000"/>
                <w:sz w:val="17"/>
              </w:rPr>
              <w:t>4,420 FCFA</w:t>
            </w:r>
          </w:p>
          <w:p>
            <w:r>
              <w:rPr>
                <w:b/>
                <w:color w:val="503200"/>
                <w:sz w:val="16"/>
              </w:rPr>
              <w:t xml:space="preserve">Var. 100 jours : </w:t>
            </w:r>
            <w:r>
              <w:rPr>
                <w:b/>
                <w:color w:val="B40000"/>
                <w:sz w:val="17"/>
              </w:rPr>
              <w:t>-7.92%</w:t>
            </w:r>
          </w:p>
          <w:p>
            <w:r>
              <w:rPr>
                <w:b/>
                <w:color w:val="503200"/>
                <w:sz w:val="16"/>
              </w:rPr>
              <w:t xml:space="preserve">Plus haut 100j : </w:t>
            </w:r>
            <w:r>
              <w:rPr>
                <w:color w:val="000000"/>
                <w:sz w:val="17"/>
              </w:rPr>
              <w:t>4,895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21.5/100 → Moyen</w:t>
      </w:r>
    </w:p>
    <w:p>
      <w:pPr>
        <w:spacing w:before="40" w:after="80"/>
      </w:pPr>
      <w:r>
        <w:rPr>
          <w:rFonts w:ascii="Courier New" w:hAnsi="Courier New"/>
          <w:color w:val="825A00"/>
          <w:sz w:val="18"/>
        </w:rPr>
        <w:t>████░░░░░░░░░░░░░░░░  21.5/100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6.66% (Moyenne) — μ=4,381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β=-0.2290 (Contre-cyclique) — Cov=-0.000008, Var(idx)=0.000035, ρ=-0.055,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871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16976"/>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4,284</w:t>
            </w:r>
          </w:p>
        </w:tc>
        <w:tc>
          <w:tcPr>
            <w:tcW w:type="dxa" w:w="1440"/>
            <w:shd w:fill="FAFAFA" w:val="clear"/>
          </w:tcPr>
          <w:p>
            <w:r>
              <w:rPr>
                <w:b/>
                <w:sz w:val="17"/>
              </w:rPr>
              <w:t>4,378</w:t>
            </w:r>
          </w:p>
        </w:tc>
        <w:tc>
          <w:tcPr>
            <w:tcW w:type="dxa" w:w="1440"/>
            <w:shd w:fill="FAFAFA" w:val="clear"/>
          </w:tcPr>
          <w:p>
            <w:r>
              <w:rPr>
                <w:sz w:val="17"/>
              </w:rPr>
              <w:t>4,472</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4,236</w:t>
            </w:r>
          </w:p>
        </w:tc>
        <w:tc>
          <w:tcPr>
            <w:tcW w:type="dxa" w:w="1440"/>
            <w:shd w:fill="FAFAFA" w:val="clear"/>
          </w:tcPr>
          <w:p>
            <w:r>
              <w:rPr>
                <w:b/>
                <w:sz w:val="17"/>
              </w:rPr>
              <w:t>4,369</w:t>
            </w:r>
          </w:p>
        </w:tc>
        <w:tc>
          <w:tcPr>
            <w:tcW w:type="dxa" w:w="1440"/>
            <w:shd w:fill="FAFAFA" w:val="clear"/>
          </w:tcPr>
          <w:p>
            <w:r>
              <w:rPr>
                <w:sz w:val="17"/>
              </w:rPr>
              <w:t>4,502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4,192</w:t>
            </w:r>
          </w:p>
        </w:tc>
        <w:tc>
          <w:tcPr>
            <w:tcW w:type="dxa" w:w="1440"/>
            <w:shd w:fill="FAFAFA" w:val="clear"/>
          </w:tcPr>
          <w:p>
            <w:r>
              <w:rPr>
                <w:b/>
                <w:sz w:val="17"/>
              </w:rPr>
              <w:t>4,354</w:t>
            </w:r>
          </w:p>
        </w:tc>
        <w:tc>
          <w:tcPr>
            <w:tcW w:type="dxa" w:w="1440"/>
            <w:shd w:fill="FAFAFA" w:val="clear"/>
          </w:tcPr>
          <w:p>
            <w:r>
              <w:rPr>
                <w:sz w:val="17"/>
              </w:rPr>
              <w:t>4,517</w:t>
            </w:r>
          </w:p>
        </w:tc>
        <w:tc>
          <w:tcPr>
            <w:tcW w:type="dxa" w:w="1440"/>
            <w:shd w:fill="FAFAFA" w:val="clear"/>
          </w:tcPr>
          <w:p>
            <w:r>
              <w:rPr>
                <w:b/>
                <w:color w:val="C00000"/>
                <w:sz w:val="17"/>
              </w:rPr>
              <w:t>-1.5%</w:t>
            </w:r>
          </w:p>
        </w:tc>
      </w:tr>
      <w:tr>
        <w:tc>
          <w:tcPr>
            <w:tcW w:type="dxa" w:w="1440"/>
            <w:shd w:fill="FAFAFA" w:val="clear"/>
          </w:tcPr>
          <w:p>
            <w:r>
              <w:rPr>
                <w:sz w:val="17"/>
              </w:rPr>
              <w:t>J+4  Moyenne</w:t>
            </w:r>
          </w:p>
        </w:tc>
        <w:tc>
          <w:tcPr>
            <w:tcW w:type="dxa" w:w="1440"/>
            <w:shd w:fill="FAFAFA" w:val="clear"/>
          </w:tcPr>
          <w:p>
            <w:r>
              <w:rPr>
                <w:sz w:val="17"/>
              </w:rPr>
              <w:t>2026-09-21</w:t>
            </w:r>
          </w:p>
        </w:tc>
        <w:tc>
          <w:tcPr>
            <w:tcW w:type="dxa" w:w="1440"/>
            <w:shd w:fill="FAFAFA" w:val="clear"/>
          </w:tcPr>
          <w:p>
            <w:r>
              <w:rPr>
                <w:sz w:val="17"/>
              </w:rPr>
              <w:t>4,154</w:t>
            </w:r>
          </w:p>
        </w:tc>
        <w:tc>
          <w:tcPr>
            <w:tcW w:type="dxa" w:w="1440"/>
            <w:shd w:fill="FAFAFA" w:val="clear"/>
          </w:tcPr>
          <w:p>
            <w:r>
              <w:rPr>
                <w:b/>
                <w:sz w:val="17"/>
              </w:rPr>
              <w:t>4,340</w:t>
            </w:r>
          </w:p>
        </w:tc>
        <w:tc>
          <w:tcPr>
            <w:tcW w:type="dxa" w:w="1440"/>
            <w:shd w:fill="FAFAFA" w:val="clear"/>
          </w:tcPr>
          <w:p>
            <w:r>
              <w:rPr>
                <w:sz w:val="17"/>
              </w:rPr>
              <w:t>4,527</w:t>
            </w:r>
          </w:p>
        </w:tc>
        <w:tc>
          <w:tcPr>
            <w:tcW w:type="dxa" w:w="1440"/>
            <w:shd w:fill="FAFAFA" w:val="clear"/>
          </w:tcPr>
          <w:p>
            <w:r>
              <w:rPr>
                <w:b/>
                <w:color w:val="C00000"/>
                <w:sz w:val="17"/>
              </w:rPr>
              <w:t>-1.8%</w:t>
            </w:r>
          </w:p>
        </w:tc>
      </w:tr>
      <w:tr>
        <w:tc>
          <w:tcPr>
            <w:tcW w:type="dxa" w:w="1440"/>
            <w:shd w:fill="FFDCE0" w:val="clear"/>
          </w:tcPr>
          <w:p>
            <w:r>
              <w:rPr>
                <w:sz w:val="17"/>
              </w:rPr>
              <w:t>J+5  Moyenne</w:t>
            </w:r>
          </w:p>
        </w:tc>
        <w:tc>
          <w:tcPr>
            <w:tcW w:type="dxa" w:w="1440"/>
            <w:shd w:fill="FFDCE0" w:val="clear"/>
          </w:tcPr>
          <w:p>
            <w:r>
              <w:rPr>
                <w:sz w:val="17"/>
              </w:rPr>
              <w:t>2026-09-22</w:t>
            </w:r>
          </w:p>
        </w:tc>
        <w:tc>
          <w:tcPr>
            <w:tcW w:type="dxa" w:w="1440"/>
            <w:shd w:fill="FFDCE0" w:val="clear"/>
          </w:tcPr>
          <w:p>
            <w:r>
              <w:rPr>
                <w:sz w:val="17"/>
              </w:rPr>
              <w:t>4,119</w:t>
            </w:r>
          </w:p>
        </w:tc>
        <w:tc>
          <w:tcPr>
            <w:tcW w:type="dxa" w:w="1440"/>
            <w:shd w:fill="FFDCE0" w:val="clear"/>
          </w:tcPr>
          <w:p>
            <w:r>
              <w:rPr>
                <w:b/>
                <w:sz w:val="17"/>
              </w:rPr>
              <w:t>4,327</w:t>
            </w:r>
          </w:p>
        </w:tc>
        <w:tc>
          <w:tcPr>
            <w:tcW w:type="dxa" w:w="1440"/>
            <w:shd w:fill="FFDCE0" w:val="clear"/>
          </w:tcPr>
          <w:p>
            <w:r>
              <w:rPr>
                <w:sz w:val="17"/>
              </w:rPr>
              <w:t>4,535</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2026-09-23</w:t>
            </w:r>
          </w:p>
        </w:tc>
        <w:tc>
          <w:tcPr>
            <w:tcW w:type="dxa" w:w="1440"/>
            <w:shd w:fill="FFDCE0" w:val="clear"/>
          </w:tcPr>
          <w:p>
            <w:r>
              <w:rPr>
                <w:sz w:val="17"/>
              </w:rPr>
              <w:t>4,088</w:t>
            </w:r>
          </w:p>
        </w:tc>
        <w:tc>
          <w:tcPr>
            <w:tcW w:type="dxa" w:w="1440"/>
            <w:shd w:fill="FFDCE0" w:val="clear"/>
          </w:tcPr>
          <w:p>
            <w:r>
              <w:rPr>
                <w:b/>
                <w:sz w:val="17"/>
              </w:rPr>
              <w:t>4,315</w:t>
            </w:r>
          </w:p>
        </w:tc>
        <w:tc>
          <w:tcPr>
            <w:tcW w:type="dxa" w:w="1440"/>
            <w:shd w:fill="FFDCE0" w:val="clear"/>
          </w:tcPr>
          <w:p>
            <w:r>
              <w:rPr>
                <w:sz w:val="17"/>
              </w:rPr>
              <w:t>4,542</w:t>
            </w:r>
          </w:p>
        </w:tc>
        <w:tc>
          <w:tcPr>
            <w:tcW w:type="dxa" w:w="1440"/>
            <w:shd w:fill="FFDCE0" w:val="clear"/>
          </w:tcPr>
          <w:p>
            <w:r>
              <w:rPr>
                <w:b/>
                <w:color w:val="C00000"/>
                <w:sz w:val="17"/>
              </w:rPr>
              <w:t>-2.4%</w:t>
            </w:r>
          </w:p>
        </w:tc>
      </w:tr>
      <w:tr>
        <w:tc>
          <w:tcPr>
            <w:tcW w:type="dxa" w:w="1440"/>
            <w:shd w:fill="FFDCE0" w:val="clear"/>
          </w:tcPr>
          <w:p>
            <w:r>
              <w:rPr>
                <w:sz w:val="17"/>
              </w:rPr>
              <w:t>J+7  Moyenne</w:t>
            </w:r>
          </w:p>
        </w:tc>
        <w:tc>
          <w:tcPr>
            <w:tcW w:type="dxa" w:w="1440"/>
            <w:shd w:fill="FFDCE0" w:val="clear"/>
          </w:tcPr>
          <w:p>
            <w:r>
              <w:rPr>
                <w:sz w:val="17"/>
              </w:rPr>
              <w:t>2026-09-24</w:t>
            </w:r>
          </w:p>
        </w:tc>
        <w:tc>
          <w:tcPr>
            <w:tcW w:type="dxa" w:w="1440"/>
            <w:shd w:fill="FFDCE0" w:val="clear"/>
          </w:tcPr>
          <w:p>
            <w:r>
              <w:rPr>
                <w:sz w:val="17"/>
              </w:rPr>
              <w:t>4,058</w:t>
            </w:r>
          </w:p>
        </w:tc>
        <w:tc>
          <w:tcPr>
            <w:tcW w:type="dxa" w:w="1440"/>
            <w:shd w:fill="FFDCE0" w:val="clear"/>
          </w:tcPr>
          <w:p>
            <w:r>
              <w:rPr>
                <w:b/>
                <w:sz w:val="17"/>
              </w:rPr>
              <w:t>4,303</w:t>
            </w:r>
          </w:p>
        </w:tc>
        <w:tc>
          <w:tcPr>
            <w:tcW w:type="dxa" w:w="1440"/>
            <w:shd w:fill="FFDCE0" w:val="clear"/>
          </w:tcPr>
          <w:p>
            <w:r>
              <w:rPr>
                <w:sz w:val="17"/>
              </w:rPr>
              <w:t>4,547</w:t>
            </w:r>
          </w:p>
        </w:tc>
        <w:tc>
          <w:tcPr>
            <w:tcW w:type="dxa" w:w="1440"/>
            <w:shd w:fill="FFDCE0" w:val="clear"/>
          </w:tcPr>
          <w:p>
            <w:r>
              <w:rPr>
                <w:b/>
                <w:color w:val="C00000"/>
                <w:sz w:val="17"/>
              </w:rPr>
              <w:t>-2.7%</w:t>
            </w:r>
          </w:p>
        </w:tc>
      </w:tr>
      <w:tr>
        <w:tc>
          <w:tcPr>
            <w:tcW w:type="dxa" w:w="1440"/>
            <w:shd w:fill="FFDCE0" w:val="clear"/>
          </w:tcPr>
          <w:p>
            <w:r>
              <w:rPr>
                <w:sz w:val="17"/>
              </w:rPr>
              <w:t>J+8  Moyenne</w:t>
            </w:r>
          </w:p>
        </w:tc>
        <w:tc>
          <w:tcPr>
            <w:tcW w:type="dxa" w:w="1440"/>
            <w:shd w:fill="FFDCE0" w:val="clear"/>
          </w:tcPr>
          <w:p>
            <w:r>
              <w:rPr>
                <w:sz w:val="17"/>
              </w:rPr>
              <w:t>2026-09-25</w:t>
            </w:r>
          </w:p>
        </w:tc>
        <w:tc>
          <w:tcPr>
            <w:tcW w:type="dxa" w:w="1440"/>
            <w:shd w:fill="FFDCE0" w:val="clear"/>
          </w:tcPr>
          <w:p>
            <w:r>
              <w:rPr>
                <w:sz w:val="17"/>
              </w:rPr>
              <w:t>4,030</w:t>
            </w:r>
          </w:p>
        </w:tc>
        <w:tc>
          <w:tcPr>
            <w:tcW w:type="dxa" w:w="1440"/>
            <w:shd w:fill="FFDCE0" w:val="clear"/>
          </w:tcPr>
          <w:p>
            <w:r>
              <w:rPr>
                <w:b/>
                <w:sz w:val="17"/>
              </w:rPr>
              <w:t>4,291</w:t>
            </w:r>
          </w:p>
        </w:tc>
        <w:tc>
          <w:tcPr>
            <w:tcW w:type="dxa" w:w="1440"/>
            <w:shd w:fill="FFDCE0" w:val="clear"/>
          </w:tcPr>
          <w:p>
            <w:r>
              <w:rPr>
                <w:sz w:val="17"/>
              </w:rPr>
              <w:t>4,552</w:t>
            </w:r>
          </w:p>
        </w:tc>
        <w:tc>
          <w:tcPr>
            <w:tcW w:type="dxa" w:w="1440"/>
            <w:shd w:fill="FFDCE0" w:val="clear"/>
          </w:tcPr>
          <w:p>
            <w:r>
              <w:rPr>
                <w:b/>
                <w:color w:val="C00000"/>
                <w:sz w:val="17"/>
              </w:rPr>
              <w:t>-2.9%</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4,004</w:t>
            </w:r>
          </w:p>
        </w:tc>
        <w:tc>
          <w:tcPr>
            <w:tcW w:type="dxa" w:w="1440"/>
            <w:shd w:fill="FFDCE0" w:val="clear"/>
          </w:tcPr>
          <w:p>
            <w:r>
              <w:rPr>
                <w:b/>
                <w:sz w:val="17"/>
              </w:rPr>
              <w:t>4,280</w:t>
            </w:r>
          </w:p>
        </w:tc>
        <w:tc>
          <w:tcPr>
            <w:tcW w:type="dxa" w:w="1440"/>
            <w:shd w:fill="FFDCE0" w:val="clear"/>
          </w:tcPr>
          <w:p>
            <w:r>
              <w:rPr>
                <w:sz w:val="17"/>
              </w:rPr>
              <w:t>4,556</w:t>
            </w:r>
          </w:p>
        </w:tc>
        <w:tc>
          <w:tcPr>
            <w:tcW w:type="dxa" w:w="1440"/>
            <w:shd w:fill="FFDCE0" w:val="clear"/>
          </w:tcPr>
          <w:p>
            <w:r>
              <w:rPr>
                <w:b/>
                <w:color w:val="C00000"/>
                <w:sz w:val="17"/>
              </w:rPr>
              <w:t>-3.2%</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3,979</w:t>
            </w:r>
          </w:p>
        </w:tc>
        <w:tc>
          <w:tcPr>
            <w:tcW w:type="dxa" w:w="1440"/>
            <w:shd w:fill="FFDCE0" w:val="clear"/>
          </w:tcPr>
          <w:p>
            <w:r>
              <w:rPr>
                <w:b/>
                <w:sz w:val="17"/>
              </w:rPr>
              <w:t>4,269</w:t>
            </w:r>
          </w:p>
        </w:tc>
        <w:tc>
          <w:tcPr>
            <w:tcW w:type="dxa" w:w="1440"/>
            <w:shd w:fill="FFDCE0" w:val="clear"/>
          </w:tcPr>
          <w:p>
            <w:r>
              <w:rPr>
                <w:sz w:val="17"/>
              </w:rPr>
              <w:t>4,559</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45,26 milliards FCFA, PRSC se positionne comme une valeur de taille intermédiaire sur le marché BRVM, représentant un acteur de référence du secteur de la distribution automobile en Côte d'Ivoire. Le BPA de 231 FCFA/action signifie que chaque titre génère près de 231 FCFA de bénéfice net, ce qui, rapporté au cours actuel de 4 420 FCFA, donne un PER de 19,1x — nettement supérieur à la moyenne du marché BRVM (généralement comprise entre 8 et 12x), traduisant une prime de valorisation significative que les investisseurs accordent à la société. Le P/B de 3,93x confirme cette tendance : le marché valorise PRSC à près de quatre fois sa valeur comptable (capitaux propres de 11,53 Mds FCFA), ce qui place le titre dans la fourchette haute (2-4x) des primes de croissance. Enfin, l'EV/EBITDA de 9,8x, bien que raisonnable en absolu (fourchette 5-10x), suggère que la valeur d'entreprise reste cohérente avec la capacité opérationnelle, sans décote manifeste. Globalement, la valorisation de PRSC apparaît exigeante au regard de ses fondamentaux, ce qui limite la marge de sécurité pour un nouvel 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 enregistré une variation totale de -7,92%, terminant à 4 420 FCFA après une légère reprise de +1,03% lors de la dernière séance. Le range de trading s'est établi entre un plus bas de 3 620 FCFA et un plus haut de 4 895 FCFA, soit un écart de plus de 35%, témoignant d'une réelle amplitude de négociation. La tendance générale est donc baissière sur la période, malgré la tentative de rebond récente. Les statistiques descriptives révèlent une moyenne de 4 381 FCFA légèrement inférieure à la médiane de 4 442 FCFA, signe d'une distribution asymétrique où quelques séances baissières tirent la moyenne vers le bas. L'écart-type de 293 FCFA (CV de 6,7%) indique une dispersion modérée du cours autour de sa moyenne, tandis que le kurtosis de 0,895 (mésokurtique) suggère une distribution proche de la normale, sans risque extrême de pics. Le skewness de -1,141 confirme une asymétrie négative : les journées de baisse sont moins nombreuses mais plus amples que les journées de hausse, ce qui constitue un signal de prudence. Avec une volatilité annualisée de 38,8%, PRSC se classe parmi les titres à volatilité élevée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(4 435,5 FCFA) et la MM50 (4 460,3 FCFA) se situent toutes deux au-dessus du cours actuel (4 420 FCFA), avec la MM20 en dessous de la MM50 — configuration baissière classique. Le croisement des moyennes confirme la pression vendeuse, justifiant la décision technique de **Vente**.</w:t>
      </w:r>
    </w:p>
    <w:p>
      <w:pPr>
        <w:spacing w:after="120" w:line="276" w:lineRule="auto"/>
      </w:pPr>
      <w:r>
        <w:t>**Bandes de Bollinger** : Le cours (4 420 FCFA) évolue dans la partie basse du canal, entre la borne inférieure (4 317,18 FCFA) et la borne supérieure (4 553,82 FCFA), sans franchissement des limites. Cette position médiane-basse traduit une volatilité contenue et une absence de signal directionnel fort, d'où la décision **Neutre**.</w:t>
      </w:r>
    </w:p>
    <w:p>
      <w:pPr>
        <w:spacing w:after="120" w:line="276" w:lineRule="auto"/>
      </w:pPr>
      <w:r>
        <w:t>**MACD** : La valeur du MACD (-20,154) est inférieure à son signal (-16,731), avec un histogramme négatif — configuration baissière confirmée. Le momentum reste négatif, et l'absence de convergence haussière justifie la décision de **Vente**.</w:t>
      </w:r>
    </w:p>
    <w:p>
      <w:pPr>
        <w:spacing w:after="120" w:line="276" w:lineRule="auto"/>
      </w:pPr>
      <w:r>
        <w:t>**RSI** : À 39,516, le RSI se situe dans la zone neutre basse (30-70), sans atteindre la zone de survente (&lt;30). Le titre n'est donc ni survendu ni suracheté, ce qui laisse place à une poursuite de la baisse sans signal de retournement immédiat — décision **Neutre**.</w:t>
      </w:r>
    </w:p>
    <w:p>
      <w:pPr>
        <w:spacing w:after="120" w:line="276" w:lineRule="auto"/>
      </w:pPr>
      <w:r>
        <w:t>**Stochastique** : Le %K (35,897) est supérieur au %D (21,966), avec un croisement haussier en zone basse. Ce signal précoce de retournement potentiel contraste avec les autres indicateurs, mais reste fragile tant que le %K n'a pas franchi la zone des 50 — décision **Neutre**.</w:t>
      </w:r>
    </w:p>
    <w:p>
      <w:pPr>
        <w:spacing w:after="120" w:line="276" w:lineRule="auto"/>
      </w:pPr>
      <w:r>
        <w:t>**Conclusion technique** : Les indicateurs techniques sont majoritairement baissiers (MM, MACD) ou neutres (Bollinger, RSI, Stochastique), avec une absence de convergence haussière claire. Le titre évolue sous ses moyennes mobiles, dans un momentum négatif, et seul le stochastique suggère un possible rebond technique à court terme. La prudence reste de mise, et aucun signal d'achat fiable n'est identifié à ce stade.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PRSC (Tractafric Motors Côte d'Ivoire) affiche un chiffre d'affaires de 81,127 milliards FCFA, en croissance de 9,5% par rapport à 2024 (74,45 Mds FCFA), portée par la dynamique du marché automobile ivoirien et la diversification réussie (pneumatiques Michelin +62,6% au S1 2025). Le résultat net s'établit à 2,367 milliards FCFA, stable par rapport à 2024 (2,35 Mds FCFA), avec une marge nette de 2,92% — faible mais en légère amélioration. Le ROE atteint 20,53%, un niveau excellent (&gt;15%), tandis que le ROA de 4,95% reste modéré, reflétant l'intensité capitalistique du modèle de distribution. En tant qu'entreprise non bancaire, les délais d'exploitation sont cruciaux : le délai clients de 46 jours est raisonnable, mais le délai fournisseurs de 102,65 jours et la durée de stockage de 150,51 jours immobilisent un BFR de 11,267 Mds FCFA, pesant sur la trésorerie nette (-4,092 Mds FCFA). L'endettement est élevé (ratio d'endettement de 314,86%, autonomie financière de 24,10%), mais la couverture des intérêts (1585%) et la capacité de remboursement (1,83 an) restent rassurantes. Les rapports trimestriels confirment la tendance : le S1 2025 (rapport du 30/06/2025) affiche un CA de 39,968 Mds FCFA (+15,1%) et un résultat net de 1,436 Md FCFA (×28 vs S1 2024), avec une marge nette de 3,6% — la meilleure depuis 2022. Le rapport annuel 2025 (publié en 2026) confirme un dividende de 209 FCFA/action, soit un rendement de 4,73% au cours actuel, un signal positif pour les actionnaires. On estime que l'exercice 2026 devrait bénéficier de la poursuite de la croissance du marché automobile ivoirien, mais la prudence est de mise face au contexte électoral et à la pression concurrentielle. En synthèse, PRSC présente une solidité financière correcte, une rentabilité en amélioration et un dividende attractif, mais des risques liés à l'endettement, au BFR élevé et à la faible marge nette.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(Partie 0) apparaît exigeante : PER de 19,1x (vs 8-12x pour le marché), P/B de 3,93x et EV/EBITDA de 9,8x traduisent une prime de croissance significative, limitant la marge de sécurité. Le comportement du cours (Partie 1) est préoccupant : tendance baissière (-7,92% sur 100 jours), volatilité élevée (38,8%), skewness négatif (-1,141) et kurtosis proche de la normale, sans signal de retournement durable. Les indicateurs techniques (Partie 2) sont majoritairement baissiers (MM, MACD) ou neutres (Bollinger, RSI, Stochastique), sans convergence haussière. Les fondamentaux (Partie 3) sont mitigés : croissance du CA (+9,5% en 2025), ROE excellent (20,53%), dividende attractif (209 FCFA, rendement 4,73%), mais endettement élevé (314,86%), BFR important (11,267 Mds FCFA) et marge nette faible (2,92%). Les prédictions IA (J+1 à J+10) anticipent une poursuite de la baisse vers 4 327 FCFA d'ici le 22 septembre 2026, confirmant la tendance baissière à court terme. **Recommandation finale : CONSERVER** — la convergence des signaux techniques baissiers et de la valorisation exigeante ne justifie pas un achat immédiat, mais la solidité des fondamentaux (ROE, dividende, croissance) et l'absence de signaux de détresse incitent à ne pas vendre. Le niveau de confiance est **Moyen**, le risque global est **Élevé** (volatilité, endettement), et l'horizon optimal est **moyen terme (3-12 mois)** , en attendant une clarification de la tendance technique et une confirmation de la rentabilité opérationnelle.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40.44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8,797 titres</w:t>
            </w:r>
          </w:p>
        </w:tc>
        <w:tc>
          <w:tcPr>
            <w:tcW w:type="dxa" w:w="2268"/>
            <w:shd w:fill="FFF2CC" w:val="clear"/>
          </w:tcPr>
          <w:p>
            <w:r>
              <w:rPr>
                <w:b/>
                <w:color w:val="503200"/>
                <w:sz w:val="16"/>
              </w:rPr>
              <w:t xml:space="preserve">Cours actuel : </w:t>
            </w:r>
            <w:r>
              <w:rPr>
                <w:color w:val="000000"/>
                <w:sz w:val="17"/>
              </w:rPr>
              <w:t>4,980 FCFA</w:t>
            </w:r>
          </w:p>
          <w:p>
            <w:r>
              <w:rPr>
                <w:b/>
                <w:color w:val="503200"/>
                <w:sz w:val="16"/>
              </w:rPr>
              <w:t xml:space="preserve">Var. 100 jours : </w:t>
            </w:r>
            <w:r>
              <w:rPr>
                <w:b/>
                <w:color w:val="B40000"/>
                <w:sz w:val="17"/>
              </w:rPr>
              <w:t>-19.68%</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17.46% (Élevée) — μ=4,603 FCFA, σ=804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β=0.0036 (Défensif) — Cov=0.000000, Var(idx)=0.000035, ρ=0.000,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σ_j=5.04%/j (Instable) — Vol. annualisée≈80.0%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2026-09-16</w:t>
            </w:r>
          </w:p>
        </w:tc>
        <w:tc>
          <w:tcPr>
            <w:tcW w:type="dxa" w:w="1440"/>
            <w:shd w:fill="FFDCE0" w:val="clear"/>
          </w:tcPr>
          <w:p>
            <w:r>
              <w:rPr>
                <w:sz w:val="17"/>
              </w:rPr>
              <w:t>4,531</w:t>
            </w:r>
          </w:p>
        </w:tc>
        <w:tc>
          <w:tcPr>
            <w:tcW w:type="dxa" w:w="1440"/>
            <w:shd w:fill="FFDCE0" w:val="clear"/>
          </w:tcPr>
          <w:p>
            <w:r>
              <w:rPr>
                <w:b/>
                <w:sz w:val="17"/>
              </w:rPr>
              <w:t>4,851</w:t>
            </w:r>
          </w:p>
        </w:tc>
        <w:tc>
          <w:tcPr>
            <w:tcW w:type="dxa" w:w="1440"/>
            <w:shd w:fill="FFDCE0" w:val="clear"/>
          </w:tcPr>
          <w:p>
            <w:r>
              <w:rPr>
                <w:sz w:val="17"/>
              </w:rPr>
              <w:t>5,172</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2026-09-17</w:t>
            </w:r>
          </w:p>
        </w:tc>
        <w:tc>
          <w:tcPr>
            <w:tcW w:type="dxa" w:w="1440"/>
            <w:shd w:fill="FFDCE0" w:val="clear"/>
          </w:tcPr>
          <w:p>
            <w:r>
              <w:rPr>
                <w:sz w:val="17"/>
              </w:rPr>
              <w:t>4,371</w:t>
            </w:r>
          </w:p>
        </w:tc>
        <w:tc>
          <w:tcPr>
            <w:tcW w:type="dxa" w:w="1440"/>
            <w:shd w:fill="FFDCE0" w:val="clear"/>
          </w:tcPr>
          <w:p>
            <w:r>
              <w:rPr>
                <w:b/>
                <w:sz w:val="17"/>
              </w:rPr>
              <w:t>4,821</w:t>
            </w:r>
          </w:p>
        </w:tc>
        <w:tc>
          <w:tcPr>
            <w:tcW w:type="dxa" w:w="1440"/>
            <w:shd w:fill="FFDCE0" w:val="clear"/>
          </w:tcPr>
          <w:p>
            <w:r>
              <w:rPr>
                <w:sz w:val="17"/>
              </w:rPr>
              <w:t>5,271</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2026-09-18</w:t>
            </w:r>
          </w:p>
        </w:tc>
        <w:tc>
          <w:tcPr>
            <w:tcW w:type="dxa" w:w="1440"/>
            <w:shd w:fill="FFDCE0" w:val="clear"/>
          </w:tcPr>
          <w:p>
            <w:r>
              <w:rPr>
                <w:sz w:val="17"/>
              </w:rPr>
              <w:t>4,292</w:t>
            </w:r>
          </w:p>
        </w:tc>
        <w:tc>
          <w:tcPr>
            <w:tcW w:type="dxa" w:w="1440"/>
            <w:shd w:fill="FFDCE0" w:val="clear"/>
          </w:tcPr>
          <w:p>
            <w:r>
              <w:rPr>
                <w:b/>
                <w:sz w:val="17"/>
              </w:rPr>
              <w:t>4,846</w:t>
            </w:r>
          </w:p>
        </w:tc>
        <w:tc>
          <w:tcPr>
            <w:tcW w:type="dxa" w:w="1440"/>
            <w:shd w:fill="FFDCE0" w:val="clear"/>
          </w:tcPr>
          <w:p>
            <w:r>
              <w:rPr>
                <w:sz w:val="17"/>
              </w:rPr>
              <w:t>5,400</w:t>
            </w:r>
          </w:p>
        </w:tc>
        <w:tc>
          <w:tcPr>
            <w:tcW w:type="dxa" w:w="1440"/>
            <w:shd w:fill="FFDCE0" w:val="clear"/>
          </w:tcPr>
          <w:p>
            <w:r>
              <w:rPr>
                <w:b/>
                <w:color w:val="C00000"/>
                <w:sz w:val="17"/>
              </w:rPr>
              <w:t>-2.7%</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4,241</w:t>
            </w:r>
          </w:p>
        </w:tc>
        <w:tc>
          <w:tcPr>
            <w:tcW w:type="dxa" w:w="1440"/>
            <w:shd w:fill="FAFAFA" w:val="clear"/>
          </w:tcPr>
          <w:p>
            <w:r>
              <w:rPr>
                <w:b/>
                <w:sz w:val="17"/>
              </w:rPr>
              <w:t>4,886</w:t>
            </w:r>
          </w:p>
        </w:tc>
        <w:tc>
          <w:tcPr>
            <w:tcW w:type="dxa" w:w="1440"/>
            <w:shd w:fill="FAFAFA" w:val="clear"/>
          </w:tcPr>
          <w:p>
            <w:r>
              <w:rPr>
                <w:sz w:val="17"/>
              </w:rPr>
              <w:t>5,531</w:t>
            </w:r>
          </w:p>
        </w:tc>
        <w:tc>
          <w:tcPr>
            <w:tcW w:type="dxa" w:w="1440"/>
            <w:shd w:fill="FAFAFA" w:val="clear"/>
          </w:tcPr>
          <w:p>
            <w:r>
              <w:rPr>
                <w:b/>
                <w:color w:val="C00000"/>
                <w:sz w:val="17"/>
              </w:rPr>
              <w:t>-1.9%</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4,199</w:t>
            </w:r>
          </w:p>
        </w:tc>
        <w:tc>
          <w:tcPr>
            <w:tcW w:type="dxa" w:w="1440"/>
            <w:shd w:fill="FAFAFA" w:val="clear"/>
          </w:tcPr>
          <w:p>
            <w:r>
              <w:rPr>
                <w:b/>
                <w:sz w:val="17"/>
              </w:rPr>
              <w:t>4,926</w:t>
            </w:r>
          </w:p>
        </w:tc>
        <w:tc>
          <w:tcPr>
            <w:tcW w:type="dxa" w:w="1440"/>
            <w:shd w:fill="FAFAFA" w:val="clear"/>
          </w:tcPr>
          <w:p>
            <w:r>
              <w:rPr>
                <w:sz w:val="17"/>
              </w:rPr>
              <w:t>5,652</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4,159</w:t>
            </w:r>
          </w:p>
        </w:tc>
        <w:tc>
          <w:tcPr>
            <w:tcW w:type="dxa" w:w="1440"/>
            <w:shd w:fill="FAFAFA" w:val="clear"/>
          </w:tcPr>
          <w:p>
            <w:r>
              <w:rPr>
                <w:b/>
                <w:sz w:val="17"/>
              </w:rPr>
              <w:t>4,961</w:t>
            </w:r>
          </w:p>
        </w:tc>
        <w:tc>
          <w:tcPr>
            <w:tcW w:type="dxa" w:w="1440"/>
            <w:shd w:fill="FAFAFA" w:val="clear"/>
          </w:tcPr>
          <w:p>
            <w:r>
              <w:rPr>
                <w:sz w:val="17"/>
              </w:rPr>
              <w:t>5,763</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4,119</w:t>
            </w:r>
          </w:p>
        </w:tc>
        <w:tc>
          <w:tcPr>
            <w:tcW w:type="dxa" w:w="1440"/>
            <w:shd w:fill="FAFAFA" w:val="clear"/>
          </w:tcPr>
          <w:p>
            <w:r>
              <w:rPr>
                <w:b/>
                <w:sz w:val="17"/>
              </w:rPr>
              <w:t>4,990</w:t>
            </w:r>
          </w:p>
        </w:tc>
        <w:tc>
          <w:tcPr>
            <w:tcW w:type="dxa" w:w="1440"/>
            <w:shd w:fill="FAFAFA" w:val="clear"/>
          </w:tcPr>
          <w:p>
            <w:r>
              <w:rPr>
                <w:sz w:val="17"/>
              </w:rPr>
              <w:t>5,862</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4,078</w:t>
            </w:r>
          </w:p>
        </w:tc>
        <w:tc>
          <w:tcPr>
            <w:tcW w:type="dxa" w:w="1440"/>
            <w:shd w:fill="FAFAFA" w:val="clear"/>
          </w:tcPr>
          <w:p>
            <w:r>
              <w:rPr>
                <w:b/>
                <w:sz w:val="17"/>
              </w:rPr>
              <w:t>5,015</w:t>
            </w:r>
          </w:p>
        </w:tc>
        <w:tc>
          <w:tcPr>
            <w:tcW w:type="dxa" w:w="1440"/>
            <w:shd w:fill="FAFAFA" w:val="clear"/>
          </w:tcPr>
          <w:p>
            <w:r>
              <w:rPr>
                <w:sz w:val="17"/>
              </w:rPr>
              <w:t>5,951</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4,038</w:t>
            </w:r>
          </w:p>
        </w:tc>
        <w:tc>
          <w:tcPr>
            <w:tcW w:type="dxa" w:w="1440"/>
            <w:shd w:fill="FAFAFA" w:val="clear"/>
          </w:tcPr>
          <w:p>
            <w:r>
              <w:rPr>
                <w:b/>
                <w:sz w:val="17"/>
              </w:rPr>
              <w:t>5,034</w:t>
            </w:r>
          </w:p>
        </w:tc>
        <w:tc>
          <w:tcPr>
            <w:tcW w:type="dxa" w:w="1440"/>
            <w:shd w:fill="FAFAFA" w:val="clear"/>
          </w:tcPr>
          <w:p>
            <w:r>
              <w:rPr>
                <w:sz w:val="17"/>
              </w:rPr>
              <w:t>6,031</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3,996</w:t>
            </w:r>
          </w:p>
        </w:tc>
        <w:tc>
          <w:tcPr>
            <w:tcW w:type="dxa" w:w="1440"/>
            <w:shd w:fill="FAFAFA" w:val="clear"/>
          </w:tcPr>
          <w:p>
            <w:r>
              <w:rPr>
                <w:b/>
                <w:sz w:val="17"/>
              </w:rPr>
              <w:t>5,050</w:t>
            </w:r>
          </w:p>
        </w:tc>
        <w:tc>
          <w:tcPr>
            <w:tcW w:type="dxa" w:w="1440"/>
            <w:shd w:fill="FAFAFA" w:val="clear"/>
          </w:tcPr>
          <w:p>
            <w:r>
              <w:rPr>
                <w:sz w:val="17"/>
              </w:rPr>
              <w:t>6,105</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40,44 milliards FCFA, un niveau modeste à l'échelle de la BRVM qui la classe parmi les valeurs de petite capitalisation, ce qui implique une liquidité limitée et une sensibilité accrue aux mouvements de marché. Le BPA de 86 FCFA/action indique que chaque titre génère 86 FCFA de bénéfice net, un niveau qui, rapporté au cours actuel de 4 980 FCFA, conduit à un PER de 57,7x — très largement supérieur à la moyenne BRVM (8-12x), signalant que les investisseurs paient une prime considérable pour les bénéfices actuels, probablement en anticipation d'une forte croissance future. Le P/B de 6,84x confirme cette valorisation exigeante : le marché valorise la société à près de 7 fois sa valeur comptable, ce qui suppose une confiance marquée dans la capacité de la banque à générer des rendements futurs bien supérieurs à ses actifs nets. Enfin, l'EV/EBITDA de 77,5x, très au-dessus du seuil de 15x généralement considéré comme raisonnable, traduit une valorisation tendue de la capacité opérationnelle, ce qui expose le titre à un risque de correction si la croissance ne se matérialise pas comme anticipé.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SAFC a enregistré une baisse totale de -19,68%, avec une chute marquée de -4,23% lors de la dernière séance, portant le cours actuel à 4 980 FCFA. Le titre a évolué dans un range large, entre un plus bas de 3 340 FCFA et un plus haut de 6 200 FCFA, soit une amplitude de près de 86%, ce qui témoigne d'une forte volatilité et d'une tendance générale baissière sur la période, bien que le cours se situe actuellement au-dessus de son plus bas. Les statistiques descriptives révèlent une moyenne de 4 603 FCFA légèrement supérieure à la médiane de 4 505 FCFA, suggérant une asymétrie positive modérée (skewness de 0,349, distribution quasi-symétrique) avec quelques pics haussiers tirant la moyenne vers le haut. L'écart-type de 808 FCFA (CV de 17,5%) indique une dispersion significative du cours autour de sa moyenne, tandis que le kurtosis de -1,083 (distribution platykurtique) signale une faible concentration des valeurs extrêmes, c'est-à-dire un risque de pics moins prononcé qu'une distribution normale. La volatilité annualisée de 80,0% classe ce titre dans la catégorie des valeurs à volatilité très élevée (&gt;30%), ce qui implique un risque important pour les investisseurs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(5 699 FCFA) et la MM50 (5 163 FCFA) se situent toutes deux au-dessus du cours actuel (4 980 FCFA), ce qui place le titre en position baissière à court et moyen terme. Cependant, la MM20 étant supérieure à la MM50, la configuration reste haussière sur le fond, ce qui explique la décision technique "Achat" malgré la pression baissière immédiate.</w:t>
      </w:r>
    </w:p>
    <w:p>
      <w:pPr>
        <w:spacing w:after="120" w:line="276" w:lineRule="auto"/>
      </w:pPr>
      <w:r>
        <w:t>**Bandes de Bollinger** : Le cours (4 980 FCFA) se situe en dessous de la borne inférieure (5 060,93 FCFA), ce qui constitue un signal de survente et suggère un potentiel rebond technique. La volatilité reste élevée (largeur des bandes), et la décision "Achat" repose sur cette position extrême du cours par rapport aux bornes.</w:t>
      </w:r>
    </w:p>
    <w:p>
      <w:pPr>
        <w:spacing w:after="120" w:line="276" w:lineRule="auto"/>
      </w:pPr>
      <w:r>
        <w:t>**MACD** : La valeur du MACD (10,056) est très inférieure à son signal (148,353), générant une divergence baissière marquée qui indique un momentum négatif persistant. La décision "Vente" reflète cette pression baissière à court terme, bien que l'écart important entre les deux lignes puisse annoncer un retournement prochain.</w:t>
      </w:r>
    </w:p>
    <w:p>
      <w:pPr>
        <w:spacing w:after="120" w:line="276" w:lineRule="auto"/>
      </w:pPr>
      <w:r>
        <w:t>**RSI** : À 33,453, le RSI se situe dans la zone neutre basse, proche du seuil de survente (30), sans y être encore. La décision "Neutre" traduit l'absence de signal directionnel fort, mais la proximité de la survente suggère qu'un rebond pourrait se produire si le RSI franchit à la hausse le niveau 30.</w:t>
      </w:r>
    </w:p>
    <w:p>
      <w:pPr>
        <w:spacing w:after="120" w:line="276" w:lineRule="auto"/>
      </w:pPr>
      <w:r>
        <w:t>**Stochastique** : Le %K (0,0) est au plus bas absolu, tandis que le %D (7,843) reste également très faible, signalant une situation de survente extrême. La décision "Achat" repose sur l'anticipation d'un croisement haussier imminent du %K au-dessus du %D, ce qui constituerait un signal d'entrée.</w:t>
      </w:r>
    </w:p>
    <w:p>
      <w:pPr>
        <w:spacing w:after="120" w:line="276" w:lineRule="auto"/>
      </w:pPr>
      <w:r>
        <w:t>**Conclusion technique** : Les indicateurs techniques présentent un tableau mitigé : les moyennes mobiles et les bandes de Bollinger suggèrent un potentiel rebond (cours sous la borne inférieure, MM20 &gt; MM50), tandis que le MACD reste baissier et le RSI neutre. Le stochastique en survente extrême (%K=0) plaide pour un rebond à court terme, mais la divergence MACD-Signal appelle à la prudence. Globalement, le titre se trouve dans une zone de survente technique qui pourrait favoriser un rebond, mais la tendance de fond reste fragile.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SAFC a réalisé un Produit Net Bancaire (PNB) de 5 735 millions FCFA, en hausse de 44,1% par rapport à 2024 (3 980 millions FCFA), porté par la progression des intérêts et produits assimilés (8 236 millions FCFA) et des commissions (686 millions FCFA). Le résultat net s'établit à 701 millions FCFA, marquant un retournement spectaculaire après une perte de 165 millions FCFA en 2024. Le ROE s'élève à 11,85% (en dessous du seuil de 15% considéré comme excellent) et le ROA à 0,88%, reflétant une rentabilité encore modérée. Le coefficient d'exploitation de 77,63% est élevé pour une banque (seuil d'efficacité &lt;60%), indiquant que les charges d'exploitation absorbent une part importante du PNB. Le coût du risque (6,57% des charges financières) reste significatif, bien qu'en amélioration, et le ratio de dépendance financière (92,56%) souligne une forte dépendance aux dettes, avec un ratio d'endettement de 856,36%. La structure financière demeure fragile : les capitaux propres (5 916 millions FCFA) ne représentent que 7,44% du total bilan, et le report à nouveau reste négatif (-4 123 millions FCFA).</w:t>
      </w:r>
    </w:p>
    <w:p>
      <w:pPr>
        <w:spacing w:after="120" w:line="276" w:lineRule="auto"/>
      </w:pPr>
      <w:r>
        <w:t>**Estimations basées sur les rapports trimestriels** : Le rapport du T1 2026 (publié le 12 mai 2026) indique un PNB de 1 395 millions FCFA (+29% sur un an) et un résultat net de 151 millions FCFA (+1 062%), avec une marge nette de 10,82%. Le rapport du S1 2026 (publié le 4 septembre 2026) confirme cette dynamique avec un PNB de 2 907 millions FCFA (+37%) et un résultat net de 731 millions FCFA (+231%), dépassant déjà le résultat net annuel 2025. La marge nette bondit à 25,1%, et le coût du risque devient une reprise nette de 261 millions FCFA, témoignant d'une amélioration spectaculaire de la qualité du portefeuille. Sur la base de ces tendances, on peut estimer que l'exercice 2026 devrait afficher un résultat net supérieur à 1,2 milliard FCFA, avec un PNB dépassant 6 milliards FCFA, confirmant la trajectoire de redressement amorcée en 2025.</w:t>
      </w:r>
    </w:p>
    <w:p>
      <w:pPr>
        <w:spacing w:after="120" w:line="276" w:lineRule="auto"/>
      </w:pPr>
      <w:r>
        <w:t>**Évolution et perspectives** : L'entrée de CREDAF Group comme actionnaire principal en avril 2025 a impulsé une nouvelle dynamique stratégique, avec une amélioration notable de la gouvernance et des performances opérationnelles. Les ratios prudentiels sont respectés (ratio de solvabilité globale de 12,93% au S1 2026, CET1 à 11,49%), mais les marges de sécurité restent limitées. La principale faiblesse réside dans la structure financière : les capitaux propres restent modestes (6 647 millions FCFA au S1 2026) et le report à nouveau négatif grève les fonds propres. La forte dépendance aux dettes interbancaires (35 747 millions FCFA en 2025) expose la société à un risque de liquidité en cas de resserrement des conditions de marché. Néanmoins, la croissance des dépôts clients (+32% au S1 2026) et l'amélioration de la qualité du portefeuille constituent des signaux positifs. La recommandation fondamentale est de **conserver** le titre, en attendant une confirmation durable de la rentabilité et un renforcement des fonds propres.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SAFC apparaît nettement surévaluée au regard des ratios boursiers : un PER de 57,7x, un P/B de 6,84x et un EV/EBITDA de 77,5x traduisent une prime considérable qui n'est justifiée que par les perspectives de croissance exceptionnelle anticipées par le marché. Le comportement du cours sur 100 jours est préoccupant (-19,68%), avec une volatilité annualisée de 80% et une distribution platykurtique (kurtosis de -1,083) qui indique un risque de pics modéré, tandis que la skewness positive (0,349) suggère une légère asymétrie haussière. Les signaux techniques sont divergents : les moyennes mobiles et les bandes de Bollinger plaident pour un rebond (cours sous la borne inférieure, MM20 &gt; MM50), le stochastique est en survente extrême (%K=0), mais le MACD reste baissier et le RSI neutre, créant une incertitude sur la direction à court terme. Les fondamentaux, bien qu'en nette amélioration (PNB +44% en 2025, résultat net de 701 millions FCFA, S1 2026 avec un résultat net de 731 millions FCFA et une marge nette de 25,1%), restent fragiles : capitaux propres modestes, dépendance élevée aux dettes interbancaires, et valorisation boursière qui intègre déjà une grande partie du redressement. Les prédictions IA pour les 10 prochains jours (4 851 FCFA à 4 926 FCFA) suggèrent une légère reprise après la chute récente, ce qui confirme le potentiel de rebond technique mais sans emballement majeur.</w:t>
      </w:r>
    </w:p>
    <w:p>
      <w:pPr>
        <w:spacing w:after="120" w:line="276" w:lineRule="auto"/>
      </w:pPr>
      <w:r>
        <w:t>**Recommandation finale : CONSERVER**</w:t>
      </w:r>
    </w:p>
    <w:p>
      <w:pPr>
        <w:spacing w:after="120" w:line="276" w:lineRule="auto"/>
      </w:pPr>
      <w:r>
        <w:t>Cette recommandation reflète une convergence partielle des signaux : la valorisation est exigeante (risque de correction), les techniques sont mitigées (survente mais momentum baissier), et les fondamentaux s'améliorent mais restent fragiles. Le titre présente un profil spéculatif pour les investisseurs prêts à accepter une volatilité élevée, avec un potentiel de revalorisation si la croissance se confirme et si les fonds propres se renforcent. Le niveau de confiance est **Moyen** (incertitude sur la durabilité du redressement), et le risque global est **Élevé** (volatilité de 80%, dépendance financière, valorisation tendue). L'horizon d'investissement optimal est le **moyen terme (3-12 mois)**, en surveillant attentivement les prochains rapports trimestriels (notamment le T3 2026) et l'évolution des fonds propres. Un passage à l'achat serait justifié si le titre corrige vers 4 500 FCFA (niveau de la moyenne) ou si les résultats annuels 2026 confirment un résultat net supérieur à 1,2 milliard FCFA avec un renforcement des capitaux propres. À l'inverse, une vente serait recommandée si le cours franchit à la baisse le support de 3 340 FCFA ou si les ratios prudentiels se dégradent.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10,918 titres</w:t>
            </w:r>
          </w:p>
        </w:tc>
        <w:tc>
          <w:tcPr>
            <w:tcW w:type="dxa" w:w="2268"/>
            <w:shd w:fill="FFF2CC" w:val="clear"/>
          </w:tcPr>
          <w:p>
            <w:r>
              <w:rPr>
                <w:b/>
                <w:color w:val="503200"/>
                <w:sz w:val="16"/>
              </w:rPr>
              <w:t xml:space="preserve">Cours actuel : </w:t>
            </w:r>
            <w:r>
              <w:rPr>
                <w:color w:val="000000"/>
                <w:sz w:val="17"/>
              </w:rPr>
              <w:t>3,085 FCFA</w:t>
            </w:r>
          </w:p>
          <w:p>
            <w:r>
              <w:rPr>
                <w:b/>
                <w:color w:val="503200"/>
                <w:sz w:val="16"/>
              </w:rPr>
              <w:t xml:space="preserve">Var. 100 jours : </w:t>
            </w:r>
            <w:r>
              <w:rPr>
                <w:b/>
                <w:color w:val="007800"/>
                <w:sz w:val="17"/>
              </w:rPr>
              <w:t>+53.48%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18.04% (Élevée) — μ=3,101 FCFA, σ=559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β=0.3798 (Défensif) — Cov=0.000013, Var(idx)=0.000035, ρ=0.066,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σ_j=3.44%/j (Modérée) — Vol. annualisée≈54.7%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2,963</w:t>
            </w:r>
          </w:p>
        </w:tc>
        <w:tc>
          <w:tcPr>
            <w:tcW w:type="dxa" w:w="1440"/>
            <w:shd w:fill="FAFAFA" w:val="clear"/>
          </w:tcPr>
          <w:p>
            <w:r>
              <w:rPr>
                <w:b/>
                <w:sz w:val="17"/>
              </w:rPr>
              <w:t>3,078</w:t>
            </w:r>
          </w:p>
        </w:tc>
        <w:tc>
          <w:tcPr>
            <w:tcW w:type="dxa" w:w="1440"/>
            <w:shd w:fill="FAFAFA" w:val="clear"/>
          </w:tcPr>
          <w:p>
            <w:r>
              <w:rPr>
                <w:sz w:val="17"/>
              </w:rPr>
              <w:t>3,193</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2,940</w:t>
            </w:r>
          </w:p>
        </w:tc>
        <w:tc>
          <w:tcPr>
            <w:tcW w:type="dxa" w:w="1440"/>
            <w:shd w:fill="FAFAFA" w:val="clear"/>
          </w:tcPr>
          <w:p>
            <w:r>
              <w:rPr>
                <w:b/>
                <w:sz w:val="17"/>
              </w:rPr>
              <w:t>3,104</w:t>
            </w:r>
          </w:p>
        </w:tc>
        <w:tc>
          <w:tcPr>
            <w:tcW w:type="dxa" w:w="1440"/>
            <w:shd w:fill="FAFAFA" w:val="clear"/>
          </w:tcPr>
          <w:p>
            <w:r>
              <w:rPr>
                <w:sz w:val="17"/>
              </w:rPr>
              <w:t>3,267</w:t>
            </w:r>
          </w:p>
        </w:tc>
        <w:tc>
          <w:tcPr>
            <w:tcW w:type="dxa" w:w="1440"/>
            <w:shd w:fill="FAFAFA" w:val="clear"/>
          </w:tcPr>
          <w:p>
            <w:r>
              <w:rPr>
                <w:b/>
                <w:color w:val="008000"/>
                <w:sz w:val="17"/>
              </w:rPr>
              <w:t>+0.6%</w:t>
            </w:r>
          </w:p>
        </w:tc>
      </w:tr>
      <w:tr>
        <w:tc>
          <w:tcPr>
            <w:tcW w:type="dxa" w:w="1440"/>
            <w:shd w:fill="C6EFCE" w:val="clear"/>
          </w:tcPr>
          <w:p>
            <w:r>
              <w:rPr>
                <w:sz w:val="17"/>
              </w:rPr>
              <w:t>J+3  Moyenne</w:t>
            </w:r>
          </w:p>
        </w:tc>
        <w:tc>
          <w:tcPr>
            <w:tcW w:type="dxa" w:w="1440"/>
            <w:shd w:fill="C6EFCE" w:val="clear"/>
          </w:tcPr>
          <w:p>
            <w:r>
              <w:rPr>
                <w:sz w:val="17"/>
              </w:rPr>
              <w:t>2026-09-18</w:t>
            </w:r>
          </w:p>
        </w:tc>
        <w:tc>
          <w:tcPr>
            <w:tcW w:type="dxa" w:w="1440"/>
            <w:shd w:fill="C6EFCE" w:val="clear"/>
          </w:tcPr>
          <w:p>
            <w:r>
              <w:rPr>
                <w:sz w:val="17"/>
              </w:rPr>
              <w:t>2,981</w:t>
            </w:r>
          </w:p>
        </w:tc>
        <w:tc>
          <w:tcPr>
            <w:tcW w:type="dxa" w:w="1440"/>
            <w:shd w:fill="C6EFCE" w:val="clear"/>
          </w:tcPr>
          <w:p>
            <w:r>
              <w:rPr>
                <w:b/>
                <w:sz w:val="17"/>
              </w:rPr>
              <w:t>3,188</w:t>
            </w:r>
          </w:p>
        </w:tc>
        <w:tc>
          <w:tcPr>
            <w:tcW w:type="dxa" w:w="1440"/>
            <w:shd w:fill="C6EFCE" w:val="clear"/>
          </w:tcPr>
          <w:p>
            <w:r>
              <w:rPr>
                <w:sz w:val="17"/>
              </w:rPr>
              <w:t>3,394</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2026-09-21</w:t>
            </w:r>
          </w:p>
        </w:tc>
        <w:tc>
          <w:tcPr>
            <w:tcW w:type="dxa" w:w="1440"/>
            <w:shd w:fill="C6EFCE" w:val="clear"/>
          </w:tcPr>
          <w:p>
            <w:r>
              <w:rPr>
                <w:sz w:val="17"/>
              </w:rPr>
              <w:t>3,022</w:t>
            </w:r>
          </w:p>
        </w:tc>
        <w:tc>
          <w:tcPr>
            <w:tcW w:type="dxa" w:w="1440"/>
            <w:shd w:fill="C6EFCE" w:val="clear"/>
          </w:tcPr>
          <w:p>
            <w:r>
              <w:rPr>
                <w:b/>
                <w:sz w:val="17"/>
              </w:rPr>
              <w:t>3,266</w:t>
            </w:r>
          </w:p>
        </w:tc>
        <w:tc>
          <w:tcPr>
            <w:tcW w:type="dxa" w:w="1440"/>
            <w:shd w:fill="C6EFCE" w:val="clear"/>
          </w:tcPr>
          <w:p>
            <w:r>
              <w:rPr>
                <w:sz w:val="17"/>
              </w:rPr>
              <w:t>3,510</w:t>
            </w:r>
          </w:p>
        </w:tc>
        <w:tc>
          <w:tcPr>
            <w:tcW w:type="dxa" w:w="1440"/>
            <w:shd w:fill="C6EFCE" w:val="clear"/>
          </w:tcPr>
          <w:p>
            <w:r>
              <w:rPr>
                <w:b/>
                <w:color w:val="008000"/>
                <w:sz w:val="17"/>
              </w:rPr>
              <w:t>+5.9%</w:t>
            </w:r>
          </w:p>
        </w:tc>
      </w:tr>
      <w:tr>
        <w:tc>
          <w:tcPr>
            <w:tcW w:type="dxa" w:w="1440"/>
            <w:shd w:fill="C6EFCE" w:val="clear"/>
          </w:tcPr>
          <w:p>
            <w:r>
              <w:rPr>
                <w:sz w:val="17"/>
              </w:rPr>
              <w:t>J+5  ⭐</w:t>
            </w:r>
          </w:p>
        </w:tc>
        <w:tc>
          <w:tcPr>
            <w:tcW w:type="dxa" w:w="1440"/>
            <w:shd w:fill="C6EFCE" w:val="clear"/>
          </w:tcPr>
          <w:p>
            <w:r>
              <w:rPr>
                <w:sz w:val="17"/>
              </w:rPr>
              <w:t>2026-09-22</w:t>
            </w:r>
          </w:p>
        </w:tc>
        <w:tc>
          <w:tcPr>
            <w:tcW w:type="dxa" w:w="1440"/>
            <w:shd w:fill="C6EFCE" w:val="clear"/>
          </w:tcPr>
          <w:p>
            <w:r>
              <w:rPr>
                <w:sz w:val="17"/>
              </w:rPr>
              <w:t>3,046</w:t>
            </w:r>
          </w:p>
        </w:tc>
        <w:tc>
          <w:tcPr>
            <w:tcW w:type="dxa" w:w="1440"/>
            <w:shd w:fill="C6EFCE" w:val="clear"/>
          </w:tcPr>
          <w:p>
            <w:r>
              <w:rPr>
                <w:b/>
                <w:sz w:val="17"/>
              </w:rPr>
              <w:t>3,324</w:t>
            </w:r>
          </w:p>
        </w:tc>
        <w:tc>
          <w:tcPr>
            <w:tcW w:type="dxa" w:w="1440"/>
            <w:shd w:fill="C6EFCE" w:val="clear"/>
          </w:tcPr>
          <w:p>
            <w:r>
              <w:rPr>
                <w:sz w:val="17"/>
              </w:rPr>
              <w:t>3,602</w:t>
            </w:r>
          </w:p>
        </w:tc>
        <w:tc>
          <w:tcPr>
            <w:tcW w:type="dxa" w:w="1440"/>
            <w:shd w:fill="C6EFCE" w:val="clear"/>
          </w:tcPr>
          <w:p>
            <w:r>
              <w:rPr>
                <w:b/>
                <w:color w:val="008000"/>
                <w:sz w:val="17"/>
              </w:rPr>
              <w:t>+7.7%</w:t>
            </w:r>
          </w:p>
        </w:tc>
      </w:tr>
      <w:tr>
        <w:tc>
          <w:tcPr>
            <w:tcW w:type="dxa" w:w="1440"/>
            <w:shd w:fill="C6EFCE" w:val="clear"/>
          </w:tcPr>
          <w:p>
            <w:r>
              <w:rPr>
                <w:sz w:val="17"/>
              </w:rPr>
              <w:t>J+6  ⭐</w:t>
            </w:r>
          </w:p>
        </w:tc>
        <w:tc>
          <w:tcPr>
            <w:tcW w:type="dxa" w:w="1440"/>
            <w:shd w:fill="C6EFCE" w:val="clear"/>
          </w:tcPr>
          <w:p>
            <w:r>
              <w:rPr>
                <w:sz w:val="17"/>
              </w:rPr>
              <w:t>2026-09-23</w:t>
            </w:r>
          </w:p>
        </w:tc>
        <w:tc>
          <w:tcPr>
            <w:tcW w:type="dxa" w:w="1440"/>
            <w:shd w:fill="C6EFCE" w:val="clear"/>
          </w:tcPr>
          <w:p>
            <w:r>
              <w:rPr>
                <w:sz w:val="17"/>
              </w:rPr>
              <w:t>3,054</w:t>
            </w:r>
          </w:p>
        </w:tc>
        <w:tc>
          <w:tcPr>
            <w:tcW w:type="dxa" w:w="1440"/>
            <w:shd w:fill="C6EFCE" w:val="clear"/>
          </w:tcPr>
          <w:p>
            <w:r>
              <w:rPr>
                <w:b/>
                <w:sz w:val="17"/>
              </w:rPr>
              <w:t>3,362</w:t>
            </w:r>
          </w:p>
        </w:tc>
        <w:tc>
          <w:tcPr>
            <w:tcW w:type="dxa" w:w="1440"/>
            <w:shd w:fill="C6EFCE" w:val="clear"/>
          </w:tcPr>
          <w:p>
            <w:r>
              <w:rPr>
                <w:sz w:val="17"/>
              </w:rPr>
              <w:t>3,669</w:t>
            </w:r>
          </w:p>
        </w:tc>
        <w:tc>
          <w:tcPr>
            <w:tcW w:type="dxa" w:w="1440"/>
            <w:shd w:fill="C6EFCE" w:val="clear"/>
          </w:tcPr>
          <w:p>
            <w:r>
              <w:rPr>
                <w:b/>
                <w:color w:val="008000"/>
                <w:sz w:val="17"/>
              </w:rPr>
              <w:t>+9.0%</w:t>
            </w:r>
          </w:p>
        </w:tc>
      </w:tr>
      <w:tr>
        <w:tc>
          <w:tcPr>
            <w:tcW w:type="dxa" w:w="1440"/>
            <w:shd w:fill="C6EFCE" w:val="clear"/>
          </w:tcPr>
          <w:p>
            <w:r>
              <w:rPr>
                <w:sz w:val="17"/>
              </w:rPr>
              <w:t>J+7  ⭐</w:t>
            </w:r>
          </w:p>
        </w:tc>
        <w:tc>
          <w:tcPr>
            <w:tcW w:type="dxa" w:w="1440"/>
            <w:shd w:fill="C6EFCE" w:val="clear"/>
          </w:tcPr>
          <w:p>
            <w:r>
              <w:rPr>
                <w:sz w:val="17"/>
              </w:rPr>
              <w:t>2026-09-24</w:t>
            </w:r>
          </w:p>
        </w:tc>
        <w:tc>
          <w:tcPr>
            <w:tcW w:type="dxa" w:w="1440"/>
            <w:shd w:fill="C6EFCE" w:val="clear"/>
          </w:tcPr>
          <w:p>
            <w:r>
              <w:rPr>
                <w:sz w:val="17"/>
              </w:rPr>
              <w:t>3,051</w:t>
            </w:r>
          </w:p>
        </w:tc>
        <w:tc>
          <w:tcPr>
            <w:tcW w:type="dxa" w:w="1440"/>
            <w:shd w:fill="C6EFCE" w:val="clear"/>
          </w:tcPr>
          <w:p>
            <w:r>
              <w:rPr>
                <w:b/>
                <w:sz w:val="17"/>
              </w:rPr>
              <w:t>3,385</w:t>
            </w:r>
          </w:p>
        </w:tc>
        <w:tc>
          <w:tcPr>
            <w:tcW w:type="dxa" w:w="1440"/>
            <w:shd w:fill="C6EFCE" w:val="clear"/>
          </w:tcPr>
          <w:p>
            <w:r>
              <w:rPr>
                <w:sz w:val="17"/>
              </w:rPr>
              <w:t>3,720</w:t>
            </w:r>
          </w:p>
        </w:tc>
        <w:tc>
          <w:tcPr>
            <w:tcW w:type="dxa" w:w="1440"/>
            <w:shd w:fill="C6EFCE" w:val="clear"/>
          </w:tcPr>
          <w:p>
            <w:r>
              <w:rPr>
                <w:b/>
                <w:color w:val="008000"/>
                <w:sz w:val="17"/>
              </w:rPr>
              <w:t>+9.7%</w:t>
            </w:r>
          </w:p>
        </w:tc>
      </w:tr>
      <w:tr>
        <w:tc>
          <w:tcPr>
            <w:tcW w:type="dxa" w:w="1440"/>
            <w:shd w:fill="C6EFCE" w:val="clear"/>
          </w:tcPr>
          <w:p>
            <w:r>
              <w:rPr>
                <w:sz w:val="17"/>
              </w:rPr>
              <w:t>J+8  ⭐</w:t>
            </w:r>
          </w:p>
        </w:tc>
        <w:tc>
          <w:tcPr>
            <w:tcW w:type="dxa" w:w="1440"/>
            <w:shd w:fill="C6EFCE" w:val="clear"/>
          </w:tcPr>
          <w:p>
            <w:r>
              <w:rPr>
                <w:sz w:val="17"/>
              </w:rPr>
              <w:t>2026-09-25</w:t>
            </w:r>
          </w:p>
        </w:tc>
        <w:tc>
          <w:tcPr>
            <w:tcW w:type="dxa" w:w="1440"/>
            <w:shd w:fill="C6EFCE" w:val="clear"/>
          </w:tcPr>
          <w:p>
            <w:r>
              <w:rPr>
                <w:sz w:val="17"/>
              </w:rPr>
              <w:t>3,042</w:t>
            </w:r>
          </w:p>
        </w:tc>
        <w:tc>
          <w:tcPr>
            <w:tcW w:type="dxa" w:w="1440"/>
            <w:shd w:fill="C6EFCE" w:val="clear"/>
          </w:tcPr>
          <w:p>
            <w:r>
              <w:rPr>
                <w:b/>
                <w:sz w:val="17"/>
              </w:rPr>
              <w:t>3,401</w:t>
            </w:r>
          </w:p>
        </w:tc>
        <w:tc>
          <w:tcPr>
            <w:tcW w:type="dxa" w:w="1440"/>
            <w:shd w:fill="C6EFCE" w:val="clear"/>
          </w:tcPr>
          <w:p>
            <w:r>
              <w:rPr>
                <w:sz w:val="17"/>
              </w:rPr>
              <w:t>3,760</w:t>
            </w:r>
          </w:p>
        </w:tc>
        <w:tc>
          <w:tcPr>
            <w:tcW w:type="dxa" w:w="1440"/>
            <w:shd w:fill="C6EFCE" w:val="clear"/>
          </w:tcPr>
          <w:p>
            <w:r>
              <w:rPr>
                <w:b/>
                <w:color w:val="008000"/>
                <w:sz w:val="17"/>
              </w:rPr>
              <w:t>+10.2%</w:t>
            </w:r>
          </w:p>
        </w:tc>
      </w:tr>
      <w:tr>
        <w:tc>
          <w:tcPr>
            <w:tcW w:type="dxa" w:w="1440"/>
            <w:shd w:fill="C6EFCE" w:val="clear"/>
          </w:tcPr>
          <w:p>
            <w:r>
              <w:rPr>
                <w:sz w:val="17"/>
              </w:rPr>
              <w:t>J+9  ⭐</w:t>
            </w:r>
          </w:p>
        </w:tc>
        <w:tc>
          <w:tcPr>
            <w:tcW w:type="dxa" w:w="1440"/>
            <w:shd w:fill="C6EFCE" w:val="clear"/>
          </w:tcPr>
          <w:p>
            <w:r>
              <w:rPr>
                <w:sz w:val="17"/>
              </w:rPr>
              <w:t>2026-09-28</w:t>
            </w:r>
          </w:p>
        </w:tc>
        <w:tc>
          <w:tcPr>
            <w:tcW w:type="dxa" w:w="1440"/>
            <w:shd w:fill="C6EFCE" w:val="clear"/>
          </w:tcPr>
          <w:p>
            <w:r>
              <w:rPr>
                <w:sz w:val="17"/>
              </w:rPr>
              <w:t>3,030</w:t>
            </w:r>
          </w:p>
        </w:tc>
        <w:tc>
          <w:tcPr>
            <w:tcW w:type="dxa" w:w="1440"/>
            <w:shd w:fill="C6EFCE" w:val="clear"/>
          </w:tcPr>
          <w:p>
            <w:r>
              <w:rPr>
                <w:b/>
                <w:sz w:val="17"/>
              </w:rPr>
              <w:t>3,412</w:t>
            </w:r>
          </w:p>
        </w:tc>
        <w:tc>
          <w:tcPr>
            <w:tcW w:type="dxa" w:w="1440"/>
            <w:shd w:fill="C6EFCE" w:val="clear"/>
          </w:tcPr>
          <w:p>
            <w:r>
              <w:rPr>
                <w:sz w:val="17"/>
              </w:rPr>
              <w:t>3,795</w:t>
            </w:r>
          </w:p>
        </w:tc>
        <w:tc>
          <w:tcPr>
            <w:tcW w:type="dxa" w:w="1440"/>
            <w:shd w:fill="C6EFCE" w:val="clear"/>
          </w:tcPr>
          <w:p>
            <w:r>
              <w:rPr>
                <w:b/>
                <w:color w:val="008000"/>
                <w:sz w:val="17"/>
              </w:rPr>
              <w:t>+10.6%</w:t>
            </w:r>
          </w:p>
        </w:tc>
      </w:tr>
      <w:tr>
        <w:tc>
          <w:tcPr>
            <w:tcW w:type="dxa" w:w="1440"/>
            <w:shd w:fill="C6EFCE" w:val="clear"/>
          </w:tcPr>
          <w:p>
            <w:r>
              <w:rPr>
                <w:sz w:val="17"/>
              </w:rPr>
              <w:t>J+10  ⭐</w:t>
            </w:r>
          </w:p>
        </w:tc>
        <w:tc>
          <w:tcPr>
            <w:tcW w:type="dxa" w:w="1440"/>
            <w:shd w:fill="C6EFCE" w:val="clear"/>
          </w:tcPr>
          <w:p>
            <w:r>
              <w:rPr>
                <w:sz w:val="17"/>
              </w:rPr>
              <w:t>2026-09-29</w:t>
            </w:r>
          </w:p>
        </w:tc>
        <w:tc>
          <w:tcPr>
            <w:tcW w:type="dxa" w:w="1440"/>
            <w:shd w:fill="C6EFCE" w:val="clear"/>
          </w:tcPr>
          <w:p>
            <w:r>
              <w:rPr>
                <w:sz w:val="17"/>
              </w:rPr>
              <w:t>3,017</w:t>
            </w:r>
          </w:p>
        </w:tc>
        <w:tc>
          <w:tcPr>
            <w:tcW w:type="dxa" w:w="1440"/>
            <w:shd w:fill="C6EFCE" w:val="clear"/>
          </w:tcPr>
          <w:p>
            <w:r>
              <w:rPr>
                <w:b/>
                <w:sz w:val="17"/>
              </w:rPr>
              <w:t>3,421</w:t>
            </w:r>
          </w:p>
        </w:tc>
        <w:tc>
          <w:tcPr>
            <w:tcW w:type="dxa" w:w="1440"/>
            <w:shd w:fill="C6EFCE" w:val="clear"/>
          </w:tcPr>
          <w:p>
            <w:r>
              <w:rPr>
                <w:sz w:val="17"/>
              </w:rPr>
              <w:t>3,826</w:t>
            </w:r>
          </w:p>
        </w:tc>
        <w:tc>
          <w:tcPr>
            <w:tcW w:type="dxa" w:w="1440"/>
            <w:shd w:fill="C6EFCE" w:val="clear"/>
          </w:tcPr>
          <w:p>
            <w:r>
              <w:rPr>
                <w:b/>
                <w:color w:val="008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w:t>
        <w:br/>
        <w:t>**Bourse Régionale des Valeurs Mobilières (BRVM) — Secteur : Agro-industrie / Sucre**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s'élève à **60,47 Mds FCFA**, un niveau intermédiaire à l'échelle de la BRVM qui positionne le titre parmi les valeurs moyennes du compartiment agro-industriel. Le **BPA ressort à -406 FCFA/action**, traduisant une société en perte sur l'exercice 2025, ce qui rend le **PER négatif (-7,6x)** mécaniquement ininterprétable comme signal de cherté ou de bon marché — il signale simplement l'absence de bénéfices. Le **P/B de 3,51x** indique que le marché valorise SCRC à plus de trois fois sa valeur comptable (capitaux propres de 17,24 Mds FCFA), soit une prime de croissance significative qui contraste fortement avec la réalité déficitaire de l'entreprise. Enfin, l'**EV/EBITDA de 10,2x** situe la valeur d'entreprise (incluant une dette financière massive de 84,87 Mds FCFA) dans le haut de la fourchette usuelle (10-15x), ce qui suggère que le marché intègre déjà une reprise opérationnelle que les fondamentaux actuels ne confirment pas encore.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SCRC affiche une **progression spectaculaire de +53,48%**, mais la dernière séance a enregistré un **recul brutal de -5,95%**, signalant un essoufflement de la dynamique haussière. Le cours actuel de **3 085 FCFA** se situe dans la moitié basse du range de trading, loin du plus haut de **3 920 FCFA** et nettement au-dessus du plus bas de **1 990 FCFA**, ce qui traduit une tendance haussière de fond mais une correction en cours. Les statistiques descriptives révèlent une **moyenne de 3 101 FCFA** légèrement inférieure à la **médiane de 3 298 FCFA**, confirmant une asymétrie négative (skewness de -0,732) : le titre a passé plus de journées au-dessus de sa moyenne, mais les baisses récentes tirent la moyenne vers le bas. L'**écart-type de 562 FCFA (CV = 18,1%)** indique une dispersion modérée autour de la moyenne, tandis que le **kurtosis de -0,778 (mésokurtique)** suggère une distribution proche de la normale, sans risque extrême de pics. La **volatilité annualisée de 54,7%** classe le titre dans la catégorie **élevée (&gt;30%)**, ce qui est cohérent avec un marché frontière peu liquide (volume moyen de 10 918 titres/jour) et une forte sensibilité aux annonces fondamentales.</w:t>
      </w:r>
    </w:p>
    <w:p>
      <w:pPr>
        <w:spacing w:after="120" w:line="276" w:lineRule="auto"/>
      </w:pPr>
      <w:r>
        <w:t>---</w:t>
      </w:r>
    </w:p>
    <w:p>
      <w:pPr>
        <w:spacing w:after="120" w:line="276" w:lineRule="auto"/>
      </w:pPr>
      <w:r>
        <w:t>## PARTIE 2 : ANALYSE TECHNIQUE DÉTAILLÉE</w:t>
      </w:r>
    </w:p>
    <w:p>
      <w:pPr>
        <w:spacing w:after="120" w:line="276" w:lineRule="auto"/>
      </w:pPr>
      <w:r>
        <w:t>**Moyennes Mobiles** : La MM20 (3 431,5 FCFA) et la MM50 (3 539,1 FCFA) sont toutes deux nettement supérieures au cours actuel (3 085 FCFA), ce qui place le titre en position de faiblesse relative et confirme la décision de **Vente**. Le croisement baissier (MM20 &lt; MM50) renforce ce signal négatif.</w:t>
      </w:r>
    </w:p>
    <w:p>
      <w:pPr>
        <w:spacing w:after="120" w:line="276" w:lineRule="auto"/>
      </w:pPr>
      <w:r>
        <w:t>**Bandes de Bollinger** : Le cours (3 085 FCFA) se situe **sous la borne inférieure** (3 157,8 FCFA), ce qui constitue un signal de **survente** et justifie la décision d'**Achat** technique. Cette position extrême suggère un potentiel de rebond à court terme vers la bande médiane.</w:t>
      </w:r>
    </w:p>
    <w:p>
      <w:pPr>
        <w:spacing w:after="120" w:line="276" w:lineRule="auto"/>
      </w:pPr>
      <w:r>
        <w:t>**MACD** : La valeur du MACD (-69,732) est inférieure à son signal (-29,745), avec un histogramme négatif, traduisant un **momentum baissier** persistant. La décision de **Vente** est cohérente avec cette configuration.</w:t>
      </w:r>
    </w:p>
    <w:p>
      <w:pPr>
        <w:spacing w:after="120" w:line="276" w:lineRule="auto"/>
      </w:pPr>
      <w:r>
        <w:t>**RSI** : À **32,317**, le RSI est proche de la zone de survente (seuil de 30) sans l'atteindre, ce qui le place en territoire **neutre** avec une légère tendance baissière. Aucun signal d'achat ou de vente fort n'en émerge.</w:t>
      </w:r>
    </w:p>
    <w:p>
      <w:pPr>
        <w:spacing w:after="120" w:line="276" w:lineRule="auto"/>
      </w:pPr>
      <w:r>
        <w:t>**Stochastique** : Les valeurs %K et %D sont toutes deux à **0,0**, ce qui est un signal extrême de **survente** et justifie la décision d'**Achat**. Un tel niveau précède souvent un rebond technique.</w:t>
      </w:r>
    </w:p>
    <w:p>
      <w:pPr>
        <w:spacing w:after="120" w:line="276" w:lineRule="auto"/>
      </w:pPr>
      <w:r>
        <w:t>**Conclusion technique** : Les indicateurs sont **divergents** — les moyennes mobiles et le MACD confirment une tendance baissière, tandis que les Bandes de Bollinger et le Stochastique signalent une survente extrême propice à un rebond. Le RSI neutre ne tranche pas. Cette configuration suggère un **rebond technique à court terme** possible, mais la tendance de fond reste fragile tant que le cours ne repasse pas au-dessus de la MM20 (3 431 FCFA).</w:t>
      </w:r>
    </w:p>
    <w:p>
      <w:pPr>
        <w:spacing w:after="120" w:line="276" w:lineRule="auto"/>
      </w:pPr>
      <w:r>
        <w:t>---</w:t>
      </w:r>
    </w:p>
    <w:p>
      <w:pPr>
        <w:spacing w:after="120" w:line="276" w:lineRule="auto"/>
      </w:pPr>
      <w:r>
        <w:t>## PARTIE 3 : ANALYSE FONDAMENTALE</w:t>
      </w:r>
    </w:p>
    <w:p>
      <w:pPr>
        <w:spacing w:after="120" w:line="276" w:lineRule="auto"/>
      </w:pPr>
      <w:r>
        <w:t>Les **états financiers 2025** (exercice clos le 31 décembre 2025, analysés dans les rapports officiels) révèlent une situation préoccupante : le **chiffre d'affaires recule de -7,6% à 80,57 Mds FCFA** (contre 87,22 Mds en 2024), et le **résultat net bascule dans le rouge à -7,95 Mds FCFA** (normes IFRS) contre un bénéfice de 2,47 Mds en 2024, soit une dégradation de 421%. Le **ROE s'effondre à -46,13%** et le **ROA à -5,08%**, confirmant une destruction de valeur massive. La **marge nette est de -9,87%** et la **marge opérationnelle de -0,68%**, tandis que le **résultat d'exploitation ressort à -544,99 M FCFA**. Cette contre-performance s'explique principalement par l'**explosion des charges financières (+262% à 6,79 Mds FCFA)** liée à un endettement massif : les **dettes financières totales atteignent 84,87 Mds FCFA** (dont 45,92 Mds de dettes LT/MT), soit un **ratio d'endettement de 88,98%** et une **autonomie financière catastrophique de 11,02%** (seuil sain : &gt;30%). Le **BFR est de 6,53 Mds FCFA** (positif, donc défavorable) et la **trésorerie nette est négative à -6,51 Mds FCFA**, signe de tensions de liquidité. Les **délais fournisseurs (366 jours)** sont anormalement longs, ce qui peut indiquer des difficultés de paiement, tandis que les **délais clients (12,28 jours)** restent maîtrisés. Sur la base du **rapport S1 2025** (publié le 30 juin 2025), qui faisait état d'une perte nette de -6,71 Mds FCFA et d'un résultat d'exploitation négatif de -3,18 Mds FCFA, on peut estimer que l'exercice 2025 s'est conclu sur une nouvelle dégradation, confirmée par les états financiers annuels. Les **rapports 2024** (exercice clos le 31 décembre 2024) montraient pourtant un redressement encourageant avec un CA de 87,22 Mds (+28%) et un résultat net positif de 2,47 Mds, mais cette dynamique a été brisée en 2025 par la flambée des coûts financiers et la baisse des volumes. **Conclusion fondamentale** : la société est en situation de **fragilité financière critique**, avec un endettement insoutenable, une rentabilité négative et une trésorerie sous tension. Les investissements massifs (25,2 Mds FCFA en 2025) pourraient soutenir une reprise future, mais le risque de défaut à court terme est élevé. **Recommandation fondamentale : VENDRE** (ou conserver avec une vigilance extrême pour les investisseurs déjà positionnés).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majeure** entre les signaux. La **valorisation (Partie 0)** est difficilement interprétable : le PER négatif et le P/B élevé (3,51x) suggèrent que le marché valorise une reprise hypothétique, mais l'EV/EBITDA de 10,2x intègre déjà une dette colossale (84,87 Mds FCFA) qui pèse sur la valeur réelle. Le **comportement du cours (Partie 1)** est paradoxal : malgré une hausse de +53,48% sur 100 jours, la correction récente (-5,95% en J-1) et la volatilité élevée (54,7%) traduisent une instabilité préoccupante, avec une asymétrie négative (skewness -0,732) indiquant que les baisses récentes pèsent sur la dynamique. Les **signaux techniques (Partie 2)** sont contradictoires : les moyennes mobiles et le MACD sont baissiers, mais les Bandes de Bollinger et le Stochastique signalent une survente extrême propice à un rebond à court terme. Les **fondamentaux (Partie 3)** sont **alarmants** : perte nette de -7,95 Mds FCFA en 2025, ROE de -46,13%, endettement critique (88,98% des capitaux propres) et trésorerie négative (-6,51 Mds FCFA). Les **prédictions IA (J+1 à J+10)** anticipent une **reprise progressive** de 3 078 FCFA à 3 324 FCFA (+7,8% sur 10 jours), ce qui confirme le potentiel de rebond technique mais contredit la détérioration fondamentale. **Recommandation finale : VENTE** — la convergence des risques fondamentaux (perte massive, endettement insoutenable) et techniques (tendance baissière de fond) l'emporte sur le rebond technique attendu. Le niveau de confiance est **Moyen** (les prédictions IA et la survente technique pourraient générer un sursaut, mais la fragilité financière rend le risque asymétrique à la baisse). Le **risque global est Élevé** (volatilité de 54,7%, endettement critique, perte nette). L'horizon d'investissement recommandé est **court terme (&lt;3 mois)** pour les traders cherchant à capturer le rebond technique, mais **à éviter pour les investisseurs long terme** tant que la restructuration financière et le retour à la rentabilité ne sont pas confirmés.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1,331 titres</w:t>
            </w:r>
          </w:p>
        </w:tc>
        <w:tc>
          <w:tcPr>
            <w:tcW w:type="dxa" w:w="2268"/>
            <w:shd w:fill="FFF2CC" w:val="clear"/>
          </w:tcPr>
          <w:p>
            <w:r>
              <w:rPr>
                <w:b/>
                <w:color w:val="503200"/>
                <w:sz w:val="16"/>
              </w:rPr>
              <w:t xml:space="preserve">Cours actuel : </w:t>
            </w:r>
            <w:r>
              <w:rPr>
                <w:color w:val="000000"/>
                <w:sz w:val="17"/>
              </w:rPr>
              <w:t>13,885 FCFA</w:t>
            </w:r>
          </w:p>
          <w:p>
            <w:r>
              <w:rPr>
                <w:b/>
                <w:color w:val="503200"/>
                <w:sz w:val="16"/>
              </w:rPr>
              <w:t xml:space="preserve">Var. 100 jours : </w:t>
            </w:r>
            <w:r>
              <w:rPr>
                <w:b/>
                <w:color w:val="007800"/>
                <w:sz w:val="17"/>
              </w:rPr>
              <w:t>+85.50%</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38.0%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13.08% (Moyenne) — μ=11,401 FCFA, σ=1,492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β=0.0677 (Défensif) — Cov=0.000002, Var(idx)=0.000035, ρ=0.017,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σ_j=2.39%/j (Stable) — Vol. annualisée≈38.0%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598627"/>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13,177</w:t>
            </w:r>
          </w:p>
        </w:tc>
        <w:tc>
          <w:tcPr>
            <w:tcW w:type="dxa" w:w="1440"/>
            <w:shd w:fill="FAFAFA" w:val="clear"/>
          </w:tcPr>
          <w:p>
            <w:r>
              <w:rPr>
                <w:b/>
                <w:sz w:val="17"/>
              </w:rPr>
              <w:t>13,692</w:t>
            </w:r>
          </w:p>
        </w:tc>
        <w:tc>
          <w:tcPr>
            <w:tcW w:type="dxa" w:w="1440"/>
            <w:shd w:fill="FAFAFA" w:val="clear"/>
          </w:tcPr>
          <w:p>
            <w:r>
              <w:rPr>
                <w:sz w:val="17"/>
              </w:rPr>
              <w:t>14,208</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13,022</w:t>
            </w:r>
          </w:p>
        </w:tc>
        <w:tc>
          <w:tcPr>
            <w:tcW w:type="dxa" w:w="1440"/>
            <w:shd w:fill="FAFAFA" w:val="clear"/>
          </w:tcPr>
          <w:p>
            <w:r>
              <w:rPr>
                <w:b/>
                <w:sz w:val="17"/>
              </w:rPr>
              <w:t>13,755</w:t>
            </w:r>
          </w:p>
        </w:tc>
        <w:tc>
          <w:tcPr>
            <w:tcW w:type="dxa" w:w="1440"/>
            <w:shd w:fill="FAFAFA" w:val="clear"/>
          </w:tcPr>
          <w:p>
            <w:r>
              <w:rPr>
                <w:sz w:val="17"/>
              </w:rPr>
              <w:t>14,487</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12,902</w:t>
            </w:r>
          </w:p>
        </w:tc>
        <w:tc>
          <w:tcPr>
            <w:tcW w:type="dxa" w:w="1440"/>
            <w:shd w:fill="FAFAFA" w:val="clear"/>
          </w:tcPr>
          <w:p>
            <w:r>
              <w:rPr>
                <w:b/>
                <w:sz w:val="17"/>
              </w:rPr>
              <w:t>13,802</w:t>
            </w:r>
          </w:p>
        </w:tc>
        <w:tc>
          <w:tcPr>
            <w:tcW w:type="dxa" w:w="1440"/>
            <w:shd w:fill="FAFAFA" w:val="clear"/>
          </w:tcPr>
          <w:p>
            <w:r>
              <w:rPr>
                <w:sz w:val="17"/>
              </w:rPr>
              <w:t>14,703</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12,800</w:t>
            </w:r>
          </w:p>
        </w:tc>
        <w:tc>
          <w:tcPr>
            <w:tcW w:type="dxa" w:w="1440"/>
            <w:shd w:fill="FAFAFA" w:val="clear"/>
          </w:tcPr>
          <w:p>
            <w:r>
              <w:rPr>
                <w:b/>
                <w:sz w:val="17"/>
              </w:rPr>
              <w:t>13,842</w:t>
            </w:r>
          </w:p>
        </w:tc>
        <w:tc>
          <w:tcPr>
            <w:tcW w:type="dxa" w:w="1440"/>
            <w:shd w:fill="FAFAFA" w:val="clear"/>
          </w:tcPr>
          <w:p>
            <w:r>
              <w:rPr>
                <w:sz w:val="17"/>
              </w:rPr>
              <w:t>14,885</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12,710</w:t>
            </w:r>
          </w:p>
        </w:tc>
        <w:tc>
          <w:tcPr>
            <w:tcW w:type="dxa" w:w="1440"/>
            <w:shd w:fill="FAFAFA" w:val="clear"/>
          </w:tcPr>
          <w:p>
            <w:r>
              <w:rPr>
                <w:b/>
                <w:sz w:val="17"/>
              </w:rPr>
              <w:t>13,879</w:t>
            </w:r>
          </w:p>
        </w:tc>
        <w:tc>
          <w:tcPr>
            <w:tcW w:type="dxa" w:w="1440"/>
            <w:shd w:fill="FAFAFA" w:val="clear"/>
          </w:tcPr>
          <w:p>
            <w:r>
              <w:rPr>
                <w:sz w:val="17"/>
              </w:rPr>
              <w:t>15,048</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12,632</w:t>
            </w:r>
          </w:p>
        </w:tc>
        <w:tc>
          <w:tcPr>
            <w:tcW w:type="dxa" w:w="1440"/>
            <w:shd w:fill="FAFAFA" w:val="clear"/>
          </w:tcPr>
          <w:p>
            <w:r>
              <w:rPr>
                <w:b/>
                <w:sz w:val="17"/>
              </w:rPr>
              <w:t>13,916</w:t>
            </w:r>
          </w:p>
        </w:tc>
        <w:tc>
          <w:tcPr>
            <w:tcW w:type="dxa" w:w="1440"/>
            <w:shd w:fill="FAFAFA" w:val="clear"/>
          </w:tcPr>
          <w:p>
            <w:r>
              <w:rPr>
                <w:sz w:val="17"/>
              </w:rPr>
              <w:t>15,199</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12,558</w:t>
            </w:r>
          </w:p>
        </w:tc>
        <w:tc>
          <w:tcPr>
            <w:tcW w:type="dxa" w:w="1440"/>
            <w:shd w:fill="FAFAFA" w:val="clear"/>
          </w:tcPr>
          <w:p>
            <w:r>
              <w:rPr>
                <w:b/>
                <w:sz w:val="17"/>
              </w:rPr>
              <w:t>13,947</w:t>
            </w:r>
          </w:p>
        </w:tc>
        <w:tc>
          <w:tcPr>
            <w:tcW w:type="dxa" w:w="1440"/>
            <w:shd w:fill="FAFAFA" w:val="clear"/>
          </w:tcPr>
          <w:p>
            <w:r>
              <w:rPr>
                <w:sz w:val="17"/>
              </w:rPr>
              <w:t>15,337</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12,487</w:t>
            </w:r>
          </w:p>
        </w:tc>
        <w:tc>
          <w:tcPr>
            <w:tcW w:type="dxa" w:w="1440"/>
            <w:shd w:fill="FAFAFA" w:val="clear"/>
          </w:tcPr>
          <w:p>
            <w:r>
              <w:rPr>
                <w:b/>
                <w:sz w:val="17"/>
              </w:rPr>
              <w:t>13,976</w:t>
            </w:r>
          </w:p>
        </w:tc>
        <w:tc>
          <w:tcPr>
            <w:tcW w:type="dxa" w:w="1440"/>
            <w:shd w:fill="FAFAFA" w:val="clear"/>
          </w:tcPr>
          <w:p>
            <w:r>
              <w:rPr>
                <w:sz w:val="17"/>
              </w:rPr>
              <w:t>15,464</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12,417</w:t>
            </w:r>
          </w:p>
        </w:tc>
        <w:tc>
          <w:tcPr>
            <w:tcW w:type="dxa" w:w="1440"/>
            <w:shd w:fill="FAFAFA" w:val="clear"/>
          </w:tcPr>
          <w:p>
            <w:r>
              <w:rPr>
                <w:b/>
                <w:sz w:val="17"/>
              </w:rPr>
              <w:t>13,998</w:t>
            </w:r>
          </w:p>
        </w:tc>
        <w:tc>
          <w:tcPr>
            <w:tcW w:type="dxa" w:w="1440"/>
            <w:shd w:fill="FAFAFA" w:val="clear"/>
          </w:tcPr>
          <w:p>
            <w:r>
              <w:rPr>
                <w:sz w:val="17"/>
              </w:rPr>
              <w:t>15,579</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12,348</w:t>
            </w:r>
          </w:p>
        </w:tc>
        <w:tc>
          <w:tcPr>
            <w:tcW w:type="dxa" w:w="1440"/>
            <w:shd w:fill="FAFAFA" w:val="clear"/>
          </w:tcPr>
          <w:p>
            <w:r>
              <w:rPr>
                <w:b/>
                <w:sz w:val="17"/>
              </w:rPr>
              <w:t>14,017</w:t>
            </w:r>
          </w:p>
        </w:tc>
        <w:tc>
          <w:tcPr>
            <w:tcW w:type="dxa" w:w="1440"/>
            <w:shd w:fill="FAFAFA" w:val="clear"/>
          </w:tcPr>
          <w:p>
            <w:r>
              <w:rPr>
                <w:sz w:val="17"/>
              </w:rPr>
              <w:t>15,686</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124,97 milliards FCFA, SDCC figure parmi les valeurs de taille intermédiaire de la cote BRVM, ce qui lui confère une certaine liquidité mais la rend vulnérable aux mouvements de portefeuilles institutionnels. Le BPA s'établit à 518 FCFA par action, ce qui signifie que chaque titre génère un bénéfice net de 518 FCFA, un niveau appréciable qui traduit la rentabilité effective de l'exploitant d'eau ivoirien. Le PER de 26,8x est nettement supérieur à la moyenne du marché BRVM (généralement comprise entre 8x et 12x), ce qui indique que les investisseurs paient une prime très élevée pour les bénéfices actuels, anticipant une croissance future ou traduisant une surévaluation spéculative. Le P/B de 6,34x, largement supérieur au seuil de 4x, confirme cette valorisation exigeante : le marché valorise l'entreprise à plus de six fois sa valeur comptable, ce qui n'est justifiable que par une forte rentabilité des fonds propres (ROE de 23,65% en 2025) et des perspectives de croissance solides. Enfin, l'EV/EBITDA de 15,3x, supérieur au seuil de 15x, signale que la valeur d'entreprise (incluant la dette) représente plus de quinze fois la capacité opérationnelle de génération de cash, un niveau très exigeant qui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 enregistré une progression spectaculaire de +85,50%, avec une dernière séance en hausse de +6,44%, portant le cours actuel à 13 885 FCFA, soit exactement le plus haut de la période. Le plus bas a été touché à 7 200 FCFA, ce qui signifie que le titre a presque doublé en trois mois, un mouvement haussier d'une ampleur exceptionnelle qui traduit un engouement marqué des investisseurs. La moyenne du cours s'établit à 11 401 FCFA contre une médiane de 11 900 FCFA : l'écart entre ces deux mesures (moyenne inférieure à la médiane) indique une distribution asymétrique avec davantage de séances passées au-dessus de la moyenne, confirmant la dynamique haussière récente. L'écart-type de 1 499 FCFA et le coefficient de variation de 13,2% témoignent d'une dispersion modérée du cours autour de sa moyenne, ce qui est relativement contenu au regard de la performance. Le kurtosis de 1,234 (leptokurtique) signale des queues épaisses, c'est-à-dire un risque de pics de volatilité brutaux, tandis que le skewness de -1,230 (asymétrie négative) indique que les journées de forte hausse sont plus fréquentes que les journées de forte baisse, un profil favorable pour les porteurs. La volatilité annualisée de 38,0% classe le titre dans la catégorie des valeurs à volatilité élevée (&gt;30%), ce qui implique un risque de correction significatif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(12 930,25 FCFA) et la MM50 (12 227,0 FCFA) se situent toutes deux en dessous du cours actuel (13 885 FCFA), avec la MM20 au-dessus de la MM50, configurant un croisement haussier classique. Cette configuration en « golden cross » confirme la tendance haussière de fond et justifie la décision d'achat, le cours évoluant nettement au-dessus de ses supports mobiles.</w:t>
      </w:r>
    </w:p>
    <w:p>
      <w:pPr>
        <w:spacing w:after="120" w:line="276" w:lineRule="auto"/>
      </w:pPr>
      <w:r>
        <w:t>**Bandes de Bollinger** : Le cours actuel (13 885 FCFA) se situe à l'intérieur des bandes, entre la borne inférieure (11 679,47 FCFA) et la borne supérieure (14 181,03 FCFA), mais très proche de cette dernière. Cette position haute indique une pression acheteuse soutenue mais sans rupture imminente ; la décision est neutre car le titre n'est ni en surachat extrême ni en survente, laissant place à une consolidation possible.</w:t>
      </w:r>
    </w:p>
    <w:p>
      <w:pPr>
        <w:spacing w:after="120" w:line="276" w:lineRule="auto"/>
      </w:pPr>
      <w:r>
        <w:t>**MACD** : La valeur du MACD (413,222) est supérieure à son signal (383,858), avec un histogramme positif, ce qui traduit un momentum haussier toujours actif. La divergence positive entre les deux lignes confirme la dynamique d'achat et justifie la décision d'achat, bien que l'écart relativement faible appelle à la vigilance sur un éventuel essoufflement.</w:t>
      </w:r>
    </w:p>
    <w:p>
      <w:pPr>
        <w:spacing w:after="120" w:line="276" w:lineRule="auto"/>
      </w:pPr>
      <w:r>
        <w:t>**RSI** : À 69,565, le RSI se situe juste en dessous du seuil de surachat de 70, ce qui le place en zone neutre haute. Le titre n'est pas encore techniquement suracheté, mais la proximité du seuil critique suggère une prudence : la décision est neutre, car une poursuite de la hausse pourrait rapidement basculer en surachat et déclencher des prises de bénéfices.</w:t>
      </w:r>
    </w:p>
    <w:p>
      <w:pPr>
        <w:spacing w:after="120" w:line="276" w:lineRule="auto"/>
      </w:pPr>
      <w:r>
        <w:t>**Stochastique** : Le %K (100,0) est au plus haut absolu et nettement supérieur au %D (75,788), signalant que le titre clôture au sommet de sa fourchette récente. Ce positionnement extrême est un signal de vente classique, car il indique un essoufflement probable de la dynamique acheteuse à court terme et un risque de retournement.</w:t>
      </w:r>
    </w:p>
    <w:p>
      <w:pPr>
        <w:spacing w:after="120" w:line="276" w:lineRule="auto"/>
      </w:pPr>
      <w:r>
        <w:t>**Conclusion technique** : Les indicateurs de tendance (MM, MACD) restent haussiers et confirment la solidité du mouvement, mais les oscillateurs (RSI proche de 70, Stochastique à 100) affichent des signaux de surachat imminent et de vente. Cette divergence entre tendance de fond et momentum court terme suggère que le titre pourrait connaître une consolidation ou une correction technique après sa progression exceptionnelle, avant de reprendre éventuellement sa trajectoire haussière.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SDCC (exercice clos au 31 décembre 2025) affichent un chiffre d'affaires de 189,430 milliards FCFA, en croissance de 9,98% par rapport à 2024, porté par la hausse des volumes d'eau vendus et l'élargissement du portefeuille clients (2 272 032 clients, +6,14%). Le résultat net s'établit à 4,663 milliards FCFA, en progression de 31% sur un an, avec une marge nette de 2,46% et un résultat d'exploitation de 9,105 milliards FCFA (+34%). La rentabilité des fonds propres (ROE) atteint 23,65%, un niveau excellent (&gt;15%), tandis que le ROA reste faible à 0,99%, reflétant l'intensité capitalistique du secteur. La structure financière est toutefois préoccupante : l'autonomie financière n'est que de 4,17% (capitaux propres de 19,716 milliards FCFA pour un total bilan de 472,672 milliards FCFA), et le ratio d'endettement de 95,83% traduit une dépendance massive aux dettes (452,956 milliards FCFA), dont 145,939 milliards FCFA de dettes financières. Le besoin en fonds de roulement (BFR) de 104,748 milliards FCFA et le délai clients de 749,25 jours (plus de deux ans de CA en créances) constituent un risque de trésorerie majeur, expliquant la trésorerie nette négative de -61,710 milliards FCFA et le flux opérationnel négatif de -36,655 milliards FCFA. Les rapports trimestriels récents confirment cette dynamique : le T1 2026 (rapport publié en 2026) affiche un CA en léger repli de 2% à 40 916 millions FCFA, mais un résultat net en bond spectaculaire de +118% à 1 318 millions FCFA, grâce à une division par 2,5 des charges opérationnelles et un résultat d'exploitation multiplié par 2,5 à 2 730 millions FCFA. Le rapport annuel 2025 (publié en 2025) mentionne un dividende de 525 FCFA par action, offrant un rendement attractif, et la société prévoit pour 2026 le déploiement d'un nouveau contrat de délégation et l'accélération de la transformation digitale. On estime, sur la base du T1 2026 (RN +118%), que l'exercice 2026 devrait enregistrer une nouvelle amélioration de la rentabilité nette, potentiellement au-dessus de 5 milliards FCFA, bien que la pression sur le CA et les tensions de trésorerie persistent. En conclusion, la solidité opérationnelle et la rentabilité sont indéniables, mais la structure financière très endettée et le délai clients exceptionnellement long constituent des risques majeurs qui tempèrent l'optimisme.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nettement exigeante : avec un PER de 26,8x, un P/B de 6,34x et un EV/EBITDA de 15,3x, le marché intègre déjà une forte croissance et une amélioration substantielle des bénéfices, laissant peu de marge de sécurité en cas de déception. Le comportement du cours (Partie 1) est exceptionnellement haussier (+85,50% sur 100 jours), avec une volatilité élevée (38%) et un skewness négatif favorable, mais le kurtosis leptokurtique signale un risque de pics brutaux, et la proximité du plus haut historique (13 885 FCFA) expose à des prises de bénéfices. Les signaux techniques (Partie 2) sont mitigés : les moyennes mobiles et le MACD confirment la tendance haussière, mais le RSI (69,6) et surtout le Stochastique (%K=100) affichent des signaux de surachat et de vente imminente, suggérant une correction technique probable à court terme. Les fondamentaux (Partie 3) révèlent une entreprise rentable (ROE de 23,65%, RN +31% en 2025) et en amélioration opérationnelle (T1 2026 : RN +118%), mais affaiblie par une structure financière très endettée (autonomie financière de 4,17%) et un délai clients de 749 jours qui pèse sur la trésorerie. Les prédictions IA (J+1 à J+10) tablent sur une légère consolidation autour de 13 692-13 879 FCFA, ce qui contredit la dynamique haussière récente et confirme l'hypothèse d'une pause technique. Sur la base de cette synthèse, la convergence entre valorisation tendue, signaux techniques de surachat et prédictions de stabilisation plaide pour une recommandation de **CONSERVER** : les investisseurs déjà positionnés peuvent maintenir leurs titres en profitant du dividende attractif (525 FCFA/action), mais les nouveaux entrants devraient attendre une correction vers les 12 500-13 000 FCFA pour améliorer leur point d'entrée. Le niveau de confiance est **Moyen** (les fondamentaux sont solides mais la valorisation et la technique incitent à la prudence), le risque global est **Élevé** (volatilité de 38%, endettement massif, délai clients exceptionnel), et l'horizon d'investissement optimal est le **moyen terme (3-12 mois)**, le temps que la société confirme l'amélioration de sa rentabilité et stabilise sa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163.31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18,452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+66.20%</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19.08% (Élevée) — μ=2,353 FCFA, σ=449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β=0.6325 (Défensif) — Cov=0.000022, Var(idx)=0.000035, ρ=0.115,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18,452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2,820</w:t>
            </w:r>
          </w:p>
        </w:tc>
        <w:tc>
          <w:tcPr>
            <w:tcW w:type="dxa" w:w="1440"/>
            <w:shd w:fill="FAFAFA" w:val="clear"/>
          </w:tcPr>
          <w:p>
            <w:r>
              <w:rPr>
                <w:b/>
                <w:sz w:val="17"/>
              </w:rPr>
              <w:t>2,998</w:t>
            </w:r>
          </w:p>
        </w:tc>
        <w:tc>
          <w:tcPr>
            <w:tcW w:type="dxa" w:w="1440"/>
            <w:shd w:fill="FAFAFA" w:val="clear"/>
          </w:tcPr>
          <w:p>
            <w:r>
              <w:rPr>
                <w:sz w:val="17"/>
              </w:rPr>
              <w:t>3,176</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2,753</w:t>
            </w:r>
          </w:p>
        </w:tc>
        <w:tc>
          <w:tcPr>
            <w:tcW w:type="dxa" w:w="1440"/>
            <w:shd w:fill="FAFAFA" w:val="clear"/>
          </w:tcPr>
          <w:p>
            <w:r>
              <w:rPr>
                <w:b/>
                <w:sz w:val="17"/>
              </w:rPr>
              <w:t>3,006</w:t>
            </w:r>
          </w:p>
        </w:tc>
        <w:tc>
          <w:tcPr>
            <w:tcW w:type="dxa" w:w="1440"/>
            <w:shd w:fill="FAFAFA" w:val="clear"/>
          </w:tcPr>
          <w:p>
            <w:r>
              <w:rPr>
                <w:sz w:val="17"/>
              </w:rPr>
              <w:t>3,258</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2026-09-18</w:t>
            </w:r>
          </w:p>
        </w:tc>
        <w:tc>
          <w:tcPr>
            <w:tcW w:type="dxa" w:w="1440"/>
            <w:shd w:fill="FAFAFA" w:val="clear"/>
          </w:tcPr>
          <w:p>
            <w:r>
              <w:rPr>
                <w:sz w:val="17"/>
              </w:rPr>
              <w:t>2,703</w:t>
            </w:r>
          </w:p>
        </w:tc>
        <w:tc>
          <w:tcPr>
            <w:tcW w:type="dxa" w:w="1440"/>
            <w:shd w:fill="FAFAFA" w:val="clear"/>
          </w:tcPr>
          <w:p>
            <w:r>
              <w:rPr>
                <w:b/>
                <w:sz w:val="17"/>
              </w:rPr>
              <w:t>3,012</w:t>
            </w:r>
          </w:p>
        </w:tc>
        <w:tc>
          <w:tcPr>
            <w:tcW w:type="dxa" w:w="1440"/>
            <w:shd w:fill="FAFAFA" w:val="clear"/>
          </w:tcPr>
          <w:p>
            <w:r>
              <w:rPr>
                <w:sz w:val="17"/>
              </w:rPr>
              <w:t>3,322</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2,658</w:t>
            </w:r>
          </w:p>
        </w:tc>
        <w:tc>
          <w:tcPr>
            <w:tcW w:type="dxa" w:w="1440"/>
            <w:shd w:fill="FAFAFA" w:val="clear"/>
          </w:tcPr>
          <w:p>
            <w:r>
              <w:rPr>
                <w:b/>
                <w:sz w:val="17"/>
              </w:rPr>
              <w:t>3,016</w:t>
            </w:r>
          </w:p>
        </w:tc>
        <w:tc>
          <w:tcPr>
            <w:tcW w:type="dxa" w:w="1440"/>
            <w:shd w:fill="FAFAFA" w:val="clear"/>
          </w:tcPr>
          <w:p>
            <w:r>
              <w:rPr>
                <w:sz w:val="17"/>
              </w:rPr>
              <w:t>3,374</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2,617</w:t>
            </w:r>
          </w:p>
        </w:tc>
        <w:tc>
          <w:tcPr>
            <w:tcW w:type="dxa" w:w="1440"/>
            <w:shd w:fill="FAFAFA" w:val="clear"/>
          </w:tcPr>
          <w:p>
            <w:r>
              <w:rPr>
                <w:b/>
                <w:sz w:val="17"/>
              </w:rPr>
              <w:t>3,017</w:t>
            </w:r>
          </w:p>
        </w:tc>
        <w:tc>
          <w:tcPr>
            <w:tcW w:type="dxa" w:w="1440"/>
            <w:shd w:fill="FAFAFA" w:val="clear"/>
          </w:tcPr>
          <w:p>
            <w:r>
              <w:rPr>
                <w:sz w:val="17"/>
              </w:rPr>
              <w:t>3,418</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2,579</w:t>
            </w:r>
          </w:p>
        </w:tc>
        <w:tc>
          <w:tcPr>
            <w:tcW w:type="dxa" w:w="1440"/>
            <w:shd w:fill="FAFAFA" w:val="clear"/>
          </w:tcPr>
          <w:p>
            <w:r>
              <w:rPr>
                <w:b/>
                <w:sz w:val="17"/>
              </w:rPr>
              <w:t>3,018</w:t>
            </w:r>
          </w:p>
        </w:tc>
        <w:tc>
          <w:tcPr>
            <w:tcW w:type="dxa" w:w="1440"/>
            <w:shd w:fill="FAFAFA" w:val="clear"/>
          </w:tcPr>
          <w:p>
            <w:r>
              <w:rPr>
                <w:sz w:val="17"/>
              </w:rPr>
              <w:t>3,457</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2,545</w:t>
            </w:r>
          </w:p>
        </w:tc>
        <w:tc>
          <w:tcPr>
            <w:tcW w:type="dxa" w:w="1440"/>
            <w:shd w:fill="FAFAFA" w:val="clear"/>
          </w:tcPr>
          <w:p>
            <w:r>
              <w:rPr>
                <w:b/>
                <w:sz w:val="17"/>
              </w:rPr>
              <w:t>3,019</w:t>
            </w:r>
          </w:p>
        </w:tc>
        <w:tc>
          <w:tcPr>
            <w:tcW w:type="dxa" w:w="1440"/>
            <w:shd w:fill="FAFAFA" w:val="clear"/>
          </w:tcPr>
          <w:p>
            <w:r>
              <w:rPr>
                <w:sz w:val="17"/>
              </w:rPr>
              <w:t>3,493</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2,512</w:t>
            </w:r>
          </w:p>
        </w:tc>
        <w:tc>
          <w:tcPr>
            <w:tcW w:type="dxa" w:w="1440"/>
            <w:shd w:fill="FAFAFA" w:val="clear"/>
          </w:tcPr>
          <w:p>
            <w:r>
              <w:rPr>
                <w:b/>
                <w:sz w:val="17"/>
              </w:rPr>
              <w:t>3,019</w:t>
            </w:r>
          </w:p>
        </w:tc>
        <w:tc>
          <w:tcPr>
            <w:tcW w:type="dxa" w:w="1440"/>
            <w:shd w:fill="FAFAFA" w:val="clear"/>
          </w:tcPr>
          <w:p>
            <w:r>
              <w:rPr>
                <w:sz w:val="17"/>
              </w:rPr>
              <w:t>3,526</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2,482</w:t>
            </w:r>
          </w:p>
        </w:tc>
        <w:tc>
          <w:tcPr>
            <w:tcW w:type="dxa" w:w="1440"/>
            <w:shd w:fill="FAFAFA" w:val="clear"/>
          </w:tcPr>
          <w:p>
            <w:r>
              <w:rPr>
                <w:b/>
                <w:sz w:val="17"/>
              </w:rPr>
              <w:t>3,020</w:t>
            </w:r>
          </w:p>
        </w:tc>
        <w:tc>
          <w:tcPr>
            <w:tcW w:type="dxa" w:w="1440"/>
            <w:shd w:fill="FAFAFA" w:val="clear"/>
          </w:tcPr>
          <w:p>
            <w:r>
              <w:rPr>
                <w:sz w:val="17"/>
              </w:rPr>
              <w:t>3,557</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2,453</w:t>
            </w:r>
          </w:p>
        </w:tc>
        <w:tc>
          <w:tcPr>
            <w:tcW w:type="dxa" w:w="1440"/>
            <w:shd w:fill="FAFAFA" w:val="clear"/>
          </w:tcPr>
          <w:p>
            <w:r>
              <w:rPr>
                <w:b/>
                <w:sz w:val="17"/>
              </w:rPr>
              <w:t>3,020</w:t>
            </w:r>
          </w:p>
        </w:tc>
        <w:tc>
          <w:tcPr>
            <w:tcW w:type="dxa" w:w="1440"/>
            <w:shd w:fill="FAFAFA" w:val="clear"/>
          </w:tcPr>
          <w:p>
            <w:r>
              <w:rPr>
                <w:sz w:val="17"/>
              </w:rPr>
              <w:t>3,587</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Secteur : Logistique &amp; Transport*</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163,31 Mds FCFA, SDSC s'impose comme une valeur de grande taille sur la BRVM, ce qui lui confère une certaine liquidité et une visibilité institutionnelle. Le BPA de 387 FCFA/action indique ce que chaque titre rapporte en bénéfice, mais ce chiffre est à relativiser au regard de l'effondrement du résultat net 2025. Le PER de 7,8x se situe en dessous de la moyenne BRVM (8-12x), suggérant une potentielle sous-évaluation — mais ce ratio est mécaniquement biaisé par la chute des bénéfices. Le P/B de 2,10x traduit une prime de croissance accordée par le marché (2-4x), bien que la valeur comptable soit solide. Enfin, l'EV/EBITDA de 35,2x est très exigeant (&gt;15x), signalant que la valeur d'entreprise intègre des attentes opérationnelles fortes que les résultats actuels ne justifient pas encore.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performance remarquable de +66,20%, portée par un fort momentum haussier, malgré un repli de -2,91% lors de la dernière séance (J-1). Le cours actuel de 3 000 FCFA se situe dans la partie haute du range de trading, le plus haut ayant atteint 3 205 FCFA contre un plus bas de 1 650 FCFA — soit un doublement du prix sur la période. La moyenne (2 353 FCFA) est inférieure à la médiane (2 438 FCFA), ce qui indique une légère asymétrie négative avec quelques séances de forte baisse ayant tiré la moyenne vers le bas. L'écart-type de 451 FCFA (CV=19,2%) traduit une dispersion modérée du cours autour de sa tendance. Le kurtosis de -1,242 (platykurtique) signale une distribution aplatie avec une faible concentration des rendements, donc un risque de pics extrêmes relativement limité. Le skewness de -0,077 confirme une distribution quasi symétrique, sans biais directionnel marqué. La volatilité annualisée de 51,4% classe le titre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(2 894,5 FCFA) et la MM50 (2 717,7 FCFA) sont toutes deux inférieures au cours actuel (3 000 FCFA), et la MM20 est au-dessus de la MM50 — configuration haussière classique. Le cours évolue au-dessus de ses deux moyennes, confirmant la dynamique positive et justifiant la décision d'**Achat**.</w:t>
      </w:r>
    </w:p>
    <w:p>
      <w:pPr>
        <w:spacing w:after="120" w:line="276" w:lineRule="auto"/>
      </w:pPr>
      <w:r>
        <w:t>**Bandes de Bollinger** : Le cours (3 000 FCFA) se situe entre la borne supérieure (3 297,4 FCFA) et la borne inférieure (2 491,6 FCFA), plus proche de la borne haute. Cette position médiane-haute indique une volatilité normale sans excès, justifiant la décision **Neutre** — le titre n'est ni en surachat extrême ni en survente.</w:t>
      </w:r>
    </w:p>
    <w:p>
      <w:pPr>
        <w:spacing w:after="120" w:line="276" w:lineRule="auto"/>
      </w:pPr>
      <w:r>
        <w:t>**MACD** : La valeur du MACD (115,27) est supérieure à son signal (113,278), avec un histogramme positif. Cette divergence haussière confirme le momentum positif en cours et valide la décision d'**Achat**, bien que l'écart entre les deux lignes soit relativement faible, suggérant un essoufflement possible.</w:t>
      </w:r>
    </w:p>
    <w:p>
      <w:pPr>
        <w:spacing w:after="120" w:line="276" w:lineRule="auto"/>
      </w:pPr>
      <w:r>
        <w:t>**RSI** : À 71,359, le RSI franchit le seuil de surachat (&gt;70), ce qui déclenche une décision de **Vente**. Ce niveau indique que le titre a été acheté de manière excessive à court terme et qu'une correction ou consolidation est probable.</w:t>
      </w:r>
    </w:p>
    <w:p>
      <w:pPr>
        <w:spacing w:after="120" w:line="276" w:lineRule="auto"/>
      </w:pPr>
      <w:r>
        <w:t>**Stochastique** : Le %K (64,035) est inférieur au %D (73,025), avec un croisement baissier en zone haute. Cette configuration suggère un ralentissement de la dynamique haussière, justifiant la décision **Neutre** — le signal n'est pas encore franchement vendeur mais la prudence s'impose.</w:t>
      </w:r>
    </w:p>
    <w:p>
      <w:pPr>
        <w:spacing w:after="120" w:line="276" w:lineRule="auto"/>
      </w:pPr>
      <w:r>
        <w:t>**Conclusion technique** : Les indicateurs présentent une divergence notable. Les moyennes mobiles et le MACD confirment la tendance haussière de fond, tandis que le RSI en zone de surachat et le croisement baissier du stochastique signalent un essoufflement à court terme. Les bandes de Bollinger en position neutre-haute n'apportent pas de signal directionnel fort. La convergence globale plaide pour une consolidation avant une éventuelle reprise, avec un biais haussier de moyen terme mais une prudence de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une situation contrastée : un chiffre d'affaires de 85,643 Mds FCFA, un résultat net de 21,069 Mds FCFA, un ROE excellent de 27,08% (&gt;15%) et un ROA de 11,20%. La marge nette de 24,60% et l'autonomie financière de 41,36% (&gt;30%) témoignent d'une solidité financière robuste. Cependant, les rapports narratifs de 2025 (T1, S1, T3 et exercice provisoire clos au 31/12/2025) révèlent une dégradation alarmante : le CA 2025 progresse à 92,004 Mds FCFA (+7,43%), mais le résultat net s'effondre à 0,785 Md FCFA (-96%), avec un résultat d'exploitation négatif de -2,271 Mds FCFA. Cette chute s'explique par la hausse des dotations aux amortissements (+41%), la pression fiscale (impôt de 3,943 Mds FCFA) et la dépendance aux revenus financiers (7,080 Mds FCFA, en baisse de 66%). Le rapport du T3 2025 (30/09/2025) confirme cette tendance avec un résultat net trimestriel de 4,341 Mds FCFA (-77%), tandis que le S1 2025 (30/06/2025) affichait une perte de -427 M FCFA. Sur le plan opérationnel, les délais clients sont élevés (466,94 jours), signalant un risque de trésorerie important, bien que le BFR reste maîtrisé et que la trésorerie nette atteigne 74,78 Mds FCFA en 2025. Le dividende proposé pour 2025 chute à 544,35 M FCFA (-89% vs 5 008 M FCFA en 2024), avec un taux de distribution de 69,3%. **Recommandation fondamentale** : la solidité du bilan (capitaux propres de 73,55 Mds FCFA) et la croissance du CA sont des atouts, mais l'effondrement de la rentabilité opérationnelle et la dépendance aux revenus financiers constituent des risques majeurs. Une surveillance étroite de la capacité à restaurer les marges opérationnelles est impérative.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ambivalent. **Valorisation (Partie 0)** : le PER de 7,8x et le P/B de 2,10x suggèrent une sous-évaluation relative, mais l'EV/EBITDA de 35,2x trahit des attentes opérationnelles non satisfaites. **Comportement du cours (Partie 1)** : la tendance haussière (+66,20%) et la volatilité élevée (51,4%) avec une distribution symétrique (skewness -0,077) indiquent un titre dynamique mais risqué. **Signaux techniques (Partie 2)** : divergence entre le momentum haussier (MM, MACD) et les signaux de surachat (RSI à 71,36, stochastique baissier), plaidant pour une consolidation. **Fondamentaux (Partie 3)** : la solidité du bilan et la croissance du CA contrastent avec l'effondrement du résultat net 2025 (-96%) et la réduction drastique du dividende (-89%). **Prédictions IA (J+1 à J+10)** : la trajectoire projetée (2 998 → 3 017 FCFA) est légèrement haussière mais quasi stable, confirmant l'absence de catalyseur fort à court terme. **Recommandation finale : CONSERVER**. La convergence entre une valorisation attractive, une technique mitigée et des fondamentaux dégradés mais soutenus par un bilan solide justifie cette position. Le niveau de confiance est **Moyen** (incertitude sur la restauration des marges), le risque global est **Élevé** (volatilité 51,4%, dépendance aux revenus financiers), et l'horizon optimal est le **moyen terme (3-12 mois)**, le temps que la direction démontre sa capacité à redresser la rentabilité opérationnelle.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β=1.2620 (Agressif) — Cov=0.000044, Var(idx)=0.000035, ρ=0.249,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1,443</w:t>
            </w:r>
          </w:p>
        </w:tc>
        <w:tc>
          <w:tcPr>
            <w:tcW w:type="dxa" w:w="1440"/>
            <w:shd w:fill="FAFAFA" w:val="clear"/>
          </w:tcPr>
          <w:p>
            <w:r>
              <w:rPr>
                <w:b/>
                <w:sz w:val="17"/>
              </w:rPr>
              <w:t>1,509</w:t>
            </w:r>
          </w:p>
        </w:tc>
        <w:tc>
          <w:tcPr>
            <w:tcW w:type="dxa" w:w="1440"/>
            <w:shd w:fill="FAFAFA" w:val="clear"/>
          </w:tcPr>
          <w:p>
            <w:r>
              <w:rPr>
                <w:sz w:val="17"/>
              </w:rPr>
              <w:t>1,576</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1,405</w:t>
            </w:r>
          </w:p>
        </w:tc>
        <w:tc>
          <w:tcPr>
            <w:tcW w:type="dxa" w:w="1440"/>
            <w:shd w:fill="FAFAFA" w:val="clear"/>
          </w:tcPr>
          <w:p>
            <w:r>
              <w:rPr>
                <w:b/>
                <w:sz w:val="17"/>
              </w:rPr>
              <w:t>1,499</w:t>
            </w:r>
          </w:p>
        </w:tc>
        <w:tc>
          <w:tcPr>
            <w:tcW w:type="dxa" w:w="1440"/>
            <w:shd w:fill="FAFAFA" w:val="clear"/>
          </w:tcPr>
          <w:p>
            <w:r>
              <w:rPr>
                <w:sz w:val="17"/>
              </w:rPr>
              <w:t>1,593</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2026-09-18</w:t>
            </w:r>
          </w:p>
        </w:tc>
        <w:tc>
          <w:tcPr>
            <w:tcW w:type="dxa" w:w="1440"/>
            <w:shd w:fill="FAFAFA" w:val="clear"/>
          </w:tcPr>
          <w:p>
            <w:r>
              <w:rPr>
                <w:sz w:val="17"/>
              </w:rPr>
              <w:t>1,376</w:t>
            </w:r>
          </w:p>
        </w:tc>
        <w:tc>
          <w:tcPr>
            <w:tcW w:type="dxa" w:w="1440"/>
            <w:shd w:fill="FAFAFA" w:val="clear"/>
          </w:tcPr>
          <w:p>
            <w:r>
              <w:rPr>
                <w:b/>
                <w:sz w:val="17"/>
              </w:rPr>
              <w:t>1,491</w:t>
            </w:r>
          </w:p>
        </w:tc>
        <w:tc>
          <w:tcPr>
            <w:tcW w:type="dxa" w:w="1440"/>
            <w:shd w:fill="FAFAFA" w:val="clear"/>
          </w:tcPr>
          <w:p>
            <w:r>
              <w:rPr>
                <w:sz w:val="17"/>
              </w:rPr>
              <w:t>1,605</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1,352</w:t>
            </w:r>
          </w:p>
        </w:tc>
        <w:tc>
          <w:tcPr>
            <w:tcW w:type="dxa" w:w="1440"/>
            <w:shd w:fill="FAFAFA" w:val="clear"/>
          </w:tcPr>
          <w:p>
            <w:r>
              <w:rPr>
                <w:b/>
                <w:sz w:val="17"/>
              </w:rPr>
              <w:t>1,483</w:t>
            </w:r>
          </w:p>
        </w:tc>
        <w:tc>
          <w:tcPr>
            <w:tcW w:type="dxa" w:w="1440"/>
            <w:shd w:fill="FAFAFA" w:val="clear"/>
          </w:tcPr>
          <w:p>
            <w:r>
              <w:rPr>
                <w:sz w:val="17"/>
              </w:rPr>
              <w:t>1,614</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1,329</w:t>
            </w:r>
          </w:p>
        </w:tc>
        <w:tc>
          <w:tcPr>
            <w:tcW w:type="dxa" w:w="1440"/>
            <w:shd w:fill="FAFAFA" w:val="clear"/>
          </w:tcPr>
          <w:p>
            <w:r>
              <w:rPr>
                <w:b/>
                <w:sz w:val="17"/>
              </w:rPr>
              <w:t>1,475</w:t>
            </w:r>
          </w:p>
        </w:tc>
        <w:tc>
          <w:tcPr>
            <w:tcW w:type="dxa" w:w="1440"/>
            <w:shd w:fill="FAFAFA" w:val="clear"/>
          </w:tcPr>
          <w:p>
            <w:r>
              <w:rPr>
                <w:sz w:val="17"/>
              </w:rPr>
              <w:t>1,622</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1,309</w:t>
            </w:r>
          </w:p>
        </w:tc>
        <w:tc>
          <w:tcPr>
            <w:tcW w:type="dxa" w:w="1440"/>
            <w:shd w:fill="FAFAFA" w:val="clear"/>
          </w:tcPr>
          <w:p>
            <w:r>
              <w:rPr>
                <w:b/>
                <w:sz w:val="17"/>
              </w:rPr>
              <w:t>1,468</w:t>
            </w:r>
          </w:p>
        </w:tc>
        <w:tc>
          <w:tcPr>
            <w:tcW w:type="dxa" w:w="1440"/>
            <w:shd w:fill="FAFAFA" w:val="clear"/>
          </w:tcPr>
          <w:p>
            <w:r>
              <w:rPr>
                <w:sz w:val="17"/>
              </w:rPr>
              <w:t>1,627</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1,290</w:t>
            </w:r>
          </w:p>
        </w:tc>
        <w:tc>
          <w:tcPr>
            <w:tcW w:type="dxa" w:w="1440"/>
            <w:shd w:fill="FFDCE0" w:val="clear"/>
          </w:tcPr>
          <w:p>
            <w:r>
              <w:rPr>
                <w:b/>
                <w:sz w:val="17"/>
              </w:rPr>
              <w:t>1,461</w:t>
            </w:r>
          </w:p>
        </w:tc>
        <w:tc>
          <w:tcPr>
            <w:tcW w:type="dxa" w:w="1440"/>
            <w:shd w:fill="FFDCE0" w:val="clear"/>
          </w:tcPr>
          <w:p>
            <w:r>
              <w:rPr>
                <w:sz w:val="17"/>
              </w:rPr>
              <w:t>1,632</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1,272</w:t>
            </w:r>
          </w:p>
        </w:tc>
        <w:tc>
          <w:tcPr>
            <w:tcW w:type="dxa" w:w="1440"/>
            <w:shd w:fill="FFDCE0" w:val="clear"/>
          </w:tcPr>
          <w:p>
            <w:r>
              <w:rPr>
                <w:b/>
                <w:sz w:val="17"/>
              </w:rPr>
              <w:t>1,454</w:t>
            </w:r>
          </w:p>
        </w:tc>
        <w:tc>
          <w:tcPr>
            <w:tcW w:type="dxa" w:w="1440"/>
            <w:shd w:fill="FFDCE0" w:val="clear"/>
          </w:tcPr>
          <w:p>
            <w:r>
              <w:rPr>
                <w:sz w:val="17"/>
              </w:rPr>
              <w:t>1,636</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ACTION SEMC (BRVM)</w:t>
        <w:br/>
        <w:t>**Société : SEMC (Ex-EVIOSYS PACKAGING SIEM) — Secteur : Emballage métallique industriel**</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**37,66 milliards FCFA**, un niveau modeste à l'échelle de la BRVM qui la classe parmi les valeurs moyennes du compartiment industriel, avec une liquidité limitée (volume moyen de 6 046 titres/jour). Les ratios de valorisation classiques (BPA, PER, P/B, EV/EBITDA) ne sont pas calculables en l'état, faute de données financières structurées récentes et fiables dans la base — situation fréquente sur la BRVM pour les valeurs à faible flottant. On peut toutefois estimer, à partir des rapports 2023 (résultat net de 1,01 Md FCFA pour un capital de ~25,2 millions d'actions), un BPA de l'ordre de **40 FCFA**, soit un PER implicite très élevé (~37x) au cours actuel de 1 495 FCFA — bien au-dessus de la moyenne BRVM (8-12x). Cette cherté apparente reflète davantage la chute des bénéfices 2023 (-74%) que la qualité intrinsèque de l'actif, et invite à la prudence tant que la rentabilité n'est pas restaurée.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SEMC affiche une **variation totale de -16,94%**, avec une dernière séance en repli de **-1,64%**, confirmant une tendance baissière de fond. Le cours actuel (1 495 FCFA) se situe dans la moitié basse du range de trading, entre un plus haut de **1 800 FCFA** et un plus bas de **1 350 FCFA**, soit une amplitude de 33% qui traduit une forte nervosité. Les statistiques descriptives révèlent une distribution légèrement asymétrique : la moyenne (1 527 FCFA) dépasse la médiane (1 520 FCFA) et le mode (1 500 FCFA), tandis que le **skewness positif de 0,558** indique davantage de journées sous la moyenne — signe d'une pression vendeuse persistante. L'écart-type de 69 FCFA et le **coefficient de variation de 4,5%** montrent une dispersion modérée en niveau, mais le **kurtosis de 1,652 (leptokurtique)** signale des queues épaisses, donc un risque de pics brutaux. Enfin, la **volatilité annualisée de 47,2%** classe le titre en catégorie **élevée (&gt;30%)**, ce qui est cohérent avec une valeur à faible flottant et faible liquidité, exposée aux mouvements erratiques.</w:t>
      </w:r>
    </w:p>
    <w:p>
      <w:pPr>
        <w:spacing w:after="120" w:line="276" w:lineRule="auto"/>
      </w:pPr>
      <w:r>
        <w:t>---</w:t>
      </w:r>
    </w:p>
    <w:p>
      <w:pPr>
        <w:spacing w:after="120" w:line="276" w:lineRule="auto"/>
      </w:pPr>
      <w:r>
        <w:t>## PARTIE 2 : ANALYSE TECHNIQUE DÉTAILLÉE</w:t>
      </w:r>
    </w:p>
    <w:p>
      <w:pPr>
        <w:spacing w:after="120" w:line="276" w:lineRule="auto"/>
      </w:pPr>
      <w:r>
        <w:t>**Moyennes Mobiles :** La MM20 (1 540,75 FCFA) est supérieure à la MM50 (1 499,20 FCFA), et le cours actuel (1 495 FCFA) évolue sous ces deux références. Cette configuration signale une pression baissière de court terme, mais la décision affichée "Achat" suggère que la MM50 joue encore un rôle de support dynamique fragile — à confirmer.</w:t>
      </w:r>
    </w:p>
    <w:p>
      <w:pPr>
        <w:spacing w:after="120" w:line="276" w:lineRule="auto"/>
      </w:pPr>
      <w:r>
        <w:t>**Bandes de Bollinger :** Le cours (1 495 FCFA) se situe dans la partie basse de la bande, entre la borne inférieure (1 459,69 FCFA) et la borne supérieure (1 621,81 FCFA). La largeur des bandes traduit une volatilité encore présente, et la position du prix proche de la borne basse plaide pour un **signal neutre** avec un léger biais de rebond technique possible.</w:t>
      </w:r>
    </w:p>
    <w:p>
      <w:pPr>
        <w:spacing w:after="120" w:line="276" w:lineRule="auto"/>
      </w:pPr>
      <w:r>
        <w:t>**MACD :** La valeur du MACD (6,061) est inférieure à son signal (9,858), ce qui matérialise une **divergence baissière** et un momentum négatif. La décision "Vente" confirme que la dynamique de court terme reste défavorable, malgré le rebond récent du cours.</w:t>
      </w:r>
    </w:p>
    <w:p>
      <w:pPr>
        <w:spacing w:after="120" w:line="276" w:lineRule="auto"/>
      </w:pPr>
      <w:r>
        <w:t>**RSI :** À 49,533, le RSI est en zone **neutre** (30-70), sans surachat ni survente. Cela indique un équilibre relatif entre acheteurs et vendeurs, sans signal directionnel fort — cohérent avec la décision "Neutre".</w:t>
      </w:r>
    </w:p>
    <w:p>
      <w:pPr>
        <w:spacing w:after="120" w:line="276" w:lineRule="auto"/>
      </w:pPr>
      <w:r>
        <w:t>**Stochastique :** Le %K (34,615) est nettement inférieur au %D (57,692), ce qui traduit un **croisement baissier** en cours et une perte de momentum. La décision "Neutre" masque une faiblesse sous-jacente qui pourrait se matérialiser si le %K continue de chuter.</w:t>
      </w:r>
    </w:p>
    <w:p>
      <w:pPr>
        <w:spacing w:after="120" w:line="276" w:lineRule="auto"/>
      </w:pPr>
      <w:r>
        <w:t>**Conclusion technique :** Les indicateurs sont **majoritairement baissiers ou neutres** : MACD en vente, stochastique baissier, cours sous les MM, RSI sans direction. Seule la position basse dans les bandes de Bollinger laisse entrevoir un potentiel rebond technique, mais sans confirmation. La convergence des signaux négatifs invite à la prudence avant tout engagement à l'achat.</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ne sont pas disponibles dans la base, mais les rapports officiels fournis (exercices 2021, 2022, 2023 et T1 2023) permettent une analyse approfondie. **En 2023** (rapport du 31/12/2023), SEMC a enregistré un chiffre d'affaires de **27,88 milliards FCFA**, en **baisse de 6%** par rapport aux 29,60 milliards de 2022, et un résultat net de **1,01 milliard FCFA**, en **effondrement de 74%** (contre 3,86 milliards en 2022). La marge nette s'est contractée à **3,6%** (vs 13,0% en 2022), et le ROE a chuté à environ **4%** (contre ~16% en 2022). Cette dégradation s'explique par la perte de clients clés (AIRONE : -81% de CA), la concurrence du PET dans le segment tomate, et des charges fixes élevées. À l'inverse, **l'exercice 2022** (rapport du 31/12/2022) affichait une croissance de **+13,8%** du CA à 125,4 milliards FCFA (périmètre consolidé incluant Eviosys) et un résultat net de **12,8 milliards FCFA** (+18,5%), avec un ROE de **18,4%** et une marge nette de **10,2%** — mais ces chiffres semblent relever d'un périmètre différent (Eviosys groupe) et non de SEMC seule, ce qui crée une **incohérence de périmètre** entre les rapports. Le **T1 2023** (rapport du 31/03/2023) montrait encore une dynamique positive (+16,5% de CA à 7,65 Mds FCFA, +37,9% de résultat net à 855,65 M FCFA), avant la dégradation brutale constatée sur l'année. **En 2021** (rapport du 31/12/2021), la société affichait un CA de 110,2 milliards FCFA et un résultat net de 10,8 milliards FCFA, avec un ROE de 16,7%. La politique de dividende s'est tarie : **0 FCFA en 2023** (contre 200 FCFA en 2022 et 250 FCFA proposés en 2023 selon un rapport contradictoire), et la **suspension de la cote BRVM** depuis janvier 2024 (flottant insuffisant : 10,42% vs 15% requis) constitue un risque majeur de liquidité. Le rachat par **Sonoco Products Company** (finalisé en décembre 2024) pourrait apporter des synergies et des capitaux, mais introduit un risque de dilution et de réorganisation. **Conclusion fondamentale :** la situation est fragile — rentabilité effondrée, dividende nul, suspension de cote — mais les perspectives 2024 (objectif CA de 32 Mds FCFA, +18%) et l'arrivée de Sonoco offrent des leviers de relance. Recommandation fondamentale : **CONSERVER avec vigilance**, en surveillant la levée de la suspension et l'exécution du plan 2024.</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de risque élevé avec des signaux divergents**. Sur la **valorisation (Partie 0)**, l'absence de ratios calculables et le PER implicite très élevé (~37x) suggèrent une **surévaluation apparente** au regard des bénéfices 2023, mais cette lecture est biaisée par la chute exceptionnelle des résultats. Le **comportement du cours (Partie 1)** est préoccupant : tendance baissière (-16,94%), volatilité élevée (47,2%), skewness positif (pression vendeuse) et kurtosis leptokurtique (risque de pics) — des statistiques défavorables pour un investisseur averse au risque. Les **signaux techniques (Partie 2)** sont majoritairement baissiers ou neutres (MACD en vente, stochastique baissier, cours sous les MM), sans convergence haussière claire. Les **fondamentaux (Partie 3)** sont fragiles : résultat net en chute de 74% en 2023, dividende nul, suspension de cote, mais des perspectives de relance (objectif +18% de CA en 2024) et l'arrivée de Sonoco. Les **prédictions IA (J+1 à J+10)** anticipent une **poursuite de la baisse** (1 509 → 1 475 FCFA), ce qui **contredit** tout espoir de rebond technique immédiat et **confirme** les signaux baissiers. **Recommandation finale : CONSERVER** (avec vigilance), car la convergence des signaux techniques baissiers et des prédictions négatives plaide contre un achat immédiat, tandis que les fondamentaux — bien que dégradés — offrent un potentiel de redressement à moyen terme via Sonoco et la relance commerciale. **Niveau de confiance : Moyen** (les données fondamentales sont anciennes et le périmètre incohérent). **Niveau de risque global : Élevé** (volatilité, suspension de cote, dépendance clients). **Horizon d'investissement optimal : Moyen terme (3-12 mois)**, en attendant la levée de la suspension BRVM et les premiers signes de redressement opérationnel.</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5,279 titres</w:t>
            </w:r>
          </w:p>
        </w:tc>
        <w:tc>
          <w:tcPr>
            <w:tcW w:type="dxa" w:w="2268"/>
            <w:shd w:fill="FFF2CC" w:val="clear"/>
          </w:tcPr>
          <w:p>
            <w:r>
              <w:rPr>
                <w:b/>
                <w:color w:val="503200"/>
                <w:sz w:val="16"/>
              </w:rPr>
              <w:t xml:space="preserve">Cours actuel : </w:t>
            </w:r>
            <w:r>
              <w:rPr>
                <w:color w:val="000000"/>
                <w:sz w:val="17"/>
              </w:rPr>
              <w:t>37,800 FCFA</w:t>
            </w:r>
          </w:p>
          <w:p>
            <w:r>
              <w:rPr>
                <w:b/>
                <w:color w:val="503200"/>
                <w:sz w:val="16"/>
              </w:rPr>
              <w:t xml:space="preserve">Var. 100 jours : </w:t>
            </w:r>
            <w:r>
              <w:rPr>
                <w:b/>
                <w:color w:val="007800"/>
                <w:sz w:val="17"/>
              </w:rPr>
              <w:t>+8.19%</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4.49% (Faible) — μ=37,611 FCFA, σ=1,688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β=0.5327 (Défensif) — Cov=0.000018, Var(idx)=0.000035, ρ=0.229,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σ_j=1.40%/j (Stable) — Vol. annualisée≈22.3%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37,112</w:t>
            </w:r>
          </w:p>
        </w:tc>
        <w:tc>
          <w:tcPr>
            <w:tcW w:type="dxa" w:w="1440"/>
            <w:shd w:fill="FAFAFA" w:val="clear"/>
          </w:tcPr>
          <w:p>
            <w:r>
              <w:rPr>
                <w:b/>
                <w:sz w:val="17"/>
              </w:rPr>
              <w:t>38,066</w:t>
            </w:r>
          </w:p>
        </w:tc>
        <w:tc>
          <w:tcPr>
            <w:tcW w:type="dxa" w:w="1440"/>
            <w:shd w:fill="FAFAFA" w:val="clear"/>
          </w:tcPr>
          <w:p>
            <w:r>
              <w:rPr>
                <w:sz w:val="17"/>
              </w:rPr>
              <w:t>39,019</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36,587</w:t>
            </w:r>
          </w:p>
        </w:tc>
        <w:tc>
          <w:tcPr>
            <w:tcW w:type="dxa" w:w="1440"/>
            <w:shd w:fill="FAFAFA" w:val="clear"/>
          </w:tcPr>
          <w:p>
            <w:r>
              <w:rPr>
                <w:b/>
                <w:sz w:val="17"/>
              </w:rPr>
              <w:t>37,931</w:t>
            </w:r>
          </w:p>
        </w:tc>
        <w:tc>
          <w:tcPr>
            <w:tcW w:type="dxa" w:w="1440"/>
            <w:shd w:fill="FAFAFA" w:val="clear"/>
          </w:tcPr>
          <w:p>
            <w:r>
              <w:rPr>
                <w:sz w:val="17"/>
              </w:rPr>
              <w:t>39,275</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36,175</w:t>
            </w:r>
          </w:p>
        </w:tc>
        <w:tc>
          <w:tcPr>
            <w:tcW w:type="dxa" w:w="1440"/>
            <w:shd w:fill="FAFAFA" w:val="clear"/>
          </w:tcPr>
          <w:p>
            <w:r>
              <w:rPr>
                <w:b/>
                <w:sz w:val="17"/>
              </w:rPr>
              <w:t>37,816</w:t>
            </w:r>
          </w:p>
        </w:tc>
        <w:tc>
          <w:tcPr>
            <w:tcW w:type="dxa" w:w="1440"/>
            <w:shd w:fill="FAFAFA" w:val="clear"/>
          </w:tcPr>
          <w:p>
            <w:r>
              <w:rPr>
                <w:sz w:val="17"/>
              </w:rPr>
              <w:t>39,457</w:t>
            </w:r>
          </w:p>
        </w:tc>
        <w:tc>
          <w:tcPr>
            <w:tcW w:type="dxa" w:w="1440"/>
            <w:shd w:fill="FAFAFA" w:val="clear"/>
          </w:tcPr>
          <w:p>
            <w:r>
              <w:rPr>
                <w:b/>
                <w:color w:val="008000"/>
                <w:sz w:val="17"/>
              </w:rPr>
              <w:t>+0.0%</w:t>
            </w:r>
          </w:p>
        </w:tc>
      </w:tr>
      <w:tr>
        <w:tc>
          <w:tcPr>
            <w:tcW w:type="dxa" w:w="1440"/>
            <w:shd w:fill="FAFAFA" w:val="clear"/>
          </w:tcPr>
          <w:p>
            <w:r>
              <w:rPr>
                <w:sz w:val="17"/>
              </w:rPr>
              <w:t>J+4  Moyenne</w:t>
            </w:r>
          </w:p>
        </w:tc>
        <w:tc>
          <w:tcPr>
            <w:tcW w:type="dxa" w:w="1440"/>
            <w:shd w:fill="FAFAFA" w:val="clear"/>
          </w:tcPr>
          <w:p>
            <w:r>
              <w:rPr>
                <w:sz w:val="17"/>
              </w:rPr>
              <w:t>2026-09-21</w:t>
            </w:r>
          </w:p>
        </w:tc>
        <w:tc>
          <w:tcPr>
            <w:tcW w:type="dxa" w:w="1440"/>
            <w:shd w:fill="FAFAFA" w:val="clear"/>
          </w:tcPr>
          <w:p>
            <w:r>
              <w:rPr>
                <w:sz w:val="17"/>
              </w:rPr>
              <w:t>35,818</w:t>
            </w:r>
          </w:p>
        </w:tc>
        <w:tc>
          <w:tcPr>
            <w:tcW w:type="dxa" w:w="1440"/>
            <w:shd w:fill="FAFAFA" w:val="clear"/>
          </w:tcPr>
          <w:p>
            <w:r>
              <w:rPr>
                <w:b/>
                <w:sz w:val="17"/>
              </w:rPr>
              <w:t>37,707</w:t>
            </w:r>
          </w:p>
        </w:tc>
        <w:tc>
          <w:tcPr>
            <w:tcW w:type="dxa" w:w="1440"/>
            <w:shd w:fill="FAFAFA" w:val="clear"/>
          </w:tcPr>
          <w:p>
            <w:r>
              <w:rPr>
                <w:sz w:val="17"/>
              </w:rPr>
              <w:t>39,596</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2026-09-22</w:t>
            </w:r>
          </w:p>
        </w:tc>
        <w:tc>
          <w:tcPr>
            <w:tcW w:type="dxa" w:w="1440"/>
            <w:shd w:fill="FAFAFA" w:val="clear"/>
          </w:tcPr>
          <w:p>
            <w:r>
              <w:rPr>
                <w:sz w:val="17"/>
              </w:rPr>
              <w:t>35,494</w:t>
            </w:r>
          </w:p>
        </w:tc>
        <w:tc>
          <w:tcPr>
            <w:tcW w:type="dxa" w:w="1440"/>
            <w:shd w:fill="FAFAFA" w:val="clear"/>
          </w:tcPr>
          <w:p>
            <w:r>
              <w:rPr>
                <w:b/>
                <w:sz w:val="17"/>
              </w:rPr>
              <w:t>37,600</w:t>
            </w:r>
          </w:p>
        </w:tc>
        <w:tc>
          <w:tcPr>
            <w:tcW w:type="dxa" w:w="1440"/>
            <w:shd w:fill="FAFAFA" w:val="clear"/>
          </w:tcPr>
          <w:p>
            <w:r>
              <w:rPr>
                <w:sz w:val="17"/>
              </w:rPr>
              <w:t>39,707</w:t>
            </w:r>
          </w:p>
        </w:tc>
        <w:tc>
          <w:tcPr>
            <w:tcW w:type="dxa" w:w="1440"/>
            <w:shd w:fill="FAFAFA" w:val="clear"/>
          </w:tcPr>
          <w:p>
            <w:r>
              <w:rPr>
                <w:b/>
                <w:color w:val="C00000"/>
                <w:sz w:val="17"/>
              </w:rPr>
              <w:t>-0.5%</w:t>
            </w:r>
          </w:p>
        </w:tc>
      </w:tr>
      <w:tr>
        <w:tc>
          <w:tcPr>
            <w:tcW w:type="dxa" w:w="1440"/>
            <w:shd w:fill="FAFAFA" w:val="clear"/>
          </w:tcPr>
          <w:p>
            <w:r>
              <w:rPr>
                <w:sz w:val="17"/>
              </w:rPr>
              <w:t>J+6  Moyenne</w:t>
            </w:r>
          </w:p>
        </w:tc>
        <w:tc>
          <w:tcPr>
            <w:tcW w:type="dxa" w:w="1440"/>
            <w:shd w:fill="FAFAFA" w:val="clear"/>
          </w:tcPr>
          <w:p>
            <w:r>
              <w:rPr>
                <w:sz w:val="17"/>
              </w:rPr>
              <w:t>2026-09-23</w:t>
            </w:r>
          </w:p>
        </w:tc>
        <w:tc>
          <w:tcPr>
            <w:tcW w:type="dxa" w:w="1440"/>
            <w:shd w:fill="FAFAFA" w:val="clear"/>
          </w:tcPr>
          <w:p>
            <w:r>
              <w:rPr>
                <w:sz w:val="17"/>
              </w:rPr>
              <w:t>35,195</w:t>
            </w:r>
          </w:p>
        </w:tc>
        <w:tc>
          <w:tcPr>
            <w:tcW w:type="dxa" w:w="1440"/>
            <w:shd w:fill="FAFAFA" w:val="clear"/>
          </w:tcPr>
          <w:p>
            <w:r>
              <w:rPr>
                <w:b/>
                <w:sz w:val="17"/>
              </w:rPr>
              <w:t>37,496</w:t>
            </w:r>
          </w:p>
        </w:tc>
        <w:tc>
          <w:tcPr>
            <w:tcW w:type="dxa" w:w="1440"/>
            <w:shd w:fill="FAFAFA" w:val="clear"/>
          </w:tcPr>
          <w:p>
            <w:r>
              <w:rPr>
                <w:sz w:val="17"/>
              </w:rPr>
              <w:t>39,797</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2026-09-24</w:t>
            </w:r>
          </w:p>
        </w:tc>
        <w:tc>
          <w:tcPr>
            <w:tcW w:type="dxa" w:w="1440"/>
            <w:shd w:fill="FAFAFA" w:val="clear"/>
          </w:tcPr>
          <w:p>
            <w:r>
              <w:rPr>
                <w:sz w:val="17"/>
              </w:rPr>
              <w:t>34,916</w:t>
            </w:r>
          </w:p>
        </w:tc>
        <w:tc>
          <w:tcPr>
            <w:tcW w:type="dxa" w:w="1440"/>
            <w:shd w:fill="FAFAFA" w:val="clear"/>
          </w:tcPr>
          <w:p>
            <w:r>
              <w:rPr>
                <w:b/>
                <w:sz w:val="17"/>
              </w:rPr>
              <w:t>37,394</w:t>
            </w:r>
          </w:p>
        </w:tc>
        <w:tc>
          <w:tcPr>
            <w:tcW w:type="dxa" w:w="1440"/>
            <w:shd w:fill="FAFAFA" w:val="clear"/>
          </w:tcPr>
          <w:p>
            <w:r>
              <w:rPr>
                <w:sz w:val="17"/>
              </w:rPr>
              <w:t>39,873</w:t>
            </w:r>
          </w:p>
        </w:tc>
        <w:tc>
          <w:tcPr>
            <w:tcW w:type="dxa" w:w="1440"/>
            <w:shd w:fill="FAFAFA" w:val="clear"/>
          </w:tcPr>
          <w:p>
            <w:r>
              <w:rPr>
                <w:b/>
                <w:color w:val="C00000"/>
                <w:sz w:val="17"/>
              </w:rPr>
              <w:t>-1.1%</w:t>
            </w:r>
          </w:p>
        </w:tc>
      </w:tr>
      <w:tr>
        <w:tc>
          <w:tcPr>
            <w:tcW w:type="dxa" w:w="1440"/>
            <w:shd w:fill="FAFAFA" w:val="clear"/>
          </w:tcPr>
          <w:p>
            <w:r>
              <w:rPr>
                <w:sz w:val="17"/>
              </w:rPr>
              <w:t>J+8  Moyenne</w:t>
            </w:r>
          </w:p>
        </w:tc>
        <w:tc>
          <w:tcPr>
            <w:tcW w:type="dxa" w:w="1440"/>
            <w:shd w:fill="FAFAFA" w:val="clear"/>
          </w:tcPr>
          <w:p>
            <w:r>
              <w:rPr>
                <w:sz w:val="17"/>
              </w:rPr>
              <w:t>2026-09-25</w:t>
            </w:r>
          </w:p>
        </w:tc>
        <w:tc>
          <w:tcPr>
            <w:tcW w:type="dxa" w:w="1440"/>
            <w:shd w:fill="FAFAFA" w:val="clear"/>
          </w:tcPr>
          <w:p>
            <w:r>
              <w:rPr>
                <w:sz w:val="17"/>
              </w:rPr>
              <w:t>34,652</w:t>
            </w:r>
          </w:p>
        </w:tc>
        <w:tc>
          <w:tcPr>
            <w:tcW w:type="dxa" w:w="1440"/>
            <w:shd w:fill="FAFAFA" w:val="clear"/>
          </w:tcPr>
          <w:p>
            <w:r>
              <w:rPr>
                <w:b/>
                <w:sz w:val="17"/>
              </w:rPr>
              <w:t>37,294</w:t>
            </w:r>
          </w:p>
        </w:tc>
        <w:tc>
          <w:tcPr>
            <w:tcW w:type="dxa" w:w="1440"/>
            <w:shd w:fill="FAFAFA" w:val="clear"/>
          </w:tcPr>
          <w:p>
            <w:r>
              <w:rPr>
                <w:sz w:val="17"/>
              </w:rPr>
              <w:t>39,937</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2026-09-28</w:t>
            </w:r>
          </w:p>
        </w:tc>
        <w:tc>
          <w:tcPr>
            <w:tcW w:type="dxa" w:w="1440"/>
            <w:shd w:fill="FAFAFA" w:val="clear"/>
          </w:tcPr>
          <w:p>
            <w:r>
              <w:rPr>
                <w:sz w:val="17"/>
              </w:rPr>
              <w:t>34,401</w:t>
            </w:r>
          </w:p>
        </w:tc>
        <w:tc>
          <w:tcPr>
            <w:tcW w:type="dxa" w:w="1440"/>
            <w:shd w:fill="FAFAFA" w:val="clear"/>
          </w:tcPr>
          <w:p>
            <w:r>
              <w:rPr>
                <w:b/>
                <w:sz w:val="17"/>
              </w:rPr>
              <w:t>37,196</w:t>
            </w:r>
          </w:p>
        </w:tc>
        <w:tc>
          <w:tcPr>
            <w:tcW w:type="dxa" w:w="1440"/>
            <w:shd w:fill="FAFAFA" w:val="clear"/>
          </w:tcPr>
          <w:p>
            <w:r>
              <w:rPr>
                <w:sz w:val="17"/>
              </w:rPr>
              <w:t>39,991</w:t>
            </w:r>
          </w:p>
        </w:tc>
        <w:tc>
          <w:tcPr>
            <w:tcW w:type="dxa" w:w="1440"/>
            <w:shd w:fill="FAFAFA" w:val="clear"/>
          </w:tcPr>
          <w:p>
            <w:r>
              <w:rPr>
                <w:b/>
                <w:color w:val="C00000"/>
                <w:sz w:val="17"/>
              </w:rPr>
              <w:t>-1.6%</w:t>
            </w:r>
          </w:p>
        </w:tc>
      </w:tr>
      <w:tr>
        <w:tc>
          <w:tcPr>
            <w:tcW w:type="dxa" w:w="1440"/>
            <w:shd w:fill="FAFAFA" w:val="clear"/>
          </w:tcPr>
          <w:p>
            <w:r>
              <w:rPr>
                <w:sz w:val="17"/>
              </w:rPr>
              <w:t>J+10  Moyenne</w:t>
            </w:r>
          </w:p>
        </w:tc>
        <w:tc>
          <w:tcPr>
            <w:tcW w:type="dxa" w:w="1440"/>
            <w:shd w:fill="FAFAFA" w:val="clear"/>
          </w:tcPr>
          <w:p>
            <w:r>
              <w:rPr>
                <w:sz w:val="17"/>
              </w:rPr>
              <w:t>2026-09-29</w:t>
            </w:r>
          </w:p>
        </w:tc>
        <w:tc>
          <w:tcPr>
            <w:tcW w:type="dxa" w:w="1440"/>
            <w:shd w:fill="FAFAFA" w:val="clear"/>
          </w:tcPr>
          <w:p>
            <w:r>
              <w:rPr>
                <w:sz w:val="17"/>
              </w:rPr>
              <w:t>34,160</w:t>
            </w:r>
          </w:p>
        </w:tc>
        <w:tc>
          <w:tcPr>
            <w:tcW w:type="dxa" w:w="1440"/>
            <w:shd w:fill="FAFAFA" w:val="clear"/>
          </w:tcPr>
          <w:p>
            <w:r>
              <w:rPr>
                <w:b/>
                <w:sz w:val="17"/>
              </w:rPr>
              <w:t>37,099</w:t>
            </w:r>
          </w:p>
        </w:tc>
        <w:tc>
          <w:tcPr>
            <w:tcW w:type="dxa" w:w="1440"/>
            <w:shd w:fill="FAFAFA" w:val="clear"/>
          </w:tcPr>
          <w:p>
            <w:r>
              <w:rPr>
                <w:sz w:val="17"/>
              </w:rPr>
              <w:t>40,038</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SOCIÉTÉ GÉNÉRALE CÔTE D'IVOIRE (SGBC)</w:t>
        <w:br/>
        <w:t>### BRVM | Secteur Bancaire | Exercice 2025</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1 176,00 milliards FCFA, SGBC s'impose comme l'une des toutes premières capitalisations de la BRVM, un poids lourd de l'indice composite qui traduit la confiance structurelle du marché envers le leader bancaire ivoirien. Le BPA de 3 258 FCFA par action signifie que chaque titre génère près de 3 258 FCFA de bénéfice net, ce qui, rapporté au cours actuel de 37 800 FCFA, aboutit à un PER de 11,6x — un niveau modéré, légèrement supérieur à la moyenne BRVM (~8-12x) mais justifié par la prime de qualité et la notation AAA de l'émetteur. Le P/B de 2,38x indique que le marché valorise l'action à plus de deux fois sa valeur comptable, une prime de croissance accordée aux banques les plus rentables (ROE &gt; 20%), tandis que l'EV/EBITDA de 24,5x apparaît très exigeant (&gt; 15x), reflétant la spécificité du modèle bancaire où la valeur d'entreprise est difficilement comparable aux standards industriels. Globalement, la valorisation n'est ni une aubaine ni une aberration : elle reflète fidèlement la qualité fondamentale de l'émetteur.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+8,19%, mais la dernière séance (J-1) marque un net repli de -3,08%, signalant une prise de bénéfices après un rallye haussier. Le range de trading s'étend de 33 000 FCFA (plus bas) à 39 300 FCFA (plus haut), soit une amplitude de 19,1% qui témoigne d'une tendance globalement haussière mais ponctuée de corrections. Les statistiques descriptives révèlent une moyenne de 37 611 FCFA légèrement inférieure à la médiane de 38 000 FCFA, tandis que le mode se situe à 39 000 FCFA : cet écart entre moyenne et médiane confirme une distribution légèrement asymétrique, cohérente avec le skewness négatif de -1,244 qui indique davantage de journées de cotation au-dessus de la moyenne (asymétrie à gauche). L'écart-type de 1 697 FCFA avec un coefficient de variation de seulement 4,5% traduit une dispersion très faible du cours, gage de stabilité relative. Le kurtosis de 0,485 (mésokurtique) suggère une distribution proche de la normale, sans risque excessif de pics extrêmes, tandis que la volatilité annualisée de 22,3% positionne le titre dans la catégorie des valeurs à volatilité modérée (15-30%), adaptée à un profil d'investisseur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(38 532,5 FCFA) et la MM50 (38 434,6 FCFA) sont toutes deux supérieures au cours actuel de 37 800 FCFA, ce qui place le titre en position de repli sous ses moyennes de court et moyen terme. Toutefois, la décision technique affichée est « Achat », car la configuration des moyennes (MM20 &gt; MM50) reste haussière de fond, et le repli actuel constitue un point d'entrée potentiel sur support.</w:t>
      </w:r>
    </w:p>
    <w:p>
      <w:pPr>
        <w:spacing w:after="120" w:line="276" w:lineRule="auto"/>
      </w:pPr>
      <w:r>
        <w:t>**Bandes de Bollinger** : Le cours (37 800 FCFA) évolue dans la partie basse du canal, entre la borne inférieure (37 528,6 FCFA) et la borne supérieure (39 536,4 FCFA), tout en restant proche du support inférieur. Cette position suggère une pression vendeuse de court terme mais aussi un potentiel de rebond technique ; la décision « Neutre » reflète l'absence de signal directionnel fort à ce stade.</w:t>
      </w:r>
    </w:p>
    <w:p>
      <w:pPr>
        <w:spacing w:after="120" w:line="276" w:lineRule="auto"/>
      </w:pPr>
      <w:r>
        <w:t>**MACD** : La valeur du MACD (5,459) est nettement inférieure à son signal (27,253), générant une divergence baissière marquée et un momentum négatif. La décision « Vente » confirme que la dynamique de court terme s'est retournée, ce qui appelle à la prudence avant tout renforcement de position.</w:t>
      </w:r>
    </w:p>
    <w:p>
      <w:pPr>
        <w:spacing w:after="120" w:line="276" w:lineRule="auto"/>
      </w:pPr>
      <w:r>
        <w:t>**RSI** : À 47,462, le RSI se situe en zone parfaitement neutre (30-70), ni en surachat ni en survente. La décision « Neutre » indique que le titre dispose d'une marge de manœuvre dans les deux sens, sans signal de retournement imminent.</w:t>
      </w:r>
    </w:p>
    <w:p>
      <w:pPr>
        <w:spacing w:after="120" w:line="276" w:lineRule="auto"/>
      </w:pPr>
      <w:r>
        <w:t>**Stochastique** : Le %K à 0,0 (plus bas absolu) contre un %D à 50,254 traduit un croisement baissier extrême, le %K étant collé au plancher. Paradoxalement, la décision affichée est « Achat », car un %K à 0 en zone de survente constitue historiquement un signal de rebond potentiel à court terme.</w:t>
      </w:r>
    </w:p>
    <w:p>
      <w:pPr>
        <w:spacing w:after="120" w:line="276" w:lineRule="auto"/>
      </w:pPr>
      <w:r>
        <w:t>**Conclusion technique** : Les indicateurs sont divergents — les moyennes mobiles et le stochastique plaident pour un achat sur repli, tandis que le MACD confirme une pression baissière de court terme et que le RSI et les Bollinger restent neutres. Cette configuration suggère une phase de consolidation avec un support technique solide autour de 37 500 FCFA, mais l'absence de convergence des signaux impose une approche prudente et progressive.</w:t>
      </w:r>
    </w:p>
    <w:p>
      <w:pPr>
        <w:spacing w:after="120" w:line="276" w:lineRule="auto"/>
      </w:pPr>
      <w:r>
        <w:t>---</w:t>
      </w:r>
    </w:p>
    <w:p>
      <w:pPr>
        <w:spacing w:after="120" w:line="276" w:lineRule="auto"/>
      </w:pPr>
      <w:r>
        <w:t>## PARTIE 3 : ANALYSE FONDAMENTALE</w:t>
      </w:r>
    </w:p>
    <w:p>
      <w:pPr>
        <w:spacing w:after="120" w:line="276" w:lineRule="auto"/>
      </w:pPr>
      <w:r>
        <w:t>En 2025, SGBC affiche des fondamentaux bancaires exceptionnellement solides : un Produit Net Bancaire (équivalent du chiffre d'affaires pour une banque) de 276,048 milliards FCFA, un résultat net de 101,352 milliards FCFA — franchissant pour la première fois le seuil symbolique des 100 milliards — et un ROE remarquable de 20,47%, très au-dessus du seuil d'excellence de 15%. Le ROA de 2,69% confirme l'efficacité dans l'utilisation des actifs, tandis que le coefficient d'exploitation de 38,75% (largement inférieur au seuil de 60% et même au seuil d'excellence de 50%) témoigne d'une banque particulièrement efficace dans la maîtrise de ses charges. La structure bilancielle est saine : 2 907,675 milliards FCFA de dépôts clientèle contre 2 546,290 milliards FCFA de créances clientèle, soit un ratio prêts/dépôts de 87,6% — un niveau équilibré qui traduit une bonne transformation bancaire. Le coût du risque, mesuré par le ratio provisions/charges financières (17,995/47,775 = 37,7%), reste contenu, et la couverture des intérêts par le résultat d'exploitation s'élève à 255,88%, un coussin de sécurité confortable. La croissance du PNB de +4,88% en 2025 s'inscrit dans la continuité des rapports trimestriels : le rapport du 3ᵉ trimestre 2025 (arrêté au 30 septembre 2025) faisait état d'un PNB cumulé de 201,0 milliards FCFA (+2,5%) et d'un résultat net de 83,3 milliards FCFA (+11,7%), avec un coefficient d'exploitation amélioré à 37,3% et une collecte de dépôts en hausse de +13,9% à 2 939 milliards FCFA. Sur cette base, on estime que l'exercice 2025 devrait confirmer un résultat net annuel supérieur à 100 milliards FCFA, avec un ROE maintenu au-dessus de 20%. Le rapport annuel 2024 (arrêté au 31 décembre 2024) confirmait déjà cette dynamique avec un PNB de 263,2 milliards FCFA (+3,9%), un résultat net de 101,2 milliards FCFA (+4,1%) et un dividende brut par action de 1 863 FCFA (+8,4%), soit un taux de distribution de 57,25%. Le principal point de vigilance identifié dans les rapports antérieurs (S1 2025, arrêté au 30 juin 2025) concerne la qualité du crédit, avec un taux de créances en souffrance (NPL) en hausse à 7,8% et un taux de couverture en baisse à 91%, ainsi qu'une autonomie financière limitée à 13,14% (structurellement normale pour une banque, dont le modèle repose sur le levier des dépôts). La notation AAA (seul acteur bancaire de la BRVM à ce niveau) et la solvabilité générale de 115,12% constituent des atouts majeurs. En conclusion fondamentale, SGBC présente un profil de très haute qualité : rentabilité exceptionnelle, efficacité opérationnelle remarquable, solidité bilancielle confirmée et politique de dividende attractive, avec un risque principal limité à la dégradation du coût du risque sur le segment PME.</w:t>
      </w:r>
    </w:p>
    <w:p>
      <w:pPr>
        <w:spacing w:after="120" w:line="276" w:lineRule="auto"/>
      </w:pPr>
      <w:r>
        <w:t>---</w:t>
      </w:r>
    </w:p>
    <w:p>
      <w:pPr>
        <w:spacing w:after="120" w:line="276" w:lineRule="auto"/>
      </w:pPr>
      <w:r>
        <w:t>## PARTIE 4 : CONCLUSION D'INVESTISSEMENT</w:t>
      </w:r>
    </w:p>
    <w:p>
      <w:pPr>
        <w:spacing w:after="120" w:line="276" w:lineRule="auto"/>
      </w:pPr>
      <w:r>
        <w:t>La synthèse globale des quatre dimensions analysées dessine un tableau contrasté mais globalement favorable. Sur le plan de la **valorisation (Partie 0)**, le PER de 11,6x et le P/B de 2,38x indiquent une valorisation raisonnable mais non décotée, l'EV/EBITDA de 24,5x étant peu pertinent pour une banque. Le **comportement du cours (Partie 1)** révèle une tendance haussière de fond (+8,19% sur 100 jours) avec une volatilité modérée (22,3%) et une distribution proche de la normale (kurtosis 0,485), mais le skewness négatif (-1,244) et le repli de -3,08% en J-1 signalent une pression vendeuse récente. Les **signaux techniques (Partie 2)** sont divergents : les moyennes mobiles et le stochastique plaident pour un achat sur repli, mais le MACD baissier et le RSI neutre incitent à la prudence, sans convergence claire. Les **fondamentaux (Partie 3)** sont le point fort incontestable : ROE de 20,47%, coefficient d'exploitation de 38,75%, résultat net de 101,352 milliards FCFA en 2025, notation AAA et dividende en progression — un profil de qualité rare sur la BRVM. Les **prédictions IA (J+1 à J+10)** anticipent une légère érosion du cours de 38 066 FCFA (J+1) à 37 600 FCFA (J+5), confirmant la pression baissière de court terme sans effondrement. Sur cette base, la recommandation finale est **CONSERVER**, avec une légère inclinaison vers l'achat pour les investisseurs de long terme : la valorisation est correcte sans être une opportunité, la technique est mitigée à court terme, mais les fondamentaux exceptionnels et la politique de dividende généreuse justifient une exposition durable. Le niveau de confiance est **Moyen** (divergence technique/fondamental), le niveau de risque global est **Faible à Moyen** (qualité de l'émetteur compensant la pression de court terme), et l'horizon d'investissement optimal est le **moyen à long terme (6 mois à plus d'un an)**, afin de laisser la consolidation technique se résorber et de capitaliser sur la croissance structurelle et les dividendes de la banque leader de la zone UEMOA.</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183.33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4,631 titres</w:t>
            </w:r>
          </w:p>
        </w:tc>
        <w:tc>
          <w:tcPr>
            <w:tcW w:type="dxa" w:w="2268"/>
            <w:shd w:fill="FFF2CC" w:val="clear"/>
          </w:tcPr>
          <w:p>
            <w:r>
              <w:rPr>
                <w:b/>
                <w:color w:val="503200"/>
                <w:sz w:val="16"/>
              </w:rPr>
              <w:t xml:space="preserve">Cours actuel : </w:t>
            </w:r>
            <w:r>
              <w:rPr>
                <w:color w:val="000000"/>
                <w:sz w:val="17"/>
              </w:rPr>
              <w:t>2,910 FCFA</w:t>
            </w:r>
          </w:p>
          <w:p>
            <w:r>
              <w:rPr>
                <w:b/>
                <w:color w:val="503200"/>
                <w:sz w:val="16"/>
              </w:rPr>
              <w:t xml:space="preserve">Var. 100 jours : </w:t>
            </w:r>
            <w:r>
              <w:rPr>
                <w:b/>
                <w:color w:val="007800"/>
                <w:sz w:val="17"/>
              </w:rPr>
              <w:t>+45.50%</w:t>
            </w:r>
          </w:p>
          <w:p>
            <w:r>
              <w:rPr>
                <w:b/>
                <w:color w:val="503200"/>
                <w:sz w:val="16"/>
              </w:rPr>
              <w:t xml:space="preserve">Plus haut 100j : </w:t>
            </w:r>
            <w:r>
              <w:rPr>
                <w:color w:val="000000"/>
                <w:sz w:val="17"/>
              </w:rPr>
              <w:t>2,910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9.24% (Moyenne) — μ=2,176 FCFA, σ=201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β=0.9247 (Neutre (suit le marché)) — Cov=0.000032, Var(idx)=0.000035, ρ=0.251,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2026-09-16</w:t>
            </w:r>
          </w:p>
        </w:tc>
        <w:tc>
          <w:tcPr>
            <w:tcW w:type="dxa" w:w="1440"/>
            <w:shd w:fill="FFDCE0" w:val="clear"/>
          </w:tcPr>
          <w:p>
            <w:r>
              <w:rPr>
                <w:sz w:val="17"/>
              </w:rPr>
              <w:t>2,663</w:t>
            </w:r>
          </w:p>
        </w:tc>
        <w:tc>
          <w:tcPr>
            <w:tcW w:type="dxa" w:w="1440"/>
            <w:shd w:fill="FFDCE0" w:val="clear"/>
          </w:tcPr>
          <w:p>
            <w:r>
              <w:rPr>
                <w:b/>
                <w:sz w:val="17"/>
              </w:rPr>
              <w:t>2,776</w:t>
            </w:r>
          </w:p>
        </w:tc>
        <w:tc>
          <w:tcPr>
            <w:tcW w:type="dxa" w:w="1440"/>
            <w:shd w:fill="FFDCE0" w:val="clear"/>
          </w:tcPr>
          <w:p>
            <w:r>
              <w:rPr>
                <w:sz w:val="17"/>
              </w:rPr>
              <w:t>2,889</w:t>
            </w:r>
          </w:p>
        </w:tc>
        <w:tc>
          <w:tcPr>
            <w:tcW w:type="dxa" w:w="1440"/>
            <w:shd w:fill="FFDCE0" w:val="clear"/>
          </w:tcPr>
          <w:p>
            <w:r>
              <w:rPr>
                <w:b/>
                <w:color w:val="C00000"/>
                <w:sz w:val="17"/>
              </w:rPr>
              <w:t>-4.6%</w:t>
            </w:r>
          </w:p>
        </w:tc>
      </w:tr>
      <w:tr>
        <w:tc>
          <w:tcPr>
            <w:tcW w:type="dxa" w:w="1440"/>
            <w:shd w:fill="FFDCE0" w:val="clear"/>
          </w:tcPr>
          <w:p>
            <w:r>
              <w:rPr>
                <w:sz w:val="17"/>
              </w:rPr>
              <w:t>J+2  Moyenne</w:t>
            </w:r>
          </w:p>
        </w:tc>
        <w:tc>
          <w:tcPr>
            <w:tcW w:type="dxa" w:w="1440"/>
            <w:shd w:fill="FFDCE0" w:val="clear"/>
          </w:tcPr>
          <w:p>
            <w:r>
              <w:rPr>
                <w:sz w:val="17"/>
              </w:rPr>
              <w:t>2026-09-17</w:t>
            </w:r>
          </w:p>
        </w:tc>
        <w:tc>
          <w:tcPr>
            <w:tcW w:type="dxa" w:w="1440"/>
            <w:shd w:fill="FFDCE0" w:val="clear"/>
          </w:tcPr>
          <w:p>
            <w:r>
              <w:rPr>
                <w:sz w:val="17"/>
              </w:rPr>
              <w:t>2,530</w:t>
            </w:r>
          </w:p>
        </w:tc>
        <w:tc>
          <w:tcPr>
            <w:tcW w:type="dxa" w:w="1440"/>
            <w:shd w:fill="FFDCE0" w:val="clear"/>
          </w:tcPr>
          <w:p>
            <w:r>
              <w:rPr>
                <w:b/>
                <w:sz w:val="17"/>
              </w:rPr>
              <w:t>2,684</w:t>
            </w:r>
          </w:p>
        </w:tc>
        <w:tc>
          <w:tcPr>
            <w:tcW w:type="dxa" w:w="1440"/>
            <w:shd w:fill="FFDCE0" w:val="clear"/>
          </w:tcPr>
          <w:p>
            <w:r>
              <w:rPr>
                <w:sz w:val="17"/>
              </w:rPr>
              <w:t>2,838</w:t>
            </w:r>
          </w:p>
        </w:tc>
        <w:tc>
          <w:tcPr>
            <w:tcW w:type="dxa" w:w="1440"/>
            <w:shd w:fill="FFDCE0" w:val="clear"/>
          </w:tcPr>
          <w:p>
            <w:r>
              <w:rPr>
                <w:b/>
                <w:color w:val="C00000"/>
                <w:sz w:val="17"/>
              </w:rPr>
              <w:t>-7.8%</w:t>
            </w:r>
          </w:p>
        </w:tc>
      </w:tr>
      <w:tr>
        <w:tc>
          <w:tcPr>
            <w:tcW w:type="dxa" w:w="1440"/>
            <w:shd w:fill="FFDCE0" w:val="clear"/>
          </w:tcPr>
          <w:p>
            <w:r>
              <w:rPr>
                <w:sz w:val="17"/>
              </w:rPr>
              <w:t>J+3  Moyenne</w:t>
            </w:r>
          </w:p>
        </w:tc>
        <w:tc>
          <w:tcPr>
            <w:tcW w:type="dxa" w:w="1440"/>
            <w:shd w:fill="FFDCE0" w:val="clear"/>
          </w:tcPr>
          <w:p>
            <w:r>
              <w:rPr>
                <w:sz w:val="17"/>
              </w:rPr>
              <w:t>2026-09-18</w:t>
            </w:r>
          </w:p>
        </w:tc>
        <w:tc>
          <w:tcPr>
            <w:tcW w:type="dxa" w:w="1440"/>
            <w:shd w:fill="FFDCE0" w:val="clear"/>
          </w:tcPr>
          <w:p>
            <w:r>
              <w:rPr>
                <w:sz w:val="17"/>
              </w:rPr>
              <w:t>2,414</w:t>
            </w:r>
          </w:p>
        </w:tc>
        <w:tc>
          <w:tcPr>
            <w:tcW w:type="dxa" w:w="1440"/>
            <w:shd w:fill="FFDCE0" w:val="clear"/>
          </w:tcPr>
          <w:p>
            <w:r>
              <w:rPr>
                <w:b/>
                <w:sz w:val="17"/>
              </w:rPr>
              <w:t>2,597</w:t>
            </w:r>
          </w:p>
        </w:tc>
        <w:tc>
          <w:tcPr>
            <w:tcW w:type="dxa" w:w="1440"/>
            <w:shd w:fill="FFDCE0" w:val="clear"/>
          </w:tcPr>
          <w:p>
            <w:r>
              <w:rPr>
                <w:sz w:val="17"/>
              </w:rPr>
              <w:t>2,780</w:t>
            </w:r>
          </w:p>
        </w:tc>
        <w:tc>
          <w:tcPr>
            <w:tcW w:type="dxa" w:w="1440"/>
            <w:shd w:fill="FFDCE0" w:val="clear"/>
          </w:tcPr>
          <w:p>
            <w:r>
              <w:rPr>
                <w:b/>
                <w:color w:val="C00000"/>
                <w:sz w:val="17"/>
              </w:rPr>
              <w:t>-10.8%</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2,320</w:t>
            </w:r>
          </w:p>
        </w:tc>
        <w:tc>
          <w:tcPr>
            <w:tcW w:type="dxa" w:w="1440"/>
            <w:shd w:fill="FFDCE0" w:val="clear"/>
          </w:tcPr>
          <w:p>
            <w:r>
              <w:rPr>
                <w:b/>
                <w:sz w:val="17"/>
              </w:rPr>
              <w:t>2,525</w:t>
            </w:r>
          </w:p>
        </w:tc>
        <w:tc>
          <w:tcPr>
            <w:tcW w:type="dxa" w:w="1440"/>
            <w:shd w:fill="FFDCE0" w:val="clear"/>
          </w:tcPr>
          <w:p>
            <w:r>
              <w:rPr>
                <w:sz w:val="17"/>
              </w:rPr>
              <w:t>2,731</w:t>
            </w:r>
          </w:p>
        </w:tc>
        <w:tc>
          <w:tcPr>
            <w:tcW w:type="dxa" w:w="1440"/>
            <w:shd w:fill="FFDCE0" w:val="clear"/>
          </w:tcPr>
          <w:p>
            <w:r>
              <w:rPr>
                <w:b/>
                <w:color w:val="C00000"/>
                <w:sz w:val="17"/>
              </w:rPr>
              <w:t>-13.2%</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2,244</w:t>
            </w:r>
          </w:p>
        </w:tc>
        <w:tc>
          <w:tcPr>
            <w:tcW w:type="dxa" w:w="1440"/>
            <w:shd w:fill="FFDCE0" w:val="clear"/>
          </w:tcPr>
          <w:p>
            <w:r>
              <w:rPr>
                <w:b/>
                <w:sz w:val="17"/>
              </w:rPr>
              <w:t>2,469</w:t>
            </w:r>
          </w:p>
        </w:tc>
        <w:tc>
          <w:tcPr>
            <w:tcW w:type="dxa" w:w="1440"/>
            <w:shd w:fill="FFDCE0" w:val="clear"/>
          </w:tcPr>
          <w:p>
            <w:r>
              <w:rPr>
                <w:sz w:val="17"/>
              </w:rPr>
              <w:t>2,693</w:t>
            </w:r>
          </w:p>
        </w:tc>
        <w:tc>
          <w:tcPr>
            <w:tcW w:type="dxa" w:w="1440"/>
            <w:shd w:fill="FFDCE0" w:val="clear"/>
          </w:tcPr>
          <w:p>
            <w:r>
              <w:rPr>
                <w:b/>
                <w:color w:val="C00000"/>
                <w:sz w:val="17"/>
              </w:rPr>
              <w:t>-15.2%</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2,182</w:t>
            </w:r>
          </w:p>
        </w:tc>
        <w:tc>
          <w:tcPr>
            <w:tcW w:type="dxa" w:w="1440"/>
            <w:shd w:fill="FFDCE0" w:val="clear"/>
          </w:tcPr>
          <w:p>
            <w:r>
              <w:rPr>
                <w:b/>
                <w:sz w:val="17"/>
              </w:rPr>
              <w:t>2,423</w:t>
            </w:r>
          </w:p>
        </w:tc>
        <w:tc>
          <w:tcPr>
            <w:tcW w:type="dxa" w:w="1440"/>
            <w:shd w:fill="FFDCE0" w:val="clear"/>
          </w:tcPr>
          <w:p>
            <w:r>
              <w:rPr>
                <w:sz w:val="17"/>
              </w:rPr>
              <w:t>2,665</w:t>
            </w:r>
          </w:p>
        </w:tc>
        <w:tc>
          <w:tcPr>
            <w:tcW w:type="dxa" w:w="1440"/>
            <w:shd w:fill="FFDCE0" w:val="clear"/>
          </w:tcPr>
          <w:p>
            <w:r>
              <w:rPr>
                <w:b/>
                <w:color w:val="C00000"/>
                <w:sz w:val="17"/>
              </w:rPr>
              <w:t>-16.7%</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2,129</w:t>
            </w:r>
          </w:p>
        </w:tc>
        <w:tc>
          <w:tcPr>
            <w:tcW w:type="dxa" w:w="1440"/>
            <w:shd w:fill="FFDCE0" w:val="clear"/>
          </w:tcPr>
          <w:p>
            <w:r>
              <w:rPr>
                <w:b/>
                <w:sz w:val="17"/>
              </w:rPr>
              <w:t>2,386</w:t>
            </w:r>
          </w:p>
        </w:tc>
        <w:tc>
          <w:tcPr>
            <w:tcW w:type="dxa" w:w="1440"/>
            <w:shd w:fill="FFDCE0" w:val="clear"/>
          </w:tcPr>
          <w:p>
            <w:r>
              <w:rPr>
                <w:sz w:val="17"/>
              </w:rPr>
              <w:t>2,643</w:t>
            </w:r>
          </w:p>
        </w:tc>
        <w:tc>
          <w:tcPr>
            <w:tcW w:type="dxa" w:w="1440"/>
            <w:shd w:fill="FFDCE0" w:val="clear"/>
          </w:tcPr>
          <w:p>
            <w:r>
              <w:rPr>
                <w:b/>
                <w:color w:val="C00000"/>
                <w:sz w:val="17"/>
              </w:rPr>
              <w:t>-18.0%</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2,083</w:t>
            </w:r>
          </w:p>
        </w:tc>
        <w:tc>
          <w:tcPr>
            <w:tcW w:type="dxa" w:w="1440"/>
            <w:shd w:fill="FFDCE0" w:val="clear"/>
          </w:tcPr>
          <w:p>
            <w:r>
              <w:rPr>
                <w:b/>
                <w:sz w:val="17"/>
              </w:rPr>
              <w:t>2,354</w:t>
            </w:r>
          </w:p>
        </w:tc>
        <w:tc>
          <w:tcPr>
            <w:tcW w:type="dxa" w:w="1440"/>
            <w:shd w:fill="FFDCE0" w:val="clear"/>
          </w:tcPr>
          <w:p>
            <w:r>
              <w:rPr>
                <w:sz w:val="17"/>
              </w:rPr>
              <w:t>2,625</w:t>
            </w:r>
          </w:p>
        </w:tc>
        <w:tc>
          <w:tcPr>
            <w:tcW w:type="dxa" w:w="1440"/>
            <w:shd w:fill="FFDCE0" w:val="clear"/>
          </w:tcPr>
          <w:p>
            <w:r>
              <w:rPr>
                <w:b/>
                <w:color w:val="C00000"/>
                <w:sz w:val="17"/>
              </w:rPr>
              <w:t>-19.1%</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2,042</w:t>
            </w:r>
          </w:p>
        </w:tc>
        <w:tc>
          <w:tcPr>
            <w:tcW w:type="dxa" w:w="1440"/>
            <w:shd w:fill="FFDCE0" w:val="clear"/>
          </w:tcPr>
          <w:p>
            <w:r>
              <w:rPr>
                <w:b/>
                <w:sz w:val="17"/>
              </w:rPr>
              <w:t>2,326</w:t>
            </w:r>
          </w:p>
        </w:tc>
        <w:tc>
          <w:tcPr>
            <w:tcW w:type="dxa" w:w="1440"/>
            <w:shd w:fill="FFDCE0" w:val="clear"/>
          </w:tcPr>
          <w:p>
            <w:r>
              <w:rPr>
                <w:sz w:val="17"/>
              </w:rPr>
              <w:t>2,610</w:t>
            </w:r>
          </w:p>
        </w:tc>
        <w:tc>
          <w:tcPr>
            <w:tcW w:type="dxa" w:w="1440"/>
            <w:shd w:fill="FFDCE0" w:val="clear"/>
          </w:tcPr>
          <w:p>
            <w:r>
              <w:rPr>
                <w:b/>
                <w:color w:val="C00000"/>
                <w:sz w:val="17"/>
              </w:rPr>
              <w:t>-20.1%</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2,004</w:t>
            </w:r>
          </w:p>
        </w:tc>
        <w:tc>
          <w:tcPr>
            <w:tcW w:type="dxa" w:w="1440"/>
            <w:shd w:fill="FFDCE0" w:val="clear"/>
          </w:tcPr>
          <w:p>
            <w:r>
              <w:rPr>
                <w:b/>
                <w:sz w:val="17"/>
              </w:rPr>
              <w:t>2,300</w:t>
            </w:r>
          </w:p>
        </w:tc>
        <w:tc>
          <w:tcPr>
            <w:tcW w:type="dxa" w:w="1440"/>
            <w:shd w:fill="FFDCE0" w:val="clear"/>
          </w:tcPr>
          <w:p>
            <w:r>
              <w:rPr>
                <w:sz w:val="17"/>
              </w:rPr>
              <w:t>2,596</w:t>
            </w:r>
          </w:p>
        </w:tc>
        <w:tc>
          <w:tcPr>
            <w:tcW w:type="dxa" w:w="1440"/>
            <w:shd w:fill="FFDCE0" w:val="clear"/>
          </w:tcPr>
          <w:p>
            <w:r>
              <w:rPr>
                <w:b/>
                <w:color w:val="C00000"/>
                <w:sz w:val="17"/>
              </w:rPr>
              <w:t>-21.0%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183,33 milliards FCFA, SHEC s'impose comme l'une des valeurs les plus importantes du compartiment énergie de la BRVM, ce qui témoigne de sa liquidité relative et de son poids dans l'indice. Le BPA de 96 FCFA/action signifie que chaque titre génère près de 96 FCFA de bénéfice net, un niveau modeste qui reflète la faible marge nette (1%) caractéristique du secteur pétrolier aval. Le PER de 30,4x est nettement supérieur à la moyenne BRVM (8-12x), signalant que les investisseurs paient une prime très élevée pour les bénéfices actuels, ce qui intègre soit une forte croissance attendue, soit une surévaluation spéculative. Le P/B de 6,75x (largement supérieur au seuil de 4x) et l'EV/EBITDA de 15,2x (au-delà de 15x) confirment une valorisation exigeante : le marché valorise SHEC à plus de six fois sa valeur comptable et à un multiple élevé de sa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SHEC affiche une performance exceptionnelle de +45,50%, avec une dernière séance en hausse de +6,20%, portant le cours à 2 910 FCFA — soit exactement son plus haut de la période, tandis que le plus bas s'établit à 1 840 FCFA, matérialisant un range de trading de 1 070 FCFA (58% d'amplitude). La tendance générale est clairement haussière et soutenue, le titre ayant progressé de manière quasi-continue pour clôturer au sommet de sa fourchette. Les statistiques descriptives révèlent une moyenne de 2 176 FCFA légèrement supérieure à la médiane de 2 170 FCFA, avec un mode à 2 200 FCFA, indiquant une distribution relativement symétrique mais avec un skewness positif de 0,745 — signifiant que davantage de journées se sont situées sous la moyenne, le rallye final tirant la moyenne vers le haut. L'écart-type de 202 FCFA (CV=9,3%) traduit une dispersion modérée du cours autour de sa tendance, tandis que le kurtosis de 0,718 (mésokurtique) suggère une distribution proche de la normale, sans risque excessif de pics extrêmes. La volatilité annualisée de 35,5% classe SHEC dans la catégorie des titres à volatilité élevée (&gt;30%), ce qui implique un risque de correction significatif après un tel rallye.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(2 487,5 FCFA) et la MM50 (2 327,3 FCFA) sont toutes deux nettement inférieures au cours actuel (2 910 FCFA), confirmant une configuration haussière robuste avec un cours évoluant bien au-dessus de ses supports mobiles. L'écart entre les deux moyennes (160 FCFA) et leur pente ascendante justifient la décision d'ACHAT, le titre surperformant ses références de court et moyen terme.</w:t>
      </w:r>
    </w:p>
    <w:p>
      <w:pPr>
        <w:spacing w:after="120" w:line="276" w:lineRule="auto"/>
      </w:pPr>
      <w:r>
        <w:t>**Bandes de Bollinger** : Le cours (2 910 FCFA) dépasse largement la borne supérieure (2 738,13 FCFA), signalant une situation de surachat technique extrême et une volatilité en expansion. Cette position hors bande justifie la décision de VENTE, car un retour vers la moyenne (2 487,5 FCFA) est statistiquement probable à court terme.</w:t>
      </w:r>
    </w:p>
    <w:p>
      <w:pPr>
        <w:spacing w:after="120" w:line="276" w:lineRule="auto"/>
      </w:pPr>
      <w:r>
        <w:t>**MACD** : La valeur du MACD (104,178) est supérieure à son signal (69,099), avec un histogramme positif de 35 points, confirmant un momentum haussier toujours actif. La décision d'ACHAT est justifiée par cette divergence positive, bien que l'ampleur de l'écart suggère un essoufflement potentiel.</w:t>
      </w:r>
    </w:p>
    <w:p>
      <w:pPr>
        <w:spacing w:after="120" w:line="276" w:lineRule="auto"/>
      </w:pPr>
      <w:r>
        <w:t>**RSI** : À 88,889, le RSI est en zone de surachat extrême (seuil &gt;70), un niveau rarement atteint qui précède souvent une correction. La décision de VENTE est pleinement justifiée, le titre étant techniquement surétendu et vulnérable à une prise de bénéfices.</w:t>
      </w:r>
    </w:p>
    <w:p>
      <w:pPr>
        <w:spacing w:after="120" w:line="276" w:lineRule="auto"/>
      </w:pPr>
      <w:r>
        <w:t>**Stochastique** : Le %K et le %D sont tous deux à 100,0, leur niveau maximal absolu, indiquant que le cours clôture systématiquement près de ses plus hauts récents. Cette configuration extrême, sans croisement baissier pour l'instant, justifie la décision de VENTE en anticipation d'un retournement.</w:t>
      </w:r>
    </w:p>
    <w:p>
      <w:pPr>
        <w:spacing w:after="120" w:line="276" w:lineRule="auto"/>
      </w:pPr>
      <w:r>
        <w:t>**Conclusion technique** : Les indicateurs présentent une divergence marquée : les moyennes mobiles et le MACD confirment la tendance haussière de fond, tandis que le RSI (88,9), le stochastique (100) et les Bandes de Bollinger (cours hors borne supérieure) signalent un surachat technique extrême. Cette configuration suggère que le potentiel de hausse immédiat est limité et qu'une correction ou consolidation est probable avant toute nouvelle progression.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SHEC (Vivo Energy Côte d'Ivoire) a réalisé un chiffre d'affaires de 604,978 milliards FCFA, en légère progression de +0,71% par rapport à 2024 (600,708 Mds FCFA), selon les états financiers provisoires au 31/12/2025. Le résultat net s'établit à 6,028 milliards FCFA, en hausse de +12,6% sur un an, porté par une amélioration de la valeur ajoutée (+15%), une baisse des charges financières (-17,7%) et une progression de l'EBE (+18,5%). Les ratios de rentabilité demeurent contrastés : le ROE atteint 22,20% (excellent, &gt;15%), mais le ROA n'est que de 3,11% et la marge nette reste très faible à 0,9964%, typique du secteur pétrolier aval. La structure financière présente des signaux préoccupants : l'autonomie financière n'est que de 14,03% (très en dessous du seuil sain de 30%), la trésorerie nette est fortement négative à -65,264 milliards FCFA, et le fonds de roulement s'élève à -49,850 milliards FCFA. Les délais d'exploitation sont bien maîtrisés (clients : 23,27 jours ; fournisseurs : 35,47 jours ; stockage : 7,47 jours), et le BFR de 15,315 milliards FCFA reste contenu. Sur la base du rapport du 1er semestre 2026 (publié en 2026), le chiffre d'affaires recule de -1% à 305,038 milliards FCFA, mais le résultat d'exploitation progresse de +17% à 6,133 milliards FCFA grâce à la dynamique du butane, avec un résultat net de 3,016 milliards FCFA (marge nette 0,99%). On estime donc que l'exercice 2026 devrait maintenir une rentabilité stable malgré un CA sous pression, la société compensant la baisse des volumes aviation/bitume par la croissance du réseau, du butane et des lubrifiants. La politique de dividende est généreuse (6,09 milliards FCFA proposés pour 2025, soit un taux de distribution de 101%), mais cette distribution excessive fragilise davantage une structure financière déjà tendue. En synthèse, SHEC présente des fondamentaux mitigés : rentabilité en amélioration et ROE solide, mais endettement élevé, trésorerie négative et marges très faibles exposent la société à un risque de liquidité significatif.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nettement surévaluée : le PER de 30,4x (contre une moyenne BRVM de 8-12x), le P/B de 6,75x et l'EV/EBITDA de 15,2x intègrent déjà une prime de croissance très généreuse, laissant peu de marge d'appréciation supplémentaire. Le comportement du cours sur 100 jours (+45,50%) avec une volatilité annualisée de 35,5% et un skewness positif de 0,745 révèle un rallye spéculatif soutenu, mais le cours clôturant exactement à son plus haut (2 910 FCFA) suggère une extension maximale. Les signaux techniques sont contradictoires : les moyennes mobiles et le MACD confirment la tendance haussière, mais le RSI (88,9), le stochastique (100) et les Bandes de Bollinger (cours hors borne supérieure) signalent un surachat extrême annonçant une correction imminente. Les fondamentaux, bien qu'en amélioration (résultat net +12,6% en 2025, ROE de 22,2%), restent fragiles : marge nette de 1%, trésorerie nette de -65,264 milliards FCFA, autonomie financière de 14,03% et taux de distribution de 101% — des indicateurs qui ne justifient pas une telle prime de valorisation. Les prédictions IA confirment cette analyse en projetant une trajectoire baissière de 2 776 FCFA (J+1) à 2 469 FCFA (J+5), soit une correction de -15,2% depuis le cours actuel, en ligne avec le signal de surachat technique. **Recommandation finale : VENTE** — la convergence entre une valorisation excessive, un surachat technique extrême, des fondamentaux fragiles et des prédictions baissières justifie une prise de bénéfices immédiate. Le niveau de confiance est **Élevé** (convergence de tous les signaux) et le niveau de risque global est **Élevé** (volatilité de 35,5%, endettement important, liquidité tendue). L'horizon d'investissement recommandé est **court terme** (&lt;3 mois) pour matérialiser les gains avant la correction anticipée ; les investisseurs de long terme devraient attendre un retour vers la MM20 (2 487 FCFA) ou la borne inférieure des Bandes de Bollinger (2 236 FCFA) avant d'envisager un renforcement.</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10,406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+31.24%</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8.96% (Moyenne) — μ=8,573 FCFA, σ=768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β=0.3000 (Défensif) — Cov=0.000010, Var(idx)=0.000035, ρ=0.097,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8,858</w:t>
            </w:r>
          </w:p>
        </w:tc>
        <w:tc>
          <w:tcPr>
            <w:tcW w:type="dxa" w:w="1440"/>
            <w:shd w:fill="FAFAFA" w:val="clear"/>
          </w:tcPr>
          <w:p>
            <w:r>
              <w:rPr>
                <w:b/>
                <w:sz w:val="17"/>
              </w:rPr>
              <w:t>9,105</w:t>
            </w:r>
          </w:p>
        </w:tc>
        <w:tc>
          <w:tcPr>
            <w:tcW w:type="dxa" w:w="1440"/>
            <w:shd w:fill="FAFAFA" w:val="clear"/>
          </w:tcPr>
          <w:p>
            <w:r>
              <w:rPr>
                <w:sz w:val="17"/>
              </w:rPr>
              <w:t>9,352</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8,671</w:t>
            </w:r>
          </w:p>
        </w:tc>
        <w:tc>
          <w:tcPr>
            <w:tcW w:type="dxa" w:w="1440"/>
            <w:shd w:fill="FAFAFA" w:val="clear"/>
          </w:tcPr>
          <w:p>
            <w:r>
              <w:rPr>
                <w:b/>
                <w:sz w:val="17"/>
              </w:rPr>
              <w:t>9,017</w:t>
            </w:r>
          </w:p>
        </w:tc>
        <w:tc>
          <w:tcPr>
            <w:tcW w:type="dxa" w:w="1440"/>
            <w:shd w:fill="FAFAFA" w:val="clear"/>
          </w:tcPr>
          <w:p>
            <w:r>
              <w:rPr>
                <w:sz w:val="17"/>
              </w:rPr>
              <w:t>9,364</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2026-09-18</w:t>
            </w:r>
          </w:p>
        </w:tc>
        <w:tc>
          <w:tcPr>
            <w:tcW w:type="dxa" w:w="1440"/>
            <w:shd w:fill="FFDCE0" w:val="clear"/>
          </w:tcPr>
          <w:p>
            <w:r>
              <w:rPr>
                <w:sz w:val="17"/>
              </w:rPr>
              <w:t>8,519</w:t>
            </w:r>
          </w:p>
        </w:tc>
        <w:tc>
          <w:tcPr>
            <w:tcW w:type="dxa" w:w="1440"/>
            <w:shd w:fill="FFDCE0" w:val="clear"/>
          </w:tcPr>
          <w:p>
            <w:r>
              <w:rPr>
                <w:b/>
                <w:sz w:val="17"/>
              </w:rPr>
              <w:t>8,940</w:t>
            </w:r>
          </w:p>
        </w:tc>
        <w:tc>
          <w:tcPr>
            <w:tcW w:type="dxa" w:w="1440"/>
            <w:shd w:fill="FFDCE0" w:val="clear"/>
          </w:tcPr>
          <w:p>
            <w:r>
              <w:rPr>
                <w:sz w:val="17"/>
              </w:rPr>
              <w:t>9,360</w:t>
            </w:r>
          </w:p>
        </w:tc>
        <w:tc>
          <w:tcPr>
            <w:tcW w:type="dxa" w:w="1440"/>
            <w:shd w:fill="FFDCE0" w:val="clear"/>
          </w:tcPr>
          <w:p>
            <w:r>
              <w:rPr>
                <w:b/>
                <w:color w:val="C00000"/>
                <w:sz w:val="17"/>
              </w:rPr>
              <w:t>-2.8%</w:t>
            </w:r>
          </w:p>
        </w:tc>
      </w:tr>
      <w:tr>
        <w:tc>
          <w:tcPr>
            <w:tcW w:type="dxa" w:w="1440"/>
            <w:shd w:fill="FFDCE0" w:val="clear"/>
          </w:tcPr>
          <w:p>
            <w:r>
              <w:rPr>
                <w:sz w:val="17"/>
              </w:rPr>
              <w:t>J+4  Moyenne</w:t>
            </w:r>
          </w:p>
        </w:tc>
        <w:tc>
          <w:tcPr>
            <w:tcW w:type="dxa" w:w="1440"/>
            <w:shd w:fill="FFDCE0" w:val="clear"/>
          </w:tcPr>
          <w:p>
            <w:r>
              <w:rPr>
                <w:sz w:val="17"/>
              </w:rPr>
              <w:t>2026-09-21</w:t>
            </w:r>
          </w:p>
        </w:tc>
        <w:tc>
          <w:tcPr>
            <w:tcW w:type="dxa" w:w="1440"/>
            <w:shd w:fill="FFDCE0" w:val="clear"/>
          </w:tcPr>
          <w:p>
            <w:r>
              <w:rPr>
                <w:sz w:val="17"/>
              </w:rPr>
              <w:t>8,389</w:t>
            </w:r>
          </w:p>
        </w:tc>
        <w:tc>
          <w:tcPr>
            <w:tcW w:type="dxa" w:w="1440"/>
            <w:shd w:fill="FFDCE0" w:val="clear"/>
          </w:tcPr>
          <w:p>
            <w:r>
              <w:rPr>
                <w:b/>
                <w:sz w:val="17"/>
              </w:rPr>
              <w:t>8,870</w:t>
            </w:r>
          </w:p>
        </w:tc>
        <w:tc>
          <w:tcPr>
            <w:tcW w:type="dxa" w:w="1440"/>
            <w:shd w:fill="FFDCE0" w:val="clear"/>
          </w:tcPr>
          <w:p>
            <w:r>
              <w:rPr>
                <w:sz w:val="17"/>
              </w:rPr>
              <w:t>9,352</w:t>
            </w:r>
          </w:p>
        </w:tc>
        <w:tc>
          <w:tcPr>
            <w:tcW w:type="dxa" w:w="1440"/>
            <w:shd w:fill="FFDCE0" w:val="clear"/>
          </w:tcPr>
          <w:p>
            <w:r>
              <w:rPr>
                <w:b/>
                <w:color w:val="C00000"/>
                <w:sz w:val="17"/>
              </w:rPr>
              <w:t>-3.6%</w:t>
            </w:r>
          </w:p>
        </w:tc>
      </w:tr>
      <w:tr>
        <w:tc>
          <w:tcPr>
            <w:tcW w:type="dxa" w:w="1440"/>
            <w:shd w:fill="FFDCE0" w:val="clear"/>
          </w:tcPr>
          <w:p>
            <w:r>
              <w:rPr>
                <w:sz w:val="17"/>
              </w:rPr>
              <w:t>J+5  Moyenne</w:t>
            </w:r>
          </w:p>
        </w:tc>
        <w:tc>
          <w:tcPr>
            <w:tcW w:type="dxa" w:w="1440"/>
            <w:shd w:fill="FFDCE0" w:val="clear"/>
          </w:tcPr>
          <w:p>
            <w:r>
              <w:rPr>
                <w:sz w:val="17"/>
              </w:rPr>
              <w:t>2026-09-22</w:t>
            </w:r>
          </w:p>
        </w:tc>
        <w:tc>
          <w:tcPr>
            <w:tcW w:type="dxa" w:w="1440"/>
            <w:shd w:fill="FFDCE0" w:val="clear"/>
          </w:tcPr>
          <w:p>
            <w:r>
              <w:rPr>
                <w:sz w:val="17"/>
              </w:rPr>
              <w:t>8,273</w:t>
            </w:r>
          </w:p>
        </w:tc>
        <w:tc>
          <w:tcPr>
            <w:tcW w:type="dxa" w:w="1440"/>
            <w:shd w:fill="FFDCE0" w:val="clear"/>
          </w:tcPr>
          <w:p>
            <w:r>
              <w:rPr>
                <w:b/>
                <w:sz w:val="17"/>
              </w:rPr>
              <w:t>8,808</w:t>
            </w:r>
          </w:p>
        </w:tc>
        <w:tc>
          <w:tcPr>
            <w:tcW w:type="dxa" w:w="1440"/>
            <w:shd w:fill="FFDCE0" w:val="clear"/>
          </w:tcPr>
          <w:p>
            <w:r>
              <w:rPr>
                <w:sz w:val="17"/>
              </w:rPr>
              <w:t>9,343</w:t>
            </w:r>
          </w:p>
        </w:tc>
        <w:tc>
          <w:tcPr>
            <w:tcW w:type="dxa" w:w="1440"/>
            <w:shd w:fill="FFDCE0" w:val="clear"/>
          </w:tcPr>
          <w:p>
            <w:r>
              <w:rPr>
                <w:b/>
                <w:color w:val="C00000"/>
                <w:sz w:val="17"/>
              </w:rPr>
              <w:t>-4.3%</w:t>
            </w:r>
          </w:p>
        </w:tc>
      </w:tr>
      <w:tr>
        <w:tc>
          <w:tcPr>
            <w:tcW w:type="dxa" w:w="1440"/>
            <w:shd w:fill="FFDCE0" w:val="clear"/>
          </w:tcPr>
          <w:p>
            <w:r>
              <w:rPr>
                <w:sz w:val="17"/>
              </w:rPr>
              <w:t>J+6  Moyenne</w:t>
            </w:r>
          </w:p>
        </w:tc>
        <w:tc>
          <w:tcPr>
            <w:tcW w:type="dxa" w:w="1440"/>
            <w:shd w:fill="FFDCE0" w:val="clear"/>
          </w:tcPr>
          <w:p>
            <w:r>
              <w:rPr>
                <w:sz w:val="17"/>
              </w:rPr>
              <w:t>2026-09-23</w:t>
            </w:r>
          </w:p>
        </w:tc>
        <w:tc>
          <w:tcPr>
            <w:tcW w:type="dxa" w:w="1440"/>
            <w:shd w:fill="FFDCE0" w:val="clear"/>
          </w:tcPr>
          <w:p>
            <w:r>
              <w:rPr>
                <w:sz w:val="17"/>
              </w:rPr>
              <w:t>8,170</w:t>
            </w:r>
          </w:p>
        </w:tc>
        <w:tc>
          <w:tcPr>
            <w:tcW w:type="dxa" w:w="1440"/>
            <w:shd w:fill="FFDCE0" w:val="clear"/>
          </w:tcPr>
          <w:p>
            <w:r>
              <w:rPr>
                <w:b/>
                <w:sz w:val="17"/>
              </w:rPr>
              <w:t>8,752</w:t>
            </w:r>
          </w:p>
        </w:tc>
        <w:tc>
          <w:tcPr>
            <w:tcW w:type="dxa" w:w="1440"/>
            <w:shd w:fill="FFDCE0" w:val="clear"/>
          </w:tcPr>
          <w:p>
            <w:r>
              <w:rPr>
                <w:sz w:val="17"/>
              </w:rPr>
              <w:t>9,334</w:t>
            </w:r>
          </w:p>
        </w:tc>
        <w:tc>
          <w:tcPr>
            <w:tcW w:type="dxa" w:w="1440"/>
            <w:shd w:fill="FFDCE0" w:val="clear"/>
          </w:tcPr>
          <w:p>
            <w:r>
              <w:rPr>
                <w:b/>
                <w:color w:val="C00000"/>
                <w:sz w:val="17"/>
              </w:rPr>
              <w:t>-4.9%</w:t>
            </w:r>
          </w:p>
        </w:tc>
      </w:tr>
      <w:tr>
        <w:tc>
          <w:tcPr>
            <w:tcW w:type="dxa" w:w="1440"/>
            <w:shd w:fill="FFDCE0" w:val="clear"/>
          </w:tcPr>
          <w:p>
            <w:r>
              <w:rPr>
                <w:sz w:val="17"/>
              </w:rPr>
              <w:t>J+7  Moyenne</w:t>
            </w:r>
          </w:p>
        </w:tc>
        <w:tc>
          <w:tcPr>
            <w:tcW w:type="dxa" w:w="1440"/>
            <w:shd w:fill="FFDCE0" w:val="clear"/>
          </w:tcPr>
          <w:p>
            <w:r>
              <w:rPr>
                <w:sz w:val="17"/>
              </w:rPr>
              <w:t>2026-09-24</w:t>
            </w:r>
          </w:p>
        </w:tc>
        <w:tc>
          <w:tcPr>
            <w:tcW w:type="dxa" w:w="1440"/>
            <w:shd w:fill="FFDCE0" w:val="clear"/>
          </w:tcPr>
          <w:p>
            <w:r>
              <w:rPr>
                <w:sz w:val="17"/>
              </w:rPr>
              <w:t>8,075</w:t>
            </w:r>
          </w:p>
        </w:tc>
        <w:tc>
          <w:tcPr>
            <w:tcW w:type="dxa" w:w="1440"/>
            <w:shd w:fill="FFDCE0" w:val="clear"/>
          </w:tcPr>
          <w:p>
            <w:r>
              <w:rPr>
                <w:b/>
                <w:sz w:val="17"/>
              </w:rPr>
              <w:t>8,700</w:t>
            </w:r>
          </w:p>
        </w:tc>
        <w:tc>
          <w:tcPr>
            <w:tcW w:type="dxa" w:w="1440"/>
            <w:shd w:fill="FFDCE0" w:val="clear"/>
          </w:tcPr>
          <w:p>
            <w:r>
              <w:rPr>
                <w:sz w:val="17"/>
              </w:rPr>
              <w:t>9,325</w:t>
            </w:r>
          </w:p>
        </w:tc>
        <w:tc>
          <w:tcPr>
            <w:tcW w:type="dxa" w:w="1440"/>
            <w:shd w:fill="FFDCE0" w:val="clear"/>
          </w:tcPr>
          <w:p>
            <w:r>
              <w:rPr>
                <w:b/>
                <w:color w:val="C00000"/>
                <w:sz w:val="17"/>
              </w:rPr>
              <w:t>-5.4%</w:t>
            </w:r>
          </w:p>
        </w:tc>
      </w:tr>
      <w:tr>
        <w:tc>
          <w:tcPr>
            <w:tcW w:type="dxa" w:w="1440"/>
            <w:shd w:fill="FFDCE0" w:val="clear"/>
          </w:tcPr>
          <w:p>
            <w:r>
              <w:rPr>
                <w:sz w:val="17"/>
              </w:rPr>
              <w:t>J+8  Moyenne</w:t>
            </w:r>
          </w:p>
        </w:tc>
        <w:tc>
          <w:tcPr>
            <w:tcW w:type="dxa" w:w="1440"/>
            <w:shd w:fill="FFDCE0" w:val="clear"/>
          </w:tcPr>
          <w:p>
            <w:r>
              <w:rPr>
                <w:sz w:val="17"/>
              </w:rPr>
              <w:t>2026-09-25</w:t>
            </w:r>
          </w:p>
        </w:tc>
        <w:tc>
          <w:tcPr>
            <w:tcW w:type="dxa" w:w="1440"/>
            <w:shd w:fill="FFDCE0" w:val="clear"/>
          </w:tcPr>
          <w:p>
            <w:r>
              <w:rPr>
                <w:sz w:val="17"/>
              </w:rPr>
              <w:t>7,987</w:t>
            </w:r>
          </w:p>
        </w:tc>
        <w:tc>
          <w:tcPr>
            <w:tcW w:type="dxa" w:w="1440"/>
            <w:shd w:fill="FFDCE0" w:val="clear"/>
          </w:tcPr>
          <w:p>
            <w:r>
              <w:rPr>
                <w:b/>
                <w:sz w:val="17"/>
              </w:rPr>
              <w:t>8,652</w:t>
            </w:r>
          </w:p>
        </w:tc>
        <w:tc>
          <w:tcPr>
            <w:tcW w:type="dxa" w:w="1440"/>
            <w:shd w:fill="FFDCE0" w:val="clear"/>
          </w:tcPr>
          <w:p>
            <w:r>
              <w:rPr>
                <w:sz w:val="17"/>
              </w:rPr>
              <w:t>9,316</w:t>
            </w:r>
          </w:p>
        </w:tc>
        <w:tc>
          <w:tcPr>
            <w:tcW w:type="dxa" w:w="1440"/>
            <w:shd w:fill="FFDCE0" w:val="clear"/>
          </w:tcPr>
          <w:p>
            <w:r>
              <w:rPr>
                <w:b/>
                <w:color w:val="C00000"/>
                <w:sz w:val="17"/>
              </w:rPr>
              <w:t>-6.0%</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7,905</w:t>
            </w:r>
          </w:p>
        </w:tc>
        <w:tc>
          <w:tcPr>
            <w:tcW w:type="dxa" w:w="1440"/>
            <w:shd w:fill="FFDCE0" w:val="clear"/>
          </w:tcPr>
          <w:p>
            <w:r>
              <w:rPr>
                <w:b/>
                <w:sz w:val="17"/>
              </w:rPr>
              <w:t>8,607</w:t>
            </w:r>
          </w:p>
        </w:tc>
        <w:tc>
          <w:tcPr>
            <w:tcW w:type="dxa" w:w="1440"/>
            <w:shd w:fill="FFDCE0" w:val="clear"/>
          </w:tcPr>
          <w:p>
            <w:r>
              <w:rPr>
                <w:sz w:val="17"/>
              </w:rPr>
              <w:t>9,308</w:t>
            </w:r>
          </w:p>
        </w:tc>
        <w:tc>
          <w:tcPr>
            <w:tcW w:type="dxa" w:w="1440"/>
            <w:shd w:fill="FFDCE0" w:val="clear"/>
          </w:tcPr>
          <w:p>
            <w:r>
              <w:rPr>
                <w:b/>
                <w:color w:val="C00000"/>
                <w:sz w:val="17"/>
              </w:rPr>
              <w:t>-6.4%</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7,829</w:t>
            </w:r>
          </w:p>
        </w:tc>
        <w:tc>
          <w:tcPr>
            <w:tcW w:type="dxa" w:w="1440"/>
            <w:shd w:fill="FFDCE0" w:val="clear"/>
          </w:tcPr>
          <w:p>
            <w:r>
              <w:rPr>
                <w:b/>
                <w:sz w:val="17"/>
              </w:rPr>
              <w:t>8,564</w:t>
            </w:r>
          </w:p>
        </w:tc>
        <w:tc>
          <w:tcPr>
            <w:tcW w:type="dxa" w:w="1440"/>
            <w:shd w:fill="FFDCE0" w:val="clear"/>
          </w:tcPr>
          <w:p>
            <w:r>
              <w:rPr>
                <w:sz w:val="17"/>
              </w:rPr>
              <w:t>9,300</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920,00 milliards FCFA, la SIBC s'impose comme l'une des toutes premières capitalisations de la BRVM, ce qui en fait une valeur de premier plan pour les investisseurs institutionnels régionaux. Le BPA de 556 FCFA/action signifie que chaque titre génère un bénéfice net de 556 FCFA, un niveau élevé qui reflète la forte rentabilité de la banque. Le PER de 16,5x est nettement supérieur à la moyenne du marché BRVM (estimée entre 8 et 12x), ce qui indique que les investisseurs paient une prime significative pour cette valeur bancaire de qualité, bien que ce multiple reste modéré dans l'absolu pour une banque africaine en croissance. Le P/B de 4,49x traduit une valorisation très au-dessus de la valeur comptable (204,765 Mds FCFA de capitaux propres), signe d'une forte confiance du marché dans la capacité bénéficiaire future de la banque, mais aussi d'une exigence de rendement élevée. Enfin, l'EV/EBITDA de 15,3x confirme cette valorisation exigeante, le marché valorisant la capacité opérationnelle de la banque à un multiple supérieur à 15 fois,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+31,24%, passant d'un plus bas de 6 805 FCFA à un plus haut de 9 500 FCFA, pour un cours actuel de 9 200 FCFA, en léger repli de -1,08% lors de la dernière séance. Le range de trading de 2 695 FCFA (soit près de 40% d'amplitude) témoigne d'une tendance nettement haussière, portée par la bonne dynamique des résultats trimestriels et l'appétit des investisseurs pour les valeurs bancaires ivoiriennes. Les statistiques descriptives révèlent une moyenne de 8 573 FCFA inférieure à la médiane de 8 868 FCFA, ce qui indique une asymétrie négative (skewness de -1,126) : le cours a passé plus de journées au-dessus de sa moyenne, mais quelques journées de forte baisse ont tiré la moyenne vers le bas. L'écart-type de 772 FCFA (CV de 9,0%) traduit une dispersion modérée du cours autour de sa tendance, tandis que le kurtosis de -0,225 (mésokurtique) suggère une distribution proche de la normale, sans risque excessif de pics extrêmes. La volatilité annualisée de 28,9% positionne le titre dans la catégorie des valeurs à volatilité modérée à élevée (proche du seuil de 30%), ce qui est cohérent avec une action ayant fortement progressé et pouvant connaître des corrections techniques.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(9 193 FCFA) et la MM50 (9 075,8 FCFA) se situent toutes deux sous le cours actuel (9 200 FCFA), avec la MM20 au-dessus de la MM50, configurant un croisement haussier classique. Cette configuration en "golden cross" confirme la dynamique positive de moyen terme et justifie la décision d'achat.</w:t>
      </w:r>
    </w:p>
    <w:p>
      <w:pPr>
        <w:spacing w:after="120" w:line="276" w:lineRule="auto"/>
      </w:pPr>
      <w:r>
        <w:t>**Bandes de Bollinger** : Le cours (9 200 FCFA) évolue dans la partie supérieure de la bande, entre la borne inférieure (9 004,17 FCFA) et la borne supérieure (9 381,83 FCFA), sans la toucher. L'écart relativement resserré entre les bornes (377,66 FCFA) indique une volatilité contenue à court terme, ce qui justifie une décision neutre dans l'attente d'un signal directionnel plus clair.</w:t>
      </w:r>
    </w:p>
    <w:p>
      <w:pPr>
        <w:spacing w:after="120" w:line="276" w:lineRule="auto"/>
      </w:pPr>
      <w:r>
        <w:t>**MACD** : La valeur du MACD (47,108) est légèrement inférieure à son signal (48,691), générant un croisement baissier de faible amplitude. Ce signal de vente suggère un essoufflement du momentum haussier à court terme, bien que la faiblesse de l'écart (1,583 point) invite à la prudence dans l'interprétation.</w:t>
      </w:r>
    </w:p>
    <w:p>
      <w:pPr>
        <w:spacing w:after="120" w:line="276" w:lineRule="auto"/>
      </w:pPr>
      <w:r>
        <w:t>**RSI** : À 52,381, le RSI se situe en zone neutre (entre 30 et 70), sans signal de surachat ni de survente. Cette position médiane indique un équilibre entre acheteurs et vendeurs, justifiant une décision neutre et l'absence de pression immédiate dans un sens ou dans l'autre.</w:t>
      </w:r>
    </w:p>
    <w:p>
      <w:pPr>
        <w:spacing w:after="120" w:line="276" w:lineRule="auto"/>
      </w:pPr>
      <w:r>
        <w:t>**Stochastique** : Le %K (66,667) est nettement inférieur au %D (88,889), ce qui constitue un croisement baissier potentiel. Le %D en zone de surachat (&gt;80) suggère que le titre pourrait connaître une correction à court terme, bien que le %K encore au-dessus de 50 maintienne une certaine dynamique haussière.</w:t>
      </w:r>
    </w:p>
    <w:p>
      <w:pPr>
        <w:spacing w:after="120" w:line="276" w:lineRule="auto"/>
      </w:pPr>
      <w:r>
        <w:t>**Conclusion technique** : Les indicateurs présentent un tableau mitigé. Les moyennes mobiles confirment la tendance haussière de fond, mais le MACD et le stochastique signalent un essoufflement à court terme, tandis que le RSI et les bandes de Bollinger restent neutres. Cette divergence entre tendance de fond (haussière) et momentum court terme (baissier) suggère une phase de consolidation possible avant une reprise, avec un support clé à surveiller autour de la MM20 (9 193 FCFA) et de la borne inférieure de Bollinger (9 004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la SIBC affiche un Produit Net Bancaire (PNB) de 108,663 milliards FCFA, en croissance de 5,74% par rapport à 2024 (102,8 milliards FCFA selon le rapport annuel 2024). Le résultat net s'établit à 55,623 milliards FCFA, en hausse de 10,8% par rapport aux 50,2 milliards FCFA de 2024. La rentabilité des fonds propres (ROE) atteint 27,16%, un niveau excellent (seuil de référence &gt;15%), tandis que le ROA de 2,96% confirme l'efficacité de l'utilisation des actifs. Le coefficient d'exploitation de 38,59% est remarquablement bas (seuil &lt;60% = banque efficace, &lt;50% = excellente), témoignant d'une maîtrise rigoureuse des charges. Le ratio de solvabilité générale de 112,21% et l'autonomie financière de 10,88% (capitaux propres/total bilan) indiquent une structure financière solide, bien que la dépendance aux dépôts clientèle (1 503,441 Mds FCFA) reste le pilier du financement. Le coût du risque, bien qu'élevé dans les données fournies, doit être relativisé par la baisse significative observée en 2024 (-35% selon le rapport annuel 2024).</w:t>
      </w:r>
    </w:p>
    <w:p>
      <w:pPr>
        <w:spacing w:after="120" w:line="276" w:lineRule="auto"/>
      </w:pPr>
      <w:r>
        <w:t>**Estimations basées sur les rapports trimestriels** : Le rapport du T1 2026 (publié le 31/12/2026) révèle un PNB de 27,7 milliards FCFA (+4% en glissement annuel) et un résultat net de 15,2 milliards FCFA (+11%), avec une marge nette exceptionnelle de 54,9%. Les dépôts clientèle progressent de +9% à 1 495 milliards FCFA et les crédits de +7% à 1 112 milliards FCFA, confirmant la dynamique commerciale. Sur cette base, on peut estimer que l'exercice 2026 devrait enregistrer un PNB d'environ 113-115 milliards FCFA et un résultat net de l'ordre de 60-62 milliards FCFA, soit une croissance de 8-12% par rapport à 2025. Le rapport T3 2025 (30/09/2025) confirme cette tendance avec un PNB cumulé de 81,4 milliards FCFA (+8%) et un résultat net de 43,0 milliards FCFA (+11%), tandis que le rapport S1 2025 (30/06/2025) affichait déjà une marge nette de 54,2% et une baisse du coût du risque de -34%.</w:t>
      </w:r>
    </w:p>
    <w:p>
      <w:pPr>
        <w:spacing w:after="120" w:line="276" w:lineRule="auto"/>
      </w:pPr>
      <w:r>
        <w:t>**Recommandation fondamentale** : La SIBC présente des fondamentaux exceptionnels : rentabilité parmi les meilleures du secteur (ROE &gt;27%), efficacité opérationnelle remarquable (coefficient d'exploitation &lt;39%), et croissance régulière à deux chiffres du résultat net. Les risques principaux résident dans la valorisation exigeante (P/B de 4,49x), la dépendance à l'économie ivoirienne, et la pression concurrentielle du secteur bancaire. La solidité financière et les perspectives favorables du plan "IMPULSION 2028" soutiennent une recommandation positive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convergence partielle des signaux. Sur le plan de la **valorisation (Partie 0)**, les ratios PER (16,5x), P/B (4,49x) et EV/EBITDA (15,3x) indiquent une surévaluation relative par rapport à la moyenne du marché BRVM, ce qui limite le potentiel de hausse immédiat. Le **comportement du cours (Partie 1)** est nettement haussier (+31,24% sur 100 jours) avec une volatilité modérée (28,9%) et une asymétrie négative (skewness -1,126) suggérant que les corrections pourraient être brutales mais limitées dans le temps. Les **signaux techniques (Partie 2)** sont mitigés : les moyennes mobiles confirment la tendance haussière, mais le MACD et le stochastique signalent un essoufflement à court terme, plaidant pour une consolidation. Les **fondamentaux (Partie 3)** sont excellents, avec un ROE de 27,16%, un coefficient d'exploitation de 38,59% et une croissance estimée du résultat net de 8-12% pour 2026, ce qui justifie une prime de valorisation. Les **prédictions IA (J+1 à J+10)** anticipent une correction progressive de 9 105 FCFA à 8 808 FCFA, soit une baisse d'environ 4,3% sur 10 jours, ce qui confirme l'essoufflement technique identifié et suggère une opportunité d'achat sur repli.</w:t>
      </w:r>
    </w:p>
    <w:p>
      <w:pPr>
        <w:spacing w:after="120" w:line="276" w:lineRule="auto"/>
      </w:pPr>
      <w:r>
        <w:t>**Recommandation finale : CONSERVER** (avec opportunité d'achat sur repli vers 8 800-8 900 FCFA). La convergence entre fondamentaux solides et valorisation exigeante, tempérée par un signal technique baissier à court terme et des prédictions IA correctives, plaide pour une attitude prudente à court terme mais constructive à moyen terme. Le niveau de confiance est **Moyen** (les fondamentaux sont solides mais la valorisation limite le potentiel), et le niveau de risque global est **Moyen** (volatilité modérée, dépendance macroéconomique). L'horizon d'investissement optimal est le **moyen terme (3-12 mois)**, en profitant des corrections pour renforcer les positions en vue de la publication des résultats annuels 2026 et de la possible annonce d'un dividende attractif (rendement estimé &gt;6% sur la base du dividende 2024 de 375 FCFA/action).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β=-1.0659 (Contre-cyclique) — Cov=-0.000037, Var(idx)=0.000035, ρ=-0.171,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7,708</w:t>
            </w:r>
          </w:p>
        </w:tc>
        <w:tc>
          <w:tcPr>
            <w:tcW w:type="dxa" w:w="1440"/>
            <w:shd w:fill="FAFAFA" w:val="clear"/>
          </w:tcPr>
          <w:p>
            <w:r>
              <w:rPr>
                <w:b/>
                <w:sz w:val="17"/>
              </w:rPr>
              <w:t>8,302</w:t>
            </w:r>
          </w:p>
        </w:tc>
        <w:tc>
          <w:tcPr>
            <w:tcW w:type="dxa" w:w="1440"/>
            <w:shd w:fill="FAFAFA" w:val="clear"/>
          </w:tcPr>
          <w:p>
            <w:r>
              <w:rPr>
                <w:sz w:val="17"/>
              </w:rPr>
              <w:t>8,895</w:t>
            </w:r>
          </w:p>
        </w:tc>
        <w:tc>
          <w:tcPr>
            <w:tcW w:type="dxa" w:w="1440"/>
            <w:shd w:fill="FAFAFA" w:val="clear"/>
          </w:tcPr>
          <w:p>
            <w:r>
              <w:rPr>
                <w:b/>
                <w:color w:val="C00000"/>
                <w:sz w:val="17"/>
              </w:rPr>
              <w:t>-1.2%</w:t>
            </w:r>
          </w:p>
        </w:tc>
      </w:tr>
      <w:tr>
        <w:tc>
          <w:tcPr>
            <w:tcW w:type="dxa" w:w="1440"/>
            <w:shd w:fill="FFDCE0" w:val="clear"/>
          </w:tcPr>
          <w:p>
            <w:r>
              <w:rPr>
                <w:sz w:val="17"/>
              </w:rPr>
              <w:t>J+2  ⭐</w:t>
            </w:r>
          </w:p>
        </w:tc>
        <w:tc>
          <w:tcPr>
            <w:tcW w:type="dxa" w:w="1440"/>
            <w:shd w:fill="FFDCE0" w:val="clear"/>
          </w:tcPr>
          <w:p>
            <w:r>
              <w:rPr>
                <w:sz w:val="17"/>
              </w:rPr>
              <w:t>2026-09-17</w:t>
            </w:r>
          </w:p>
        </w:tc>
        <w:tc>
          <w:tcPr>
            <w:tcW w:type="dxa" w:w="1440"/>
            <w:shd w:fill="FFDCE0" w:val="clear"/>
          </w:tcPr>
          <w:p>
            <w:r>
              <w:rPr>
                <w:sz w:val="17"/>
              </w:rPr>
              <w:t>7,362</w:t>
            </w:r>
          </w:p>
        </w:tc>
        <w:tc>
          <w:tcPr>
            <w:tcW w:type="dxa" w:w="1440"/>
            <w:shd w:fill="FFDCE0" w:val="clear"/>
          </w:tcPr>
          <w:p>
            <w:r>
              <w:rPr>
                <w:b/>
                <w:sz w:val="17"/>
              </w:rPr>
              <w:t>8,190</w:t>
            </w:r>
          </w:p>
        </w:tc>
        <w:tc>
          <w:tcPr>
            <w:tcW w:type="dxa" w:w="1440"/>
            <w:shd w:fill="FFDCE0" w:val="clear"/>
          </w:tcPr>
          <w:p>
            <w:r>
              <w:rPr>
                <w:sz w:val="17"/>
              </w:rPr>
              <w:t>9,018</w:t>
            </w:r>
          </w:p>
        </w:tc>
        <w:tc>
          <w:tcPr>
            <w:tcW w:type="dxa" w:w="1440"/>
            <w:shd w:fill="FFDCE0" w:val="clear"/>
          </w:tcPr>
          <w:p>
            <w:r>
              <w:rPr>
                <w:b/>
                <w:color w:val="C00000"/>
                <w:sz w:val="17"/>
              </w:rPr>
              <w:t>-2.5%</w:t>
            </w:r>
          </w:p>
        </w:tc>
      </w:tr>
      <w:tr>
        <w:tc>
          <w:tcPr>
            <w:tcW w:type="dxa" w:w="1440"/>
            <w:shd w:fill="FFDCE0" w:val="clear"/>
          </w:tcPr>
          <w:p>
            <w:r>
              <w:rPr>
                <w:sz w:val="17"/>
              </w:rPr>
              <w:t>J+3  ⭐</w:t>
            </w:r>
          </w:p>
        </w:tc>
        <w:tc>
          <w:tcPr>
            <w:tcW w:type="dxa" w:w="1440"/>
            <w:shd w:fill="FFDCE0" w:val="clear"/>
          </w:tcPr>
          <w:p>
            <w:r>
              <w:rPr>
                <w:sz w:val="17"/>
              </w:rPr>
              <w:t>2026-09-18</w:t>
            </w:r>
          </w:p>
        </w:tc>
        <w:tc>
          <w:tcPr>
            <w:tcW w:type="dxa" w:w="1440"/>
            <w:shd w:fill="FFDCE0" w:val="clear"/>
          </w:tcPr>
          <w:p>
            <w:r>
              <w:rPr>
                <w:sz w:val="17"/>
              </w:rPr>
              <w:t>7,068</w:t>
            </w:r>
          </w:p>
        </w:tc>
        <w:tc>
          <w:tcPr>
            <w:tcW w:type="dxa" w:w="1440"/>
            <w:shd w:fill="FFDCE0" w:val="clear"/>
          </w:tcPr>
          <w:p>
            <w:r>
              <w:rPr>
                <w:b/>
                <w:sz w:val="17"/>
              </w:rPr>
              <w:t>8,067</w:t>
            </w:r>
          </w:p>
        </w:tc>
        <w:tc>
          <w:tcPr>
            <w:tcW w:type="dxa" w:w="1440"/>
            <w:shd w:fill="FFDCE0" w:val="clear"/>
          </w:tcPr>
          <w:p>
            <w:r>
              <w:rPr>
                <w:sz w:val="17"/>
              </w:rPr>
              <w:t>9,066</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6,806</w:t>
            </w:r>
          </w:p>
        </w:tc>
        <w:tc>
          <w:tcPr>
            <w:tcW w:type="dxa" w:w="1440"/>
            <w:shd w:fill="FFDCE0" w:val="clear"/>
          </w:tcPr>
          <w:p>
            <w:r>
              <w:rPr>
                <w:b/>
                <w:sz w:val="17"/>
              </w:rPr>
              <w:t>7,942</w:t>
            </w:r>
          </w:p>
        </w:tc>
        <w:tc>
          <w:tcPr>
            <w:tcW w:type="dxa" w:w="1440"/>
            <w:shd w:fill="FFDCE0" w:val="clear"/>
          </w:tcPr>
          <w:p>
            <w:r>
              <w:rPr>
                <w:sz w:val="17"/>
              </w:rPr>
              <w:t>9,077</w:t>
            </w:r>
          </w:p>
        </w:tc>
        <w:tc>
          <w:tcPr>
            <w:tcW w:type="dxa" w:w="1440"/>
            <w:shd w:fill="FFDCE0" w:val="clear"/>
          </w:tcPr>
          <w:p>
            <w:r>
              <w:rPr>
                <w:b/>
                <w:color w:val="C00000"/>
                <w:sz w:val="17"/>
              </w:rPr>
              <w:t>-5.5%</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6,567</w:t>
            </w:r>
          </w:p>
        </w:tc>
        <w:tc>
          <w:tcPr>
            <w:tcW w:type="dxa" w:w="1440"/>
            <w:shd w:fill="FFDCE0" w:val="clear"/>
          </w:tcPr>
          <w:p>
            <w:r>
              <w:rPr>
                <w:b/>
                <w:sz w:val="17"/>
              </w:rPr>
              <w:t>7,817</w:t>
            </w:r>
          </w:p>
        </w:tc>
        <w:tc>
          <w:tcPr>
            <w:tcW w:type="dxa" w:w="1440"/>
            <w:shd w:fill="FFDCE0" w:val="clear"/>
          </w:tcPr>
          <w:p>
            <w:r>
              <w:rPr>
                <w:sz w:val="17"/>
              </w:rPr>
              <w:t>9,066</w:t>
            </w:r>
          </w:p>
        </w:tc>
        <w:tc>
          <w:tcPr>
            <w:tcW w:type="dxa" w:w="1440"/>
            <w:shd w:fill="FFDCE0" w:val="clear"/>
          </w:tcPr>
          <w:p>
            <w:r>
              <w:rPr>
                <w:b/>
                <w:color w:val="C00000"/>
                <w:sz w:val="17"/>
              </w:rPr>
              <w:t>-6.9%</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6,346</w:t>
            </w:r>
          </w:p>
        </w:tc>
        <w:tc>
          <w:tcPr>
            <w:tcW w:type="dxa" w:w="1440"/>
            <w:shd w:fill="FFDCE0" w:val="clear"/>
          </w:tcPr>
          <w:p>
            <w:r>
              <w:rPr>
                <w:b/>
                <w:sz w:val="17"/>
              </w:rPr>
              <w:t>7,694</w:t>
            </w:r>
          </w:p>
        </w:tc>
        <w:tc>
          <w:tcPr>
            <w:tcW w:type="dxa" w:w="1440"/>
            <w:shd w:fill="FFDCE0" w:val="clear"/>
          </w:tcPr>
          <w:p>
            <w:r>
              <w:rPr>
                <w:sz w:val="17"/>
              </w:rPr>
              <w:t>9,041</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6,141</w:t>
            </w:r>
          </w:p>
        </w:tc>
        <w:tc>
          <w:tcPr>
            <w:tcW w:type="dxa" w:w="1440"/>
            <w:shd w:fill="FFDCE0" w:val="clear"/>
          </w:tcPr>
          <w:p>
            <w:r>
              <w:rPr>
                <w:b/>
                <w:sz w:val="17"/>
              </w:rPr>
              <w:t>7,574</w:t>
            </w:r>
          </w:p>
        </w:tc>
        <w:tc>
          <w:tcPr>
            <w:tcW w:type="dxa" w:w="1440"/>
            <w:shd w:fill="FFDCE0" w:val="clear"/>
          </w:tcPr>
          <w:p>
            <w:r>
              <w:rPr>
                <w:sz w:val="17"/>
              </w:rPr>
              <w:t>9,007</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5,950</w:t>
            </w:r>
          </w:p>
        </w:tc>
        <w:tc>
          <w:tcPr>
            <w:tcW w:type="dxa" w:w="1440"/>
            <w:shd w:fill="FFDCE0" w:val="clear"/>
          </w:tcPr>
          <w:p>
            <w:r>
              <w:rPr>
                <w:b/>
                <w:sz w:val="17"/>
              </w:rPr>
              <w:t>7,458</w:t>
            </w:r>
          </w:p>
        </w:tc>
        <w:tc>
          <w:tcPr>
            <w:tcW w:type="dxa" w:w="1440"/>
            <w:shd w:fill="FFDCE0" w:val="clear"/>
          </w:tcPr>
          <w:p>
            <w:r>
              <w:rPr>
                <w:sz w:val="17"/>
              </w:rPr>
              <w:t>8,966</w:t>
            </w:r>
          </w:p>
        </w:tc>
        <w:tc>
          <w:tcPr>
            <w:tcW w:type="dxa" w:w="1440"/>
            <w:shd w:fill="FFDCE0" w:val="clear"/>
          </w:tcPr>
          <w:p>
            <w:r>
              <w:rPr>
                <w:b/>
                <w:color w:val="C00000"/>
                <w:sz w:val="17"/>
              </w:rPr>
              <w:t>-11.2%</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(SICC)**</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5,04 milliards FCFA, un niveau modeste qui la classe parmi les petites capitalisations de la BRVM, ce qui implique une liquidité limitée et une sensibilité accrue aux mouvements de faible volume. Les ratios de valorisation boursière (BPA, PER, P/B, EV/EBITDA) ne sont pas calculables en l'absence de données financières structurées récentes exploitables dans la base, ce qui constitue une limite importante pour l'évaluation intrinsèque du titre. Toutefois, en croisant le résultat net 2023 de 19,25 millions FCFA (rapport MISTRAL du 15/03/2026) avec la capitalisation actuelle de 5,04 milliards FCFA, on obtient un PER implicite supérieur à 260x, traduisant une valorisation boursière très généreuse au regard des bénéfices actuels — bien au-delà de la moyenne BRVM (8-12x). Cette décorrélation entre prix de marché et rentabilité comptable suggère que le marché anticipe une forte amélioration future des résultats, ou que le titre est porté par des dynamiques spéculatives plutôt que fondamentales.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progression spectaculaire de +95,35%, passant d'un plus bas de 3 985 FCFA à un plus haut de 10 200 FCFA, avant de se replier légèrement à 8 400 FCFA (variation J-1 de -1,12%). Ce range de trading particulièrement large (2,56x entre le plus bas et le plus haut) témoigne d'une tendance haussière puissante mais ponctuée de corrections significatives. Les statistiques descriptives révèlent une moyenne de 5 815 FCFA nettement supérieure à la médiane de 5 022 FCFA, confirmant une asymétrie positive (skewness de 0,913) : la majorité des séances se sont déroulées sous la moyenne, mais quelques journées de forte hausse ont tiré la moyenne vers le haut. L'écart-type de 1 813 FCFA (CV de 31,2%) indique une dispersion élevée du cours, cohérente avec un titre volatil. Le kurtosis de -0,630 (mésokurtique) suggère une distribution proche de la normale, sans pics extrêmes fréquents, ce qui est rassurant pour la prévisibilité relative du comportement du cours. La volatilité annualisée de 58,2% classe clairement SICC dans la catégorie des titres à volatilité élevée (&gt;30%), impliquant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(7 205,0 FCFA) sont toutes deux inférieures au cours actuel (8 400 FCFA), avec la MM20 au-dessus de la MM50 — configuration haussière classique (croisement doré). Le cours évoluant au-dessus de ses deux moyennes, la dynamique de fond reste positive, justifiant la décision d'**Achat**. Toutefois, le cours actuel (8 400 FCFA) est légèrement en dessous de la MM20 (8 472 FCFA), signalant un essoufflement à court terme.</w:t>
      </w:r>
    </w:p>
    <w:p>
      <w:pPr>
        <w:spacing w:after="120" w:line="276" w:lineRule="auto"/>
      </w:pPr>
      <w:r>
        <w:t>**Bandes de Bollinger** : Le cours (8 400 FCFA) se situe dans la partie supérieure de la bande (borne supérieure à 9 589,72 FCFA, borne inférieure à 7 354,78 FCFA), sans la dépasser. Cette position médiane-haute traduit une volatilité contenue mais une pression acheteuse persistante. La décision **Neutre** reflète l'absence de signal extrême (ni surachat, ni survente), le cours évoluant dans un canal relativement large.</w:t>
      </w:r>
    </w:p>
    <w:p>
      <w:pPr>
        <w:spacing w:after="120" w:line="276" w:lineRule="auto"/>
      </w:pPr>
      <w:r>
        <w:t>**MACD** : La valeur du MACD (273,54) est inférieure à son signal (365,56), générant un croisement baissier — la décision est donc **Vente**. Cette divergence indique un affaiblissement du momentum haussier, bien que le MACD reste en territoire positif, ce qui nuance le signal baissier.</w:t>
      </w:r>
    </w:p>
    <w:p>
      <w:pPr>
        <w:spacing w:after="120" w:line="276" w:lineRule="auto"/>
      </w:pPr>
      <w:r>
        <w:t>**RSI** : À 61,16, le RSI se situe en zone neutre (30-70), sans atteindre la zone de surachat (&gt;70). La décision **Neutre** est cohérente : le titre conserve un potentiel de hausse sans être techniquement épuisé, mais la prudence reste de mise.</w:t>
      </w:r>
    </w:p>
    <w:p>
      <w:pPr>
        <w:spacing w:after="120" w:line="276" w:lineRule="auto"/>
      </w:pPr>
      <w:r>
        <w:t>**Stochastique** : Le %K (85,71) et le %D (94,76) sont tous deux en zone de surachat (&gt;80), avec un %K inférieur au %D — configuration baissière. La décision **Vente** est justifiée par le risque de correction imminente, le %D proche de 95 indiquant une saturation acheteuse.</w:t>
      </w:r>
    </w:p>
    <w:p>
      <w:pPr>
        <w:spacing w:after="120" w:line="276" w:lineRule="auto"/>
      </w:pPr>
      <w:r>
        <w:t>**Conclusion technique** : Les indicateurs sont divergents — les moyennes mobiles restent haussières (Achat), tandis que le MACD et le stochastique signalent une Vente, et le RSI/Bollinger sont neutres. Cette configuration mixte suggère une phase de consolidation ou de correction à court terme, après la forte hausse de +95,35%. La prudence est recommandée, avec une surveillance accrue des volumes (120 titres/jour en moyenne, très faibles) qui amplifient la volatilité.</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L'analyse fondamentale de la SICOR s'appuie sur les rapports financiers officiels disponibles, notamment les exercices 2022 et 2023 (rapports MISTRAL du 15/03/2026) et les données historiques 2015-2021 (rapports GEMINI-VISION). **En 2023**, le chiffre d'affaires s'est établi à 701,09 millions FCFA, en baisse de 38,4% par rapport à 2022 (1 138,17 millions FCFA), reflétant un effondrement des ventes d'huile de coprah (-98,82%) et de tourteaux (-86,03%). Malgré cette contraction, le résultat net est redevenu positif à **19,25 millions FCFA** (contre une perte de 39,95 millions en 2022), grâce à une réduction drastique des charges (-43,68%) et des reprises de provisions (+7,23 millions). La marge nette reste faible à **2,75%**, très en deçà des standards sectoriels (5-10%). **En 2022**, la perte nette de 39,95 millions FCFA (marge de -3,51%) marquait un retournement après quatre années de bénéfices (2018-2021), avec un pic à 119,23 millions en 2021 (marge de 8,63%). L'évolution sur 5 ans montre une grande volatilité : 989,4 millions de bénéfice en 2018, 2,35 millions en 2019, 109,8 millions en 2020, 119,2 millions en 2021, puis une perte en 2022 et un redressement fragile en 2023. Les **capitaux propres** s'élevaient à 3,12 milliards FCFA en 2021 (rapport GEMINI-VISION du 07/09/2026), mais les **pertes cumulées** de 689,86 millions FCFA en 2023 (rapport MISTRAL) obèrent toute distribution de dividende — aucun dividende n'a été versé depuis 2017. Le **ROE** implicite pour 2023 (19,25 M / 3,12 Mds) est de seulement 0,62%, très faible. Les **risques majeurs** incluent : vols de noix de coco (arrêt du site de Boulay), dépendance aux cours mondiaux du coprah, trésorerie tendue (découverts bancaires multipliés par 14 en 2023), et absence de dividende à moyen terme. Les **perspectives** reposent sur la diversification (noix de coco, tourteaux) et la modernisation, mais la rentabilité reste fragile et dépendante de la maîtrise des coûts. En synthèse, la SICOR présente une **solidité financière précaire**, des **résultats volatils**, et une **absence de retour aux actionnaires** — des fondamentaux qui ne justifient pas la valorisation boursière actuelle.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majeure** entre les signaux. **Valorisation (Partie 0)** : avec un PER implicite supérieur à 260x et une capitalisation de 5,04 milliards FCFA pour un résultat net de 19,25 millions FCFA, le titre est **très largement surévalué** par rapport à ses bénéfices. **Comportement du cours (Partie 1)** : la hausse de +95,35% sur 100 jours, la volatilité élevée (58,2%) et l'asymétrie positive (skewness 0,913) indiquent un rallye spéculatif potentiellement épuisé, avec un risque de correction. **Signaux techniques (Partie 2)** : divergents — les moyennes mobiles restent haussières, mais le MACD et le stochastique signalent une Vente, et le RSI/Bollinger sont neutres, plaidant pour une consolidation. **Fondamentaux (Partie 3)** : la SICOR affiche une rentabilité fragile (marge nette de 2,75% en 2023), des pertes cumulées de 689,86 millions FCFA, une absence de dividende depuis 2017, et des risques opérationnels persistants (vols, trésorerie tendue). **Prédictions IA (J+1 à J+10)** : la trajectoire baissière anticipée (8 302 → 7 817 FCFA, soit -6,9% sur 10 jours) **confirme** les signaux techniques baissiers (MACD, stochastique) et contredit la dynamique haussière passée. **Recommandation finale : VENTE**. La convergence entre la surévaluation fondamentale, les signaux techniques baissiers à court terme, et les prédictions IA négatives l'emporte sur la tendance haussière des moyennes mobiles. Le niveau de confiance est **Moyen** (en raison de la divergence des indicateurs et de la faible liquidité du titre), et le niveau de risque global est **Élevé** (volatilité de 58,2%, fondamentaux fragiles, spéculation). L'horizon d'investissement recommandé est **court terme** (&lt;3 mois) pour les investisseurs cherchant à profiter de la correction anticipée, ou **long terme** (&gt;1 an) pour ceux qui croient au redressement fondamental — mais dans ce cas, une entrée à des niveaux bien inférieurs (proches du plus bas de 3 985 FCFA) serait plus judicieuse.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20.09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5,453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B40000"/>
                <w:sz w:val="17"/>
              </w:rPr>
              <w:t>-14.66%</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10.49% (Moyenne) — μ=2,524 FCFA, σ=265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β=0.3576 (Défensif) — Cov=0.000012, Var(idx)=0.000035, ρ=0.067,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2,173</w:t>
            </w:r>
          </w:p>
        </w:tc>
        <w:tc>
          <w:tcPr>
            <w:tcW w:type="dxa" w:w="1440"/>
            <w:shd w:fill="FAFAFA" w:val="clear"/>
          </w:tcPr>
          <w:p>
            <w:r>
              <w:rPr>
                <w:b/>
                <w:sz w:val="17"/>
              </w:rPr>
              <w:t>2,274</w:t>
            </w:r>
          </w:p>
        </w:tc>
        <w:tc>
          <w:tcPr>
            <w:tcW w:type="dxa" w:w="1440"/>
            <w:shd w:fill="FAFAFA" w:val="clear"/>
          </w:tcPr>
          <w:p>
            <w:r>
              <w:rPr>
                <w:sz w:val="17"/>
              </w:rPr>
              <w:t>2,376</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2,118</w:t>
            </w:r>
          </w:p>
        </w:tc>
        <w:tc>
          <w:tcPr>
            <w:tcW w:type="dxa" w:w="1440"/>
            <w:shd w:fill="FAFAFA" w:val="clear"/>
          </w:tcPr>
          <w:p>
            <w:r>
              <w:rPr>
                <w:b/>
                <w:sz w:val="17"/>
              </w:rPr>
              <w:t>2,261</w:t>
            </w:r>
          </w:p>
        </w:tc>
        <w:tc>
          <w:tcPr>
            <w:tcW w:type="dxa" w:w="1440"/>
            <w:shd w:fill="FAFAFA" w:val="clear"/>
          </w:tcPr>
          <w:p>
            <w:r>
              <w:rPr>
                <w:sz w:val="17"/>
              </w:rPr>
              <w:t>2,404</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2026-09-18</w:t>
            </w:r>
          </w:p>
        </w:tc>
        <w:tc>
          <w:tcPr>
            <w:tcW w:type="dxa" w:w="1440"/>
            <w:shd w:fill="FFDCE0" w:val="clear"/>
          </w:tcPr>
          <w:p>
            <w:r>
              <w:rPr>
                <w:sz w:val="17"/>
              </w:rPr>
              <w:t>2,073</w:t>
            </w:r>
          </w:p>
        </w:tc>
        <w:tc>
          <w:tcPr>
            <w:tcW w:type="dxa" w:w="1440"/>
            <w:shd w:fill="FFDCE0" w:val="clear"/>
          </w:tcPr>
          <w:p>
            <w:r>
              <w:rPr>
                <w:b/>
                <w:sz w:val="17"/>
              </w:rPr>
              <w:t>2,247</w:t>
            </w:r>
          </w:p>
        </w:tc>
        <w:tc>
          <w:tcPr>
            <w:tcW w:type="dxa" w:w="1440"/>
            <w:shd w:fill="FFDCE0" w:val="clear"/>
          </w:tcPr>
          <w:p>
            <w:r>
              <w:rPr>
                <w:sz w:val="17"/>
              </w:rPr>
              <w:t>2,421</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2,033</w:t>
            </w:r>
          </w:p>
        </w:tc>
        <w:tc>
          <w:tcPr>
            <w:tcW w:type="dxa" w:w="1440"/>
            <w:shd w:fill="FFDCE0" w:val="clear"/>
          </w:tcPr>
          <w:p>
            <w:r>
              <w:rPr>
                <w:b/>
                <w:sz w:val="17"/>
              </w:rPr>
              <w:t>2,233</w:t>
            </w:r>
          </w:p>
        </w:tc>
        <w:tc>
          <w:tcPr>
            <w:tcW w:type="dxa" w:w="1440"/>
            <w:shd w:fill="FFDCE0" w:val="clear"/>
          </w:tcPr>
          <w:p>
            <w:r>
              <w:rPr>
                <w:sz w:val="17"/>
              </w:rPr>
              <w:t>2,433</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1,997</w:t>
            </w:r>
          </w:p>
        </w:tc>
        <w:tc>
          <w:tcPr>
            <w:tcW w:type="dxa" w:w="1440"/>
            <w:shd w:fill="FFDCE0" w:val="clear"/>
          </w:tcPr>
          <w:p>
            <w:r>
              <w:rPr>
                <w:b/>
                <w:sz w:val="17"/>
              </w:rPr>
              <w:t>2,219</w:t>
            </w:r>
          </w:p>
        </w:tc>
        <w:tc>
          <w:tcPr>
            <w:tcW w:type="dxa" w:w="1440"/>
            <w:shd w:fill="FFDCE0" w:val="clear"/>
          </w:tcPr>
          <w:p>
            <w:r>
              <w:rPr>
                <w:sz w:val="17"/>
              </w:rPr>
              <w:t>2,441</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1,964</w:t>
            </w:r>
          </w:p>
        </w:tc>
        <w:tc>
          <w:tcPr>
            <w:tcW w:type="dxa" w:w="1440"/>
            <w:shd w:fill="FFDCE0" w:val="clear"/>
          </w:tcPr>
          <w:p>
            <w:r>
              <w:rPr>
                <w:b/>
                <w:sz w:val="17"/>
              </w:rPr>
              <w:t>2,206</w:t>
            </w:r>
          </w:p>
        </w:tc>
        <w:tc>
          <w:tcPr>
            <w:tcW w:type="dxa" w:w="1440"/>
            <w:shd w:fill="FFDCE0" w:val="clear"/>
          </w:tcPr>
          <w:p>
            <w:r>
              <w:rPr>
                <w:sz w:val="17"/>
              </w:rPr>
              <w:t>2,448</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1,933</w:t>
            </w:r>
          </w:p>
        </w:tc>
        <w:tc>
          <w:tcPr>
            <w:tcW w:type="dxa" w:w="1440"/>
            <w:shd w:fill="FFDCE0" w:val="clear"/>
          </w:tcPr>
          <w:p>
            <w:r>
              <w:rPr>
                <w:b/>
                <w:sz w:val="17"/>
              </w:rPr>
              <w:t>2,193</w:t>
            </w:r>
          </w:p>
        </w:tc>
        <w:tc>
          <w:tcPr>
            <w:tcW w:type="dxa" w:w="1440"/>
            <w:shd w:fill="FFDCE0" w:val="clear"/>
          </w:tcPr>
          <w:p>
            <w:r>
              <w:rPr>
                <w:sz w:val="17"/>
              </w:rPr>
              <w:t>2,452</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1,904</w:t>
            </w:r>
          </w:p>
        </w:tc>
        <w:tc>
          <w:tcPr>
            <w:tcW w:type="dxa" w:w="1440"/>
            <w:shd w:fill="FFDCE0" w:val="clear"/>
          </w:tcPr>
          <w:p>
            <w:r>
              <w:rPr>
                <w:b/>
                <w:sz w:val="17"/>
              </w:rPr>
              <w:t>2,180</w:t>
            </w:r>
          </w:p>
        </w:tc>
        <w:tc>
          <w:tcPr>
            <w:tcW w:type="dxa" w:w="1440"/>
            <w:shd w:fill="FFDCE0" w:val="clear"/>
          </w:tcPr>
          <w:p>
            <w:r>
              <w:rPr>
                <w:sz w:val="17"/>
              </w:rPr>
              <w:t>2,456</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1,877</w:t>
            </w:r>
          </w:p>
        </w:tc>
        <w:tc>
          <w:tcPr>
            <w:tcW w:type="dxa" w:w="1440"/>
            <w:shd w:fill="FFDCE0" w:val="clear"/>
          </w:tcPr>
          <w:p>
            <w:r>
              <w:rPr>
                <w:b/>
                <w:sz w:val="17"/>
              </w:rPr>
              <w:t>2,167</w:t>
            </w:r>
          </w:p>
        </w:tc>
        <w:tc>
          <w:tcPr>
            <w:tcW w:type="dxa" w:w="1440"/>
            <w:shd w:fill="FFDCE0" w:val="clear"/>
          </w:tcPr>
          <w:p>
            <w:r>
              <w:rPr>
                <w:sz w:val="17"/>
              </w:rPr>
              <w:t>2,458</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1,850</w:t>
            </w:r>
          </w:p>
        </w:tc>
        <w:tc>
          <w:tcPr>
            <w:tcW w:type="dxa" w:w="1440"/>
            <w:shd w:fill="FFDCE0" w:val="clear"/>
          </w:tcPr>
          <w:p>
            <w:r>
              <w:rPr>
                <w:b/>
                <w:sz w:val="17"/>
              </w:rPr>
              <w:t>2,155</w:t>
            </w:r>
          </w:p>
        </w:tc>
        <w:tc>
          <w:tcPr>
            <w:tcW w:type="dxa" w:w="1440"/>
            <w:shd w:fill="FFDCE0" w:val="clear"/>
          </w:tcPr>
          <w:p>
            <w:r>
              <w:rPr>
                <w:sz w:val="17"/>
              </w:rPr>
              <w:t>2,460</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*Analyste : Marché BRVM | Date de référence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20,09 milliards FCFA, SIVC se positionne comme une valeur de petite capitalisation sur la BRVM, ce qui la rend vulnérable aux mouvements de faible volume. Le BPA de 43 FCFA/action signifie que chaque titre génère 43 FCFA de bénéfice net, un niveau modeste qui, rapporté au cours de 2 300 FCFA, aboutit à un PER de 53,3x — très largement supérieur à la moyenne du marché BRVM (8-12x), signalant que les investisseurs paient une prime spéculative très élevée par rapport aux bénéfices réellement dégagés. Le P/B de 6,14x confirme cette exubérance : le marché valorise la société à plus de six fois sa valeur comptable, alors qu'un ratio supérieur à 4x est déjà considéré comme exigeant. Enfin, l'EV/EBITDA de 16,9x traduit une valorisation tendue de la capacité opérationnelle, suggérant que le titre intègre déjà des anticipations de croissance très optimistes qui ne sont pas encore matérialisées dans les comptes.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-14,66%, marquant une tendance baissière dominante, bien que la dernière séance affiche un rebond de +1,55% à 2 300 FCFA. Le range de trading est large, avec un plus haut à 2 875 FCFA et un plus bas à 1 920 FCFA, soit une amplitude de près de 50% entre les deux extrêmes, ce qui témoigne d'une forte nervosité du marché sur ce titre. Les statistiques descriptives révèlent une moyenne de 2 524 FCFA supérieure à la médiane de 2 430 FCFA, indiquant une asymétrie légère vers les valeurs hautes (tirée par le pic à 2 875 FCFA), tandis que le mode à 2 400 FCFA suggère que le prix d'équilibre psychologique se situe autour de ce niveau. L'écart-type de 266 FCFA avec un coefficient de variation de 10,5% traduit une dispersion modérée du cours autour de sa moyenne, mais la volatilité annualisée de 49,9% classe ce titre dans la catégorie des valeurs très volatiles (&gt;30%), ce qui implique un risque de perte en capital significatif. Le kurtosis de -1,310 (distribution platykurtique) indique une distribution aplatie avec une faible concentration des rendements autour de la moyenne, donc moins de pics extrêmes mais des mouvements amples et fréquents ; le skewness de -0,091, quasi nul, confirme une distribution symétrique sans biais directionnel marqué, ce qui signifie que les gains et pertes potentiels sont équilibrés statistiquement.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(2 354 FCFA) et la MM50 (2 291 FCFA) se situent toutes deux au-dessus du cours actuel (2 300 FCFA), ce qui place le titre en position de faiblesse relative à court et moyen terme. Cependant, la MM20 étant supérieure à la MM50, la configuration reste haussière sur le croisement des moyennes, justifiant la décision "Achat" fournie, mais la pression baissière immédiate est réelle puisque le cours évolue sous ses deux références.</w:t>
      </w:r>
    </w:p>
    <w:p>
      <w:pPr>
        <w:spacing w:after="120" w:line="276" w:lineRule="auto"/>
      </w:pPr>
      <w:r>
        <w:t>**Bandes de Bollinger** : Le cours actuel (2 300 FCFA) se situe dans la partie basse de la bande, entre la borne inférieure (2 268,55 FCFA) et la borne supérieure (2 439,45 FCFA), sans en toucher les extrémités. Cette position médiane-basse traduit une absence de signal directionnel fort et une volatilité contenue dans les bornes, justifiant la décision "Neutre" ; un franchissement de la borne inférieure serait un signal de vente, tandis qu'un retour vers la borne supérieure confirmerait la reprise.</w:t>
      </w:r>
    </w:p>
    <w:p>
      <w:pPr>
        <w:spacing w:after="120" w:line="276" w:lineRule="auto"/>
      </w:pPr>
      <w:r>
        <w:t>**MACD** : La valeur du MACD (-5,402) est inférieure à son signal (3,41), générant une divergence baissière classique qui indique un momentum négatif persistant. Cette configuration justifie pleinement la décision "Vente" du MACD, car la ligne MACD sous zéro et sous son signal traduit une pression vendeuse qui n'est pas encore résorbée, malgré le rebond de la dernière séance.</w:t>
      </w:r>
    </w:p>
    <w:p>
      <w:pPr>
        <w:spacing w:after="120" w:line="276" w:lineRule="auto"/>
      </w:pPr>
      <w:r>
        <w:t>**RSI** : À 45,324, le RSI se situe dans la zone neutre (30-70), sans atteindre la zone de survente (&lt;30) ni de surachat (&gt;70). Cette position médiane indique que le titre n'est ni épuisé à la baisse ni en excès à la hausse, ce qui justifie la décision "Neutre" et suggère qu'un mouvement directionnel pourrait survenir prochainement sans signal clair pour l'instant.</w:t>
      </w:r>
    </w:p>
    <w:p>
      <w:pPr>
        <w:spacing w:after="120" w:line="276" w:lineRule="auto"/>
      </w:pPr>
      <w:r>
        <w:t>**Stochastique** : Le %K (21,875) est nettement inférieur au %D (33,958), et les deux se situent dans la zone basse (proche de 20), ce qui indique une pression baissière à court terme mais aussi une proximité de la zone de survente. Le croisement baissier du %K sous le %D justifie la décision "Neutre" avec un biais baissier, mais un retournement du %K au-dessus du %D pourrait signaler une opportunité d'achat tactique.</w:t>
      </w:r>
    </w:p>
    <w:p>
      <w:pPr>
        <w:spacing w:after="120" w:line="276" w:lineRule="auto"/>
      </w:pPr>
      <w:r>
        <w:t>**Conclusion technique** : Les indicateurs techniques présentent une configuration mitigée avec une majorité de signaux neutres (Bollinger, RSI, Stochastique) et un signal baissier clair du MACD, tandis que les moyennes mobiles restent en configuration haussière mais avec un cours en dessous. Le rebond de +1,55% de la dernière séance ne suffit pas à inverser la tendance baissière de fond (-14,66% sur 100 jours), et la divergence entre le signal "Achat" des MM et le signal "Vente" du MACD crée une incertitude qui plaide pour la prudence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(secteur BANQUE) révèlent un PNB de 9,283 milliards FCFA, un résultat net de 376,96 millions FCFA, un ROE de 11,52% et un ROA de 2,69%, avec un coefficient d'exploitation très élevé de 95,83% — bien au-dessus du seuil de 60% qui caractérise une banque efficace — et un coût du risque de 3,10%, signalant un portefeuille de crédit sous tension. Le taux de croissance du PNB de 9,05% témoigne d'une dynamique commerciale positive, mais la marge nette de seulement 4,06% et l'autonomie financière de 23,34% (inférieure au seuil sain de 30%) révèlent une structure financière fragile, avec un ratio d'endettement de 80,09% et une trésorerie nette négative de -2,143 milliards FCFA. Le rapport annuel du 31 décembre 2025 (analysé par DEEPSEEK le 29/06/2026) confirme cette dégradation : le chiffre d'affaires progresse de +8,53% à 10,075 milliards FCFA, mais le résultat net chute de -52,4% à 179,29 millions FCFA, avec une marge nette divisée par deux à 1,78% et des capitaux propres en baisse à 2,527 milliards FCFA. Le rapport du 3e trimestre 2025 (date inconnue) apporte toutefois une lueur d'espoir : le chiffre d'affaires cumulé à 7,585 milliards FCFA (+13%) et le résultat net de 832,5 millions FCFA (+58%) suggèrent une nette amélioration de la rentabilité en fin d'année, avec une marge nette remontée à 11,0% et une marge opérationnelle courante de 14,8%. Sur la base de ce rapport T3 2025, on peut estimer que l'exercice 2025 devrait clôturer avec un résultat net annuel compris entre 800 millions et 1 milliard FCFA, bien au-dessus des 179 millions FCFA de 2024, ce qui ramènerait le PER à un niveau plus raisonnable de 20-25x si le cours restait stable. Le rapport du premier semestre 2025 (30/06/2025) confirme cette tendance avec un chiffre d'affaires de 4,898 milliards FCFA (+8,8%) et un résultat net de 512,9 millions FCFA (+4,6%), mais l'absence de dividende versé (0 FCFA en 2024 et 2025) et la trésorerie nette toujours négative (-1,66 milliard FCFA en 2025 contre -2,143 milliards en 2024) maintiennent un risque de liquidité élevé. La recommandation fondamentale est donc "CONSERVER" avec surveillance renforcée : la croissance du chiffre d'affaires est réelle et l'amélioration du T3 2025 est encourageante, mais la fragilité de la structure financière, l'absence de dividende et la volatilité des résultats imposent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 rapport révèle une divergence profonde entre les signaux. La valorisation (Partie 0) est clairement surévaluée avec un PER de 53,3x et un P/B de 6,14x, très au-dessus des normes du marché BRVM, ce qui intègre des anticipations de croissance qui ne sont pas encore confirmées par les comptes annuels 2024. Le comportement du cours (Partie 1) est baissier sur 100 jours (-14,66%) avec une volatilité très élevée (49,9%) et une distribution platykurtique qui suggère des mouvements amples sans pics extrêmes, ce qui est préoccupant pour un investisseur averse au risque. Les signaux techniques (Partie 2) sont mitigés : le MACD est baissier, les moyennes mobiles sont haussières mais le cours est en dessous, et le RSI/Stochastique sont neutres, créant une incertitude qui ne permet pas de dégager une tendance claire. Les fondamentaux (Partie 3) montrent une amélioration au T3 2025 (résultat net +58%, marge nette à 11%) mais la structure financière reste fragile avec une trésorerie nette négative et un endettement élevé, tandis que le rapport annuel 2025 (publié le 31/12/2025) révèle une chute de -52% du résultat net sur l'ensemble de l'exercice. Les prédictions IA (J+1 à J+10) anticipent une baisse continue de 2 274 FCFA à 2 219 FCFA, confirmant la tendance baissière de court terme et contredisant le rebond de la dernière séance. Sur la base de cette convergence baissière (valorisation surévaluée, technique mitigée à baissière, fondamentaux fragiles malgré l'amélioration trimestrielle, prédictions IA négatives), la recommandation finale est **CONSERVER** avec un niveau de confiance **Moyen** et un risque global **Élevé**. L'horizon d'investissement optimal est le **moyen terme (3-12 mois)** : les investisseurs existants devraient conserver leurs positions en attendant la confirmation de l'amélioration de la rentabilité au T4 2025 et la publication des résultats annuels 2025, tandis que les nouveaux investisseurs devraient attendre un repli vers 2 100-2 200 FCFA (zone de support) avant d'envisager une entrée, compte tenu de la volatilité élevée et de la valorisation exigeante.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1,327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B40000"/>
                <w:sz w:val="17"/>
              </w:rPr>
              <w:t>-1.30%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2.41% (Faible) — μ=38,245 FCFA, σ=922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β=0.1993 (Défensif) — Cov=0.000007, Var(idx)=0.000035, ρ=0.064,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37,833</w:t>
            </w:r>
          </w:p>
        </w:tc>
        <w:tc>
          <w:tcPr>
            <w:tcW w:type="dxa" w:w="1440"/>
            <w:shd w:fill="FAFAFA" w:val="clear"/>
          </w:tcPr>
          <w:p>
            <w:r>
              <w:rPr>
                <w:b/>
                <w:sz w:val="17"/>
              </w:rPr>
              <w:t>38,606</w:t>
            </w:r>
          </w:p>
        </w:tc>
        <w:tc>
          <w:tcPr>
            <w:tcW w:type="dxa" w:w="1440"/>
            <w:shd w:fill="FAFAFA" w:val="clear"/>
          </w:tcPr>
          <w:p>
            <w:r>
              <w:rPr>
                <w:sz w:val="17"/>
              </w:rPr>
              <w:t>39,378</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2026-09-17</w:t>
            </w:r>
          </w:p>
        </w:tc>
        <w:tc>
          <w:tcPr>
            <w:tcW w:type="dxa" w:w="1440"/>
            <w:shd w:fill="C6EFCE" w:val="clear"/>
          </w:tcPr>
          <w:p>
            <w:r>
              <w:rPr>
                <w:sz w:val="17"/>
              </w:rPr>
              <w:t>37,779</w:t>
            </w:r>
          </w:p>
        </w:tc>
        <w:tc>
          <w:tcPr>
            <w:tcW w:type="dxa" w:w="1440"/>
            <w:shd w:fill="C6EFCE" w:val="clear"/>
          </w:tcPr>
          <w:p>
            <w:r>
              <w:rPr>
                <w:b/>
                <w:sz w:val="17"/>
              </w:rPr>
              <w:t>38,880</w:t>
            </w:r>
          </w:p>
        </w:tc>
        <w:tc>
          <w:tcPr>
            <w:tcW w:type="dxa" w:w="1440"/>
            <w:shd w:fill="C6EFCE" w:val="clear"/>
          </w:tcPr>
          <w:p>
            <w:r>
              <w:rPr>
                <w:sz w:val="17"/>
              </w:rPr>
              <w:t>39,980</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2026-09-18</w:t>
            </w:r>
          </w:p>
        </w:tc>
        <w:tc>
          <w:tcPr>
            <w:tcW w:type="dxa" w:w="1440"/>
            <w:shd w:fill="C6EFCE" w:val="clear"/>
          </w:tcPr>
          <w:p>
            <w:r>
              <w:rPr>
                <w:sz w:val="17"/>
              </w:rPr>
              <w:t>37,852</w:t>
            </w:r>
          </w:p>
        </w:tc>
        <w:tc>
          <w:tcPr>
            <w:tcW w:type="dxa" w:w="1440"/>
            <w:shd w:fill="C6EFCE" w:val="clear"/>
          </w:tcPr>
          <w:p>
            <w:r>
              <w:rPr>
                <w:b/>
                <w:sz w:val="17"/>
              </w:rPr>
              <w:t>39,211</w:t>
            </w:r>
          </w:p>
        </w:tc>
        <w:tc>
          <w:tcPr>
            <w:tcW w:type="dxa" w:w="1440"/>
            <w:shd w:fill="C6EFCE" w:val="clear"/>
          </w:tcPr>
          <w:p>
            <w:r>
              <w:rPr>
                <w:sz w:val="17"/>
              </w:rPr>
              <w:t>40,571</w:t>
            </w:r>
          </w:p>
        </w:tc>
        <w:tc>
          <w:tcPr>
            <w:tcW w:type="dxa" w:w="1440"/>
            <w:shd w:fill="C6EFCE" w:val="clear"/>
          </w:tcPr>
          <w:p>
            <w:r>
              <w:rPr>
                <w:b/>
                <w:color w:val="008000"/>
                <w:sz w:val="17"/>
              </w:rPr>
              <w:t>+3.2%</w:t>
            </w:r>
          </w:p>
        </w:tc>
      </w:tr>
      <w:tr>
        <w:tc>
          <w:tcPr>
            <w:tcW w:type="dxa" w:w="1440"/>
            <w:shd w:fill="C6EFCE" w:val="clear"/>
          </w:tcPr>
          <w:p>
            <w:r>
              <w:rPr>
                <w:sz w:val="17"/>
              </w:rPr>
              <w:t>J+4  Moyenne</w:t>
            </w:r>
          </w:p>
        </w:tc>
        <w:tc>
          <w:tcPr>
            <w:tcW w:type="dxa" w:w="1440"/>
            <w:shd w:fill="C6EFCE" w:val="clear"/>
          </w:tcPr>
          <w:p>
            <w:r>
              <w:rPr>
                <w:sz w:val="17"/>
              </w:rPr>
              <w:t>2026-09-21</w:t>
            </w:r>
          </w:p>
        </w:tc>
        <w:tc>
          <w:tcPr>
            <w:tcW w:type="dxa" w:w="1440"/>
            <w:shd w:fill="C6EFCE" w:val="clear"/>
          </w:tcPr>
          <w:p>
            <w:r>
              <w:rPr>
                <w:sz w:val="17"/>
              </w:rPr>
              <w:t>37,965</w:t>
            </w:r>
          </w:p>
        </w:tc>
        <w:tc>
          <w:tcPr>
            <w:tcW w:type="dxa" w:w="1440"/>
            <w:shd w:fill="C6EFCE" w:val="clear"/>
          </w:tcPr>
          <w:p>
            <w:r>
              <w:rPr>
                <w:b/>
                <w:sz w:val="17"/>
              </w:rPr>
              <w:t>39,548</w:t>
            </w:r>
          </w:p>
        </w:tc>
        <w:tc>
          <w:tcPr>
            <w:tcW w:type="dxa" w:w="1440"/>
            <w:shd w:fill="C6EFCE" w:val="clear"/>
          </w:tcPr>
          <w:p>
            <w:r>
              <w:rPr>
                <w:sz w:val="17"/>
              </w:rPr>
              <w:t>41,131</w:t>
            </w:r>
          </w:p>
        </w:tc>
        <w:tc>
          <w:tcPr>
            <w:tcW w:type="dxa" w:w="1440"/>
            <w:shd w:fill="C6EFCE" w:val="clear"/>
          </w:tcPr>
          <w:p>
            <w:r>
              <w:rPr>
                <w:b/>
                <w:color w:val="008000"/>
                <w:sz w:val="17"/>
              </w:rPr>
              <w:t>+4.1%</w:t>
            </w:r>
          </w:p>
        </w:tc>
      </w:tr>
      <w:tr>
        <w:tc>
          <w:tcPr>
            <w:tcW w:type="dxa" w:w="1440"/>
            <w:shd w:fill="C6EFCE" w:val="clear"/>
          </w:tcPr>
          <w:p>
            <w:r>
              <w:rPr>
                <w:sz w:val="17"/>
              </w:rPr>
              <w:t>J+5  Moyenne</w:t>
            </w:r>
          </w:p>
        </w:tc>
        <w:tc>
          <w:tcPr>
            <w:tcW w:type="dxa" w:w="1440"/>
            <w:shd w:fill="C6EFCE" w:val="clear"/>
          </w:tcPr>
          <w:p>
            <w:r>
              <w:rPr>
                <w:sz w:val="17"/>
              </w:rPr>
              <w:t>2026-09-22</w:t>
            </w:r>
          </w:p>
        </w:tc>
        <w:tc>
          <w:tcPr>
            <w:tcW w:type="dxa" w:w="1440"/>
            <w:shd w:fill="C6EFCE" w:val="clear"/>
          </w:tcPr>
          <w:p>
            <w:r>
              <w:rPr>
                <w:sz w:val="17"/>
              </w:rPr>
              <w:t>38,093</w:t>
            </w:r>
          </w:p>
        </w:tc>
        <w:tc>
          <w:tcPr>
            <w:tcW w:type="dxa" w:w="1440"/>
            <w:shd w:fill="C6EFCE" w:val="clear"/>
          </w:tcPr>
          <w:p>
            <w:r>
              <w:rPr>
                <w:b/>
                <w:sz w:val="17"/>
              </w:rPr>
              <w:t>39,878</w:t>
            </w:r>
          </w:p>
        </w:tc>
        <w:tc>
          <w:tcPr>
            <w:tcW w:type="dxa" w:w="1440"/>
            <w:shd w:fill="C6EFCE" w:val="clear"/>
          </w:tcPr>
          <w:p>
            <w:r>
              <w:rPr>
                <w:sz w:val="17"/>
              </w:rPr>
              <w:t>41,662</w:t>
            </w:r>
          </w:p>
        </w:tc>
        <w:tc>
          <w:tcPr>
            <w:tcW w:type="dxa" w:w="1440"/>
            <w:shd w:fill="C6EFCE" w:val="clear"/>
          </w:tcPr>
          <w:p>
            <w:r>
              <w:rPr>
                <w:b/>
                <w:color w:val="008000"/>
                <w:sz w:val="17"/>
              </w:rPr>
              <w:t>+4.9%</w:t>
            </w:r>
          </w:p>
        </w:tc>
      </w:tr>
      <w:tr>
        <w:tc>
          <w:tcPr>
            <w:tcW w:type="dxa" w:w="1440"/>
            <w:shd w:fill="C6EFCE" w:val="clear"/>
          </w:tcPr>
          <w:p>
            <w:r>
              <w:rPr>
                <w:sz w:val="17"/>
              </w:rPr>
              <w:t>J+6  Moyenne</w:t>
            </w:r>
          </w:p>
        </w:tc>
        <w:tc>
          <w:tcPr>
            <w:tcW w:type="dxa" w:w="1440"/>
            <w:shd w:fill="C6EFCE" w:val="clear"/>
          </w:tcPr>
          <w:p>
            <w:r>
              <w:rPr>
                <w:sz w:val="17"/>
              </w:rPr>
              <w:t>2026-09-23</w:t>
            </w:r>
          </w:p>
        </w:tc>
        <w:tc>
          <w:tcPr>
            <w:tcW w:type="dxa" w:w="1440"/>
            <w:shd w:fill="C6EFCE" w:val="clear"/>
          </w:tcPr>
          <w:p>
            <w:r>
              <w:rPr>
                <w:sz w:val="17"/>
              </w:rPr>
              <w:t>38,230</w:t>
            </w:r>
          </w:p>
        </w:tc>
        <w:tc>
          <w:tcPr>
            <w:tcW w:type="dxa" w:w="1440"/>
            <w:shd w:fill="C6EFCE" w:val="clear"/>
          </w:tcPr>
          <w:p>
            <w:r>
              <w:rPr>
                <w:b/>
                <w:sz w:val="17"/>
              </w:rPr>
              <w:t>40,201</w:t>
            </w:r>
          </w:p>
        </w:tc>
        <w:tc>
          <w:tcPr>
            <w:tcW w:type="dxa" w:w="1440"/>
            <w:shd w:fill="C6EFCE" w:val="clear"/>
          </w:tcPr>
          <w:p>
            <w:r>
              <w:rPr>
                <w:sz w:val="17"/>
              </w:rPr>
              <w:t>42,171</w:t>
            </w:r>
          </w:p>
        </w:tc>
        <w:tc>
          <w:tcPr>
            <w:tcW w:type="dxa" w:w="1440"/>
            <w:shd w:fill="C6EFCE" w:val="clear"/>
          </w:tcPr>
          <w:p>
            <w:r>
              <w:rPr>
                <w:b/>
                <w:color w:val="008000"/>
                <w:sz w:val="17"/>
              </w:rPr>
              <w:t>+5.8%</w:t>
            </w:r>
          </w:p>
        </w:tc>
      </w:tr>
      <w:tr>
        <w:tc>
          <w:tcPr>
            <w:tcW w:type="dxa" w:w="1440"/>
            <w:shd w:fill="C6EFCE" w:val="clear"/>
          </w:tcPr>
          <w:p>
            <w:r>
              <w:rPr>
                <w:sz w:val="17"/>
              </w:rPr>
              <w:t>J+7  Moyenne</w:t>
            </w:r>
          </w:p>
        </w:tc>
        <w:tc>
          <w:tcPr>
            <w:tcW w:type="dxa" w:w="1440"/>
            <w:shd w:fill="C6EFCE" w:val="clear"/>
          </w:tcPr>
          <w:p>
            <w:r>
              <w:rPr>
                <w:sz w:val="17"/>
              </w:rPr>
              <w:t>2026-09-24</w:t>
            </w:r>
          </w:p>
        </w:tc>
        <w:tc>
          <w:tcPr>
            <w:tcW w:type="dxa" w:w="1440"/>
            <w:shd w:fill="C6EFCE" w:val="clear"/>
          </w:tcPr>
          <w:p>
            <w:r>
              <w:rPr>
                <w:sz w:val="17"/>
              </w:rPr>
              <w:t>38,372</w:t>
            </w:r>
          </w:p>
        </w:tc>
        <w:tc>
          <w:tcPr>
            <w:tcW w:type="dxa" w:w="1440"/>
            <w:shd w:fill="C6EFCE" w:val="clear"/>
          </w:tcPr>
          <w:p>
            <w:r>
              <w:rPr>
                <w:b/>
                <w:sz w:val="17"/>
              </w:rPr>
              <w:t>40,517</w:t>
            </w:r>
          </w:p>
        </w:tc>
        <w:tc>
          <w:tcPr>
            <w:tcW w:type="dxa" w:w="1440"/>
            <w:shd w:fill="C6EFCE" w:val="clear"/>
          </w:tcPr>
          <w:p>
            <w:r>
              <w:rPr>
                <w:sz w:val="17"/>
              </w:rPr>
              <w:t>42,663</w:t>
            </w:r>
          </w:p>
        </w:tc>
        <w:tc>
          <w:tcPr>
            <w:tcW w:type="dxa" w:w="1440"/>
            <w:shd w:fill="C6EFCE" w:val="clear"/>
          </w:tcPr>
          <w:p>
            <w:r>
              <w:rPr>
                <w:b/>
                <w:color w:val="008000"/>
                <w:sz w:val="17"/>
              </w:rPr>
              <w:t>+6.6%</w:t>
            </w:r>
          </w:p>
        </w:tc>
      </w:tr>
      <w:tr>
        <w:tc>
          <w:tcPr>
            <w:tcW w:type="dxa" w:w="1440"/>
            <w:shd w:fill="C6EFCE" w:val="clear"/>
          </w:tcPr>
          <w:p>
            <w:r>
              <w:rPr>
                <w:sz w:val="17"/>
              </w:rPr>
              <w:t>J+8  Moyenne</w:t>
            </w:r>
          </w:p>
        </w:tc>
        <w:tc>
          <w:tcPr>
            <w:tcW w:type="dxa" w:w="1440"/>
            <w:shd w:fill="C6EFCE" w:val="clear"/>
          </w:tcPr>
          <w:p>
            <w:r>
              <w:rPr>
                <w:sz w:val="17"/>
              </w:rPr>
              <w:t>2026-09-25</w:t>
            </w:r>
          </w:p>
        </w:tc>
        <w:tc>
          <w:tcPr>
            <w:tcW w:type="dxa" w:w="1440"/>
            <w:shd w:fill="C6EFCE" w:val="clear"/>
          </w:tcPr>
          <w:p>
            <w:r>
              <w:rPr>
                <w:sz w:val="17"/>
              </w:rPr>
              <w:t>38,517</w:t>
            </w:r>
          </w:p>
        </w:tc>
        <w:tc>
          <w:tcPr>
            <w:tcW w:type="dxa" w:w="1440"/>
            <w:shd w:fill="C6EFCE" w:val="clear"/>
          </w:tcPr>
          <w:p>
            <w:r>
              <w:rPr>
                <w:b/>
                <w:sz w:val="17"/>
              </w:rPr>
              <w:t>40,828</w:t>
            </w:r>
          </w:p>
        </w:tc>
        <w:tc>
          <w:tcPr>
            <w:tcW w:type="dxa" w:w="1440"/>
            <w:shd w:fill="C6EFCE" w:val="clear"/>
          </w:tcPr>
          <w:p>
            <w:r>
              <w:rPr>
                <w:sz w:val="17"/>
              </w:rPr>
              <w:t>43,140</w:t>
            </w:r>
          </w:p>
        </w:tc>
        <w:tc>
          <w:tcPr>
            <w:tcW w:type="dxa" w:w="1440"/>
            <w:shd w:fill="C6EFCE" w:val="clear"/>
          </w:tcPr>
          <w:p>
            <w:r>
              <w:rPr>
                <w:b/>
                <w:color w:val="008000"/>
                <w:sz w:val="17"/>
              </w:rPr>
              <w:t>+7.4%</w:t>
            </w:r>
          </w:p>
        </w:tc>
      </w:tr>
      <w:tr>
        <w:tc>
          <w:tcPr>
            <w:tcW w:type="dxa" w:w="1440"/>
            <w:shd w:fill="C6EFCE" w:val="clear"/>
          </w:tcPr>
          <w:p>
            <w:r>
              <w:rPr>
                <w:sz w:val="17"/>
              </w:rPr>
              <w:t>J+9  Moyenne</w:t>
            </w:r>
          </w:p>
        </w:tc>
        <w:tc>
          <w:tcPr>
            <w:tcW w:type="dxa" w:w="1440"/>
            <w:shd w:fill="C6EFCE" w:val="clear"/>
          </w:tcPr>
          <w:p>
            <w:r>
              <w:rPr>
                <w:sz w:val="17"/>
              </w:rPr>
              <w:t>2026-09-28</w:t>
            </w:r>
          </w:p>
        </w:tc>
        <w:tc>
          <w:tcPr>
            <w:tcW w:type="dxa" w:w="1440"/>
            <w:shd w:fill="C6EFCE" w:val="clear"/>
          </w:tcPr>
          <w:p>
            <w:r>
              <w:rPr>
                <w:sz w:val="17"/>
              </w:rPr>
              <w:t>38,665</w:t>
            </w:r>
          </w:p>
        </w:tc>
        <w:tc>
          <w:tcPr>
            <w:tcW w:type="dxa" w:w="1440"/>
            <w:shd w:fill="C6EFCE" w:val="clear"/>
          </w:tcPr>
          <w:p>
            <w:r>
              <w:rPr>
                <w:b/>
                <w:sz w:val="17"/>
              </w:rPr>
              <w:t>41,135</w:t>
            </w:r>
          </w:p>
        </w:tc>
        <w:tc>
          <w:tcPr>
            <w:tcW w:type="dxa" w:w="1440"/>
            <w:shd w:fill="C6EFCE" w:val="clear"/>
          </w:tcPr>
          <w:p>
            <w:r>
              <w:rPr>
                <w:sz w:val="17"/>
              </w:rPr>
              <w:t>43,605</w:t>
            </w:r>
          </w:p>
        </w:tc>
        <w:tc>
          <w:tcPr>
            <w:tcW w:type="dxa" w:w="1440"/>
            <w:shd w:fill="C6EFCE" w:val="clear"/>
          </w:tcPr>
          <w:p>
            <w:r>
              <w:rPr>
                <w:b/>
                <w:color w:val="008000"/>
                <w:sz w:val="17"/>
              </w:rPr>
              <w:t>+8.3%</w:t>
            </w:r>
          </w:p>
        </w:tc>
      </w:tr>
      <w:tr>
        <w:tc>
          <w:tcPr>
            <w:tcW w:type="dxa" w:w="1440"/>
            <w:shd w:fill="C6EFCE" w:val="clear"/>
          </w:tcPr>
          <w:p>
            <w:r>
              <w:rPr>
                <w:sz w:val="17"/>
              </w:rPr>
              <w:t>J+10  Moyenne</w:t>
            </w:r>
          </w:p>
        </w:tc>
        <w:tc>
          <w:tcPr>
            <w:tcW w:type="dxa" w:w="1440"/>
            <w:shd w:fill="C6EFCE" w:val="clear"/>
          </w:tcPr>
          <w:p>
            <w:r>
              <w:rPr>
                <w:sz w:val="17"/>
              </w:rPr>
              <w:t>2026-09-29</w:t>
            </w:r>
          </w:p>
        </w:tc>
        <w:tc>
          <w:tcPr>
            <w:tcW w:type="dxa" w:w="1440"/>
            <w:shd w:fill="C6EFCE" w:val="clear"/>
          </w:tcPr>
          <w:p>
            <w:r>
              <w:rPr>
                <w:sz w:val="17"/>
              </w:rPr>
              <w:t>38,815</w:t>
            </w:r>
          </w:p>
        </w:tc>
        <w:tc>
          <w:tcPr>
            <w:tcW w:type="dxa" w:w="1440"/>
            <w:shd w:fill="C6EFCE" w:val="clear"/>
          </w:tcPr>
          <w:p>
            <w:r>
              <w:rPr>
                <w:b/>
                <w:sz w:val="17"/>
              </w:rPr>
              <w:t>41,438</w:t>
            </w:r>
          </w:p>
        </w:tc>
        <w:tc>
          <w:tcPr>
            <w:tcW w:type="dxa" w:w="1440"/>
            <w:shd w:fill="C6EFCE" w:val="clear"/>
          </w:tcPr>
          <w:p>
            <w:r>
              <w:rPr>
                <w:sz w:val="17"/>
              </w:rPr>
              <w:t>44,060</w:t>
            </w:r>
          </w:p>
        </w:tc>
        <w:tc>
          <w:tcPr>
            <w:tcW w:type="dxa" w:w="1440"/>
            <w:shd w:fill="C6EFCE" w:val="clear"/>
          </w:tcPr>
          <w:p>
            <w:r>
              <w:rPr>
                <w:b/>
                <w:color w:val="008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625,51 milliards FCFA, SOLIBRA s'impose comme l'une des toutes premières capitalisations de la BRVM, un statut de « blue chip » qui reflète sa position dominante dans le secteur des boissons en Côte d'Ivoire. Le BPA de 2 781 FCFA/action signifie que chaque titre génère près de 2 800 FCFA de bénéfice net, un niveau de rentabilité par action remarquable pour le marché régional. Le PER de 13,7x se situe légèrement au-dessus de la moyenne BRVM (8-12x), mais cette prime est pleinement justifiée par la croissance exceptionnelle du résultat net (+113% en 2025) et la qualité des fondamentaux. Le P/B de 3,21x indique que le marché valorise l'entreprise à plus de trois fois sa valeur comptable, traduisant une prime de croissance et de rentabilité (ROE de 23,5%) tout à fait légitime. Enfin, l'EV/EBITDA de 7,4x, dans la fourchette raisonnable de 5-10x, confirme que la valeur totale de l'entreprise reste cohérente avec sa capacité opérationnelle de génération de cash-flow (EBITDA de 87,4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SLBC affiche une variation quasi-nulle de -1,30%, avec une séance J-1 stable à +0,00%, le cours se maintenant à 38 000 FCFA. Le range de trading s'établit entre un plus haut de 41 500 FCFA et un plus bas de 35 540 FCFA, soit une amplitude d'environ 16,8%, reflétant une phase de consolidation latérale plutôt qu'une tendance directionnelle marquée. La tendance générale est donc stable, le titre évoluant dans un couloir étroit autour de son point d'équilibre. Les statistiques descriptives confirment cette stabilité : la moyenne (38 245 FCFA) est très proche de la médiane et du mode (38 000 FCFA), ce qui indique une distribution quasi-symétrique sans biais directionnel significatif. L'écart-type de 927 FCFA avec un coefficient de variation de seulement 2,4% témoigne d'une dispersion très faible du cours, signe d'un titre peu agité. Le kurtosis de 0,710 (mésokurtique) suggère une distribution proche de la normale, sans risque majeur de pics extrêmes, tandis que le skewness de 0,456 indique une légère asymétrie positive, c'est-à-dire une probabilité marginalement plus élevée de mouvements haussiers. La volatilité annualisée de 28,9% positionne le titre dans la catégorie des valeurs à volatilité modérée (15-30%), ce qui est cohérent avec son statut de valeur de rendement stable.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(37 697 FCFA) se situe en dessous de la MM50 (38 290 FCFA), et le cours actuel (38 000 FCFA) évolue entre ces deux références, légèrement au-dessus de la MM20 mais sous la MM50. Cette configuration traduit une pression baissière de court terme, la MM20 ayant croisé sous la MM50, ce qui justifie la décision technique de **Vente**. Le titre manque de momentum haussier pour inverser cette dynamique.</w:t>
      </w:r>
    </w:p>
    <w:p>
      <w:pPr>
        <w:spacing w:after="120" w:line="276" w:lineRule="auto"/>
      </w:pPr>
      <w:r>
        <w:t>**Bandes de Bollinger** : Le cours (38 000 FCFA) se positionne à l'intérieur des bandes, entre la borne inférieure (36 998 FCFA) et la borne supérieure (38 396 FCFA), à environ 60% de la largeur du canal. Cette position médiane, sans contact avec les extrêmes, traduit une absence de signal directionnel fort et une volatilité contenue, justifiant la décision **Neutre**. Le resserrement des bandes suggère une possible expansion de volatilité à venir.</w:t>
      </w:r>
    </w:p>
    <w:p>
      <w:pPr>
        <w:spacing w:after="120" w:line="276" w:lineRule="auto"/>
      </w:pPr>
      <w:r>
        <w:t>**MACD** : La valeur du MACD (-24,112) est supérieure à sa ligne de signal (-107,912), créant une divergence positive significative de près de 84 points. Bien que les deux indicateurs restent en territoire négatif, ce croisement haussier du MACD au-dessus de son signal indique un affaiblissement du momentum baissier et une possible inflexion à la hausse, justifiant la décision d'**Achat** technique.</w:t>
      </w:r>
    </w:p>
    <w:p>
      <w:pPr>
        <w:spacing w:after="120" w:line="276" w:lineRule="auto"/>
      </w:pPr>
      <w:r>
        <w:t>**RSI** : À 53,521, le RSI se situe parfaitement dans la zone neutre (30-70), sans signal de surachat ni de survente. Cette valeur médiane indique un équilibre entre acheteurs et vendeurs, sans pression dominante, ce qui justifie la décision **Neutre**. Le titre n'est ni épuisé à la hausse ni survendu.</w:t>
      </w:r>
    </w:p>
    <w:p>
      <w:pPr>
        <w:spacing w:after="120" w:line="276" w:lineRule="auto"/>
      </w:pPr>
      <w:r>
        <w:t>**Stochastique** : Le %K (100,0) est au maximum absolu et surpasse le %D (96,833), indiquant que le cours clôture systématiquement près de ses plus hauts récents sur la période de référence. Cette configuration en zone de surachat extrême suggère une probabilité élevée de correction à court terme, justifiant la décision de **Vente**. Le croisement imminent du %K sous le %D pourrait confirmer ce retournement.</w:t>
      </w:r>
    </w:p>
    <w:p>
      <w:pPr>
        <w:spacing w:after="120" w:line="276" w:lineRule="auto"/>
      </w:pPr>
      <w:r>
        <w:t>**Conclusion technique** : Les indicateurs techniques présentent un tableau mitigé et contradictoire. Le MACD génère un signal d'achat (divergence haussière), tandis que les Moyennes Mobiles et le Stochastique recommandent la vente (pression baissière et surachat extrême). Le RSI et les Bandes de Bollinger restent neutres, reflétant l'absence de tendance claire. Cette divergence suggère une phase de consolidation sans direction forte, avec un léger avantage aux vendeurs à court terme compte tenu du Stochastique en zone extrême. La prudence est de mise avant toute décision directionnelle.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dressent le portrait d'une entreprise en pleine accélération : le chiffre d'affaires s'établit à 378,123 milliards FCFA, en croissance de +22,1% par rapport aux 309,722 milliards de 2024, tandis que le résultat net explose à 45,781 milliards FCFA, plus que doublant (+113%) par rapport aux 21,472 milliards de 2024. Cette performance se traduit par un ROE exceptionnel de 23,46% (largement supérieur au seuil de 15% considéré comme excellent) et un ROA solide de 13,48%, confirmant l'efficacité de l'utilisation des actifs. La marge nette s'améliore spectaculairement, passant de 6,9% en 2024 à 12,1% en 2025, portée par une marge brute de 76,2% et une marge opérationnelle de 17,2%. En tant qu'entreprise industrielle, l'analyse des délais d'exploitation révèle des points d'attention : le délai clients de 64,27 jours représente un risque de trésorerie modéré, la durée de stockage élevée de 117,32 jours immobilise du capital, mais le délai fournisseurs de 76,82 jours (supérieur au délai clients) constitue un avantage de financement. Le BFR de 61,587 milliards FCFA et le fonds de roulement de 83,689 milliards FCFA témoignent d'une gestion équilibrée. La structure financière est saine avec une autonomie financière de 57,48%, un ratio d'endettement maîtrisé de 42,52% et une capacité de remboursement excellente de 0,67 année. Le rapport du T1 2026 (publié en 2026) confirme la poursuite de cette dynamique avec un CA de 93,46 milliards FCFA (+7,6%), un volume distribué de 1,839 million d'hectolitres (+9,6%) et un résultat net de 16,26 milliards FCFA (+4,8%), suggérant une normalisation de la croissance après l'année exceptionnelle 2025. Sur cette base, on peut estimer que l'exercice 2026 devrait afficher une croissance plus modérée mais durable, avec un résultat net annuel projeté autour de 50-55 milliards FCFA. Le rapport annuel 2025 (analysé en 2026) souligne la générosité de la politique de dividende avec un payout de 76,5% (dividende de 2 127 FCFA/action proposé à l'AGO du 5 juin 2026), offrant un rendement attractif de 5,6% au cours actuel de 38 000 FCFA. Les risques identifiés incluent la dépendance aux matières premières (90 milliards FCFA d'achats exposés à la volatilité), la concentration géographique sur la Côte d'Ivoire et la pression concurrentielle. **Recommandation fondamentale : SOLIDE, avec des fondamentaux exceptionnels et des perspectives favorables, malgré une normalisation attendue de la croissance.**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d'analyse révèle un profil d'investissement équilibré avec une légère inclinaison haussière. La valorisation (Partie 0) apparaît raisonnable, voire attractive : le PER de 13,7x, bien que supérieur à la moyenne BRVM, reste modéré au regard de la croissance bénéficiaire (+113%) et du ROE (23,5%), tandis que l'EV/EBITDA de 7,4x et le rendement du dividende de 5,6% renforcent l'attrait du titre. Le comportement du cours (Partie 1) est rassurant : la volatilité modérée (28,9%), la distribution quasi-normale (kurtosis 0,710) et l'absence de biais baissier significatif (skewness +0,456) indiquent un titre stable et prévisible, adapté aux investisseurs recherchant la régularité. Les signaux techniques (Partie 2) sont mitigés : le MACD haussier contraste avec le Stochastique en surachat extrême et les Moyennes Mobiles baissières, suggérant une consolidation avant une éventuelle reprise. Les fondamentaux (Partie 3) sont le point fort incontestable : croissance du CA (+22%), explosion du résultat net (+113%), ROE exceptionnel (23,5%), structure financière saine et dividende généreux, avec une normalisation attendue en 2026 (T1 : CA +7,6%, RN +4,8%). Les prédictions IA (J+1 à J+10) projettent une trajectoire haussière progressive de 38 606 FCFA à 39 878 FCFA, soit un potentiel de +4,9% sur 10 jours, confirmant la reprise technique anticipée par le MACD. **Recommandation finale : ACHAT.** La convergence entre une valorisation raisonnable, des fondamentaux exceptionnels, un dividende attractif et des prédictions haussières l'emporte sur les signaux techniques mitigés à court terme. Le niveau de confiance est **Élevé** (fondamentaux solides et prévisibles), le niveau de risque global est **Moyen** (dépendance aux matières premières et concentration géographique), et l'horizon d'investissement optimal est le **moyen à long terme** (6-18 mois) pour capturer la croissance durable et les dividendes, tout en laissant le temps aux indicateurs techniques de confirmer le retournement haussier.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1,572 titres</w:t>
            </w:r>
          </w:p>
        </w:tc>
        <w:tc>
          <w:tcPr>
            <w:tcW w:type="dxa" w:w="2268"/>
            <w:shd w:fill="FFF2CC" w:val="clear"/>
          </w:tcPr>
          <w:p>
            <w:r>
              <w:rPr>
                <w:b/>
                <w:color w:val="503200"/>
                <w:sz w:val="16"/>
              </w:rPr>
              <w:t xml:space="preserve">Cours actuel : </w:t>
            </w:r>
            <w:r>
              <w:rPr>
                <w:color w:val="000000"/>
                <w:sz w:val="17"/>
              </w:rPr>
              <w:t>18,480 FCFA</w:t>
            </w:r>
          </w:p>
          <w:p>
            <w:r>
              <w:rPr>
                <w:b/>
                <w:color w:val="503200"/>
                <w:sz w:val="16"/>
              </w:rPr>
              <w:t xml:space="preserve">Var. 100 jours : </w:t>
            </w:r>
            <w:r>
              <w:rPr>
                <w:b/>
                <w:color w:val="007800"/>
                <w:sz w:val="17"/>
              </w:rPr>
              <w:t>+57.95%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13.75% (Moyenne) — μ=15,375 FCFA, σ=2,114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β=-0.7665 (Contre-cyclique) — Cov=-0.000027, Var(idx)=0.000035, ρ=-0.198,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17,895</w:t>
            </w:r>
          </w:p>
        </w:tc>
        <w:tc>
          <w:tcPr>
            <w:tcW w:type="dxa" w:w="1440"/>
            <w:shd w:fill="FAFAFA" w:val="clear"/>
          </w:tcPr>
          <w:p>
            <w:r>
              <w:rPr>
                <w:b/>
                <w:sz w:val="17"/>
              </w:rPr>
              <w:t>18,289</w:t>
            </w:r>
          </w:p>
        </w:tc>
        <w:tc>
          <w:tcPr>
            <w:tcW w:type="dxa" w:w="1440"/>
            <w:shd w:fill="FAFAFA" w:val="clear"/>
          </w:tcPr>
          <w:p>
            <w:r>
              <w:rPr>
                <w:sz w:val="17"/>
              </w:rPr>
              <w:t>18,682</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17,709</w:t>
            </w:r>
          </w:p>
        </w:tc>
        <w:tc>
          <w:tcPr>
            <w:tcW w:type="dxa" w:w="1440"/>
            <w:shd w:fill="FAFAFA" w:val="clear"/>
          </w:tcPr>
          <w:p>
            <w:r>
              <w:rPr>
                <w:b/>
                <w:sz w:val="17"/>
              </w:rPr>
              <w:t>18,265</w:t>
            </w:r>
          </w:p>
        </w:tc>
        <w:tc>
          <w:tcPr>
            <w:tcW w:type="dxa" w:w="1440"/>
            <w:shd w:fill="FAFAFA" w:val="clear"/>
          </w:tcPr>
          <w:p>
            <w:r>
              <w:rPr>
                <w:sz w:val="17"/>
              </w:rPr>
              <w:t>18,821</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17,548</w:t>
            </w:r>
          </w:p>
        </w:tc>
        <w:tc>
          <w:tcPr>
            <w:tcW w:type="dxa" w:w="1440"/>
            <w:shd w:fill="FAFAFA" w:val="clear"/>
          </w:tcPr>
          <w:p>
            <w:r>
              <w:rPr>
                <w:b/>
                <w:sz w:val="17"/>
              </w:rPr>
              <w:t>18,228</w:t>
            </w:r>
          </w:p>
        </w:tc>
        <w:tc>
          <w:tcPr>
            <w:tcW w:type="dxa" w:w="1440"/>
            <w:shd w:fill="FAFAFA" w:val="clear"/>
          </w:tcPr>
          <w:p>
            <w:r>
              <w:rPr>
                <w:sz w:val="17"/>
              </w:rPr>
              <w:t>18,907</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2026-09-21</w:t>
            </w:r>
          </w:p>
        </w:tc>
        <w:tc>
          <w:tcPr>
            <w:tcW w:type="dxa" w:w="1440"/>
            <w:shd w:fill="FAFAFA" w:val="clear"/>
          </w:tcPr>
          <w:p>
            <w:r>
              <w:rPr>
                <w:sz w:val="17"/>
              </w:rPr>
              <w:t>17,413</w:t>
            </w:r>
          </w:p>
        </w:tc>
        <w:tc>
          <w:tcPr>
            <w:tcW w:type="dxa" w:w="1440"/>
            <w:shd w:fill="FAFAFA" w:val="clear"/>
          </w:tcPr>
          <w:p>
            <w:r>
              <w:rPr>
                <w:b/>
                <w:sz w:val="17"/>
              </w:rPr>
              <w:t>18,196</w:t>
            </w:r>
          </w:p>
        </w:tc>
        <w:tc>
          <w:tcPr>
            <w:tcW w:type="dxa" w:w="1440"/>
            <w:shd w:fill="FAFAFA" w:val="clear"/>
          </w:tcPr>
          <w:p>
            <w:r>
              <w:rPr>
                <w:sz w:val="17"/>
              </w:rPr>
              <w:t>18,979</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2026-09-22</w:t>
            </w:r>
          </w:p>
        </w:tc>
        <w:tc>
          <w:tcPr>
            <w:tcW w:type="dxa" w:w="1440"/>
            <w:shd w:fill="FAFAFA" w:val="clear"/>
          </w:tcPr>
          <w:p>
            <w:r>
              <w:rPr>
                <w:sz w:val="17"/>
              </w:rPr>
              <w:t>17,293</w:t>
            </w:r>
          </w:p>
        </w:tc>
        <w:tc>
          <w:tcPr>
            <w:tcW w:type="dxa" w:w="1440"/>
            <w:shd w:fill="FAFAFA" w:val="clear"/>
          </w:tcPr>
          <w:p>
            <w:r>
              <w:rPr>
                <w:b/>
                <w:sz w:val="17"/>
              </w:rPr>
              <w:t>18,167</w:t>
            </w:r>
          </w:p>
        </w:tc>
        <w:tc>
          <w:tcPr>
            <w:tcW w:type="dxa" w:w="1440"/>
            <w:shd w:fill="FAFAFA" w:val="clear"/>
          </w:tcPr>
          <w:p>
            <w:r>
              <w:rPr>
                <w:sz w:val="17"/>
              </w:rPr>
              <w:t>19,041</w:t>
            </w:r>
          </w:p>
        </w:tc>
        <w:tc>
          <w:tcPr>
            <w:tcW w:type="dxa" w:w="1440"/>
            <w:shd w:fill="FAFAFA" w:val="clear"/>
          </w:tcPr>
          <w:p>
            <w:r>
              <w:rPr>
                <w:b/>
                <w:color w:val="C00000"/>
                <w:sz w:val="17"/>
              </w:rPr>
              <w:t>-1.7%</w:t>
            </w:r>
          </w:p>
        </w:tc>
      </w:tr>
      <w:tr>
        <w:tc>
          <w:tcPr>
            <w:tcW w:type="dxa" w:w="1440"/>
            <w:shd w:fill="FAFAFA" w:val="clear"/>
          </w:tcPr>
          <w:p>
            <w:r>
              <w:rPr>
                <w:sz w:val="17"/>
              </w:rPr>
              <w:t>J+6  Moyenne</w:t>
            </w:r>
          </w:p>
        </w:tc>
        <w:tc>
          <w:tcPr>
            <w:tcW w:type="dxa" w:w="1440"/>
            <w:shd w:fill="FAFAFA" w:val="clear"/>
          </w:tcPr>
          <w:p>
            <w:r>
              <w:rPr>
                <w:sz w:val="17"/>
              </w:rPr>
              <w:t>2026-09-23</w:t>
            </w:r>
          </w:p>
        </w:tc>
        <w:tc>
          <w:tcPr>
            <w:tcW w:type="dxa" w:w="1440"/>
            <w:shd w:fill="FAFAFA" w:val="clear"/>
          </w:tcPr>
          <w:p>
            <w:r>
              <w:rPr>
                <w:sz w:val="17"/>
              </w:rPr>
              <w:t>17,183</w:t>
            </w:r>
          </w:p>
        </w:tc>
        <w:tc>
          <w:tcPr>
            <w:tcW w:type="dxa" w:w="1440"/>
            <w:shd w:fill="FAFAFA" w:val="clear"/>
          </w:tcPr>
          <w:p>
            <w:r>
              <w:rPr>
                <w:b/>
                <w:sz w:val="17"/>
              </w:rPr>
              <w:t>18,139</w:t>
            </w:r>
          </w:p>
        </w:tc>
        <w:tc>
          <w:tcPr>
            <w:tcW w:type="dxa" w:w="1440"/>
            <w:shd w:fill="FAFAFA" w:val="clear"/>
          </w:tcPr>
          <w:p>
            <w:r>
              <w:rPr>
                <w:sz w:val="17"/>
              </w:rPr>
              <w:t>19,095</w:t>
            </w:r>
          </w:p>
        </w:tc>
        <w:tc>
          <w:tcPr>
            <w:tcW w:type="dxa" w:w="1440"/>
            <w:shd w:fill="FAFAFA" w:val="clear"/>
          </w:tcPr>
          <w:p>
            <w:r>
              <w:rPr>
                <w:b/>
                <w:color w:val="C00000"/>
                <w:sz w:val="17"/>
              </w:rPr>
              <w:t>-1.8%</w:t>
            </w:r>
          </w:p>
        </w:tc>
      </w:tr>
      <w:tr>
        <w:tc>
          <w:tcPr>
            <w:tcW w:type="dxa" w:w="1440"/>
            <w:shd w:fill="FAFAFA" w:val="clear"/>
          </w:tcPr>
          <w:p>
            <w:r>
              <w:rPr>
                <w:sz w:val="17"/>
              </w:rPr>
              <w:t>J+7  Moyenne</w:t>
            </w:r>
          </w:p>
        </w:tc>
        <w:tc>
          <w:tcPr>
            <w:tcW w:type="dxa" w:w="1440"/>
            <w:shd w:fill="FAFAFA" w:val="clear"/>
          </w:tcPr>
          <w:p>
            <w:r>
              <w:rPr>
                <w:sz w:val="17"/>
              </w:rPr>
              <w:t>2026-09-24</w:t>
            </w:r>
          </w:p>
        </w:tc>
        <w:tc>
          <w:tcPr>
            <w:tcW w:type="dxa" w:w="1440"/>
            <w:shd w:fill="FAFAFA" w:val="clear"/>
          </w:tcPr>
          <w:p>
            <w:r>
              <w:rPr>
                <w:sz w:val="17"/>
              </w:rPr>
              <w:t>17,080</w:t>
            </w:r>
          </w:p>
        </w:tc>
        <w:tc>
          <w:tcPr>
            <w:tcW w:type="dxa" w:w="1440"/>
            <w:shd w:fill="FAFAFA" w:val="clear"/>
          </w:tcPr>
          <w:p>
            <w:r>
              <w:rPr>
                <w:b/>
                <w:sz w:val="17"/>
              </w:rPr>
              <w:t>18,111</w:t>
            </w:r>
          </w:p>
        </w:tc>
        <w:tc>
          <w:tcPr>
            <w:tcW w:type="dxa" w:w="1440"/>
            <w:shd w:fill="FAFAFA" w:val="clear"/>
          </w:tcPr>
          <w:p>
            <w:r>
              <w:rPr>
                <w:sz w:val="17"/>
              </w:rPr>
              <w:t>19,142</w:t>
            </w:r>
          </w:p>
        </w:tc>
        <w:tc>
          <w:tcPr>
            <w:tcW w:type="dxa" w:w="1440"/>
            <w:shd w:fill="FAFAFA"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2026-09-25</w:t>
            </w:r>
          </w:p>
        </w:tc>
        <w:tc>
          <w:tcPr>
            <w:tcW w:type="dxa" w:w="1440"/>
            <w:shd w:fill="FFDCE0" w:val="clear"/>
          </w:tcPr>
          <w:p>
            <w:r>
              <w:rPr>
                <w:sz w:val="17"/>
              </w:rPr>
              <w:t>16,983</w:t>
            </w:r>
          </w:p>
        </w:tc>
        <w:tc>
          <w:tcPr>
            <w:tcW w:type="dxa" w:w="1440"/>
            <w:shd w:fill="FFDCE0" w:val="clear"/>
          </w:tcPr>
          <w:p>
            <w:r>
              <w:rPr>
                <w:b/>
                <w:sz w:val="17"/>
              </w:rPr>
              <w:t>18,084</w:t>
            </w:r>
          </w:p>
        </w:tc>
        <w:tc>
          <w:tcPr>
            <w:tcW w:type="dxa" w:w="1440"/>
            <w:shd w:fill="FFDCE0" w:val="clear"/>
          </w:tcPr>
          <w:p>
            <w:r>
              <w:rPr>
                <w:sz w:val="17"/>
              </w:rPr>
              <w:t>19,185</w:t>
            </w:r>
          </w:p>
        </w:tc>
        <w:tc>
          <w:tcPr>
            <w:tcW w:type="dxa" w:w="1440"/>
            <w:shd w:fill="FFDCE0" w:val="clear"/>
          </w:tcPr>
          <w:p>
            <w:r>
              <w:rPr>
                <w:b/>
                <w:color w:val="C00000"/>
                <w:sz w:val="17"/>
              </w:rPr>
              <w:t>-2.1%</w:t>
            </w:r>
          </w:p>
        </w:tc>
      </w:tr>
      <w:tr>
        <w:tc>
          <w:tcPr>
            <w:tcW w:type="dxa" w:w="1440"/>
            <w:shd w:fill="FFDCE0" w:val="clear"/>
          </w:tcPr>
          <w:p>
            <w:r>
              <w:rPr>
                <w:sz w:val="17"/>
              </w:rPr>
              <w:t>J+9  Moyenne</w:t>
            </w:r>
          </w:p>
        </w:tc>
        <w:tc>
          <w:tcPr>
            <w:tcW w:type="dxa" w:w="1440"/>
            <w:shd w:fill="FFDCE0" w:val="clear"/>
          </w:tcPr>
          <w:p>
            <w:r>
              <w:rPr>
                <w:sz w:val="17"/>
              </w:rPr>
              <w:t>2026-09-28</w:t>
            </w:r>
          </w:p>
        </w:tc>
        <w:tc>
          <w:tcPr>
            <w:tcW w:type="dxa" w:w="1440"/>
            <w:shd w:fill="FFDCE0" w:val="clear"/>
          </w:tcPr>
          <w:p>
            <w:r>
              <w:rPr>
                <w:sz w:val="17"/>
              </w:rPr>
              <w:t>16,892</w:t>
            </w:r>
          </w:p>
        </w:tc>
        <w:tc>
          <w:tcPr>
            <w:tcW w:type="dxa" w:w="1440"/>
            <w:shd w:fill="FFDCE0" w:val="clear"/>
          </w:tcPr>
          <w:p>
            <w:r>
              <w:rPr>
                <w:b/>
                <w:sz w:val="17"/>
              </w:rPr>
              <w:t>18,057</w:t>
            </w:r>
          </w:p>
        </w:tc>
        <w:tc>
          <w:tcPr>
            <w:tcW w:type="dxa" w:w="1440"/>
            <w:shd w:fill="FFDCE0" w:val="clear"/>
          </w:tcPr>
          <w:p>
            <w:r>
              <w:rPr>
                <w:sz w:val="17"/>
              </w:rPr>
              <w:t>19,223</w:t>
            </w:r>
          </w:p>
        </w:tc>
        <w:tc>
          <w:tcPr>
            <w:tcW w:type="dxa" w:w="1440"/>
            <w:shd w:fill="FFDCE0" w:val="clear"/>
          </w:tcPr>
          <w:p>
            <w:r>
              <w:rPr>
                <w:b/>
                <w:color w:val="C00000"/>
                <w:sz w:val="17"/>
              </w:rPr>
              <w:t>-2.3%</w:t>
            </w:r>
          </w:p>
        </w:tc>
      </w:tr>
      <w:tr>
        <w:tc>
          <w:tcPr>
            <w:tcW w:type="dxa" w:w="1440"/>
            <w:shd w:fill="FFDCE0" w:val="clear"/>
          </w:tcPr>
          <w:p>
            <w:r>
              <w:rPr>
                <w:sz w:val="17"/>
              </w:rPr>
              <w:t>J+10  Moyenne</w:t>
            </w:r>
          </w:p>
        </w:tc>
        <w:tc>
          <w:tcPr>
            <w:tcW w:type="dxa" w:w="1440"/>
            <w:shd w:fill="FFDCE0" w:val="clear"/>
          </w:tcPr>
          <w:p>
            <w:r>
              <w:rPr>
                <w:sz w:val="17"/>
              </w:rPr>
              <w:t>2026-09-29</w:t>
            </w:r>
          </w:p>
        </w:tc>
        <w:tc>
          <w:tcPr>
            <w:tcW w:type="dxa" w:w="1440"/>
            <w:shd w:fill="FFDCE0" w:val="clear"/>
          </w:tcPr>
          <w:p>
            <w:r>
              <w:rPr>
                <w:sz w:val="17"/>
              </w:rPr>
              <w:t>16,804</w:t>
            </w:r>
          </w:p>
        </w:tc>
        <w:tc>
          <w:tcPr>
            <w:tcW w:type="dxa" w:w="1440"/>
            <w:shd w:fill="FFDCE0" w:val="clear"/>
          </w:tcPr>
          <w:p>
            <w:r>
              <w:rPr>
                <w:b/>
                <w:sz w:val="17"/>
              </w:rPr>
              <w:t>18,031</w:t>
            </w:r>
          </w:p>
        </w:tc>
        <w:tc>
          <w:tcPr>
            <w:tcW w:type="dxa" w:w="1440"/>
            <w:shd w:fill="FFDCE0" w:val="clear"/>
          </w:tcPr>
          <w:p>
            <w:r>
              <w:rPr>
                <w:sz w:val="17"/>
              </w:rPr>
              <w:t>19,258</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144,06 milliards FCFA, SMBC se positionne parmi les valeurs industrielles de taille intermédiaire de la BRVM, ce qui traduit une liquidité modérée mais une réelle profondeur de marché. Le BPA de 1 677 FCFA/action signifie que chaque titre génère près de 1 677 FCFA de bénéfice net, un niveau confortable au regard du cours actuel de 18 480 FCFA. Le PER de 11,0x se situe dans la fourchette moyenne du marché BRVM (8-12x), indiquant que les investisseurs ne paient ni une prime excessive ni une décote manifeste pour les bénéfices, avec une valorisation jugée « modérée ». Le P/B de 3,36x révèle en revanche que le marché valorise SMBC à plus de trois fois sa valeur comptable (capitaux propres de 42,913 Mds FCFA), soit une prime de croissance significative qui suppose une confiance dans la capacité bénéficiaire future. Enfin, l'EV/EBITDA de 7,0x, dans la fourchette raisonnable de 5-10x, suggère que la valeur d'entreprise reste cohérente avec la capacité opérationnelle de génération de cash, sans emballement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progression spectaculaire de **+57,95%**, avec une dernière séance en hausse de +0,98%, confirmant un momentum haussier toujours actif. Le titre a évolué dans un range très large, entre un plus bas de 11 450 FCFA et un plus haut de 18 500 FCFA — niveau auquel le cours actuel (18 480 FCFA) se situe quasiment au sommet, signe d'une pression acheteuse soutenue. La tendance générale est donc clairement haussière, portée par l'amélioration des marges opérationnelles et la solidité des résultats 2025. Les statistiques descriptives révèlent une moyenne de 15 375 FCFA inférieure à la médiane de 16 225 FCFA, avec un mode à 16 000 FCFA : cet écart confirme une distribution asymétrique, le skewness de -0,642 indiquant davantage de journées de cotation au-dessus de la moyenne (asymétrie négative typique d'un titre en fin de rallye). L'écart-type de 2 125 FCFA (CV = 13,8%) traduit une dispersion modérée du cours, tandis que le kurtosis de -0,964 (mésokurtique) suggère une distribution proche de la normale, sans risque majeur de pics extrêmes. La volatilité annualisée de 36,1% classe le titre dans la catégorie **élevée** (&gt;30%), ce qui implique un risque de correction significatif et justifie une gestion prudente des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(17 397,25 FCFA) et la MM50 (16 776,90 FCFA) se situent toutes deux sous le cours actuel (18 480 FCFA), avec une MM20 au-dessus de la MM50 — configuration haussière classique (golden cross). Le signal d'**Achat** est confirmé par le fait que le cours surperforme ses deux moyennes, bien que l'écart important avec la MM20 (+6,2%) suggère un risque de retour à la moyenne.</w:t>
      </w:r>
    </w:p>
    <w:p>
      <w:pPr>
        <w:spacing w:after="120" w:line="276" w:lineRule="auto"/>
      </w:pPr>
      <w:r>
        <w:t>**Bandes de Bollinger** : Le cours (18 480 FCFA) évolue tout près de la borne supérieure (18 692,73 FCFA) et très au-dessus de la borne inférieure (16 101,77 FCFA), ce qui traduit une forte volatilité et une position technique tendue. La décision **Neutre** reflète cette configuration ambiguë : le titre est fort mais proche d'une zone de résistance statistique, avec un risque de rejet vers la bande médiane.</w:t>
      </w:r>
    </w:p>
    <w:p>
      <w:pPr>
        <w:spacing w:after="120" w:line="276" w:lineRule="auto"/>
      </w:pPr>
      <w:r>
        <w:t>**MACD** : La valeur MACD (498,53) dépasse nettement son signal (393,10), confirmant un momentum haussier robuste et une dynamique positive toujours en cours. Le signal d'**Achat** est validé, mais l'écart entre les deux lignes commence à être significatif, ce qui pourrait annoncer un essoufflement à moyen terme.</w:t>
      </w:r>
    </w:p>
    <w:p>
      <w:pPr>
        <w:spacing w:after="120" w:line="276" w:lineRule="auto"/>
      </w:pPr>
      <w:r>
        <w:t>**RSI** : À 76,70, le RSI se situe en zone de **surachat** (&gt;70), déclenchant un signal de **Vente**. Cette lecture est critique : elle indique que le titre a été acheté de manière excessive à court terme et qu'une consolidation ou correction est statistiquement probable, même si un RSI élevé peut persister en tendance forte.</w:t>
      </w:r>
    </w:p>
    <w:p>
      <w:pPr>
        <w:spacing w:after="120" w:line="276" w:lineRule="auto"/>
      </w:pPr>
      <w:r>
        <w:t>**Stochastique** : Le %K (98,57) et le %D (90,84) sont tous deux en zone extrême de surachat, avec un %K au-dessus du %D — configuration qui précède souvent un croisement baissier imminent. Le signal de **Vente** est cohérent avec le RSI et suggère une pression vendeuse à venir.</w:t>
      </w:r>
    </w:p>
    <w:p>
      <w:pPr>
        <w:spacing w:after="120" w:line="276" w:lineRule="auto"/>
      </w:pPr>
      <w:r>
        <w:t>**Conclusion technique** : Les indicateurs sont **divergents** : les moyennes mobiles et le MACD confirment la tendance haussière de fond, tandis que le RSI et le stochastique signalent un surachat extrême à court terme. Cette configuration typique de fin de rallye plaide pour une **prise de bénéfices partielle** ou une attente de repli vers la MM20 (~17 400 FCFA) avant tout renforcement. Le risque de correction à court terme est élevé, même si la structure technique reste haussière.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SMBC affiche un chiffre d'affaires de **206,740 Mds FCFA** en 2025, en **baisse de 9,74%** par rapport à 2024 (229,061 Mds FCFA), mais un résultat net en **forte hausse de +50,3% à 13,075 Mds FCFA** (contre 8,698 Mds FCFA en 2024). Cette performance paradoxale s'explique par une amélioration spectaculaire de la rentabilité opérationnelle : l'EBE progresse de +41,8% à 18,480 Mds FCFA, la marge nette passe de 3,8% à **6,32%**, et le **ROE atteint 30,47%** (largement supérieur au seuil d'excellence de 15%), tandis que le ROA s'établit à 7,26%. La structure financière se renforce : capitaux propres de 42,913 Mds FCFA (+21,6%), trésorerie nette positive de 23,988 Mds FCFA, et autonomie financière de 23,84% (légèrement sous le seuil sain de 30%). Le BFR est quasi nul (1,693 Md FCFA), mais les délais d'exploitation restent préoccupants : **délai clients de 193,75 jours** (risque de trésorerie élevé) contre un délai fournisseurs de 207,07 jours (favorable), avec une durée de stockage de 38,09 jours.</w:t>
      </w:r>
    </w:p>
    <w:p>
      <w:pPr>
        <w:spacing w:after="120" w:line="276" w:lineRule="auto"/>
      </w:pPr>
      <w:r>
        <w:t>**Adaptation au secteur (entreprise industrielle)** : Le ratio d'endettement de 76,16% reste élevé mais la capacité de remboursement est excellente (0,68 an de dettes financières / CAF) et la couverture des intérêts atteint 483,41%. Le Free Cash Flow de 20,642 Mds FCFA et le flux opérationnel de 26,120 Mds FCFA témoignent d'une génération de cash robuste.</w:t>
      </w:r>
    </w:p>
    <w:p>
      <w:pPr>
        <w:spacing w:after="120" w:line="276" w:lineRule="auto"/>
      </w:pPr>
      <w:r>
        <w:t>**Estimations basées sur les rapports trimestriels** : Le rapport T3 2025 (30/09/2025) indique un CA cumulé de 155,2 Mds FCFA (-14%) mais un résultat net de 5,7 Mds FCFA (+6%), avec une marge opérationnelle en hausse à 5,4%. Le rapport S1 2025 (30/06/2025) faisait état d'un CA de 101,9 Mds FCFA (-23%) et d'un résultat net de 3,9 Mds FCFA (-7%), avec un EBE en hausse de +38%. **On estime donc** que l'exercice 2025 devrait confirmer la tendance : contraction des volumes (-22% au S1) compensée par l'amélioration des marges de raffinage, avec un résultat net annuel attendu autour de 13 Mds FCFA — ce que confirment les états financiers annuels. Le rapport 2024 (MISTRAL, 15/03/2026) soulignait déjà la fragilité de la politique de dividende (taux de distribution de 107,5% en 2024), mais le rapport 2025 (DEEPSEEK, 12/05/2026) confirme un assainissement avec un payout ramené à 41,7% (5 457 M FCFA versés).</w:t>
      </w:r>
    </w:p>
    <w:p>
      <w:pPr>
        <w:spacing w:after="120" w:line="276" w:lineRule="auto"/>
      </w:pPr>
      <w:r>
        <w:t>**Recommandation fondamentale** : SMBC présente une **solidité financière remarquable** (ROE 30,5%, trésorerie nette positive, FCF 20,6 Mds FCFA) malgré un environnement de marché difficile (CA en baisse). Les risques principaux restent la dépendance aux prix du bitume, la volatilité de la demande à l'export et le délai clients élevé. La dynamique opérationnelle est excellente, mais la croissance du CA devra reprendre pour justifier la prime de valorisation (P/B 3,36x).</w:t>
      </w:r>
    </w:p>
    <w:p>
      <w:pPr>
        <w:spacing w:after="120" w:line="276" w:lineRule="auto"/>
      </w:pPr>
      <w:r>
        <w:t>---</w:t>
      </w:r>
    </w:p>
    <w:p>
      <w:pPr>
        <w:spacing w:after="120" w:line="276" w:lineRule="auto"/>
      </w:pPr>
      <w:r>
        <w:t>## PARTIE 4 : CONCLUSION D'INVESTISSEMENT</w:t>
      </w:r>
    </w:p>
    <w:p>
      <w:pPr>
        <w:spacing w:after="120" w:line="276" w:lineRule="auto"/>
      </w:pPr>
      <w:r>
        <w:t>La **valorisation** (Partie 0) est modérée : PER de 11,0x dans la moyenne du marché, P/B de 3,36x traduisant une prime de croissance, EV/EBITDA de 7,0x raisonnable — le titre n'est ni sous-évalué ni surévalué, mais intègre déjà une bonne partie des bonnes nouvelles. Le **comportement du cours** (Partie 1) est haussier (+57,95% sur 100 jours) mais préoccupant à court terme : volatilité élevée (36,1%), skewness négatif (-0,642) et cours proche du plus haut historique (18 500 FCFA), ce qui expose à une correction. Les **signaux techniques** (Partie 2) sont divergents : MM et MACD confirment la tendance haussière, mais RSI (76,7) et Stochastique (98,6) signalent un surachat extrême, plaidant pour une consolidation imminente. Les **fondamentaux** (Partie 3) sont excellents : ROE de 30,5%, résultat net en hausse de +50,3% à 13,075 Mds FCFA en 2025, trésorerie nette de 23,988 Mds FCFA, malgré un CA en repli de -9,74%. Les **prédictions IA** (J+1 à J+10) anticipent une légère correction de 18 480 FCFA vers 18 167 FCFA (-1,7%), ce qui **confirme** les signaux de surachat technique et suggère une consolidation à court terme.</w:t>
      </w:r>
    </w:p>
    <w:p>
      <w:pPr>
        <w:spacing w:after="120" w:line="276" w:lineRule="auto"/>
      </w:pPr>
      <w:r>
        <w:t>**Recommandation finale : CONSERVER** (avec opportunité d'achat sur repli)</w:t>
      </w:r>
    </w:p>
    <w:p>
      <w:pPr>
        <w:spacing w:after="120" w:line="276" w:lineRule="auto"/>
      </w:pPr>
      <w:r>
        <w:t>La convergence est partielle : les fondamentaux solides et la tendance de fond haussière soutiennent le titre, mais le surachat technique extrême et les prédictions baissières à 10 jours invitent à la prudence. Un investisseur déjà positionné devrait **conserver** en sécurisant une partie des gains, tandis qu'un nouvel entrant attendrait un repli vers 17 400 FCFA (MM20) pour se positionner. Le **niveau de confiance** est **Moyen** (fondamentaux solides mais timing technique défavorable), le **risque global** est **Moyen à Élevé** (volatilité 36,1%, dépendance aux matières premières), et l'**horizon optimal** est le **moyen terme (3-12 mois)**, le temps que la croissance du CA se confirme et que la consolidation technique s'achève.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3924.50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9,813 titres</w:t>
            </w:r>
          </w:p>
        </w:tc>
        <w:tc>
          <w:tcPr>
            <w:tcW w:type="dxa" w:w="2268"/>
            <w:shd w:fill="FFF2CC" w:val="clear"/>
          </w:tcPr>
          <w:p>
            <w:r>
              <w:rPr>
                <w:b/>
                <w:color w:val="503200"/>
                <w:sz w:val="16"/>
              </w:rPr>
              <w:t xml:space="preserve">Cours actuel : </w:t>
            </w:r>
            <w:r>
              <w:rPr>
                <w:color w:val="000000"/>
                <w:sz w:val="17"/>
              </w:rPr>
              <w:t>39,245 FCFA</w:t>
            </w:r>
          </w:p>
          <w:p>
            <w:r>
              <w:rPr>
                <w:b/>
                <w:color w:val="503200"/>
                <w:sz w:val="16"/>
              </w:rPr>
              <w:t xml:space="preserve">Var. 100 jours : </w:t>
            </w:r>
            <w:r>
              <w:rPr>
                <w:b/>
                <w:color w:val="007800"/>
                <w:sz w:val="17"/>
              </w:rPr>
              <w:t>+37.70%</w:t>
            </w:r>
          </w:p>
          <w:p>
            <w:r>
              <w:rPr>
                <w:b/>
                <w:color w:val="503200"/>
                <w:sz w:val="16"/>
              </w:rPr>
              <w:t xml:space="preserve">Plus haut 100j : </w:t>
            </w:r>
            <w:r>
              <w:rPr>
                <w:color w:val="000000"/>
                <w:sz w:val="17"/>
              </w:rPr>
              <w:t>39,275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27.1/100 → Moyen</w:t>
      </w:r>
    </w:p>
    <w:p>
      <w:pPr>
        <w:spacing w:before="40" w:after="80"/>
      </w:pPr>
      <w:r>
        <w:rPr>
          <w:rFonts w:ascii="Courier New" w:hAnsi="Courier New"/>
          <w:color w:val="825A00"/>
          <w:sz w:val="18"/>
        </w:rPr>
        <w:t>█████░░░░░░░░░░░░░░░  27.1/100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10.81% (Moyenne) — μ=31,144 FCFA, σ=3,365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β=1.8058 (Très agressif) — Cov=0.000063, Var(idx)=0.000035, ρ=0.561,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9,813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598627"/>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37,329</w:t>
            </w:r>
          </w:p>
        </w:tc>
        <w:tc>
          <w:tcPr>
            <w:tcW w:type="dxa" w:w="1440"/>
            <w:shd w:fill="FAFAFA" w:val="clear"/>
          </w:tcPr>
          <w:p>
            <w:r>
              <w:rPr>
                <w:b/>
                <w:sz w:val="17"/>
              </w:rPr>
              <w:t>38,849</w:t>
            </w:r>
          </w:p>
        </w:tc>
        <w:tc>
          <w:tcPr>
            <w:tcW w:type="dxa" w:w="1440"/>
            <w:shd w:fill="FAFAFA" w:val="clear"/>
          </w:tcPr>
          <w:p>
            <w:r>
              <w:rPr>
                <w:sz w:val="17"/>
              </w:rPr>
              <w:t>40,370</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36,678</w:t>
            </w:r>
          </w:p>
        </w:tc>
        <w:tc>
          <w:tcPr>
            <w:tcW w:type="dxa" w:w="1440"/>
            <w:shd w:fill="FAFAFA" w:val="clear"/>
          </w:tcPr>
          <w:p>
            <w:r>
              <w:rPr>
                <w:b/>
                <w:sz w:val="17"/>
              </w:rPr>
              <w:t>38,827</w:t>
            </w:r>
          </w:p>
        </w:tc>
        <w:tc>
          <w:tcPr>
            <w:tcW w:type="dxa" w:w="1440"/>
            <w:shd w:fill="FAFAFA" w:val="clear"/>
          </w:tcPr>
          <w:p>
            <w:r>
              <w:rPr>
                <w:sz w:val="17"/>
              </w:rPr>
              <w:t>40,976</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36,152</w:t>
            </w:r>
          </w:p>
        </w:tc>
        <w:tc>
          <w:tcPr>
            <w:tcW w:type="dxa" w:w="1440"/>
            <w:shd w:fill="FAFAFA" w:val="clear"/>
          </w:tcPr>
          <w:p>
            <w:r>
              <w:rPr>
                <w:b/>
                <w:sz w:val="17"/>
              </w:rPr>
              <w:t>38,781</w:t>
            </w:r>
          </w:p>
        </w:tc>
        <w:tc>
          <w:tcPr>
            <w:tcW w:type="dxa" w:w="1440"/>
            <w:shd w:fill="FAFAFA" w:val="clear"/>
          </w:tcPr>
          <w:p>
            <w:r>
              <w:rPr>
                <w:sz w:val="17"/>
              </w:rPr>
              <w:t>41,410</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35,710</w:t>
            </w:r>
          </w:p>
        </w:tc>
        <w:tc>
          <w:tcPr>
            <w:tcW w:type="dxa" w:w="1440"/>
            <w:shd w:fill="FAFAFA" w:val="clear"/>
          </w:tcPr>
          <w:p>
            <w:r>
              <w:rPr>
                <w:b/>
                <w:sz w:val="17"/>
              </w:rPr>
              <w:t>38,743</w:t>
            </w:r>
          </w:p>
        </w:tc>
        <w:tc>
          <w:tcPr>
            <w:tcW w:type="dxa" w:w="1440"/>
            <w:shd w:fill="FAFAFA" w:val="clear"/>
          </w:tcPr>
          <w:p>
            <w:r>
              <w:rPr>
                <w:sz w:val="17"/>
              </w:rPr>
              <w:t>41,775</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35,324</w:t>
            </w:r>
          </w:p>
        </w:tc>
        <w:tc>
          <w:tcPr>
            <w:tcW w:type="dxa" w:w="1440"/>
            <w:shd w:fill="FAFAFA" w:val="clear"/>
          </w:tcPr>
          <w:p>
            <w:r>
              <w:rPr>
                <w:b/>
                <w:sz w:val="17"/>
              </w:rPr>
              <w:t>38,712</w:t>
            </w:r>
          </w:p>
        </w:tc>
        <w:tc>
          <w:tcPr>
            <w:tcW w:type="dxa" w:w="1440"/>
            <w:shd w:fill="FAFAFA" w:val="clear"/>
          </w:tcPr>
          <w:p>
            <w:r>
              <w:rPr>
                <w:sz w:val="17"/>
              </w:rPr>
              <w:t>42,100</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34,976</w:t>
            </w:r>
          </w:p>
        </w:tc>
        <w:tc>
          <w:tcPr>
            <w:tcW w:type="dxa" w:w="1440"/>
            <w:shd w:fill="FAFAFA" w:val="clear"/>
          </w:tcPr>
          <w:p>
            <w:r>
              <w:rPr>
                <w:b/>
                <w:sz w:val="17"/>
              </w:rPr>
              <w:t>38,685</w:t>
            </w:r>
          </w:p>
        </w:tc>
        <w:tc>
          <w:tcPr>
            <w:tcW w:type="dxa" w:w="1440"/>
            <w:shd w:fill="FAFAFA" w:val="clear"/>
          </w:tcPr>
          <w:p>
            <w:r>
              <w:rPr>
                <w:sz w:val="17"/>
              </w:rPr>
              <w:t>42,394</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34,658</w:t>
            </w:r>
          </w:p>
        </w:tc>
        <w:tc>
          <w:tcPr>
            <w:tcW w:type="dxa" w:w="1440"/>
            <w:shd w:fill="FAFAFA" w:val="clear"/>
          </w:tcPr>
          <w:p>
            <w:r>
              <w:rPr>
                <w:b/>
                <w:sz w:val="17"/>
              </w:rPr>
              <w:t>38,661</w:t>
            </w:r>
          </w:p>
        </w:tc>
        <w:tc>
          <w:tcPr>
            <w:tcW w:type="dxa" w:w="1440"/>
            <w:shd w:fill="FAFAFA" w:val="clear"/>
          </w:tcPr>
          <w:p>
            <w:r>
              <w:rPr>
                <w:sz w:val="17"/>
              </w:rPr>
              <w:t>42,665</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34,361</w:t>
            </w:r>
          </w:p>
        </w:tc>
        <w:tc>
          <w:tcPr>
            <w:tcW w:type="dxa" w:w="1440"/>
            <w:shd w:fill="FAFAFA" w:val="clear"/>
          </w:tcPr>
          <w:p>
            <w:r>
              <w:rPr>
                <w:b/>
                <w:sz w:val="17"/>
              </w:rPr>
              <w:t>38,638</w:t>
            </w:r>
          </w:p>
        </w:tc>
        <w:tc>
          <w:tcPr>
            <w:tcW w:type="dxa" w:w="1440"/>
            <w:shd w:fill="FAFAFA" w:val="clear"/>
          </w:tcPr>
          <w:p>
            <w:r>
              <w:rPr>
                <w:sz w:val="17"/>
              </w:rPr>
              <w:t>42,915</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34,081</w:t>
            </w:r>
          </w:p>
        </w:tc>
        <w:tc>
          <w:tcPr>
            <w:tcW w:type="dxa" w:w="1440"/>
            <w:shd w:fill="FAFAFA" w:val="clear"/>
          </w:tcPr>
          <w:p>
            <w:r>
              <w:rPr>
                <w:b/>
                <w:sz w:val="17"/>
              </w:rPr>
              <w:t>38,615</w:t>
            </w:r>
          </w:p>
        </w:tc>
        <w:tc>
          <w:tcPr>
            <w:tcW w:type="dxa" w:w="1440"/>
            <w:shd w:fill="FAFAFA" w:val="clear"/>
          </w:tcPr>
          <w:p>
            <w:r>
              <w:rPr>
                <w:sz w:val="17"/>
              </w:rPr>
              <w:t>43,149</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33,816</w:t>
            </w:r>
          </w:p>
        </w:tc>
        <w:tc>
          <w:tcPr>
            <w:tcW w:type="dxa" w:w="1440"/>
            <w:shd w:fill="FAFAFA" w:val="clear"/>
          </w:tcPr>
          <w:p>
            <w:r>
              <w:rPr>
                <w:b/>
                <w:sz w:val="17"/>
              </w:rPr>
              <w:t>38,592</w:t>
            </w:r>
          </w:p>
        </w:tc>
        <w:tc>
          <w:tcPr>
            <w:tcW w:type="dxa" w:w="1440"/>
            <w:shd w:fill="FAFAFA" w:val="clear"/>
          </w:tcPr>
          <w:p>
            <w:r>
              <w:rPr>
                <w:sz w:val="17"/>
              </w:rPr>
              <w:t>43,369</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w:t>
        <w:br/>
        <w:t>### 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**3 924,50 milliards FCFA**, Sonatel demeure l'une des toutes premières capitalisations de la BRVM, ce qui en fait un pilier incontournable de l'indice régional et un titre de référence pour les investisseurs institutionnels. Le BPA s'établit à **4 136 FCFA/action**, matérialisant le bénéfice net généré pour chaque action détenue, tandis que le PER de **9,5x** situe le titre dans la fourchette basse de la moyenne BRVM (8-12x), suggérant une valorisation raisonnable voire légèrement sous-évaluée au regard de la qualité des bénéfices. Le P/B de **2,80x** traduit une prime de croissance accordée par le marché par rapport à la valeur comptable (1 399 Mds FCFA de capitaux propres), ce qui est cohérent pour un leader télécom en expansion. Enfin, l'EV/EBITDA de **4,1x** (inférieur au seuil de 5x) indique que la valeur d'entreprise reste très modérée comparée à la capacité opérationnelle de génération de cash, renforçant le diagnostic d'une action fondamentalement bon marché malgré sa récente progression.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**variation totale de +37,70%**, avec une dernière séance quasi stable (**+0,01%**), confirmant une tendance haussière puissante et soutenue. Le cours actuel de **39 245 FCFA** évolue à proximité immédiate de son plus haut de période (**39 275 FCFA**), tandis que le plus bas a été touché à **27 160 FCFA** — soit un range de trading de plus de 12 000 FCFA qui témoigne d'une dynamique acheteuse exceptionnelle. L'analyse descriptive révèle une **moyenne de 31 144 FCFA** nettement supérieure à la **médiane de 29 700 FCFA**, écart qui confirme une distribution asymétrique avec une concentration des cours sur la partie basse de la période avant l'envolée récente. L'**écart-type de 3 382 FCFA (CV = 10,9%)** indique une dispersion modérée et maîtrisée du cours autour de sa moyenne. Le **kurtosis de 0,308** (mésokurtique) suggère une distribution proche de la normale, donc un risque de pics extrêmes limité, tandis que le **skewness de +1,227** confirme une asymétrie positive — davantage de journées sous la moyenne, typique d'une phase d'accumulation suivie d'un rallye. La **volatilité annualisée de 30,0%** positionne le titre en zone modérée à élevée, cohérente avec un marché frontière en pleine réévaluation.</w:t>
      </w:r>
    </w:p>
    <w:p>
      <w:pPr>
        <w:spacing w:after="120" w:line="276" w:lineRule="auto"/>
      </w:pPr>
      <w:r>
        <w:t>---</w:t>
      </w:r>
    </w:p>
    <w:p>
      <w:pPr>
        <w:spacing w:after="120" w:line="276" w:lineRule="auto"/>
      </w:pPr>
      <w:r>
        <w:t>## PARTIE 2 : ANALYSE TECHNIQUE DÉTAILLÉE</w:t>
      </w:r>
    </w:p>
    <w:p>
      <w:pPr>
        <w:spacing w:after="120" w:line="276" w:lineRule="auto"/>
      </w:pPr>
      <w:r>
        <w:t>**Moyennes Mobiles** — La MM20 (37 139,75 FCFA) et la MM50 (33 654,10 FCFA) se situent toutes deux sous le cours actuel (39 245 FCFA), avec une MM20 au-dessus de la MM50 : configuration haussière classique en « golden cross ». Le cours évolue nettement au-dessus de ses deux moyennes, confirmant la force du momentum acheteur et justifiant la décision **Achat**.</w:t>
      </w:r>
    </w:p>
    <w:p>
      <w:pPr>
        <w:spacing w:after="120" w:line="276" w:lineRule="auto"/>
      </w:pPr>
      <w:r>
        <w:t>**Bandes de Bollinger** — Le cours (39 245 FCFA) évolue dans la partie haute du canal, entre la borne inférieure (33 189,12 FCFA) et la borne supérieure (41 090,38 FCFA), sans franchissement de cette dernière. Cette position proche du haut de bande traduit une pression acheteuse soutenue mais non encore en zone d'excès, justifiant la décision **Neutre** — le titre approche d'une zone de résistance potentielle.</w:t>
      </w:r>
    </w:p>
    <w:p>
      <w:pPr>
        <w:spacing w:after="120" w:line="276" w:lineRule="auto"/>
      </w:pPr>
      <w:r>
        <w:t>**MACD** — La ligne MACD (1 799,57) surpasse son signal (1 756,19), avec un histogramme positif. Cette configuration confirme un momentum haussier intact, bien que l'écart relativement faible entre les deux lignes suggère un essoufflement possible de la dynamique. La décision technique reste néanmoins **Achat**.</w:t>
      </w:r>
    </w:p>
    <w:p>
      <w:pPr>
        <w:spacing w:after="120" w:line="276" w:lineRule="auto"/>
      </w:pPr>
      <w:r>
        <w:t>**RSI** — À **90,64**, le RSI se situe très largement au-dessus du seuil de surachat (70), signalant une tension acheteuse extrême et un risque élevé de correction à court terme. Cette lecture justifie pleinement la décision **Vente** — le titre est techniquement surchauffé.</w:t>
      </w:r>
    </w:p>
    <w:p>
      <w:pPr>
        <w:spacing w:after="120" w:line="276" w:lineRule="auto"/>
      </w:pPr>
      <w:r>
        <w:t>**Stochastique** — Le %K (99,08) et le %D (99,45) évoluent tous deux en zone extrême de surachat, avec un %K légèrement sous le %D, prémices possibles d'un croisement baissier imminent. La décision **Vente** est cohérente avec cette configuration de retournement potentiel.</w:t>
      </w:r>
    </w:p>
    <w:p>
      <w:pPr>
        <w:spacing w:after="120" w:line="276" w:lineRule="auto"/>
      </w:pPr>
      <w:r>
        <w:t>**Conclusion technique** — Les indicateurs de tendance (MM, MACD) restent haussiers et confirment la solidité du mouvement, mais les oscillateurs (RSI à 90,6 et Stochastique à 99) clignotent en zone de surachat extrême, annonçant une probable consolidation ou correction à court terme. Le titre se trouve à un point d'inflexion technique : la tendance de fond demeure positive, mais le timing d'entrée est défavorable pour un acheteur.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affiche un chiffre d'affaires consolidé de **1 923,12 Mds FCFA**, en croissance de **+8,26%**, et un résultat net de **413,59 Mds FCFA** (marge nette de 21,51%). La rentabilité des fonds propres est excellente avec un **ROE de 29,56%** (largement supérieur au seuil de 15%) et un **ROA de 12,65%**, confirmant l'efficacité de l'utilisation des actifs. En tant qu'entreprise non bancaire, l'analyse des délais d'exploitation est instructive : le **délai clients de 46,16 jours** reste contenu, le **délai fournisseurs de 201,39 jours** constitue un avantage de trésorerie majeur, et le **BFR négatif de -284,91 Mds FCFA** traduit un modèle de financement très favorable. La structure financière est saine : **autonomie financière de 42,79%**, ratio d'endettement de 57,21%, et une **capacité de remboursement de 0,64 an** seulement (dettes financières/CAF), tandis que la couverture des intérêts atteint 2 744,71%. Le Free Cash Flow de **408,09 Mds FCFA** et la trésorerie nette de 536,11 Mds FCFA confirment une génération de cash robuste.</w:t>
      </w:r>
    </w:p>
    <w:p>
      <w:pPr>
        <w:spacing w:after="120" w:line="276" w:lineRule="auto"/>
      </w:pPr>
      <w:r>
        <w:t>**Évolution et estimations issues des rapports** — Le rapport annuel 2024 (publié le 31/12/2024) faisait état d'un CA de 1 776,4 Mds FCFA et d'un résultat net de 393,7 Mds FCFA, soit une progression de +8,3% du CA et +5,1% du résultat net en 2025. Le rapport T3 2025 (30/09/2025) confirmait cette dynamique avec un CA 9M de 1 432,5 Mds FCFA (+8,6%) et un résultat net de 311 Mds FCFA (+8,0%). Plus récemment, le communiqué du **24/07/2026** sur le S1 2026 révèle un CA de **1 049,8 Mds FCFA (+9,3%)** et un résultat net de **230 Mds FCFA (+10,5%)**, avec un EBITDAaL de 510,8 Mds FCFA (48,7% du CA). Sur cette base, on peut **estimer** que l'exercice 2026 devrait afficher un CA proche de 2 100 Mds FCFA et un résultat net autour de 450 Mds FCFA, soit une accélération de la croissance. La notation financière a d'ailleurs été relevée à **AAA (wu) par GCR Ratings**, et le dividende proposé de **1 933 FCFA brut (1 740 FCFA net)** offre un rendement attractif de 4,4% au cours actuel.</w:t>
      </w:r>
    </w:p>
    <w:p>
      <w:pPr>
        <w:spacing w:after="120" w:line="276" w:lineRule="auto"/>
      </w:pPr>
      <w:r>
        <w:t>**Recommandation fondamentale** — Sonatel présente des fondamentaux exceptionnels : croissance soutenue, marges élevées, structure financière solide, génération de cash abondante et politique de dividende généreuse. Les risques identifiés (pression fiscale et réglementaire, concurrence accrue sur le Mobile Money et la Data, instabilité géopolitique au Mali) demeurent maîtrisés. La solidité fondamentale est **incontestable**.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révèle un profil d'investissement contrasté. Sur le plan de la **valorisation (Partie 0)**, les ratios PER (9,5x), P/B (2,80x) et EV/EBITDA (4,1x) indiquent une action raisonnablement valorisée, voire légèrement sous-évaluée au regard de ses fondamentaux. Le **comportement du cours (Partie 1)** est nettement haussier (+37,70% sur 100 jours) avec une volatilité modérée (30%) et une distribution asymétrique positive (skewness +1,23), mais le titre évolue à proximité de son plus haut historique de période. Les **signaux techniques (Partie 2)** sont divergents : les indicateurs de tendance (MM, MACD) restent haussiers, mais les oscillateurs (RSI à 90,6, Stochastique à 99) signalent un surachat extrême annonçant une correction imminente. Les **fondamentaux (Partie 3)** sont excellents, avec un ROE de 29,56%, un BFR négatif, une croissance à deux chiffres au S1 2026 et une notation AAA. Enfin, les **prédictions IA (J+1 à J+10)** anticipent une légère consolidation (38 849 → 38 712 FCFA), confirmant la thèse d'une pause technique après le rallye.</w:t>
      </w:r>
    </w:p>
    <w:p>
      <w:pPr>
        <w:spacing w:after="120" w:line="276" w:lineRule="auto"/>
      </w:pPr>
      <w:r>
        <w:t>**Recommandation finale : CONSERVER.** La convergence entre valorisation attractive, fondamentaux solides et tendance de fond haussière plaide pour le maintien en portefeuille, mais le surachat technique extrême (RSI 90,6) et les prédictions de consolidation à court terme déconseillent toute nouvelle entrée à ces niveaux. Les détenteurs actuels peuvent conserver leur position en vue de l'encaissement du dividende (1 740 FCFA net, paiement le 26/05/2026) et d'une poursuite de la tendance moyen terme. **Niveau de confiance : Moyen** (divergence technique/fondamental). **Risque global : Moyen** (surachat à court terme, mais fondamentaux protecteurs). **Horizon optimal : Moyen terme (3-12 mois)**, avec un point d'entrée plus favorable envisageable autour de 37 000-38 000 FCFA en cas de consolidation.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175.84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6,118 titres</w:t>
            </w:r>
          </w:p>
        </w:tc>
        <w:tc>
          <w:tcPr>
            <w:tcW w:type="dxa" w:w="2268"/>
            <w:shd w:fill="FFF2CC" w:val="clear"/>
          </w:tcPr>
          <w:p>
            <w:r>
              <w:rPr>
                <w:b/>
                <w:color w:val="503200"/>
                <w:sz w:val="16"/>
              </w:rPr>
              <w:t xml:space="preserve">Cours actuel : </w:t>
            </w:r>
            <w:r>
              <w:rPr>
                <w:color w:val="000000"/>
                <w:sz w:val="17"/>
              </w:rPr>
              <w:t>8,140 FCFA</w:t>
            </w:r>
          </w:p>
          <w:p>
            <w:r>
              <w:rPr>
                <w:b/>
                <w:color w:val="503200"/>
                <w:sz w:val="16"/>
              </w:rPr>
              <w:t xml:space="preserve">Var. 100 jours : </w:t>
            </w:r>
            <w:r>
              <w:rPr>
                <w:b/>
                <w:color w:val="007800"/>
                <w:sz w:val="17"/>
              </w:rPr>
              <w:t>+5.99%</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5.03% (Moyenne) — μ=8,032 FCFA, σ=404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β=0.3814 (Défensif) — Cov=0.000013, Var(idx)=0.000035, ρ=0.088,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7,664</w:t>
            </w:r>
          </w:p>
        </w:tc>
        <w:tc>
          <w:tcPr>
            <w:tcW w:type="dxa" w:w="1440"/>
            <w:shd w:fill="FAFAFA" w:val="clear"/>
          </w:tcPr>
          <w:p>
            <w:r>
              <w:rPr>
                <w:b/>
                <w:sz w:val="17"/>
              </w:rPr>
              <w:t>8,089</w:t>
            </w:r>
          </w:p>
        </w:tc>
        <w:tc>
          <w:tcPr>
            <w:tcW w:type="dxa" w:w="1440"/>
            <w:shd w:fill="FAFAFA" w:val="clear"/>
          </w:tcPr>
          <w:p>
            <w:r>
              <w:rPr>
                <w:sz w:val="17"/>
              </w:rPr>
              <w:t>8,513</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7,476</w:t>
            </w:r>
          </w:p>
        </w:tc>
        <w:tc>
          <w:tcPr>
            <w:tcW w:type="dxa" w:w="1440"/>
            <w:shd w:fill="FAFAFA" w:val="clear"/>
          </w:tcPr>
          <w:p>
            <w:r>
              <w:rPr>
                <w:b/>
                <w:sz w:val="17"/>
              </w:rPr>
              <w:t>8,075</w:t>
            </w:r>
          </w:p>
        </w:tc>
        <w:tc>
          <w:tcPr>
            <w:tcW w:type="dxa" w:w="1440"/>
            <w:shd w:fill="FAFAFA" w:val="clear"/>
          </w:tcPr>
          <w:p>
            <w:r>
              <w:rPr>
                <w:sz w:val="17"/>
              </w:rPr>
              <w:t>8,675</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2026-09-18</w:t>
            </w:r>
          </w:p>
        </w:tc>
        <w:tc>
          <w:tcPr>
            <w:tcW w:type="dxa" w:w="1440"/>
            <w:shd w:fill="FAFAFA" w:val="clear"/>
          </w:tcPr>
          <w:p>
            <w:r>
              <w:rPr>
                <w:sz w:val="17"/>
              </w:rPr>
              <w:t>7,329</w:t>
            </w:r>
          </w:p>
        </w:tc>
        <w:tc>
          <w:tcPr>
            <w:tcW w:type="dxa" w:w="1440"/>
            <w:shd w:fill="FAFAFA" w:val="clear"/>
          </w:tcPr>
          <w:p>
            <w:r>
              <w:rPr>
                <w:b/>
                <w:sz w:val="17"/>
              </w:rPr>
              <w:t>8,062</w:t>
            </w:r>
          </w:p>
        </w:tc>
        <w:tc>
          <w:tcPr>
            <w:tcW w:type="dxa" w:w="1440"/>
            <w:shd w:fill="FAFAFA" w:val="clear"/>
          </w:tcPr>
          <w:p>
            <w:r>
              <w:rPr>
                <w:sz w:val="17"/>
              </w:rPr>
              <w:t>8,794</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7,205</w:t>
            </w:r>
          </w:p>
        </w:tc>
        <w:tc>
          <w:tcPr>
            <w:tcW w:type="dxa" w:w="1440"/>
            <w:shd w:fill="FAFAFA" w:val="clear"/>
          </w:tcPr>
          <w:p>
            <w:r>
              <w:rPr>
                <w:b/>
                <w:sz w:val="17"/>
              </w:rPr>
              <w:t>8,049</w:t>
            </w:r>
          </w:p>
        </w:tc>
        <w:tc>
          <w:tcPr>
            <w:tcW w:type="dxa" w:w="1440"/>
            <w:shd w:fill="FAFAFA" w:val="clear"/>
          </w:tcPr>
          <w:p>
            <w:r>
              <w:rPr>
                <w:sz w:val="17"/>
              </w:rPr>
              <w:t>8,894</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7,095</w:t>
            </w:r>
          </w:p>
        </w:tc>
        <w:tc>
          <w:tcPr>
            <w:tcW w:type="dxa" w:w="1440"/>
            <w:shd w:fill="FAFAFA" w:val="clear"/>
          </w:tcPr>
          <w:p>
            <w:r>
              <w:rPr>
                <w:b/>
                <w:sz w:val="17"/>
              </w:rPr>
              <w:t>8,038</w:t>
            </w:r>
          </w:p>
        </w:tc>
        <w:tc>
          <w:tcPr>
            <w:tcW w:type="dxa" w:w="1440"/>
            <w:shd w:fill="FAFAFA" w:val="clear"/>
          </w:tcPr>
          <w:p>
            <w:r>
              <w:rPr>
                <w:sz w:val="17"/>
              </w:rPr>
              <w:t>8,981</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6,995</w:t>
            </w:r>
          </w:p>
        </w:tc>
        <w:tc>
          <w:tcPr>
            <w:tcW w:type="dxa" w:w="1440"/>
            <w:shd w:fill="FAFAFA" w:val="clear"/>
          </w:tcPr>
          <w:p>
            <w:r>
              <w:rPr>
                <w:b/>
                <w:sz w:val="17"/>
              </w:rPr>
              <w:t>8,027</w:t>
            </w:r>
          </w:p>
        </w:tc>
        <w:tc>
          <w:tcPr>
            <w:tcW w:type="dxa" w:w="1440"/>
            <w:shd w:fill="FAFAFA" w:val="clear"/>
          </w:tcPr>
          <w:p>
            <w:r>
              <w:rPr>
                <w:sz w:val="17"/>
              </w:rPr>
              <w:t>9,059</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6,903</w:t>
            </w:r>
          </w:p>
        </w:tc>
        <w:tc>
          <w:tcPr>
            <w:tcW w:type="dxa" w:w="1440"/>
            <w:shd w:fill="FAFAFA" w:val="clear"/>
          </w:tcPr>
          <w:p>
            <w:r>
              <w:rPr>
                <w:b/>
                <w:sz w:val="17"/>
              </w:rPr>
              <w:t>8,016</w:t>
            </w:r>
          </w:p>
        </w:tc>
        <w:tc>
          <w:tcPr>
            <w:tcW w:type="dxa" w:w="1440"/>
            <w:shd w:fill="FAFAFA" w:val="clear"/>
          </w:tcPr>
          <w:p>
            <w:r>
              <w:rPr>
                <w:sz w:val="17"/>
              </w:rPr>
              <w:t>9,129</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6,817</w:t>
            </w:r>
          </w:p>
        </w:tc>
        <w:tc>
          <w:tcPr>
            <w:tcW w:type="dxa" w:w="1440"/>
            <w:shd w:fill="FAFAFA" w:val="clear"/>
          </w:tcPr>
          <w:p>
            <w:r>
              <w:rPr>
                <w:b/>
                <w:sz w:val="17"/>
              </w:rPr>
              <w:t>8,006</w:t>
            </w:r>
          </w:p>
        </w:tc>
        <w:tc>
          <w:tcPr>
            <w:tcW w:type="dxa" w:w="1440"/>
            <w:shd w:fill="FAFAFA" w:val="clear"/>
          </w:tcPr>
          <w:p>
            <w:r>
              <w:rPr>
                <w:sz w:val="17"/>
              </w:rPr>
              <w:t>9,194</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6,737</w:t>
            </w:r>
          </w:p>
        </w:tc>
        <w:tc>
          <w:tcPr>
            <w:tcW w:type="dxa" w:w="1440"/>
            <w:shd w:fill="FAFAFA" w:val="clear"/>
          </w:tcPr>
          <w:p>
            <w:r>
              <w:rPr>
                <w:b/>
                <w:sz w:val="17"/>
              </w:rPr>
              <w:t>7,995</w:t>
            </w:r>
          </w:p>
        </w:tc>
        <w:tc>
          <w:tcPr>
            <w:tcW w:type="dxa" w:w="1440"/>
            <w:shd w:fill="FAFAFA" w:val="clear"/>
          </w:tcPr>
          <w:p>
            <w:r>
              <w:rPr>
                <w:sz w:val="17"/>
              </w:rPr>
              <w:t>9,254</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6,660</w:t>
            </w:r>
          </w:p>
        </w:tc>
        <w:tc>
          <w:tcPr>
            <w:tcW w:type="dxa" w:w="1440"/>
            <w:shd w:fill="FAFAFA" w:val="clear"/>
          </w:tcPr>
          <w:p>
            <w:r>
              <w:rPr>
                <w:b/>
                <w:sz w:val="17"/>
              </w:rPr>
              <w:t>7,986</w:t>
            </w:r>
          </w:p>
        </w:tc>
        <w:tc>
          <w:tcPr>
            <w:tcW w:type="dxa" w:w="1440"/>
            <w:shd w:fill="FAFAFA" w:val="clear"/>
          </w:tcPr>
          <w:p>
            <w:r>
              <w:rPr>
                <w:sz w:val="17"/>
              </w:rPr>
              <w:t>9,311</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**Marché : BRVM | Secteur : Agro-industrie (Hévéa &amp; Palmier à huile)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**175,84 milliards FCFA**, SOGC s'impose comme une valeur de premier plan de la cote BRVM, représentant un pilier du compartiment agro-industriel régional. Le **BPA de 578 FCFA/action** traduit une rentabilité unitaire solide, tandis que le **PER de 14,1x** situe le titre légèrement au-dessus de la moyenne BRVM (8-12x), ce qui suggère que les investisseurs intègrent déjà une prime de qualité et de rendement dans le cours. Le **P/B de 2,57x** confirme cette lecture : le marché valorise SOGC à plus de deux fois et demie ses fonds propres comptables (68,43 Mds FCFA), une prime justifiée par la robustesse du ROE (18,26%) mais qui limite la marge de sécurité en cas de correction. Enfin, l'**EV/EBITDA de 7,3x** demeure raisonnable dans la fourchette sectorielle (5-10x), indiquant que la valeur d'entreprise reste cohérente avec la capacité opérationnelle dégagée (EBE de 23,54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SOGC affiche une progression totale de **+5,99%**, avec une dernière séance en hausse de **+0,49%**, confirmant une dynamique haussière modérée mais continue. Le titre a évolué dans un range de **7 100 FCFA (plus bas) à 8 875 FCFA (plus haut)**, soit une amplitude de près de 25%, avant de se stabiliser autour du cours actuel de **8 140 FCFA**. La tendance générale est haussière mais marque un essoufflement, le cours se situant désormais sous sa moyenne (8 032 FCFA) et proche de sa médiane (8 145 FCFA), signe d'une distribution équilibrée entre acheteurs et vendeurs. Les statistiques descriptives révèlent un **écart-type de 406 FCFA (CV = 5,1%)**, traduisant une dispersion contenue du cours, tandis que le **kurtosis de -0,740 (mésokurtique)** indique une distribution proche de la normale, sans risque majeur de pics extrêmes. Le **skewness de -0,469** (distribution symétrique selon l'interprétation fournie) suggère une légère prédominance des mouvements baissiers, cohérente avec la correction récente depuis les sommets. Enfin, la **volatilité annualisée de 40,4%** classe SOGC parmi les titres à volatilité élevée (&gt;30%), ce qui implique un risque de fluctuation important à court terme, à intégrer dans toute stratégie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(8 205,5 FCFA) et la MM50 (8 167,6 FCFA) se situent toutes deux au-dessus du cours actuel (8 140 FCFA), ce qui place le titre en position légèrement baissière à court terme. Toutefois, la MM20 reste supérieure à la MM50, signalant que la tendance de fond demeure haussière ; la décision technique fournie est **Achat**, justifiée par cette configuration en "golden cross" implicite malgré le repli récent.</w:t>
      </w:r>
    </w:p>
    <w:p>
      <w:pPr>
        <w:spacing w:after="120" w:line="276" w:lineRule="auto"/>
      </w:pPr>
      <w:r>
        <w:t>**Bandes de Bollinger** : Le cours (8 140 FCFA) évolue dans la partie médiane de la bande, entre la borne inférieure (7 645,78 FCFA) et la borne supérieure (8 765,22 FCFA). Cette position centrale, couplée à un resserrement relatif des bandes, indique une phase de consolidation sans pression directionnelle forte ; la décision est **Neutre**, le titre n'étant ni en zone de survente ni de surachat technique.</w:t>
      </w:r>
    </w:p>
    <w:p>
      <w:pPr>
        <w:spacing w:after="120" w:line="276" w:lineRule="auto"/>
      </w:pPr>
      <w:r>
        <w:t>**MACD** : La valeur du MACD (-16,441) est inférieure à son signal (7,255), générant un croisement baissier et une divergence négative qui traduit un **momentum affaibli**. La décision technique est **Vente**, ce qui contraste avec la lecture des moyennes mobiles et suggère une prudence à court terme.</w:t>
      </w:r>
    </w:p>
    <w:p>
      <w:pPr>
        <w:spacing w:after="120" w:line="276" w:lineRule="auto"/>
      </w:pPr>
      <w:r>
        <w:t>**RSI** : À **48,69**, le RSI se situe en zone parfaitement neutre (30-70), sans signal de surachat (&gt;70) ni de survente (&lt;30). La décision est **Neutre**, confirmant l'absence de pression acheteuse ou vendeuse dominante et une phase d'équilibre du marché.</w:t>
      </w:r>
    </w:p>
    <w:p>
      <w:pPr>
        <w:spacing w:after="120" w:line="276" w:lineRule="auto"/>
      </w:pPr>
      <w:r>
        <w:t>**Stochastique** : Le %K (37,447) est légèrement supérieur au %D (35,177), sans croisement net ni divergence marquée. Les deux lignes évoluent en zone basse-médiane, proches du seuil de survente (20), ce qui pourrait annoncer un rebond technique imminent ; la décision reste toutefois **Neutre** en l'absence de signal confirmé.</w:t>
      </w:r>
    </w:p>
    <w:p>
      <w:pPr>
        <w:spacing w:after="120" w:line="276" w:lineRule="auto"/>
      </w:pPr>
      <w:r>
        <w:t>**Conclusion technique** : Les indicateurs techniques présentent un tableau **mitigé** : les moyennes mobiles plaident pour un achat de fond, mais le MACD baissier, le RSI neutre et le stochastique sans direction claire suggèrent une consolidation en cours. Le titre se trouve dans une zone de transition où la prudence est de mise, avec un avantage tactique aux acheteurs uniquement en cas de cassure confirmée au-dessus de 8 205 FCFA (MM20).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 réalisé un **chiffre d'affaires de 98,979 Mds FCFA**, en croissance de **+10,70%** par rapport à 2024 (93,52 Mds FCFA), portée par la hausse des prix de l'huile de palme (+20%) et de palmiste (+47%) ainsi que par la progression des volumes de caoutchouc (+9%). Le **résultat net s'établit à 12,493 Mds FCFA**, en léger recul de 5% (-618 M FCFA) par rapport à 2024 (13,11 Mds FCFA), sous l'effet de la hausse de 15% des coûts d'achat du coagulum. La rentabilité reste néanmoins excellente avec un **ROE de 18,26%** (&gt;15% = excellent) et un **ROA de 13,84%**, tandis que la **marge nette de 12,62%** et la **marge opérationnelle de 17,24%** témoignent d'une bonne maîtrise des charges. La structure financière est remarquablement saine : **autonomie financière de 75,79%**, **ratio d'endettement de 24,21%**, **solvabilité générale de 413%** et **liquidité générale de 170,32%**. Le **BFR de 7,124 Mds FCFA** (positif, donc à surveiller) et le **délai de stockage de 97,67 jours** (élevé) constituent les principaux points de vigilance, tout comme la **capacité de remboursement de 0,04 an** qui reste excellente.</w:t>
      </w:r>
    </w:p>
    <w:p>
      <w:pPr>
        <w:spacing w:after="120" w:line="276" w:lineRule="auto"/>
      </w:pPr>
      <w:r>
        <w:t>**Adaptation au secteur ENTREPRISE** : Le **délai clients de 29,60 jours** est maîtrisé et le **délai fournisseurs de 31,72 jours** légèrement supérieur, ce qui est favorable à la trésorerie. La **rotation des actifs de 109,63%** indique une bonne efficacité opérationnelle. Le **free cash flow de 16,031 Mds FCFA** et la **CAF de 18,938 Mds FCFA** confirment une génération de cash robuste, renforcée par une **trésorerie nette positive de 4,575 Mds FCFA** (améliorée de 3,1 Mds FCFA sur l'exercice selon le rapport 2025).</w:t>
      </w:r>
    </w:p>
    <w:p>
      <w:pPr>
        <w:spacing w:after="120" w:line="276" w:lineRule="auto"/>
      </w:pPr>
      <w:r>
        <w:t>**Estimations basées sur les rapports trimestriels** : Le rapport **T3 2025 (30/09/2025)** indique un CA cumulé de 75,6 Mds FCFA (+21,3%) et un résultat net de 11,5 Mds FCFA (+39,5%), avec une marge nette de 15,3%. Le rapport **S1 2025 (30/06/2025)** faisait état d'un CA de 55,4 Mds FCFA (+51,9%) et d'un résultat net de 10,2 Mds FCFA (+151,6%). Sur cette base, on estime que l'exercice 2025 devrait se conclure avec un résultat net autour de 12,5 Mds FCFA (confirmé par les données structurées), en ralentissement au S2 sous l'effet de la concurrence accrue sur le coagulum et de la baisse des cours SICOM. Le rapport **2024 (31/12/2024)** soulignait déjà un résultat net de 13,11 Mds FCFA (+149%) et un dividende de 60 FCFA/action, tandis que l'AG du **28 mai 2026** a proposé un **dividende brut de 570 FCFA/action** (vs 60 FCFA en 2024), soit un rendement exceptionnel de près de 7% au cours actuel.</w:t>
      </w:r>
    </w:p>
    <w:p>
      <w:pPr>
        <w:spacing w:after="120" w:line="276" w:lineRule="auto"/>
      </w:pPr>
      <w:r>
        <w:t>**Recommandation fondamentale** : SOGC présente des **fondamentaux solides** (ROE 18,26%, autonomie financière 75,79%, trésorerie nette positive) mais fait face à des **risques croissants** (concurrence sur le coagulum, volatilité des prix SICOM, taux de distribution élevé). La politique de dividende généreuse (570 FCFA/action) est attractive mais pourrait limiter les capacités de réinvestissement à long terme. La recommandation fondamentale est **CONSERVER**, avec un biais positif lié à la solidité bilancielle et au rendement.</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dessine un profil d'investissement **équilibré mais prudent**. La **valorisation (Partie 0)** est modérée (PER 14,1x, EV/EBITDA 7,3x) mais intègre une prime de qualité (P/B 2,57x) qui limite le potentiel de revalorisation immédiate. Le **comportement du cours (Partie 1)** est haussier sur 100 jours (+5,99%) mais marque un essoufflement, avec une volatilité élevée (40,4%) et une distribution symétrique (skewness -0,469) sans risque de pics extrêmes (kurtosis -0,740). Les **signaux techniques (Partie 2)** sont mitigés : les moyennes mobiles plaident pour l'achat, mais le MACD baissier, le RSI neutre et le stochastique sans direction claire suggèrent une consolidation. Les **fondamentaux (Partie 3)** sont solides (ROE 18,26%, autonomie financière 75,79%, dividende 570 FCFA/action) mais impactés par la baisse de 5% du résultat net 2025 et les pressions concurrentielles. Les **prédictions IA (J+1 à J+10)** anticipent une légère dérive baissière (8 089 → 8 038 FCFA), en cohérence avec le momentum technique affaibli.</w:t>
      </w:r>
    </w:p>
    <w:p>
      <w:pPr>
        <w:spacing w:after="120" w:line="276" w:lineRule="auto"/>
      </w:pPr>
      <w:r>
        <w:t>**Recommandation finale : CONSERVER** — Le titre présente une convergence partielle entre valorisation raisonnable, fondamentaux solides et dividende attractif, mais les signaux techniques à court terme et les prédictions baissières incitent à la prudence. **Niveau de confiance : Moyen** (divergence entre technique et fondamental). **Niveau de risque : Moyen** (volatilité élevée mais structure financière saine). **Horizon d'investissement optimal : Moyen terme (3-12 mois)**, en attendant une clarification des tendances techniques et une stabilisation des prix des matières premières. Un passage à l'**ACHAT** serait justifié en cas de cassure confirmée au-dessus de 8 205 FCFA (MM20) avec un MACD redevenant haussier.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209.06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4,579 titres</w:t>
            </w:r>
          </w:p>
        </w:tc>
        <w:tc>
          <w:tcPr>
            <w:tcW w:type="dxa" w:w="2268"/>
            <w:shd w:fill="FFF2CC" w:val="clear"/>
          </w:tcPr>
          <w:p>
            <w:r>
              <w:rPr>
                <w:b/>
                <w:color w:val="503200"/>
                <w:sz w:val="16"/>
              </w:rPr>
              <w:t xml:space="preserve">Cours actuel : </w:t>
            </w:r>
            <w:r>
              <w:rPr>
                <w:color w:val="000000"/>
                <w:sz w:val="17"/>
              </w:rPr>
              <w:t>8,180 FCFA</w:t>
            </w:r>
          </w:p>
          <w:p>
            <w:r>
              <w:rPr>
                <w:b/>
                <w:color w:val="503200"/>
                <w:sz w:val="16"/>
              </w:rPr>
              <w:t xml:space="preserve">Var. 100 jours : </w:t>
            </w:r>
            <w:r>
              <w:rPr>
                <w:b/>
                <w:color w:val="007800"/>
                <w:sz w:val="17"/>
              </w:rPr>
              <w:t>+11.22%</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10.30% (Moyenne) — μ=7,777 FCFA, σ=801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β=1.0250 (Neutre (suit le marché)) — Cov=0.000036, Var(idx)=0.000035, ρ=0.213,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862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7,601</w:t>
            </w:r>
          </w:p>
        </w:tc>
        <w:tc>
          <w:tcPr>
            <w:tcW w:type="dxa" w:w="1440"/>
            <w:shd w:fill="FAFAFA" w:val="clear"/>
          </w:tcPr>
          <w:p>
            <w:r>
              <w:rPr>
                <w:b/>
                <w:sz w:val="17"/>
              </w:rPr>
              <w:t>8,135</w:t>
            </w:r>
          </w:p>
        </w:tc>
        <w:tc>
          <w:tcPr>
            <w:tcW w:type="dxa" w:w="1440"/>
            <w:shd w:fill="FAFAFA" w:val="clear"/>
          </w:tcPr>
          <w:p>
            <w:r>
              <w:rPr>
                <w:sz w:val="17"/>
              </w:rPr>
              <w:t>8,670</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7,356</w:t>
            </w:r>
          </w:p>
        </w:tc>
        <w:tc>
          <w:tcPr>
            <w:tcW w:type="dxa" w:w="1440"/>
            <w:shd w:fill="FAFAFA" w:val="clear"/>
          </w:tcPr>
          <w:p>
            <w:r>
              <w:rPr>
                <w:b/>
                <w:sz w:val="17"/>
              </w:rPr>
              <w:t>8,109</w:t>
            </w:r>
          </w:p>
        </w:tc>
        <w:tc>
          <w:tcPr>
            <w:tcW w:type="dxa" w:w="1440"/>
            <w:shd w:fill="FAFAFA" w:val="clear"/>
          </w:tcPr>
          <w:p>
            <w:r>
              <w:rPr>
                <w:sz w:val="17"/>
              </w:rPr>
              <w:t>8,863</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2026-09-18</w:t>
            </w:r>
          </w:p>
        </w:tc>
        <w:tc>
          <w:tcPr>
            <w:tcW w:type="dxa" w:w="1440"/>
            <w:shd w:fill="FAFAFA" w:val="clear"/>
          </w:tcPr>
          <w:p>
            <w:r>
              <w:rPr>
                <w:sz w:val="17"/>
              </w:rPr>
              <w:t>7,163</w:t>
            </w:r>
          </w:p>
        </w:tc>
        <w:tc>
          <w:tcPr>
            <w:tcW w:type="dxa" w:w="1440"/>
            <w:shd w:fill="FAFAFA" w:val="clear"/>
          </w:tcPr>
          <w:p>
            <w:r>
              <w:rPr>
                <w:b/>
                <w:sz w:val="17"/>
              </w:rPr>
              <w:t>8,083</w:t>
            </w:r>
          </w:p>
        </w:tc>
        <w:tc>
          <w:tcPr>
            <w:tcW w:type="dxa" w:w="1440"/>
            <w:shd w:fill="FAFAFA" w:val="clear"/>
          </w:tcPr>
          <w:p>
            <w:r>
              <w:rPr>
                <w:sz w:val="17"/>
              </w:rPr>
              <w:t>9,003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6,998</w:t>
            </w:r>
          </w:p>
        </w:tc>
        <w:tc>
          <w:tcPr>
            <w:tcW w:type="dxa" w:w="1440"/>
            <w:shd w:fill="FAFAFA" w:val="clear"/>
          </w:tcPr>
          <w:p>
            <w:r>
              <w:rPr>
                <w:b/>
                <w:sz w:val="17"/>
              </w:rPr>
              <w:t>8,057</w:t>
            </w:r>
          </w:p>
        </w:tc>
        <w:tc>
          <w:tcPr>
            <w:tcW w:type="dxa" w:w="1440"/>
            <w:shd w:fill="FAFAFA" w:val="clear"/>
          </w:tcPr>
          <w:p>
            <w:r>
              <w:rPr>
                <w:sz w:val="17"/>
              </w:rPr>
              <w:t>9,117</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6,852</w:t>
            </w:r>
          </w:p>
        </w:tc>
        <w:tc>
          <w:tcPr>
            <w:tcW w:type="dxa" w:w="1440"/>
            <w:shd w:fill="FAFAFA" w:val="clear"/>
          </w:tcPr>
          <w:p>
            <w:r>
              <w:rPr>
                <w:b/>
                <w:sz w:val="17"/>
              </w:rPr>
              <w:t>8,033</w:t>
            </w:r>
          </w:p>
        </w:tc>
        <w:tc>
          <w:tcPr>
            <w:tcW w:type="dxa" w:w="1440"/>
            <w:shd w:fill="FAFAFA" w:val="clear"/>
          </w:tcPr>
          <w:p>
            <w:r>
              <w:rPr>
                <w:sz w:val="17"/>
              </w:rPr>
              <w:t>9,214</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6,720</w:t>
            </w:r>
          </w:p>
        </w:tc>
        <w:tc>
          <w:tcPr>
            <w:tcW w:type="dxa" w:w="1440"/>
            <w:shd w:fill="FFDCE0" w:val="clear"/>
          </w:tcPr>
          <w:p>
            <w:r>
              <w:rPr>
                <w:b/>
                <w:sz w:val="17"/>
              </w:rPr>
              <w:t>8,010</w:t>
            </w:r>
          </w:p>
        </w:tc>
        <w:tc>
          <w:tcPr>
            <w:tcW w:type="dxa" w:w="1440"/>
            <w:shd w:fill="FFDCE0" w:val="clear"/>
          </w:tcPr>
          <w:p>
            <w:r>
              <w:rPr>
                <w:sz w:val="17"/>
              </w:rPr>
              <w:t>9,299</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6,598</w:t>
            </w:r>
          </w:p>
        </w:tc>
        <w:tc>
          <w:tcPr>
            <w:tcW w:type="dxa" w:w="1440"/>
            <w:shd w:fill="FFDCE0" w:val="clear"/>
          </w:tcPr>
          <w:p>
            <w:r>
              <w:rPr>
                <w:b/>
                <w:sz w:val="17"/>
              </w:rPr>
              <w:t>7,987</w:t>
            </w:r>
          </w:p>
        </w:tc>
        <w:tc>
          <w:tcPr>
            <w:tcW w:type="dxa" w:w="1440"/>
            <w:shd w:fill="FFDCE0" w:val="clear"/>
          </w:tcPr>
          <w:p>
            <w:r>
              <w:rPr>
                <w:sz w:val="17"/>
              </w:rPr>
              <w:t>9,376</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6,484</w:t>
            </w:r>
          </w:p>
        </w:tc>
        <w:tc>
          <w:tcPr>
            <w:tcW w:type="dxa" w:w="1440"/>
            <w:shd w:fill="FFDCE0" w:val="clear"/>
          </w:tcPr>
          <w:p>
            <w:r>
              <w:rPr>
                <w:b/>
                <w:sz w:val="17"/>
              </w:rPr>
              <w:t>7,965</w:t>
            </w:r>
          </w:p>
        </w:tc>
        <w:tc>
          <w:tcPr>
            <w:tcW w:type="dxa" w:w="1440"/>
            <w:shd w:fill="FFDCE0" w:val="clear"/>
          </w:tcPr>
          <w:p>
            <w:r>
              <w:rPr>
                <w:sz w:val="17"/>
              </w:rPr>
              <w:t>9,446</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6,377</w:t>
            </w:r>
          </w:p>
        </w:tc>
        <w:tc>
          <w:tcPr>
            <w:tcW w:type="dxa" w:w="1440"/>
            <w:shd w:fill="FFDCE0" w:val="clear"/>
          </w:tcPr>
          <w:p>
            <w:r>
              <w:rPr>
                <w:b/>
                <w:sz w:val="17"/>
              </w:rPr>
              <w:t>7,944</w:t>
            </w:r>
          </w:p>
        </w:tc>
        <w:tc>
          <w:tcPr>
            <w:tcW w:type="dxa" w:w="1440"/>
            <w:shd w:fill="FFDCE0" w:val="clear"/>
          </w:tcPr>
          <w:p>
            <w:r>
              <w:rPr>
                <w:sz w:val="17"/>
              </w:rPr>
              <w:t>9,510</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6,276</w:t>
            </w:r>
          </w:p>
        </w:tc>
        <w:tc>
          <w:tcPr>
            <w:tcW w:type="dxa" w:w="1440"/>
            <w:shd w:fill="FFDCE0" w:val="clear"/>
          </w:tcPr>
          <w:p>
            <w:r>
              <w:rPr>
                <w:b/>
                <w:sz w:val="17"/>
              </w:rPr>
              <w:t>7,923</w:t>
            </w:r>
          </w:p>
        </w:tc>
        <w:tc>
          <w:tcPr>
            <w:tcW w:type="dxa" w:w="1440"/>
            <w:shd w:fill="FFDCE0" w:val="clear"/>
          </w:tcPr>
          <w:p>
            <w:r>
              <w:rPr>
                <w:sz w:val="17"/>
              </w:rPr>
              <w:t>9,570</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209,06 milliards FCFA, SPHC se positionne parmi les valeurs moyennes à grandes de la cote BRVM, ce qui traduit une liquidité correcte mais un poids encore limité face aux mastodontes bancaires et télécoms de la place. Le BPA s'établit à 977 FCFA par action, soit le bénéfice net généré pour chaque titre détenu, ce qui confère au titre un PER de 8,4x — nettement inférieur à la moyenne BRVM (8-12x) et donc potentiellement sous-évalué au regard de sa rentabilité. Le P/B de 1,52x indique que le marché valorise la société à environ une fois et demie sa valeur comptable, un niveau raisonnable qui n'intègre ni prime excessive ni décote de défiance. Enfin, l'EV/EBITDA de 5,2x signale que la valeur d'entreprise (capitalisation + dette nette) ne représente que 5,2 fois la capacité opérationnelle dégagée, un multiple modéré qui laisse entrevoir un potentiel d'appréciation si les marges se maintiennent.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progression totale de +11,22%, avec une dernière séance en hausse de +0,99%, confirmant une dynamique haussière de fond malgré des soubresauts. Le titre a évolué dans un range large de 6 720 FCFA (plus bas) à 10 300 FCFA (plus haut), soit une amplitude de plus de 53%, ce qui témoigne d'une forte volatilité intra-période. Le cours actuel de 8 180 FCFA se situe dans la moitié basse de ce range, suggérant une phase de correction après un pic. Les statistiques descriptives révèlent une moyenne de 7 777 FCFA supérieure à la médiane de 7 578 FCFA, avec un mode à 7 600 FCFA : cet écart positif entre moyenne et médiane, couplé à un skewness de +1,444, indique une asymétrie positive — autrement dit, davantage de journées se sont négociées sous la moyenne, mais quelques séances exceptionnellement hautes ont tiré la moyenne vers le haut. L'écart-type de 805 FCFA (CV = 10,4%) traduit une dispersion modérée autour de la moyenne, tandis que le kurtosis de 1,523 (leptokurtique) signale des queues épaisses, donc un risque de pics de volatilité brutaux. Enfin, la volatilité annualisée de 44,7% classe SPHC dans la catégorie des titres à volatilité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9 118,75 FCFA et la MM50 à 8 228,10 FCFA, toutes deux supérieures au cours actuel de 8 180 FCFA. Le cours évolue donc sous ses deux moyennes, ce qui traduit une pression baissière de court terme, mais la décision technique affichée est « Achat » — probablement parce que la MM50 reste au-dessus de la MM20 en tendance de fond et que le titre approche d'une zone de support dynamique. La configuration suggère une correction au sein d'une tendance haussière plus large.</w:t>
      </w:r>
    </w:p>
    <w:p>
      <w:pPr>
        <w:spacing w:after="120" w:line="276" w:lineRule="auto"/>
      </w:pPr>
      <w:r>
        <w:t>**Bandes de Bollinger :** La borne supérieure se situe à 10 567,89 FCFA et la borne inférieure à 7 669,61 FCFA, avec un cours actuel de 8 180 FCFA qui se positionne dans la partie basse du canal, sans toutefois toucher la borne inférieure. Cette position indique que le titre n'est ni en surchauffe ni en survente extrême, et la décision « Neutre » reflète l'absence de signal directionnel fort. La largeur des bandes (près de 2 900 FCFA d'écart) confirme une volatilité élevée.</w:t>
      </w:r>
    </w:p>
    <w:p>
      <w:pPr>
        <w:spacing w:after="120" w:line="276" w:lineRule="auto"/>
      </w:pPr>
      <w:r>
        <w:t>**MACD :** La valeur du MACD est négative à -11,695, tandis que sa ligne de signal est positive à 217,389, créant une divergence baissière marquée. Le momentum est clairement négatif et la décision « Vente » signale que la pression vendeuse domine à court terme. Cette configuration invite à la prudence avant tout renforcement de position.</w:t>
      </w:r>
    </w:p>
    <w:p>
      <w:pPr>
        <w:spacing w:after="120" w:line="276" w:lineRule="auto"/>
      </w:pPr>
      <w:r>
        <w:t>**RSI :** À 37,409, le RSI se situe dans la zone neutre basse (30-70), sans atteindre le seuil de survente (&lt;30). La décision « Neutre » indique que le titre n'est pas encore techniquement survendu, mais qu'il s'approche d'une zone où un rebond technique pourrait se matérialiser. Une cassure sous 30 constituerait un signal d'achat contrarien.</w:t>
      </w:r>
    </w:p>
    <w:p>
      <w:pPr>
        <w:spacing w:after="120" w:line="276" w:lineRule="auto"/>
      </w:pPr>
      <w:r>
        <w:t>**Stochastique :** Le %K (10,359) et le %D (10,923) sont tous deux en zone de survente profonde (&lt;20), avec un %K légèrement sous le %D. La décision « Achat » s'explique par cette configuration de survente extrême, qui précède souvent un rebond technique à court terme. Un croisement haussier du %K au-dessus du %D confirmerait ce signal.</w:t>
      </w:r>
    </w:p>
    <w:p>
      <w:pPr>
        <w:spacing w:after="120" w:line="276" w:lineRule="auto"/>
      </w:pPr>
      <w:r>
        <w:t>**Conclusion technique :** Les indicateurs sont divergents : le MACD est baissier, les moyennes mobiles exercent une pression à la baisse, mais le stochastique en survente extrême et le RSI proche de la zone de survente plaident pour un rebond technique imminent. Les Bandes de Bollinger et le RSI restent neutres. Dans l'ensemble, le titre se trouve dans une phase de correction au sein d'une tendance haussière de fond, avec un potentiel de rebond à court terme mais une confirmation encore fragile.</w:t>
      </w:r>
    </w:p>
    <w:p>
      <w:pPr>
        <w:spacing w:after="120" w:line="276" w:lineRule="auto"/>
      </w:pPr>
      <w:r>
        <w:t>---</w:t>
      </w:r>
    </w:p>
    <w:p>
      <w:pPr>
        <w:spacing w:after="120" w:line="276" w:lineRule="auto"/>
      </w:pPr>
      <w:r>
        <w:t>## PARTIE 3 : ANALYSE FONDAMENTALE</w:t>
      </w:r>
    </w:p>
    <w:p>
      <w:pPr>
        <w:spacing w:after="120" w:line="276" w:lineRule="auto"/>
      </w:pPr>
      <w:r>
        <w:t>Les états financiers certifiés de l'exercice 2025 (publiés le 31/12/2025) révèlent une société en forte croissance : le chiffre d'affaires s'établit à 340,83 milliards FCFA, en hausse de 21,97% par rapport à 2024 (279,44 milliards FCFA), porté par une progression des volumes vendus (+16,8%) et des prix moyens (+17,6%) selon le rapport T3 2025 (daté du 30/09/2025). Le résultat net atteint 24,97 milliards FCFA, en progression de 32,9% sur un an, avec une marge nette de 7,33% (contre 6,7% en 2024). La rentabilité des fonds propres (ROE) s'élève à 18,10%, un niveau excellent (&gt;15%), et le ROA à 11,06%, confirmant l'efficacité de l'utilisation des actifs. La structure financière est solide : autonomie financière de 61,08%, ratio d'endettement de 25,81%, et couverture des intérêts de 1 094,57%, ce qui traduit une capacité de remboursement confortable. Toutefois, deux points de vigilance émergent : une trésorerie nette négative de -15,41 milliards FCFA (bien qu'en amélioration de 9,89 milliards par rapport à 2024) et un BFR de 65,39 milliards FCFA, avec des délais clients de 35 jours et une durée de stockage de 72,33 jours — ce dernier point immobilise du capital et pèse sur la liquidité. Le rapport T1 2026 (daté du 31/03/2026) signale un net ralentissement : le CA chute de 24% à 71,8 milliards FCFA et le résultat net de 78% à 2,63 milliards FCFA, pénalisé par la baisse des cours mondiaux du caoutchouc (-17%) et l'engorgement du port de San Pedro. Sur la base de ce T1 2026, on peut estimer que l'exercice 2026 devrait afficher une contraction significative de la rentabilité par rapport à 2025, sauf rebond des cours au second semestre. La politique de dividende reste attractive avec un DPA proposé de 489 FCFA brut par action (12,50 milliards FCFA au total), en hausse de 32,7% sur un an, soit un rendement de 5,98% au cours actuel de 8 180 FCFA. En synthèse, SPHC présente des fondamentaux solides mais cycliques, exposés à la volatilité des cours du caoutchouc et à des tensions sur la trésorerie, ce qui justifie une recommandation de **CONSERVER** avec une surveillance active des prochains trimestres.</w:t>
      </w:r>
    </w:p>
    <w:p>
      <w:pPr>
        <w:spacing w:after="120" w:line="276" w:lineRule="auto"/>
      </w:pPr>
      <w:r>
        <w:t>---</w:t>
      </w:r>
    </w:p>
    <w:p>
      <w:pPr>
        <w:spacing w:after="120" w:line="276" w:lineRule="auto"/>
      </w:pPr>
      <w:r>
        <w:t>## PARTIE 4 : CONCLUSION D'INVESTISSEMENT</w:t>
      </w:r>
    </w:p>
    <w:p>
      <w:pPr>
        <w:spacing w:after="120" w:line="276" w:lineRule="auto"/>
      </w:pPr>
      <w:r>
        <w:t>La valorisation de SPHC apparaît modérément attractive : le PER de 8,4x (sous la moyenne BRVM), le P/B de 1,52x et l'EV/EBITDA de 5,2x suggèrent une sous-évaluation relative, mais celle-ci est à nuancer par la cyclicité des bénéfices. Le comportement du cours sur 100 jours est haussier (+11,22%) mais marqué par une volatilité élevée (44,7% annualisée) et une asymétrie positive (skewness +1,444) avec des queues épaisses (kurtosis 1,523), ce qui implique un risque de pics baissiers brutaux. Les signaux techniques sont divergents : le MACD est baissier et les moyennes mobiles exercent une pression à la baisse, mais le stochastique en survente extrême (10,36) et le RSI à 37,41 plaident pour un rebond technique à court terme. Les fondamentaux 2025 sont excellents (CA +22%, RN +33%, ROE 18,1%), mais le T1 2026 (CA -24%, RN -78%) révèle un net ralentissement qui pourrait peser sur l'exercice en cours. Les prédictions IA (J+1 à J+10) anticipent une légère baisse continue de 8 135 FCFA à 8 033 FCFA, confirmant la pression baissière de court terme sans effondrement. Sur la base de cette synthèse, la recommandation finale est **CONSERVER** : la convergence entre valorisation attractive, fondamentaux solides mais cycliques, et signaux techniques mitigés ne justifie ni un achat agressif ni une vente. Le niveau de confiance est **Moyen** (divergence entre technique et fondamental), le risque global est **Élevé** (volatilité 44,7%, dépendance aux cours mondiaux), et l'horizon optimal est **moyen terme (3-12 mois)** , le temps que les cours du caoutchouc se stabilisent et que la société confirme sa capacité à préserver ses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33.33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5,943 titres</w:t>
            </w:r>
          </w:p>
        </w:tc>
        <w:tc>
          <w:tcPr>
            <w:tcW w:type="dxa" w:w="2268"/>
            <w:shd w:fill="FFF2CC" w:val="clear"/>
          </w:tcPr>
          <w:p>
            <w:r>
              <w:rPr>
                <w:b/>
                <w:color w:val="503200"/>
                <w:sz w:val="16"/>
              </w:rPr>
              <w:t xml:space="preserve">Cours actuel : </w:t>
            </w:r>
            <w:r>
              <w:rPr>
                <w:color w:val="000000"/>
                <w:sz w:val="17"/>
              </w:rPr>
              <w:t>2,480 FCFA</w:t>
            </w:r>
          </w:p>
          <w:p>
            <w:r>
              <w:rPr>
                <w:b/>
                <w:color w:val="503200"/>
                <w:sz w:val="16"/>
              </w:rPr>
              <w:t xml:space="preserve">Var. 100 jours : </w:t>
            </w:r>
            <w:r>
              <w:rPr>
                <w:b/>
                <w:color w:val="B40000"/>
                <w:sz w:val="17"/>
              </w:rPr>
              <w:t>-12.98%</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2,480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11.24% (Moyenne) — μ=2,953 FCFA, σ=332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β=-0.9055 (Contre-cyclique) — Cov=-0.000031, Var(idx)=0.000035, ρ=-0.148,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2,356</w:t>
            </w:r>
          </w:p>
        </w:tc>
        <w:tc>
          <w:tcPr>
            <w:tcW w:type="dxa" w:w="1440"/>
            <w:shd w:fill="FAFAFA" w:val="clear"/>
          </w:tcPr>
          <w:p>
            <w:r>
              <w:rPr>
                <w:b/>
                <w:sz w:val="17"/>
              </w:rPr>
              <w:t>2,452</w:t>
            </w:r>
          </w:p>
        </w:tc>
        <w:tc>
          <w:tcPr>
            <w:tcW w:type="dxa" w:w="1440"/>
            <w:shd w:fill="FAFAFA" w:val="clear"/>
          </w:tcPr>
          <w:p>
            <w:r>
              <w:rPr>
                <w:sz w:val="17"/>
              </w:rPr>
              <w:t>2,548</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2026-09-17</w:t>
            </w:r>
          </w:p>
        </w:tc>
        <w:tc>
          <w:tcPr>
            <w:tcW w:type="dxa" w:w="1440"/>
            <w:shd w:fill="FFDCE0" w:val="clear"/>
          </w:tcPr>
          <w:p>
            <w:r>
              <w:rPr>
                <w:sz w:val="17"/>
              </w:rPr>
              <w:t>2,279</w:t>
            </w:r>
          </w:p>
        </w:tc>
        <w:tc>
          <w:tcPr>
            <w:tcW w:type="dxa" w:w="1440"/>
            <w:shd w:fill="FFDCE0" w:val="clear"/>
          </w:tcPr>
          <w:p>
            <w:r>
              <w:rPr>
                <w:b/>
                <w:sz w:val="17"/>
              </w:rPr>
              <w:t>2,413</w:t>
            </w:r>
          </w:p>
        </w:tc>
        <w:tc>
          <w:tcPr>
            <w:tcW w:type="dxa" w:w="1440"/>
            <w:shd w:fill="FFDCE0" w:val="clear"/>
          </w:tcPr>
          <w:p>
            <w:r>
              <w:rPr>
                <w:sz w:val="17"/>
              </w:rPr>
              <w:t>2,547</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2026-09-18</w:t>
            </w:r>
          </w:p>
        </w:tc>
        <w:tc>
          <w:tcPr>
            <w:tcW w:type="dxa" w:w="1440"/>
            <w:shd w:fill="FFDCE0" w:val="clear"/>
          </w:tcPr>
          <w:p>
            <w:r>
              <w:rPr>
                <w:sz w:val="17"/>
              </w:rPr>
              <w:t>2,223</w:t>
            </w:r>
          </w:p>
        </w:tc>
        <w:tc>
          <w:tcPr>
            <w:tcW w:type="dxa" w:w="1440"/>
            <w:shd w:fill="FFDCE0" w:val="clear"/>
          </w:tcPr>
          <w:p>
            <w:r>
              <w:rPr>
                <w:b/>
                <w:sz w:val="17"/>
              </w:rPr>
              <w:t>2,385</w:t>
            </w:r>
          </w:p>
        </w:tc>
        <w:tc>
          <w:tcPr>
            <w:tcW w:type="dxa" w:w="1440"/>
            <w:shd w:fill="FFDCE0" w:val="clear"/>
          </w:tcPr>
          <w:p>
            <w:r>
              <w:rPr>
                <w:sz w:val="17"/>
              </w:rPr>
              <w:t>2,547</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2,177</w:t>
            </w:r>
          </w:p>
        </w:tc>
        <w:tc>
          <w:tcPr>
            <w:tcW w:type="dxa" w:w="1440"/>
            <w:shd w:fill="FFDCE0" w:val="clear"/>
          </w:tcPr>
          <w:p>
            <w:r>
              <w:rPr>
                <w:b/>
                <w:sz w:val="17"/>
              </w:rPr>
              <w:t>2,363</w:t>
            </w:r>
          </w:p>
        </w:tc>
        <w:tc>
          <w:tcPr>
            <w:tcW w:type="dxa" w:w="1440"/>
            <w:shd w:fill="FFDCE0" w:val="clear"/>
          </w:tcPr>
          <w:p>
            <w:r>
              <w:rPr>
                <w:sz w:val="17"/>
              </w:rPr>
              <w:t>2,548</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2,139</w:t>
            </w:r>
          </w:p>
        </w:tc>
        <w:tc>
          <w:tcPr>
            <w:tcW w:type="dxa" w:w="1440"/>
            <w:shd w:fill="FFDCE0" w:val="clear"/>
          </w:tcPr>
          <w:p>
            <w:r>
              <w:rPr>
                <w:b/>
                <w:sz w:val="17"/>
              </w:rPr>
              <w:t>2,345</w:t>
            </w:r>
          </w:p>
        </w:tc>
        <w:tc>
          <w:tcPr>
            <w:tcW w:type="dxa" w:w="1440"/>
            <w:shd w:fill="FFDCE0" w:val="clear"/>
          </w:tcPr>
          <w:p>
            <w:r>
              <w:rPr>
                <w:sz w:val="17"/>
              </w:rPr>
              <w:t>2,550</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2,106</w:t>
            </w:r>
          </w:p>
        </w:tc>
        <w:tc>
          <w:tcPr>
            <w:tcW w:type="dxa" w:w="1440"/>
            <w:shd w:fill="FFDCE0" w:val="clear"/>
          </w:tcPr>
          <w:p>
            <w:r>
              <w:rPr>
                <w:b/>
                <w:sz w:val="17"/>
              </w:rPr>
              <w:t>2,330</w:t>
            </w:r>
          </w:p>
        </w:tc>
        <w:tc>
          <w:tcPr>
            <w:tcW w:type="dxa" w:w="1440"/>
            <w:shd w:fill="FFDCE0" w:val="clear"/>
          </w:tcPr>
          <w:p>
            <w:r>
              <w:rPr>
                <w:sz w:val="17"/>
              </w:rPr>
              <w:t>2,553</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2,076</w:t>
            </w:r>
          </w:p>
        </w:tc>
        <w:tc>
          <w:tcPr>
            <w:tcW w:type="dxa" w:w="1440"/>
            <w:shd w:fill="FFDCE0" w:val="clear"/>
          </w:tcPr>
          <w:p>
            <w:r>
              <w:rPr>
                <w:b/>
                <w:sz w:val="17"/>
              </w:rPr>
              <w:t>2,317</w:t>
            </w:r>
          </w:p>
        </w:tc>
        <w:tc>
          <w:tcPr>
            <w:tcW w:type="dxa" w:w="1440"/>
            <w:shd w:fill="FFDCE0" w:val="clear"/>
          </w:tcPr>
          <w:p>
            <w:r>
              <w:rPr>
                <w:sz w:val="17"/>
              </w:rPr>
              <w:t>2,557</w:t>
            </w:r>
          </w:p>
        </w:tc>
        <w:tc>
          <w:tcPr>
            <w:tcW w:type="dxa" w:w="1440"/>
            <w:shd w:fill="FFDCE0" w:val="clear"/>
          </w:tcPr>
          <w:p>
            <w:r>
              <w:rPr>
                <w:b/>
                <w:color w:val="C00000"/>
                <w:sz w:val="17"/>
              </w:rPr>
              <w:t>-6.6%</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2,049</w:t>
            </w:r>
          </w:p>
        </w:tc>
        <w:tc>
          <w:tcPr>
            <w:tcW w:type="dxa" w:w="1440"/>
            <w:shd w:fill="FFDCE0" w:val="clear"/>
          </w:tcPr>
          <w:p>
            <w:r>
              <w:rPr>
                <w:b/>
                <w:sz w:val="17"/>
              </w:rPr>
              <w:t>2,305</w:t>
            </w:r>
          </w:p>
        </w:tc>
        <w:tc>
          <w:tcPr>
            <w:tcW w:type="dxa" w:w="1440"/>
            <w:shd w:fill="FFDCE0" w:val="clear"/>
          </w:tcPr>
          <w:p>
            <w:r>
              <w:rPr>
                <w:sz w:val="17"/>
              </w:rPr>
              <w:t>2,561</w:t>
            </w:r>
          </w:p>
        </w:tc>
        <w:tc>
          <w:tcPr>
            <w:tcW w:type="dxa" w:w="1440"/>
            <w:shd w:fill="FFDCE0" w:val="clear"/>
          </w:tcPr>
          <w:p>
            <w:r>
              <w:rPr>
                <w:b/>
                <w:color w:val="C00000"/>
                <w:sz w:val="17"/>
              </w:rPr>
              <w:t>-7.0%</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2,025</w:t>
            </w:r>
          </w:p>
        </w:tc>
        <w:tc>
          <w:tcPr>
            <w:tcW w:type="dxa" w:w="1440"/>
            <w:shd w:fill="FFDCE0" w:val="clear"/>
          </w:tcPr>
          <w:p>
            <w:r>
              <w:rPr>
                <w:b/>
                <w:sz w:val="17"/>
              </w:rPr>
              <w:t>2,295</w:t>
            </w:r>
          </w:p>
        </w:tc>
        <w:tc>
          <w:tcPr>
            <w:tcW w:type="dxa" w:w="1440"/>
            <w:shd w:fill="FFDCE0" w:val="clear"/>
          </w:tcPr>
          <w:p>
            <w:r>
              <w:rPr>
                <w:sz w:val="17"/>
              </w:rPr>
              <w:t>2,565</w:t>
            </w:r>
          </w:p>
        </w:tc>
        <w:tc>
          <w:tcPr>
            <w:tcW w:type="dxa" w:w="1440"/>
            <w:shd w:fill="FFDCE0" w:val="clear"/>
          </w:tcPr>
          <w:p>
            <w:r>
              <w:rPr>
                <w:b/>
                <w:color w:val="C00000"/>
                <w:sz w:val="17"/>
              </w:rPr>
              <w:t>-7.5%</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2,002</w:t>
            </w:r>
          </w:p>
        </w:tc>
        <w:tc>
          <w:tcPr>
            <w:tcW w:type="dxa" w:w="1440"/>
            <w:shd w:fill="FFDCE0" w:val="clear"/>
          </w:tcPr>
          <w:p>
            <w:r>
              <w:rPr>
                <w:b/>
                <w:sz w:val="17"/>
              </w:rPr>
              <w:t>2,285</w:t>
            </w:r>
          </w:p>
        </w:tc>
        <w:tc>
          <w:tcPr>
            <w:tcW w:type="dxa" w:w="1440"/>
            <w:shd w:fill="FFDCE0" w:val="clear"/>
          </w:tcPr>
          <w:p>
            <w:r>
              <w:rPr>
                <w:sz w:val="17"/>
              </w:rPr>
              <w:t>2,569</w:t>
            </w:r>
          </w:p>
        </w:tc>
        <w:tc>
          <w:tcPr>
            <w:tcW w:type="dxa" w:w="1440"/>
            <w:shd w:fill="FFDCE0" w:val="clear"/>
          </w:tcPr>
          <w:p>
            <w:r>
              <w:rPr>
                <w:b/>
                <w:color w:val="C00000"/>
                <w:sz w:val="17"/>
              </w:rPr>
              <w:t>-7.9%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 — Secteur : BTP &amp; Ingénierie*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33,33 milliards FCFA, STAC se situe dans la fourchette des petites et moyennes capitalisations de la BRVM, un niveau qui reste modeste au regard des poids lourds du marché (SONATEL, ETIT, etc.). Le BPA s'établit à -7 FCFA/action, ce qui signifie que chaque action détruite de la valeur comptable plutôt qu'elle n'en génère, conséquence directe d'un résultat net déficitaire. Le PER ressort à -345,2x, une valeur négative qui traduit l'absence de bénéfices et rend le multiple ininterprétable en l'état ; à titre de comparaison, le PER moyen du marché BRVM se situe entre 8x et 12x, ce qui souligne l'anomalie fondamentale du dossier. Le P/B de 93,43x est particulièrement alarmant : le marché valorise l'action à plus de 93 fois sa valeur comptable, alors que le seuil d'alerte de surévaluation est généralement fixé à 4x ; cet écart s'explique par des capitaux propres très faibles (356,75 M FCFA) face à une capitalisation de 33,33 Mds FCFA, révélant une décorrélation totale entre le prix de marché et la réalité bilancielle. Le ratio EV/EBITDA n'est pas fourni, mais au vu d'un EBE négatif de -650,13 M FCFA, il serait de toute façon non pertinent.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STAC affiche une variation totale de -12,98%, avec une chute de -2,94% sur la seule dernière séance (J-1), confirmant une pression vendeuse persistante. Le cours actuel de 2 480 FCFA correspond exactement au plus bas de la période, tandis que le plus haut a atteint 3 640 FCFA, soit un range de trading de 1 160 FCFA (46,8% d'amplitude) qui témoigne d'une forte instabilité. La tendance générale est clairement baissière, le titre ayant perdu près de 13% en trois mois et clôturant sur son point le plus faible. Les statistiques descriptives révèlent une moyenne de 2 953 FCFA supérieure à la médiane de 2 892 FCFA, avec un mode à 3 000 FCFA : cet écart indique une asymétrie positive (skewness de 0,525), c'est-à-dire que davantage de journées se sont négociées sous la moyenne, avec quelques pics haussiers isolés tirant la moyenne vers le haut. L'écart-type de 334 FCFA et le coefficient de variation de 11,3% traduisent une dispersion modérée du cours autour de sa moyenne. Le kurtosis de -0,856 (mésokurtique) suggère une distribution proche de la normale, sans risque excessif de pics extrêmes, mais le skewness positif signale une vulnérabilité aux corrections baissières. Enfin, la volatilité annualisée de 57,1% classe STAC parmi les titres à volatilité élevée (&gt;30%), ce qui implique un risque de perte en capital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(2 597,75 FCFA) et la MM50 (2 791,80 FCFA) se situent toutes deux au-dessus du cours actuel (2 480 FCFA), avec une MM20 inférieure à la MM50 — configuration baissière typique. Le cours évolue sous ses deux moyennes, confirmant la pression vendeuse ; la décision technique est donc logiquement **Vente**.</w:t>
      </w:r>
    </w:p>
    <w:p>
      <w:pPr>
        <w:spacing w:after="120" w:line="276" w:lineRule="auto"/>
      </w:pPr>
      <w:r>
        <w:t>**Bandes de Bollinger** : La borne supérieure est à 2 793,86 FCFA et la borne inférieure à 2 401,64 FCFA, avec un cours actuel de 2 480 FCFA qui se situe dans la moitié basse du canal, sans atteindre la borne inférieure. Cette position médiane-basse traduit une volatilité contenue mais une orientation baissière ; la décision est **Neutre**, le titre n'étant ni en survente extrême ni en surachat.</w:t>
      </w:r>
    </w:p>
    <w:p>
      <w:pPr>
        <w:spacing w:after="120" w:line="276" w:lineRule="auto"/>
      </w:pPr>
      <w:r>
        <w:t>**MACD** : La valeur du MACD (-67,68) est légèrement supérieure à son signal (-68,844), générant un croisement haussier marginal. Ce différentiel positif, bien que faible, indique un essoufflement de la dynamique baissière et un possible début de retournement ; la décision est **Achat**, à confirmer par les prochaines séances.</w:t>
      </w:r>
    </w:p>
    <w:p>
      <w:pPr>
        <w:spacing w:after="120" w:line="276" w:lineRule="auto"/>
      </w:pPr>
      <w:r>
        <w:t>**RSI** : À 45,625, le RSI se situe dans la zone neutre (30-70), sans signal de surachat ni de survente. Cette valeur médiane reflète un équilibre relatif entre acheteurs et vendeurs, mais la proximité de la zone basse (30) suggère une faiblesse sous-jacente ; la décision est **Neutre**.</w:t>
      </w:r>
    </w:p>
    <w:p>
      <w:pPr>
        <w:spacing w:after="120" w:line="276" w:lineRule="auto"/>
      </w:pPr>
      <w:r>
        <w:t>**Stochastique** : Le %K est à 0,0 et le %D à 13,131, avec un %K nettement inférieur au %D — configuration de survente extrême. Un %K à 0 signale que le cours clôture au plus bas de sa fourchette récente, ce qui précède souvent un rebond technique ; la décision est **Achat**, mais ce signal doit être pondéré par la tendance baissière de fond.</w:t>
      </w:r>
    </w:p>
    <w:p>
      <w:pPr>
        <w:spacing w:after="120" w:line="276" w:lineRule="auto"/>
      </w:pPr>
      <w:r>
        <w:t>**Conclusion technique** : Les indicateurs sont divergents — les moyennes mobiles et la position du cours plaident pour une poursuite de la baisse, tandis que le MACD et le stochastique suggèrent un possible rebond à court terme. Le RSI neutre et les Bandes de Bollinger sans signal extrême confirment l'absence de direction claire. Dans l'ensemble, la configuration reste baissière, mais la survente stochastique et le croisement MACD ouvrent la porte à un rebond technique fragile, à confirmer par une reprise des volumes.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(source : brvm_donnees_financieres) dressent un tableau préoccupant : le chiffre d'affaires s'élève à 3,878 Mds FCFA, en croissance spectaculaire de +116,26% par rapport à 2024 (1,793 Md FCFA), portée par les travaux préliminaires de l'aéroport d'Abidjan. Cependant, cette dynamique commerciale ne se traduit pas en rentabilité : le résultat net reste déficitaire à -96,56 M FCFA, le ROE est de -27,07% (très en dessous du seuil d'excellence de 15%) et le ROA de -1,77%. La valeur ajoutée n'est que de 154,19 M FCFA pour un CA de 3,878 Mds FCFA, et l'EBE est négatif à -650,13 M FCFA, révélant une structure de coûts inadaptée au niveau d'activité. Le BFR est négatif à -930,47 M FCFA (favorable pour la trésorerie), et la trésorerie nette atteint 1,330 Md FCFA, mais cette position est fragile car les flux opérationnels sont négatifs à -2,212 Mds FCFA. La structure financière est très dégradée : l'autonomie financière n'est que de 6,55% (seuil sain : &gt;30%), le ratio d'endettement de 93,45% et la capacité de remboursement de 77,53 années (contre un seuil d'alerte de 3-4 ans). Les rapports narratifs confirment cette trajectoire : le rapport du 30 septembre 2025 (T3 2025) fait état d'un CA cumulé de 3 456 M FCFA (+176%) et d'une perte nette réduite de 22% à -477 M FCFA, avec une perte d'exploitation en amélioration de 50% (-456 M FCFA). Le rapport du 30 juin 2025 (S1 2025) mentionnait un CA de 2 271 M FCFA (+290%) mais une perte nette aggravée de 77% à -557 M FCFA, avant que le T3 n'amorce une réduction des pertes. Sur la base de ces tendances, on estime que l'exercice 2025 devrait se solder par une perte nette annuelle comprise entre -100 et -150 M FCFA, avec un CA proche de 4 Mds FCFA (prévision maintenue par la direction). La recommandation fondamentale est **négative** : malgré la reprise d'activité, la société reste structurellement déficitaire, sa solvabilité est menacée (capitaux propres de 356,75 M FCFA pour 5,447 Mds FCFA d'actifs) et sa dépendance à un unique projet (aéroport d'Abidjan) constitue un risque majeur.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converge vers une recommandation **VENTE FORTE**, avec un niveau de confiance **Élevé** et un risque global **Élevé**. La valorisation (Partie 0) est aberrante : un PER négatif de -345,2x et un P/B de 93,43x traduisent une décorrélation totale entre le prix de marché et la réalité financière, le marché valorisant 93 fois des capitaux propres qui fondent sous l'effet des pertes. Le comportement du cours (Partie 1) est baissier (-12,98% sur 100 jours, clôture au plus bas), avec une volatilité annualisée de 57,1% et un skewness positif indiquant une vulnérabilité aux corrections. Les signaux techniques (Partie 2) sont divergents : les moyennes mobiles confirment la tendance baissière, mais le MACD et le stochastique en survente extrême (%K=0) suggèrent un rebond technique fragile, insuffisant pour inverser la tendance. Les fondamentaux (Partie 3) sont préoccupants : malgré une croissance du CA de +116% en 2025, la société reste déficitaire (résultat net de -96,56 M FCFA), avec un ROE de -27,07%, une autonomie financière de 6,55% et une capacité de remboursement de 77,53 années. Les prédictions IA (J+1 à J+10) confirment cette trajectoire baissière, avec un cours projeté à 2 345 FCFA le 22 septembre 2026, soit une baisse supplémentaire de 5,4% par rapport au cours actuel de 2 480 FCFA. La convergence entre la valorisation extrême, la tendance baissière, les fondamentaux dégradés et les prédictions IA négatives justifie une recommandation de **VENTE FORTE**. L'horizon d'investissement optimal est **court terme** (&lt;3 mois) pour les investisseurs cherchant à se positionner sur un éventuel rebond technique, mais le risque de perte en capital est élevé et le dossier ne présente aucune perspective de retournement fondamental à moyen terme sans une restructuration profonde ou l'obtention de nouveaux contrats majeurs.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393.21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3,874 titres</w:t>
            </w:r>
          </w:p>
        </w:tc>
        <w:tc>
          <w:tcPr>
            <w:tcW w:type="dxa" w:w="2268"/>
            <w:shd w:fill="FFF2CC" w:val="clear"/>
          </w:tcPr>
          <w:p>
            <w:r>
              <w:rPr>
                <w:b/>
                <w:color w:val="503200"/>
                <w:sz w:val="16"/>
              </w:rPr>
              <w:t xml:space="preserve">Cours actuel : </w:t>
            </w:r>
            <w:r>
              <w:rPr>
                <w:color w:val="000000"/>
                <w:sz w:val="17"/>
              </w:rPr>
              <w:t>21,900 FCFA</w:t>
            </w:r>
          </w:p>
          <w:p>
            <w:r>
              <w:rPr>
                <w:b/>
                <w:color w:val="503200"/>
                <w:sz w:val="16"/>
              </w:rPr>
              <w:t xml:space="preserve">Var. 100 jours : </w:t>
            </w:r>
            <w:r>
              <w:rPr>
                <w:b/>
                <w:color w:val="007800"/>
                <w:sz w:val="17"/>
              </w:rPr>
              <w:t>+4.78%</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5.76% (Moyenne) — μ=22,413 FCFA, σ=1,291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β=0.2877 (Défensif) — Cov=0.000010, Var(idx)=0.000035, ρ=0.075,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59862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21,123</w:t>
            </w:r>
          </w:p>
        </w:tc>
        <w:tc>
          <w:tcPr>
            <w:tcW w:type="dxa" w:w="1440"/>
            <w:shd w:fill="FAFAFA" w:val="clear"/>
          </w:tcPr>
          <w:p>
            <w:r>
              <w:rPr>
                <w:b/>
                <w:sz w:val="17"/>
              </w:rPr>
              <w:t>22,185</w:t>
            </w:r>
          </w:p>
        </w:tc>
        <w:tc>
          <w:tcPr>
            <w:tcW w:type="dxa" w:w="1440"/>
            <w:shd w:fill="FAFAFA" w:val="clear"/>
          </w:tcPr>
          <w:p>
            <w:r>
              <w:rPr>
                <w:sz w:val="17"/>
              </w:rPr>
              <w:t>23,246</w:t>
            </w:r>
          </w:p>
        </w:tc>
        <w:tc>
          <w:tcPr>
            <w:tcW w:type="dxa" w:w="1440"/>
            <w:shd w:fill="FAFAFA" w:val="clear"/>
          </w:tcPr>
          <w:p>
            <w:r>
              <w:rPr>
                <w:b/>
                <w:color w:val="008000"/>
                <w:sz w:val="17"/>
              </w:rPr>
              <w:t>+1.3%</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20,814</w:t>
            </w:r>
          </w:p>
        </w:tc>
        <w:tc>
          <w:tcPr>
            <w:tcW w:type="dxa" w:w="1440"/>
            <w:shd w:fill="FAFAFA" w:val="clear"/>
          </w:tcPr>
          <w:p>
            <w:r>
              <w:rPr>
                <w:b/>
                <w:sz w:val="17"/>
              </w:rPr>
              <w:t>22,324</w:t>
            </w:r>
          </w:p>
        </w:tc>
        <w:tc>
          <w:tcPr>
            <w:tcW w:type="dxa" w:w="1440"/>
            <w:shd w:fill="FAFAFA" w:val="clear"/>
          </w:tcPr>
          <w:p>
            <w:r>
              <w:rPr>
                <w:sz w:val="17"/>
              </w:rPr>
              <w:t>23,835</w:t>
            </w:r>
          </w:p>
        </w:tc>
        <w:tc>
          <w:tcPr>
            <w:tcW w:type="dxa" w:w="1440"/>
            <w:shd w:fill="FAFAFA" w:val="clear"/>
          </w:tcPr>
          <w:p>
            <w:r>
              <w:rPr>
                <w:b/>
                <w:color w:val="008000"/>
                <w:sz w:val="17"/>
              </w:rPr>
              <w:t>+1.9%</w:t>
            </w:r>
          </w:p>
        </w:tc>
      </w:tr>
      <w:tr>
        <w:tc>
          <w:tcPr>
            <w:tcW w:type="dxa" w:w="1440"/>
            <w:shd w:fill="C6EFCE" w:val="clear"/>
          </w:tcPr>
          <w:p>
            <w:r>
              <w:rPr>
                <w:sz w:val="17"/>
              </w:rPr>
              <w:t>J+3  ⭐</w:t>
            </w:r>
          </w:p>
        </w:tc>
        <w:tc>
          <w:tcPr>
            <w:tcW w:type="dxa" w:w="1440"/>
            <w:shd w:fill="C6EFCE" w:val="clear"/>
          </w:tcPr>
          <w:p>
            <w:r>
              <w:rPr>
                <w:sz w:val="17"/>
              </w:rPr>
              <w:t>2026-09-18</w:t>
            </w:r>
          </w:p>
        </w:tc>
        <w:tc>
          <w:tcPr>
            <w:tcW w:type="dxa" w:w="1440"/>
            <w:shd w:fill="C6EFCE" w:val="clear"/>
          </w:tcPr>
          <w:p>
            <w:r>
              <w:rPr>
                <w:sz w:val="17"/>
              </w:rPr>
              <w:t>20,674</w:t>
            </w:r>
          </w:p>
        </w:tc>
        <w:tc>
          <w:tcPr>
            <w:tcW w:type="dxa" w:w="1440"/>
            <w:shd w:fill="C6EFCE" w:val="clear"/>
          </w:tcPr>
          <w:p>
            <w:r>
              <w:rPr>
                <w:b/>
                <w:sz w:val="17"/>
              </w:rPr>
              <w:t>22,541</w:t>
            </w:r>
          </w:p>
        </w:tc>
        <w:tc>
          <w:tcPr>
            <w:tcW w:type="dxa" w:w="1440"/>
            <w:shd w:fill="C6EFCE" w:val="clear"/>
          </w:tcPr>
          <w:p>
            <w:r>
              <w:rPr>
                <w:sz w:val="17"/>
              </w:rPr>
              <w:t>24,409</w:t>
            </w:r>
          </w:p>
        </w:tc>
        <w:tc>
          <w:tcPr>
            <w:tcW w:type="dxa" w:w="1440"/>
            <w:shd w:fill="C6EFCE" w:val="clear"/>
          </w:tcPr>
          <w:p>
            <w:r>
              <w:rPr>
                <w:b/>
                <w:color w:val="008000"/>
                <w:sz w:val="17"/>
              </w:rPr>
              <w:t>+2.9%</w:t>
            </w:r>
          </w:p>
        </w:tc>
      </w:tr>
      <w:tr>
        <w:tc>
          <w:tcPr>
            <w:tcW w:type="dxa" w:w="1440"/>
            <w:shd w:fill="C6EFCE" w:val="clear"/>
          </w:tcPr>
          <w:p>
            <w:r>
              <w:rPr>
                <w:sz w:val="17"/>
              </w:rPr>
              <w:t>J+4  ⭐</w:t>
            </w:r>
          </w:p>
        </w:tc>
        <w:tc>
          <w:tcPr>
            <w:tcW w:type="dxa" w:w="1440"/>
            <w:shd w:fill="C6EFCE" w:val="clear"/>
          </w:tcPr>
          <w:p>
            <w:r>
              <w:rPr>
                <w:sz w:val="17"/>
              </w:rPr>
              <w:t>2026-09-21</w:t>
            </w:r>
          </w:p>
        </w:tc>
        <w:tc>
          <w:tcPr>
            <w:tcW w:type="dxa" w:w="1440"/>
            <w:shd w:fill="C6EFCE" w:val="clear"/>
          </w:tcPr>
          <w:p>
            <w:r>
              <w:rPr>
                <w:sz w:val="17"/>
              </w:rPr>
              <w:t>20,631</w:t>
            </w:r>
          </w:p>
        </w:tc>
        <w:tc>
          <w:tcPr>
            <w:tcW w:type="dxa" w:w="1440"/>
            <w:shd w:fill="C6EFCE" w:val="clear"/>
          </w:tcPr>
          <w:p>
            <w:r>
              <w:rPr>
                <w:b/>
                <w:sz w:val="17"/>
              </w:rPr>
              <w:t>22,814</w:t>
            </w:r>
          </w:p>
        </w:tc>
        <w:tc>
          <w:tcPr>
            <w:tcW w:type="dxa" w:w="1440"/>
            <w:shd w:fill="C6EFCE" w:val="clear"/>
          </w:tcPr>
          <w:p>
            <w:r>
              <w:rPr>
                <w:sz w:val="17"/>
              </w:rPr>
              <w:t>24,996</w:t>
            </w:r>
          </w:p>
        </w:tc>
        <w:tc>
          <w:tcPr>
            <w:tcW w:type="dxa" w:w="1440"/>
            <w:shd w:fill="C6EFCE" w:val="clear"/>
          </w:tcPr>
          <w:p>
            <w:r>
              <w:rPr>
                <w:b/>
                <w:color w:val="008000"/>
                <w:sz w:val="17"/>
              </w:rPr>
              <w:t>+4.2%</w:t>
            </w:r>
          </w:p>
        </w:tc>
      </w:tr>
      <w:tr>
        <w:tc>
          <w:tcPr>
            <w:tcW w:type="dxa" w:w="1440"/>
            <w:shd w:fill="C6EFCE" w:val="clear"/>
          </w:tcPr>
          <w:p>
            <w:r>
              <w:rPr>
                <w:sz w:val="17"/>
              </w:rPr>
              <w:t>J+5  ⭐</w:t>
            </w:r>
          </w:p>
        </w:tc>
        <w:tc>
          <w:tcPr>
            <w:tcW w:type="dxa" w:w="1440"/>
            <w:shd w:fill="C6EFCE" w:val="clear"/>
          </w:tcPr>
          <w:p>
            <w:r>
              <w:rPr>
                <w:sz w:val="17"/>
              </w:rPr>
              <w:t>2026-09-22</w:t>
            </w:r>
          </w:p>
        </w:tc>
        <w:tc>
          <w:tcPr>
            <w:tcW w:type="dxa" w:w="1440"/>
            <w:shd w:fill="C6EFCE" w:val="clear"/>
          </w:tcPr>
          <w:p>
            <w:r>
              <w:rPr>
                <w:sz w:val="17"/>
              </w:rPr>
              <w:t>20,701</w:t>
            </w:r>
          </w:p>
        </w:tc>
        <w:tc>
          <w:tcPr>
            <w:tcW w:type="dxa" w:w="1440"/>
            <w:shd w:fill="C6EFCE" w:val="clear"/>
          </w:tcPr>
          <w:p>
            <w:r>
              <w:rPr>
                <w:b/>
                <w:sz w:val="17"/>
              </w:rPr>
              <w:t>23,180</w:t>
            </w:r>
          </w:p>
        </w:tc>
        <w:tc>
          <w:tcPr>
            <w:tcW w:type="dxa" w:w="1440"/>
            <w:shd w:fill="C6EFCE" w:val="clear"/>
          </w:tcPr>
          <w:p>
            <w:r>
              <w:rPr>
                <w:sz w:val="17"/>
              </w:rPr>
              <w:t>25,660</w:t>
            </w:r>
          </w:p>
        </w:tc>
        <w:tc>
          <w:tcPr>
            <w:tcW w:type="dxa" w:w="1440"/>
            <w:shd w:fill="C6EFCE" w:val="clear"/>
          </w:tcPr>
          <w:p>
            <w:r>
              <w:rPr>
                <w:b/>
                <w:color w:val="008000"/>
                <w:sz w:val="17"/>
              </w:rPr>
              <w:t>+5.8%</w:t>
            </w:r>
          </w:p>
        </w:tc>
      </w:tr>
      <w:tr>
        <w:tc>
          <w:tcPr>
            <w:tcW w:type="dxa" w:w="1440"/>
            <w:shd w:fill="C6EFCE" w:val="clear"/>
          </w:tcPr>
          <w:p>
            <w:r>
              <w:rPr>
                <w:sz w:val="17"/>
              </w:rPr>
              <w:t>J+6  ⭐</w:t>
            </w:r>
          </w:p>
        </w:tc>
        <w:tc>
          <w:tcPr>
            <w:tcW w:type="dxa" w:w="1440"/>
            <w:shd w:fill="C6EFCE" w:val="clear"/>
          </w:tcPr>
          <w:p>
            <w:r>
              <w:rPr>
                <w:sz w:val="17"/>
              </w:rPr>
              <w:t>2026-09-23</w:t>
            </w:r>
          </w:p>
        </w:tc>
        <w:tc>
          <w:tcPr>
            <w:tcW w:type="dxa" w:w="1440"/>
            <w:shd w:fill="C6EFCE" w:val="clear"/>
          </w:tcPr>
          <w:p>
            <w:r>
              <w:rPr>
                <w:sz w:val="17"/>
              </w:rPr>
              <w:t>20,737</w:t>
            </w:r>
          </w:p>
        </w:tc>
        <w:tc>
          <w:tcPr>
            <w:tcW w:type="dxa" w:w="1440"/>
            <w:shd w:fill="C6EFCE" w:val="clear"/>
          </w:tcPr>
          <w:p>
            <w:r>
              <w:rPr>
                <w:b/>
                <w:sz w:val="17"/>
              </w:rPr>
              <w:t>23,489</w:t>
            </w:r>
          </w:p>
        </w:tc>
        <w:tc>
          <w:tcPr>
            <w:tcW w:type="dxa" w:w="1440"/>
            <w:shd w:fill="C6EFCE" w:val="clear"/>
          </w:tcPr>
          <w:p>
            <w:r>
              <w:rPr>
                <w:sz w:val="17"/>
              </w:rPr>
              <w:t>26,241</w:t>
            </w:r>
          </w:p>
        </w:tc>
        <w:tc>
          <w:tcPr>
            <w:tcW w:type="dxa" w:w="1440"/>
            <w:shd w:fill="C6EFCE" w:val="clear"/>
          </w:tcPr>
          <w:p>
            <w:r>
              <w:rPr>
                <w:b/>
                <w:color w:val="008000"/>
                <w:sz w:val="17"/>
              </w:rPr>
              <w:t>+7.3%</w:t>
            </w:r>
          </w:p>
        </w:tc>
      </w:tr>
      <w:tr>
        <w:tc>
          <w:tcPr>
            <w:tcW w:type="dxa" w:w="1440"/>
            <w:shd w:fill="C6EFCE" w:val="clear"/>
          </w:tcPr>
          <w:p>
            <w:r>
              <w:rPr>
                <w:sz w:val="17"/>
              </w:rPr>
              <w:t>J+7  ⭐</w:t>
            </w:r>
          </w:p>
        </w:tc>
        <w:tc>
          <w:tcPr>
            <w:tcW w:type="dxa" w:w="1440"/>
            <w:shd w:fill="C6EFCE" w:val="clear"/>
          </w:tcPr>
          <w:p>
            <w:r>
              <w:rPr>
                <w:sz w:val="17"/>
              </w:rPr>
              <w:t>2026-09-24</w:t>
            </w:r>
          </w:p>
        </w:tc>
        <w:tc>
          <w:tcPr>
            <w:tcW w:type="dxa" w:w="1440"/>
            <w:shd w:fill="C6EFCE" w:val="clear"/>
          </w:tcPr>
          <w:p>
            <w:r>
              <w:rPr>
                <w:sz w:val="17"/>
              </w:rPr>
              <w:t>20,752</w:t>
            </w:r>
          </w:p>
        </w:tc>
        <w:tc>
          <w:tcPr>
            <w:tcW w:type="dxa" w:w="1440"/>
            <w:shd w:fill="C6EFCE" w:val="clear"/>
          </w:tcPr>
          <w:p>
            <w:r>
              <w:rPr>
                <w:b/>
                <w:sz w:val="17"/>
              </w:rPr>
              <w:t>23,759</w:t>
            </w:r>
          </w:p>
        </w:tc>
        <w:tc>
          <w:tcPr>
            <w:tcW w:type="dxa" w:w="1440"/>
            <w:shd w:fill="C6EFCE" w:val="clear"/>
          </w:tcPr>
          <w:p>
            <w:r>
              <w:rPr>
                <w:sz w:val="17"/>
              </w:rPr>
              <w:t>26,765</w:t>
            </w:r>
          </w:p>
        </w:tc>
        <w:tc>
          <w:tcPr>
            <w:tcW w:type="dxa" w:w="1440"/>
            <w:shd w:fill="C6EFCE" w:val="clear"/>
          </w:tcPr>
          <w:p>
            <w:r>
              <w:rPr>
                <w:b/>
                <w:color w:val="008000"/>
                <w:sz w:val="17"/>
              </w:rPr>
              <w:t>+8.5%</w:t>
            </w:r>
          </w:p>
        </w:tc>
      </w:tr>
      <w:tr>
        <w:tc>
          <w:tcPr>
            <w:tcW w:type="dxa" w:w="1440"/>
            <w:shd w:fill="C6EFCE" w:val="clear"/>
          </w:tcPr>
          <w:p>
            <w:r>
              <w:rPr>
                <w:sz w:val="17"/>
              </w:rPr>
              <w:t>J+8  ⭐</w:t>
            </w:r>
          </w:p>
        </w:tc>
        <w:tc>
          <w:tcPr>
            <w:tcW w:type="dxa" w:w="1440"/>
            <w:shd w:fill="C6EFCE" w:val="clear"/>
          </w:tcPr>
          <w:p>
            <w:r>
              <w:rPr>
                <w:sz w:val="17"/>
              </w:rPr>
              <w:t>2026-09-25</w:t>
            </w:r>
          </w:p>
        </w:tc>
        <w:tc>
          <w:tcPr>
            <w:tcW w:type="dxa" w:w="1440"/>
            <w:shd w:fill="C6EFCE" w:val="clear"/>
          </w:tcPr>
          <w:p>
            <w:r>
              <w:rPr>
                <w:sz w:val="17"/>
              </w:rPr>
              <w:t>20,712</w:t>
            </w:r>
          </w:p>
        </w:tc>
        <w:tc>
          <w:tcPr>
            <w:tcW w:type="dxa" w:w="1440"/>
            <w:shd w:fill="C6EFCE" w:val="clear"/>
          </w:tcPr>
          <w:p>
            <w:r>
              <w:rPr>
                <w:b/>
                <w:sz w:val="17"/>
              </w:rPr>
              <w:t>23,953</w:t>
            </w:r>
          </w:p>
        </w:tc>
        <w:tc>
          <w:tcPr>
            <w:tcW w:type="dxa" w:w="1440"/>
            <w:shd w:fill="C6EFCE" w:val="clear"/>
          </w:tcPr>
          <w:p>
            <w:r>
              <w:rPr>
                <w:sz w:val="17"/>
              </w:rPr>
              <w:t>27,194</w:t>
            </w:r>
          </w:p>
        </w:tc>
        <w:tc>
          <w:tcPr>
            <w:tcW w:type="dxa" w:w="1440"/>
            <w:shd w:fill="C6EFCE" w:val="clear"/>
          </w:tcPr>
          <w:p>
            <w:r>
              <w:rPr>
                <w:b/>
                <w:color w:val="008000"/>
                <w:sz w:val="17"/>
              </w:rPr>
              <w:t>+9.4%</w:t>
            </w:r>
          </w:p>
        </w:tc>
      </w:tr>
      <w:tr>
        <w:tc>
          <w:tcPr>
            <w:tcW w:type="dxa" w:w="1440"/>
            <w:shd w:fill="C6EFCE" w:val="clear"/>
          </w:tcPr>
          <w:p>
            <w:r>
              <w:rPr>
                <w:sz w:val="17"/>
              </w:rPr>
              <w:t>J+9  ⭐</w:t>
            </w:r>
          </w:p>
        </w:tc>
        <w:tc>
          <w:tcPr>
            <w:tcW w:type="dxa" w:w="1440"/>
            <w:shd w:fill="C6EFCE" w:val="clear"/>
          </w:tcPr>
          <w:p>
            <w:r>
              <w:rPr>
                <w:sz w:val="17"/>
              </w:rPr>
              <w:t>2026-09-28</w:t>
            </w:r>
          </w:p>
        </w:tc>
        <w:tc>
          <w:tcPr>
            <w:tcW w:type="dxa" w:w="1440"/>
            <w:shd w:fill="C6EFCE" w:val="clear"/>
          </w:tcPr>
          <w:p>
            <w:r>
              <w:rPr>
                <w:sz w:val="17"/>
              </w:rPr>
              <w:t>20,678</w:t>
            </w:r>
          </w:p>
        </w:tc>
        <w:tc>
          <w:tcPr>
            <w:tcW w:type="dxa" w:w="1440"/>
            <w:shd w:fill="C6EFCE" w:val="clear"/>
          </w:tcPr>
          <w:p>
            <w:r>
              <w:rPr>
                <w:b/>
                <w:sz w:val="17"/>
              </w:rPr>
              <w:t>24,143</w:t>
            </w:r>
          </w:p>
        </w:tc>
        <w:tc>
          <w:tcPr>
            <w:tcW w:type="dxa" w:w="1440"/>
            <w:shd w:fill="C6EFCE" w:val="clear"/>
          </w:tcPr>
          <w:p>
            <w:r>
              <w:rPr>
                <w:sz w:val="17"/>
              </w:rPr>
              <w:t>27,607</w:t>
            </w:r>
          </w:p>
        </w:tc>
        <w:tc>
          <w:tcPr>
            <w:tcW w:type="dxa" w:w="1440"/>
            <w:shd w:fill="C6EFCE" w:val="clear"/>
          </w:tcPr>
          <w:p>
            <w:r>
              <w:rPr>
                <w:b/>
                <w:color w:val="008000"/>
                <w:sz w:val="17"/>
              </w:rPr>
              <w:t>+10.2%</w:t>
            </w:r>
          </w:p>
        </w:tc>
      </w:tr>
      <w:tr>
        <w:tc>
          <w:tcPr>
            <w:tcW w:type="dxa" w:w="1440"/>
            <w:shd w:fill="C6EFCE" w:val="clear"/>
          </w:tcPr>
          <w:p>
            <w:r>
              <w:rPr>
                <w:sz w:val="17"/>
              </w:rPr>
              <w:t>J+10  ⭐</w:t>
            </w:r>
          </w:p>
        </w:tc>
        <w:tc>
          <w:tcPr>
            <w:tcW w:type="dxa" w:w="1440"/>
            <w:shd w:fill="C6EFCE" w:val="clear"/>
          </w:tcPr>
          <w:p>
            <w:r>
              <w:rPr>
                <w:sz w:val="17"/>
              </w:rPr>
              <w:t>2026-09-29</w:t>
            </w:r>
          </w:p>
        </w:tc>
        <w:tc>
          <w:tcPr>
            <w:tcW w:type="dxa" w:w="1440"/>
            <w:shd w:fill="C6EFCE" w:val="clear"/>
          </w:tcPr>
          <w:p>
            <w:r>
              <w:rPr>
                <w:sz w:val="17"/>
              </w:rPr>
              <w:t>20,617</w:t>
            </w:r>
          </w:p>
        </w:tc>
        <w:tc>
          <w:tcPr>
            <w:tcW w:type="dxa" w:w="1440"/>
            <w:shd w:fill="C6EFCE" w:val="clear"/>
          </w:tcPr>
          <w:p>
            <w:r>
              <w:rPr>
                <w:b/>
                <w:sz w:val="17"/>
              </w:rPr>
              <w:t>24,292</w:t>
            </w:r>
          </w:p>
        </w:tc>
        <w:tc>
          <w:tcPr>
            <w:tcW w:type="dxa" w:w="1440"/>
            <w:shd w:fill="C6EFCE" w:val="clear"/>
          </w:tcPr>
          <w:p>
            <w:r>
              <w:rPr>
                <w:sz w:val="17"/>
              </w:rPr>
              <w:t>27,967</w:t>
            </w:r>
          </w:p>
        </w:tc>
        <w:tc>
          <w:tcPr>
            <w:tcW w:type="dxa" w:w="1440"/>
            <w:shd w:fill="C6EFCE" w:val="clear"/>
          </w:tcPr>
          <w:p>
            <w:r>
              <w:rPr>
                <w:b/>
                <w:color w:val="008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*Bourse Régionale des Valeurs Mobilières (BRVM) — Secteur : Entreprise non bancaire (Distribution de tabac)*</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393,21 Mds FCFA, la SITAB s'impose comme l'une des plus importantes capitalisations de la cote BRVM, ce qui témoigne de son statut de valeur de premier plan dans l'indice. Le BPA de 2 014 FCFA/action signifie que chaque titre génère environ 2 014 FCFA de bénéfice net, un niveau élevé qui reflète la forte rentabilité de l'entreprise. Le PER de 10,9x se situe dans la fourchette moyenne du marché BRVM (8-12x), indiquant une valorisation modérée et raisonnable par rapport aux bénéfices. En revanche, le P/B de 8,67x est nettement supérieur au seuil de 4x, signalant que le marché valorise l'action à une forte prime par rapport à sa valeur comptable — ce qui se justifie par la rentabilité exceptionnelle des fonds propres (ROE de 79,75%) mais constitue un facteur de risque en cas de correction. Enfin, l'EV/EBITDA de 7,8x, dans la fourchette raisonnable de 5-10x, confirme que la valeur d'entreprise reste cohérente avec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 enregistré une variation totale de +4,78%, avec une dernière séance (J-1) stable à +0,00%, le titre clôturant à 21 900 FCFA. Le range de trading s'est établi entre un plus haut de 25 000 FCFA et un plus bas de 19 705 FCFA, soit une amplitude d'environ 27%, traduisant une tendance générale haussière mais avec des phases de correction notables. Les statistiques descriptives révèlent une moyenne de 22 413 FCFA légèrement supérieure à la médiane de 22 218 FCFA, suggérant une distribution quasi-symétrique avec une très légère asymétrie positive, confirmée par le skewness de 0,198 (distribution symétrique). L'écart-type de 1 298 FCFA avec un coefficient de variation (CV) de 5,8% indique une dispersion modérée du cours autour de sa moyenne, ce qui est rassurant pour la stabilité du titre. Le kurtosis (excès) de -0,751, qualifié de mésokurtique, signifie que la distribution des rendements est proche d'une loi normale, avec un risque de pics extrêmes relativement contenu. Enfin, la volatilité annualisée de 35,6% positionne STBC dans la catégorie des titres à volatilité élevée (&gt;30%), ce qui implique un risque de fluctuation important à court terme, mais aussi des opportunités de trading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22 302,75 FCFA et la MM50 à 23 123,5 FCFA, toutes deux supérieures au cours actuel de 21 900 FCFA. Cette configuration baissière (cours sous les deux moyennes) avec une MM20 en dessous de la MM50 confirme une pression vendeuse persistante. La décision technique qui en résulte est **Vente**, le titre évoluant sous ses supports mobiles.</w:t>
      </w:r>
    </w:p>
    <w:p>
      <w:pPr>
        <w:spacing w:after="120" w:line="276" w:lineRule="auto"/>
      </w:pPr>
      <w:r>
        <w:t>**Bandes de Bollinger :** La borne supérieure est à 23 299,22 FCFA et la borne inférieure à 21 306,28 FCFA, avec un cours actuel de 21 900 FCFA. Le prix se situe dans la partie basse de la bande (environ 30% de la largeur), sans atteindre la borne inférieure, ce qui traduit une volatilité modérée et une absence de signal extrême. La décision est **Neutre**, le cours évoluant dans une zone de consolidation sans direction claire.</w:t>
      </w:r>
    </w:p>
    <w:p>
      <w:pPr>
        <w:spacing w:after="120" w:line="276" w:lineRule="auto"/>
      </w:pPr>
      <w:r>
        <w:t>**MACD :** La valeur du MACD est de -342,492 contre un signal à -344,904, générant un croisement haussier (MACD au-dessus de son signal) bien que les deux restent en territoire négatif. Ce croisement suggère un essoufflement de la dynamique baissière et un possible retournement à court terme. La décision qui en découle est **Achat**, le momentum négatif s'atténuant.</w:t>
      </w:r>
    </w:p>
    <w:p>
      <w:pPr>
        <w:spacing w:after="120" w:line="276" w:lineRule="auto"/>
      </w:pPr>
      <w:r>
        <w:t>**RSI :** Le RSI s'établit à 60,327, dans la zone neutre (30-70) mais orienté vers le haut. Ce niveau indique que le titre n'est ni suracheté ni survendu, avec une légère prédominance acheteuse. La décision est **Neutre**, le RSI ne générant pas de signal fort dans un sens ou dans l'autre.</w:t>
      </w:r>
    </w:p>
    <w:p>
      <w:pPr>
        <w:spacing w:after="120" w:line="276" w:lineRule="auto"/>
      </w:pPr>
      <w:r>
        <w:t>**Stochastique :** Le %K est à 0,0 et le %D à 35,168, avec un %K nettement en dessous du %D. Cette configuration signale une situation de survente extrême sur le %K, bien que le %D reste modéré. Le croisement potentiel du %K au-dessus du %D serait un signal d'achat. La décision actuelle est **Achat**, anticipant un rebond technique.</w:t>
      </w:r>
    </w:p>
    <w:p>
      <w:pPr>
        <w:spacing w:after="120" w:line="276" w:lineRule="auto"/>
      </w:pPr>
      <w:r>
        <w:t>**Conclusion technique :** Les indicateurs présentent une divergence notable : les moyennes mobiles sont baissières (Vente), les Bandes de Bollinger et le RSI sont neutres, tandis que le MACD et le Stochastique génèrent des signaux d'achat. Cette configuration mixte suggère que le titre est en phase de consolidation avec un potentiel de rebond à court terme, mais la pression baissière des moyennes mobiles invite à la prudence. Une confirmation par une cassure au-dessus de la MM20 (22 302 FCFA) serait nécessaire pour valider un retournement haussier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la SITAB a réalisé un chiffre d'affaires de 268,537 Mds FCFA, en forte croissance de +25,3% par rapport à 2024 (213,8 Mds FCFA). Le résultat net s'établit à 36,158 Mds FCFA, en baisse de -17,5% par rapport aux 44,2 Mds FCFA de 2024, sous l'effet de la hausse des droits d'accise (passés de 49% à 70%) et de la pression fiscale. La rentabilité des fonds propres (ROE) reste exceptionnelle à 79,75%, bien qu'en recul par rapport à 2024, et le ROA atteint 48,09%, confirmant l'efficacité de l'utilisation des actifs. La marge nette se dégrade à 13,46% (contre 20,7% en 2024), tandis que la marge opérationnelle résiste à 17,12%. La structure financière est très saine : autonomie financière de 60,3%, endettement quasi nul (dettes financières de 1,4 M FCFA seulement), et trésorerie nette de 30,763 Mds FCFA. Le BFR est négatif à -5,639 Mds FCFA (favorable), et les délais clients de 42,57 jours restent maîtrisés pour une activité de distribution.</w:t>
      </w:r>
    </w:p>
    <w:p>
      <w:pPr>
        <w:spacing w:after="120" w:line="276" w:lineRule="auto"/>
      </w:pPr>
      <w:r>
        <w:t>**Adaptation au secteur (entreprise non bancaire) :** L'analyse des délais d'exploitation montre une durée de stockage très faible de 5,73 jours, ce qui est excellent pour une activité de distribution, et un délai client de 42,57 jours qui, bien que modéré, mérite une surveillance. La rotation des actifs est élevée à 357,17%, traduisant une forte intensité commerciale. Le taux de croissance du CA de 25,3% témoigne d'une dynamique commerciale robuste, portée par les hausses de prix et une légère progression des volumes (+5,6% sur le marché légal).</w:t>
      </w:r>
    </w:p>
    <w:p>
      <w:pPr>
        <w:spacing w:after="120" w:line="276" w:lineRule="auto"/>
      </w:pPr>
      <w:r>
        <w:t>**Estimations basées sur les rapports trimestriels :** Sur la base du rapport T1 2026 (publié en 2026), le chiffre d'affaires progresse de +12% à 68,8 Mds FCFA avec des volumes en hausse de +10%, mais le résultat net recule légèrement de -1% à 9,3 Mds FCFA, la marge nette se maintenant à 13,5%. Le rapport T2 2026 (publié en 2026) confirme cette tendance avec un CA de 70,05 Mds FCFA (+1%) et un résultat net quasi stable à 8,64 Mds FCFA (-0,2%), la marge nette s'établissant à 12,3%. On estime donc que l'exercice 2026 devrait enregistrer une croissance modérée du chiffre d'affaires (autour de +5-8% annuel) avec une stabilisation de la rentabilité nette autour de 12-13%, la pression fiscale et la hausse des charges continuant de peser sur les marges. Le dividende proposé de 1 940 FCFA par action (rendement d'environ 8,9% sur la base du cours actuel de 21 900 FCFA) reste attractif, mais son taux de distribution de 84,9% (contre 105% en 2024 selon certains rapports) limite la capacité de réinvestissement.</w:t>
      </w:r>
    </w:p>
    <w:p>
      <w:pPr>
        <w:spacing w:after="120" w:line="276" w:lineRule="auto"/>
      </w:pPr>
      <w:r>
        <w:t>**Évolution pluriannuelle :** Entre 2023 et 2024, le résultat net a explosé de +256% (de 12,4 à 44,2 Mds FCFA), suivi d'une correction en 2025 (-17,5%). Cette volatilité des bénéfices reflète la sensibilité de l'entreprise aux décisions fiscales et réglementaires. La trésorerie, bien qu'en baisse de -36% en 2025 (de 48,2 à 30,8 Mds FCFA), reste confortable et offre une bonne capacité de résilience.</w:t>
      </w:r>
    </w:p>
    <w:p>
      <w:pPr>
        <w:spacing w:after="120" w:line="276" w:lineRule="auto"/>
      </w:pPr>
      <w:r>
        <w:t>**Recommandation fondamentale :** La SITAB présente une solidité financière incontestable (zéro dette, trésorerie élevée, ROE exceptionnel) et une dynamique commerciale positive, mais fait face à des défis structurels majeurs : dégradation des marges, pression fiscale croissante, et politique de dividende très généreuse qui épuise progressivement la trésorerie. La recommandation fondamentale est **CONSERVER**, en attendant des signaux de maîtrise des coûts et une stabilisation de la rentabilité.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**Valorisation (Partie 0)** : le PER de 10,9x est modéré et attractif, mais le P/B de 8,67x traduit une prime excessive qui pourrait se corriger en cas de dégradation des bénéfices ; l'EV/EBITDA de 7,8x reste raisonnable. **Comportement du cours (Partie 1)** : la tendance haussière (+4,78% sur 100 jours) avec une volatilité élevée (35,6%) et une distribution symétrique (skewness 0,198, kurtosis -0,751) indique un titre stable mais sensible aux chocs, la moyenne légèrement supérieure à la médiane suggérant une légère pression acheteuse. **Signaux techniques (Partie 2)** : la divergence entre les moyennes mobiles baissières et les signaux d'achat du MACD et du Stochastique crée une incertitude, le RSI et les Bandes de Bollinger étant neutres ; une confirmation haussière au-dessus de 22 302 FCFA serait nécessaire. **Fondamentaux (Partie 3)** : la solidité financière (ROE 79,75%, zéro dette, trésorerie de 30,8 Mds FCFA) et la croissance du CA (+25,3% en 2025) sont des atouts majeurs, mais la dégradation des marges et la pression fiscale pèsent sur les perspectives, les rapports T1 et T2 2026 confirmant une stabilisation de la rentabilité autour de 12-13%. **Prédictions IA (J+1 à J+10)** : la trajectoire prévue (de 22 185 FCFA à 23 180 FCFA, soit +4,5% sur 10 jours) est haussière et confirme les signaux d'achat techniques (MACD, Stochastique), mais contredit la prudence fondamentale à court terme.</w:t>
      </w:r>
    </w:p>
    <w:p>
      <w:pPr>
        <w:spacing w:after="120" w:line="276" w:lineRule="auto"/>
      </w:pPr>
      <w:r>
        <w:t>**Recommandation finale : CONSERVER.** La convergence entre la valorisation modérée (PER 10,9x), les signaux techniques d'achat à court terme (MACD, Stochastique) et la solidité fondamentale (ROE élevé, zéro dette) soutient le titre, mais la divergence avec les moyennes mobiles baissières, la dégradation des marges et la politique de dividende risquée incitent à la prudence. Le niveau de confiance est **Moyen**, le risque global est **Moyen** (volatilité élevée mais fondamentaux solides), et l'horizon d'investissement optimal est **moyen terme (3-12 mois)**, en attendant la publication des résultats semestriels 2026 pour confirmer la stabilisation de la rentabilité et l'évolution des volumes. Un renforcement de la position (ACHAT) serait justifié si le cours cassait durablement au-dessus de 23 000 FCFA avec une amélioration des marges, tandis qu'une VENTE serait envisageable en cas de dégradation supplémentaire de la rentabilité ou de baisse du dividende.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206.83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6,899 titres</w:t>
            </w:r>
          </w:p>
        </w:tc>
        <w:tc>
          <w:tcPr>
            <w:tcW w:type="dxa" w:w="2268"/>
            <w:shd w:fill="FFF2CC" w:val="clear"/>
          </w:tcPr>
          <w:p>
            <w:r>
              <w:rPr>
                <w:b/>
                <w:color w:val="503200"/>
                <w:sz w:val="16"/>
              </w:rPr>
              <w:t xml:space="preserve">Cours actuel : </w:t>
            </w:r>
            <w:r>
              <w:rPr>
                <w:color w:val="000000"/>
                <w:sz w:val="17"/>
              </w:rPr>
              <w:t>3,285 FCFA</w:t>
            </w:r>
          </w:p>
          <w:p>
            <w:r>
              <w:rPr>
                <w:b/>
                <w:color w:val="503200"/>
                <w:sz w:val="16"/>
              </w:rPr>
              <w:t xml:space="preserve">Var. 100 jours : </w:t>
            </w:r>
            <w:r>
              <w:rPr>
                <w:b/>
                <w:color w:val="007800"/>
                <w:sz w:val="17"/>
              </w:rPr>
              <w:t>+21.67%</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7.02% (Moyenne) — μ=2,971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β=-0.3805 (Contre-cyclique) — Cov=-0.000013, Var(idx)=0.000035, ρ=-0.087,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6,899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σ_j=2.56%/j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3,090</w:t>
            </w:r>
          </w:p>
        </w:tc>
        <w:tc>
          <w:tcPr>
            <w:tcW w:type="dxa" w:w="1440"/>
            <w:shd w:fill="FAFAFA" w:val="clear"/>
          </w:tcPr>
          <w:p>
            <w:r>
              <w:rPr>
                <w:b/>
                <w:sz w:val="17"/>
              </w:rPr>
              <w:t>3,243</w:t>
            </w:r>
          </w:p>
        </w:tc>
        <w:tc>
          <w:tcPr>
            <w:tcW w:type="dxa" w:w="1440"/>
            <w:shd w:fill="FAFAFA" w:val="clear"/>
          </w:tcPr>
          <w:p>
            <w:r>
              <w:rPr>
                <w:sz w:val="17"/>
              </w:rPr>
              <w:t>3,396</w:t>
            </w:r>
          </w:p>
        </w:tc>
        <w:tc>
          <w:tcPr>
            <w:tcW w:type="dxa" w:w="1440"/>
            <w:shd w:fill="FAFAFA" w:val="clear"/>
          </w:tcPr>
          <w:p>
            <w:r>
              <w:rPr>
                <w:b/>
                <w:color w:val="C00000"/>
                <w:sz w:val="17"/>
              </w:rPr>
              <w:t>-1.3%</w:t>
            </w:r>
          </w:p>
        </w:tc>
      </w:tr>
      <w:tr>
        <w:tc>
          <w:tcPr>
            <w:tcW w:type="dxa" w:w="1440"/>
            <w:shd w:fill="FFDCE0" w:val="clear"/>
          </w:tcPr>
          <w:p>
            <w:r>
              <w:rPr>
                <w:sz w:val="17"/>
              </w:rPr>
              <w:t>J+2  ⭐</w:t>
            </w:r>
          </w:p>
        </w:tc>
        <w:tc>
          <w:tcPr>
            <w:tcW w:type="dxa" w:w="1440"/>
            <w:shd w:fill="FFDCE0" w:val="clear"/>
          </w:tcPr>
          <w:p>
            <w:r>
              <w:rPr>
                <w:sz w:val="17"/>
              </w:rPr>
              <w:t>2026-09-17</w:t>
            </w:r>
          </w:p>
        </w:tc>
        <w:tc>
          <w:tcPr>
            <w:tcW w:type="dxa" w:w="1440"/>
            <w:shd w:fill="FFDCE0" w:val="clear"/>
          </w:tcPr>
          <w:p>
            <w:r>
              <w:rPr>
                <w:sz w:val="17"/>
              </w:rPr>
              <w:t>2,995</w:t>
            </w:r>
          </w:p>
        </w:tc>
        <w:tc>
          <w:tcPr>
            <w:tcW w:type="dxa" w:w="1440"/>
            <w:shd w:fill="FFDCE0" w:val="clear"/>
          </w:tcPr>
          <w:p>
            <w:r>
              <w:rPr>
                <w:b/>
                <w:sz w:val="17"/>
              </w:rPr>
              <w:t>3,208</w:t>
            </w:r>
          </w:p>
        </w:tc>
        <w:tc>
          <w:tcPr>
            <w:tcW w:type="dxa" w:w="1440"/>
            <w:shd w:fill="FFDCE0" w:val="clear"/>
          </w:tcPr>
          <w:p>
            <w:r>
              <w:rPr>
                <w:sz w:val="17"/>
              </w:rPr>
              <w:t>3,422</w:t>
            </w:r>
          </w:p>
        </w:tc>
        <w:tc>
          <w:tcPr>
            <w:tcW w:type="dxa" w:w="1440"/>
            <w:shd w:fill="FFDCE0" w:val="clear"/>
          </w:tcPr>
          <w:p>
            <w:r>
              <w:rPr>
                <w:b/>
                <w:color w:val="C00000"/>
                <w:sz w:val="17"/>
              </w:rPr>
              <w:t>-2.3%</w:t>
            </w:r>
          </w:p>
        </w:tc>
      </w:tr>
      <w:tr>
        <w:tc>
          <w:tcPr>
            <w:tcW w:type="dxa" w:w="1440"/>
            <w:shd w:fill="FFDCE0" w:val="clear"/>
          </w:tcPr>
          <w:p>
            <w:r>
              <w:rPr>
                <w:sz w:val="17"/>
              </w:rPr>
              <w:t>J+3  ⭐</w:t>
            </w:r>
          </w:p>
        </w:tc>
        <w:tc>
          <w:tcPr>
            <w:tcW w:type="dxa" w:w="1440"/>
            <w:shd w:fill="FFDCE0" w:val="clear"/>
          </w:tcPr>
          <w:p>
            <w:r>
              <w:rPr>
                <w:sz w:val="17"/>
              </w:rPr>
              <w:t>2026-09-18</w:t>
            </w:r>
          </w:p>
        </w:tc>
        <w:tc>
          <w:tcPr>
            <w:tcW w:type="dxa" w:w="1440"/>
            <w:shd w:fill="FFDCE0" w:val="clear"/>
          </w:tcPr>
          <w:p>
            <w:r>
              <w:rPr>
                <w:sz w:val="17"/>
              </w:rPr>
              <w:t>2,913</w:t>
            </w:r>
          </w:p>
        </w:tc>
        <w:tc>
          <w:tcPr>
            <w:tcW w:type="dxa" w:w="1440"/>
            <w:shd w:fill="FFDCE0" w:val="clear"/>
          </w:tcPr>
          <w:p>
            <w:r>
              <w:rPr>
                <w:b/>
                <w:sz w:val="17"/>
              </w:rPr>
              <w:t>3,172</w:t>
            </w:r>
          </w:p>
        </w:tc>
        <w:tc>
          <w:tcPr>
            <w:tcW w:type="dxa" w:w="1440"/>
            <w:shd w:fill="FFDCE0" w:val="clear"/>
          </w:tcPr>
          <w:p>
            <w:r>
              <w:rPr>
                <w:sz w:val="17"/>
              </w:rPr>
              <w:t>3,431</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2026-09-21</w:t>
            </w:r>
          </w:p>
        </w:tc>
        <w:tc>
          <w:tcPr>
            <w:tcW w:type="dxa" w:w="1440"/>
            <w:shd w:fill="FFDCE0" w:val="clear"/>
          </w:tcPr>
          <w:p>
            <w:r>
              <w:rPr>
                <w:sz w:val="17"/>
              </w:rPr>
              <w:t>2,844</w:t>
            </w:r>
          </w:p>
        </w:tc>
        <w:tc>
          <w:tcPr>
            <w:tcW w:type="dxa" w:w="1440"/>
            <w:shd w:fill="FFDCE0" w:val="clear"/>
          </w:tcPr>
          <w:p>
            <w:r>
              <w:rPr>
                <w:b/>
                <w:sz w:val="17"/>
              </w:rPr>
              <w:t>3,140</w:t>
            </w:r>
          </w:p>
        </w:tc>
        <w:tc>
          <w:tcPr>
            <w:tcW w:type="dxa" w:w="1440"/>
            <w:shd w:fill="FFDCE0" w:val="clear"/>
          </w:tcPr>
          <w:p>
            <w:r>
              <w:rPr>
                <w:sz w:val="17"/>
              </w:rPr>
              <w:t>3,435</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2,782</w:t>
            </w:r>
          </w:p>
        </w:tc>
        <w:tc>
          <w:tcPr>
            <w:tcW w:type="dxa" w:w="1440"/>
            <w:shd w:fill="FFDCE0" w:val="clear"/>
          </w:tcPr>
          <w:p>
            <w:r>
              <w:rPr>
                <w:b/>
                <w:sz w:val="17"/>
              </w:rPr>
              <w:t>3,110</w:t>
            </w:r>
          </w:p>
        </w:tc>
        <w:tc>
          <w:tcPr>
            <w:tcW w:type="dxa" w:w="1440"/>
            <w:shd w:fill="FFDCE0" w:val="clear"/>
          </w:tcPr>
          <w:p>
            <w:r>
              <w:rPr>
                <w:sz w:val="17"/>
              </w:rPr>
              <w:t>3,437</w:t>
            </w:r>
          </w:p>
        </w:tc>
        <w:tc>
          <w:tcPr>
            <w:tcW w:type="dxa" w:w="1440"/>
            <w:shd w:fill="FFDCE0" w:val="clear"/>
          </w:tcPr>
          <w:p>
            <w:r>
              <w:rPr>
                <w:b/>
                <w:color w:val="C00000"/>
                <w:sz w:val="17"/>
              </w:rPr>
              <w:t>-5.3%</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2,726</w:t>
            </w:r>
          </w:p>
        </w:tc>
        <w:tc>
          <w:tcPr>
            <w:tcW w:type="dxa" w:w="1440"/>
            <w:shd w:fill="FFDCE0" w:val="clear"/>
          </w:tcPr>
          <w:p>
            <w:r>
              <w:rPr>
                <w:b/>
                <w:sz w:val="17"/>
              </w:rPr>
              <w:t>3,082</w:t>
            </w:r>
          </w:p>
        </w:tc>
        <w:tc>
          <w:tcPr>
            <w:tcW w:type="dxa" w:w="1440"/>
            <w:shd w:fill="FFDCE0" w:val="clear"/>
          </w:tcPr>
          <w:p>
            <w:r>
              <w:rPr>
                <w:sz w:val="17"/>
              </w:rPr>
              <w:t>3,437</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2,674</w:t>
            </w:r>
          </w:p>
        </w:tc>
        <w:tc>
          <w:tcPr>
            <w:tcW w:type="dxa" w:w="1440"/>
            <w:shd w:fill="FFDCE0" w:val="clear"/>
          </w:tcPr>
          <w:p>
            <w:r>
              <w:rPr>
                <w:b/>
                <w:sz w:val="17"/>
              </w:rPr>
              <w:t>3,055</w:t>
            </w:r>
          </w:p>
        </w:tc>
        <w:tc>
          <w:tcPr>
            <w:tcW w:type="dxa" w:w="1440"/>
            <w:shd w:fill="FFDCE0" w:val="clear"/>
          </w:tcPr>
          <w:p>
            <w:r>
              <w:rPr>
                <w:sz w:val="17"/>
              </w:rPr>
              <w:t>3,436</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2,626</w:t>
            </w:r>
          </w:p>
        </w:tc>
        <w:tc>
          <w:tcPr>
            <w:tcW w:type="dxa" w:w="1440"/>
            <w:shd w:fill="FFDCE0" w:val="clear"/>
          </w:tcPr>
          <w:p>
            <w:r>
              <w:rPr>
                <w:b/>
                <w:sz w:val="17"/>
              </w:rPr>
              <w:t>3,029</w:t>
            </w:r>
          </w:p>
        </w:tc>
        <w:tc>
          <w:tcPr>
            <w:tcW w:type="dxa" w:w="1440"/>
            <w:shd w:fill="FFDCE0" w:val="clear"/>
          </w:tcPr>
          <w:p>
            <w:r>
              <w:rPr>
                <w:sz w:val="17"/>
              </w:rPr>
              <w:t>3,433</w:t>
            </w:r>
          </w:p>
        </w:tc>
        <w:tc>
          <w:tcPr>
            <w:tcW w:type="dxa" w:w="1440"/>
            <w:shd w:fill="FFDCE0" w:val="clear"/>
          </w:tcPr>
          <w:p>
            <w:r>
              <w:rPr>
                <w:b/>
                <w:color w:val="C00000"/>
                <w:sz w:val="17"/>
              </w:rPr>
              <w:t>-7.8%</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2,580</w:t>
            </w:r>
          </w:p>
        </w:tc>
        <w:tc>
          <w:tcPr>
            <w:tcW w:type="dxa" w:w="1440"/>
            <w:shd w:fill="FFDCE0" w:val="clear"/>
          </w:tcPr>
          <w:p>
            <w:r>
              <w:rPr>
                <w:b/>
                <w:sz w:val="17"/>
              </w:rPr>
              <w:t>3,005</w:t>
            </w:r>
          </w:p>
        </w:tc>
        <w:tc>
          <w:tcPr>
            <w:tcW w:type="dxa" w:w="1440"/>
            <w:shd w:fill="FFDCE0" w:val="clear"/>
          </w:tcPr>
          <w:p>
            <w:r>
              <w:rPr>
                <w:sz w:val="17"/>
              </w:rPr>
              <w:t>3,430</w:t>
            </w:r>
          </w:p>
        </w:tc>
        <w:tc>
          <w:tcPr>
            <w:tcW w:type="dxa" w:w="1440"/>
            <w:shd w:fill="FFDCE0" w:val="clear"/>
          </w:tcPr>
          <w:p>
            <w:r>
              <w:rPr>
                <w:b/>
                <w:color w:val="C00000"/>
                <w:sz w:val="17"/>
              </w:rPr>
              <w:t>-8.5%</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2,537</w:t>
            </w:r>
          </w:p>
        </w:tc>
        <w:tc>
          <w:tcPr>
            <w:tcW w:type="dxa" w:w="1440"/>
            <w:shd w:fill="FFDCE0" w:val="clear"/>
          </w:tcPr>
          <w:p>
            <w:r>
              <w:rPr>
                <w:b/>
                <w:sz w:val="17"/>
              </w:rPr>
              <w:t>2,982</w:t>
            </w:r>
          </w:p>
        </w:tc>
        <w:tc>
          <w:tcPr>
            <w:tcW w:type="dxa" w:w="1440"/>
            <w:shd w:fill="FFDCE0" w:val="clear"/>
          </w:tcPr>
          <w:p>
            <w:r>
              <w:rPr>
                <w:sz w:val="17"/>
              </w:rPr>
              <w:t>3,426</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TTLC (TotalEnergies Marketing Côte d'Ivoire)</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206,83 Mds FCFA, TTLC figure parmi les valeurs les plus importantes de la cote BRVM, ce qui en fait un pilier de l'indice composite. Le BPA de 144 FCFA/action signifie que chaque titre génère 144 FCFA de bénéfice net annuel, ce qui, rapporté au cours actuel de 3 285 FCFA, donne un PER de 22,8x — nettement supérieur à la moyenne BRVM (8-12x), signalant que le marché paie une prime de croissance ou de qualité pour ce dossier. Le P/B de 5,71x confirme cette exigence : le marché valorise l'action près de six fois sa valeur comptable, une prime forte qui traduit la confiance dans la rentabilité des fonds propres (ROE de 25,1%). Enfin, l'EV/EBITDA de 11,7x, dans la fourchette haute (10-15x), indique que la valeur totale de l'entreprise (dette incluse) représente près de douze fois sa capacité opérationnelle — une valorisation exigeante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TTLC affiche une progression totale de +21,67%, avec une dernière séance en hausse de +1,23%, confirmant une dynamique haussière soutenue. Le titre a évolué dans un range de 945 FCFA, entre un plus bas de 2 650 FCFA et un plus haut de 3 595 FCFA, le cours actuel (3 285 FCFA) se situant dans la partie haute de cette fourchette, à environ 9% sous son sommet. La moyenne (2 971 FCFA) est supérieure à la médiane (2 900 FCFA), ce qui traduit une asymétrie positive : les journées de forte hausse tirent la moyenne vers le haut, tandis que la majorité des séances se situent sous cette moyenne — cohérent avec le skewness de +0,988 (asymétrie positive). L'écart-type de 210 FCFA (CV = 7,1%) indique une dispersion modérée du cours autour de sa tendance, et le kurtosis de 0,078 (mésokurtique) suggère une distribution proche de la normale, sans risque excessif de pics extrêmes. La volatilité annualisée de 40,7% classe le titre dans la catégorie **élevée** (&gt;30%), ce qui implique un risque de marché significatif mais cohérent avec une valeur de croissance en phase d'appréciation.</w:t>
      </w:r>
    </w:p>
    <w:p>
      <w:pPr>
        <w:spacing w:after="120" w:line="276" w:lineRule="auto"/>
      </w:pPr>
      <w:r>
        <w:t>---</w:t>
      </w:r>
    </w:p>
    <w:p>
      <w:pPr>
        <w:spacing w:after="120" w:line="276" w:lineRule="auto"/>
      </w:pPr>
      <w:r>
        <w:t>## PARTIE 2 : ANALYSE TECHNIQUE DÉTAILLÉE</w:t>
      </w:r>
    </w:p>
    <w:p>
      <w:pPr>
        <w:spacing w:after="120" w:line="276" w:lineRule="auto"/>
      </w:pPr>
      <w:r>
        <w:t>**Moyennes Mobiles** : La MM20 (3 337 FCFA) est supérieure à la MM50 (3 102,7 FCFA), configuration haussière classique (golden cross). Toutefois, le cours actuel (3 285 FCFA) est légèrement inférieur à la MM20, ce qui signale une consolidation de court terme après la forte hausse. La décision « Achat » est justifiée par la structure haussière des moyennes, mais la prudence s'impose tant que le cours ne repasse pas au-dessus de la MM20.</w:t>
      </w:r>
    </w:p>
    <w:p>
      <w:pPr>
        <w:spacing w:after="120" w:line="276" w:lineRule="auto"/>
      </w:pPr>
      <w:r>
        <w:t>**Bandes de Bollinger** : Le cours (3 285 FCFA) se situe dans la partie médiane-basse de la bande, entre la borne inférieure (3 156 FCFA) et la borne supérieure (3 518 FCFA). Cette position neutre indique l'absence de tension extrême (ni surachat, ni survente), et la décision « Neutre » reflète un marché en équilibre, en attente d'un catalyseur directionnel.</w:t>
      </w:r>
    </w:p>
    <w:p>
      <w:pPr>
        <w:spacing w:after="120" w:line="276" w:lineRule="auto"/>
      </w:pPr>
      <w:r>
        <w:t>**MACD** : La valeur du MACD (45,431) est inférieure à son signal (71,412), générant un croisement baissier et une décision « Vente ». Ce divergence négative signale un essoufflement du momentum haussier à court terme, bien que le MACD reste en territoire positif, ce qui tempère la portée du signal.</w:t>
      </w:r>
    </w:p>
    <w:p>
      <w:pPr>
        <w:spacing w:after="120" w:line="276" w:lineRule="auto"/>
      </w:pPr>
      <w:r>
        <w:t>**RSI** : À 26,515, le RSI est en zone de **survente** (&lt;30), ce qui déclenche une décision « Achat ». Cette lecture suggère que le titre a été excessivement vendu récemment et qu'un rebond technique est probable, en contradiction avec le signal MACD — une divergence classique qui appelle à la prudence.</w:t>
      </w:r>
    </w:p>
    <w:p>
      <w:pPr>
        <w:spacing w:after="120" w:line="276" w:lineRule="auto"/>
      </w:pPr>
      <w:r>
        <w:t>**Stochastique** : Le %K (39,535) est supérieur au %D (23,727), avec un croisement haussier en cours depuis la zone de survente. La décision « Neutre » reflète que le signal n'est pas encore confirmé, mais la configuration est favorable à un retournement à la hausse.</w:t>
      </w:r>
    </w:p>
    <w:p>
      <w:pPr>
        <w:spacing w:after="120" w:line="276" w:lineRule="auto"/>
      </w:pPr>
      <w:r>
        <w:t>**Conclusion technique** : Les indicateurs sont **mitigés**. Les moyennes mobiles restent haussières (MM20 &gt; MM50) et le RSI en survente plaide pour un rebond, tandis que le MACD baissier et la position neutre du cours dans les bandes de Bollinger appellent à la patience. Le stochastique en croisement haussier constitue un signal précoce positif. Globalement, le titre est en phase de consolidation au sein d'une tendance haussière de fond, avec un avantage tactique aux acheteurs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TTLC a réalisé un chiffre d'affaires de 588,709 Mds FCFA, en repli de 5,2% sur un an, dans un contexte de baisse des ventes hors réseau. Le résultat net s'établit à 9,087 Mds FCFA, en léger recul de 3%, mais la rentabilité opérationnelle s'améliore nettement : l'EBE progresse de 12% à 22,347 Mds FCFA et le résultat d'exploitation bondit de 18% à 12,329 Mds FCFA, preuve d'une meilleure maîtrise des marges. Le ROE atteint 25,1% (excellent, &gt;15%) et le ROA 4,82%, confirmant la forte rentabilité des fonds propres malgré une marge nette faible (1,54%), typique d'un distributeur en volume. La structure financière reste solide (solvabilité générale de 123,8%, autonomie financière de 19,2%), mais la trésorerie nette est négative (-21,926 Mds FCFA) et le BFR est négatif (-9,662 Mds FCFA), ce qui est favorable à l'exploitation mais révèle une dépendance aux crédits court terme. Les délais fournisseurs (49,72 jours) et la durée de stockage (13,80 jours) sont bien maîtrisés.</w:t>
      </w:r>
    </w:p>
    <w:p>
      <w:pPr>
        <w:spacing w:after="120" w:line="276" w:lineRule="auto"/>
      </w:pPr>
      <w:r>
        <w:t>**Estimations basées sur les rapports trimestriels** : Le rapport du **T1 2026** (publié en 2026) fait état d'un chiffre d'affaires de 154,392 Mds FCFA (+4,3%) et d'un résultat net de 2,329 Mds FCFA (+5,5%), marquant un **retour à la croissance** après le repli de 2025. Le rapport du **S1 2025** (30/06/2025) et celui du **T3 2025** (30/09/2025) confirment la tendance baissière de l'exercice 2025 (CA -5,7%, résultat net -30,2% à fin septembre), mais le T1 2026 inverse la dynamique. On estime donc que l'exercice 2026 devrait renouer avec la croissance, porté par l'expansion du réseau (182 stations) et la diversification vers le GPL et les lubrifiants.</w:t>
      </w:r>
    </w:p>
    <w:p>
      <w:pPr>
        <w:spacing w:after="120" w:line="276" w:lineRule="auto"/>
      </w:pPr>
      <w:r>
        <w:t>**Recommandation fondamentale** : La société est **solide et rentable**, avec un leadership confirmé sur le marché ivoirien et des marges en amélioration. Les principaux risques sont la volatilité des prix pétroliers, la trésorerie nette négative et un payout supérieur à 100% (dividende de 10 Mds FCFA pour un résultat net de 9,087 Mds FCFA), qui pourrait peser sur la liquidité. La dynamique du T1 2026 est encourageante et justifie une opinion **favorable à moyen terme**.</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 PER de 22,8x (vs 8-12x pour la BRVM), P/B de 5,71x et EV/EBITDA de 11,7x traduisent une prime de qualité et de croissance, mais limitent le potentiel d'appréciation à court terme. Le comportement du cours est **haussier** (+21,67% sur 100 jours) avec une volatilité élevée (40,7%) et une asymétrie positive (skewness +0,988), ce qui est globalement favorable mais implique un risque de correction. Les signaux techniques sont **mitigés** : RSI en survente et stochastique haussier plaident pour un rebond, mais le MACD baissier et la position neutre dans les bandes de Bollinger appellent à la prudence. Les fondamentaux sont **solides** (ROE de 25,1%, EBE +12%, retour à la croissance au T1 2026 avec CA +4,3% et résultat net +5,5%), mais la trésorerie négative et le payout &gt;100% constituent des points de vigilance. Les prédictions IA anticipent une **baisse** du cours sur 10 jours (de 3 243 à 3 110 FCFA, soit -5,3%), ce qui contredit les signaux de rebond technique à court terme mais s'aligne sur la nécessité d'une consolidation après la forte hausse.</w:t>
      </w:r>
    </w:p>
    <w:p>
      <w:pPr>
        <w:spacing w:after="120" w:line="276" w:lineRule="auto"/>
      </w:pPr>
      <w:r>
        <w:t>**Recommandation finale : CONSERVER**</w:t>
        <w:br/>
        <w:t>La convergence entre une valorisation tendue, des signaux techniques mitigés et des fondamentaux solides mais sans catalyseur immédiat justifie une position attentiste. Le potentiel de croissance à moyen terme (T1 2026 positif, expansion du réseau) est réel, mais le prix actuel intègre déjà une bonne partie de ces perspectives. **Niveau de confiance : Moyen** — la divergence entre le RSI (achat) et le MACD (vente) crée une incertitude tactique. **Niveau de risque : Élevé** — volatilité de 40,7%, valorisation exigeante et dépendance aux prix pétroliers. **Horizon optimal : Moyen terme (3-12 mois)**, en attendant la confirmation de la reprise de la croissance sur l'ensemble de l'exercice 2026 et une 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2,569 titres</w:t>
            </w:r>
          </w:p>
        </w:tc>
        <w:tc>
          <w:tcPr>
            <w:tcW w:type="dxa" w:w="2268"/>
            <w:shd w:fill="FFF2CC" w:val="clear"/>
          </w:tcPr>
          <w:p>
            <w:r>
              <w:rPr>
                <w:b/>
                <w:color w:val="503200"/>
                <w:sz w:val="16"/>
              </w:rPr>
              <w:t xml:space="preserve">Cours actuel : </w:t>
            </w:r>
            <w:r>
              <w:rPr>
                <w:color w:val="000000"/>
                <w:sz w:val="17"/>
              </w:rPr>
              <w:t>3,990 FCFA</w:t>
            </w:r>
          </w:p>
          <w:p>
            <w:r>
              <w:rPr>
                <w:b/>
                <w:color w:val="503200"/>
                <w:sz w:val="16"/>
              </w:rPr>
              <w:t xml:space="preserve">Var. 100 jours : </w:t>
            </w:r>
            <w:r>
              <w:rPr>
                <w:b/>
                <w:color w:val="007800"/>
                <w:sz w:val="17"/>
              </w:rPr>
              <w:t>+24.69%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10.26% (Moyenne) — μ=3,583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β=0.6915 (Défensif) — Cov=0.000024, Var(idx)=0.000035, ρ=0.142,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2,569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3,793</w:t>
            </w:r>
          </w:p>
        </w:tc>
        <w:tc>
          <w:tcPr>
            <w:tcW w:type="dxa" w:w="1440"/>
            <w:shd w:fill="FAFAFA" w:val="clear"/>
          </w:tcPr>
          <w:p>
            <w:r>
              <w:rPr>
                <w:b/>
                <w:sz w:val="17"/>
              </w:rPr>
              <w:t>3,946</w:t>
            </w:r>
          </w:p>
        </w:tc>
        <w:tc>
          <w:tcPr>
            <w:tcW w:type="dxa" w:w="1440"/>
            <w:shd w:fill="FAFAFA" w:val="clear"/>
          </w:tcPr>
          <w:p>
            <w:r>
              <w:rPr>
                <w:sz w:val="17"/>
              </w:rPr>
              <w:t>4,098</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3,719</w:t>
            </w:r>
          </w:p>
        </w:tc>
        <w:tc>
          <w:tcPr>
            <w:tcW w:type="dxa" w:w="1440"/>
            <w:shd w:fill="FAFAFA" w:val="clear"/>
          </w:tcPr>
          <w:p>
            <w:r>
              <w:rPr>
                <w:b/>
                <w:sz w:val="17"/>
              </w:rPr>
              <w:t>3,933</w:t>
            </w:r>
          </w:p>
        </w:tc>
        <w:tc>
          <w:tcPr>
            <w:tcW w:type="dxa" w:w="1440"/>
            <w:shd w:fill="FAFAFA" w:val="clear"/>
          </w:tcPr>
          <w:p>
            <w:r>
              <w:rPr>
                <w:sz w:val="17"/>
              </w:rPr>
              <w:t>4,148</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3,662</w:t>
            </w:r>
          </w:p>
        </w:tc>
        <w:tc>
          <w:tcPr>
            <w:tcW w:type="dxa" w:w="1440"/>
            <w:shd w:fill="FAFAFA" w:val="clear"/>
          </w:tcPr>
          <w:p>
            <w:r>
              <w:rPr>
                <w:b/>
                <w:sz w:val="17"/>
              </w:rPr>
              <w:t>3,924</w:t>
            </w:r>
          </w:p>
        </w:tc>
        <w:tc>
          <w:tcPr>
            <w:tcW w:type="dxa" w:w="1440"/>
            <w:shd w:fill="FAFAFA" w:val="clear"/>
          </w:tcPr>
          <w:p>
            <w:r>
              <w:rPr>
                <w:sz w:val="17"/>
              </w:rPr>
              <w:t>4,187</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3,616</w:t>
            </w:r>
          </w:p>
        </w:tc>
        <w:tc>
          <w:tcPr>
            <w:tcW w:type="dxa" w:w="1440"/>
            <w:shd w:fill="FAFAFA" w:val="clear"/>
          </w:tcPr>
          <w:p>
            <w:r>
              <w:rPr>
                <w:b/>
                <w:sz w:val="17"/>
              </w:rPr>
              <w:t>3,919</w:t>
            </w:r>
          </w:p>
        </w:tc>
        <w:tc>
          <w:tcPr>
            <w:tcW w:type="dxa" w:w="1440"/>
            <w:shd w:fill="FAFAFA" w:val="clear"/>
          </w:tcPr>
          <w:p>
            <w:r>
              <w:rPr>
                <w:sz w:val="17"/>
              </w:rPr>
              <w:t>4,221</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3,576</w:t>
            </w:r>
          </w:p>
        </w:tc>
        <w:tc>
          <w:tcPr>
            <w:tcW w:type="dxa" w:w="1440"/>
            <w:shd w:fill="FAFAFA" w:val="clear"/>
          </w:tcPr>
          <w:p>
            <w:r>
              <w:rPr>
                <w:b/>
                <w:sz w:val="17"/>
              </w:rPr>
              <w:t>3,914</w:t>
            </w:r>
          </w:p>
        </w:tc>
        <w:tc>
          <w:tcPr>
            <w:tcW w:type="dxa" w:w="1440"/>
            <w:shd w:fill="FAFAFA" w:val="clear"/>
          </w:tcPr>
          <w:p>
            <w:r>
              <w:rPr>
                <w:sz w:val="17"/>
              </w:rPr>
              <w:t>4,252</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3,541</w:t>
            </w:r>
          </w:p>
        </w:tc>
        <w:tc>
          <w:tcPr>
            <w:tcW w:type="dxa" w:w="1440"/>
            <w:shd w:fill="FFDCE0" w:val="clear"/>
          </w:tcPr>
          <w:p>
            <w:r>
              <w:rPr>
                <w:b/>
                <w:sz w:val="17"/>
              </w:rPr>
              <w:t>3,910</w:t>
            </w:r>
          </w:p>
        </w:tc>
        <w:tc>
          <w:tcPr>
            <w:tcW w:type="dxa" w:w="1440"/>
            <w:shd w:fill="FFDCE0" w:val="clear"/>
          </w:tcPr>
          <w:p>
            <w:r>
              <w:rPr>
                <w:sz w:val="17"/>
              </w:rPr>
              <w:t>4,280</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3,508</w:t>
            </w:r>
          </w:p>
        </w:tc>
        <w:tc>
          <w:tcPr>
            <w:tcW w:type="dxa" w:w="1440"/>
            <w:shd w:fill="FFDCE0" w:val="clear"/>
          </w:tcPr>
          <w:p>
            <w:r>
              <w:rPr>
                <w:b/>
                <w:sz w:val="17"/>
              </w:rPr>
              <w:t>3,906</w:t>
            </w:r>
          </w:p>
        </w:tc>
        <w:tc>
          <w:tcPr>
            <w:tcW w:type="dxa" w:w="1440"/>
            <w:shd w:fill="FFDCE0" w:val="clear"/>
          </w:tcPr>
          <w:p>
            <w:r>
              <w:rPr>
                <w:sz w:val="17"/>
              </w:rPr>
              <w:t>4,305</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3,477</w:t>
            </w:r>
          </w:p>
        </w:tc>
        <w:tc>
          <w:tcPr>
            <w:tcW w:type="dxa" w:w="1440"/>
            <w:shd w:fill="FFDCE0" w:val="clear"/>
          </w:tcPr>
          <w:p>
            <w:r>
              <w:rPr>
                <w:b/>
                <w:sz w:val="17"/>
              </w:rPr>
              <w:t>3,903</w:t>
            </w:r>
          </w:p>
        </w:tc>
        <w:tc>
          <w:tcPr>
            <w:tcW w:type="dxa" w:w="1440"/>
            <w:shd w:fill="FFDCE0" w:val="clear"/>
          </w:tcPr>
          <w:p>
            <w:r>
              <w:rPr>
                <w:sz w:val="17"/>
              </w:rPr>
              <w:t>4,329</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3,448</w:t>
            </w:r>
          </w:p>
        </w:tc>
        <w:tc>
          <w:tcPr>
            <w:tcW w:type="dxa" w:w="1440"/>
            <w:shd w:fill="FFDCE0" w:val="clear"/>
          </w:tcPr>
          <w:p>
            <w:r>
              <w:rPr>
                <w:b/>
                <w:sz w:val="17"/>
              </w:rPr>
              <w:t>3,900</w:t>
            </w:r>
          </w:p>
        </w:tc>
        <w:tc>
          <w:tcPr>
            <w:tcW w:type="dxa" w:w="1440"/>
            <w:shd w:fill="FFDCE0" w:val="clear"/>
          </w:tcPr>
          <w:p>
            <w:r>
              <w:rPr>
                <w:sz w:val="17"/>
              </w:rPr>
              <w:t>4,351</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3,421</w:t>
            </w:r>
          </w:p>
        </w:tc>
        <w:tc>
          <w:tcPr>
            <w:tcW w:type="dxa" w:w="1440"/>
            <w:shd w:fill="FFDCE0" w:val="clear"/>
          </w:tcPr>
          <w:p>
            <w:r>
              <w:rPr>
                <w:b/>
                <w:sz w:val="17"/>
              </w:rPr>
              <w:t>3,896</w:t>
            </w:r>
          </w:p>
        </w:tc>
        <w:tc>
          <w:tcPr>
            <w:tcW w:type="dxa" w:w="1440"/>
            <w:shd w:fill="FFDCE0" w:val="clear"/>
          </w:tcPr>
          <w:p>
            <w:r>
              <w:rPr>
                <w:sz w:val="17"/>
              </w:rPr>
              <w:t>4,372</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 RAPPORT D'ANALYSE FINANCIÈRE — TOTALENERGIES MARKETING SÉNÉGAL (TTLS)</w:t>
        <w:br/>
        <w:t>**Bourse Régionale des Valeurs Mobilières (BRVM) — Secteur : Distribution pétrolière**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**129,99 milliards FCFA**, TTLS figure parmi les valeurs les plus importantes de la cote BRVM, ce qui témoigne de son statut de leader du secteur pétrolier sénégalais. Le BPA de **208 FCFA/action** signifie que chaque titre génère près de 208 FCFA de bénéfice net, un niveau appréciable pour une activité de distribution à faible marge. Le PER de **19,2x** se situe nettement au-dessus de la moyenne du marché BRVM (généralement comprise entre 8 et 12x), ce qui indique que les investisseurs acceptent de payer une prime significative pour cette valeur défensive et sa régularité de dividendes. Le ratio P/B de **4,60x** confirme cette prime : le marché valorise TTLS à plus de quatre fois sa valeur comptable, une exigence forte qui suppose une confiance dans la pérennité de ses cash-flows. Enfin, l'EV/EBITDA de **8,1x**, dans la fourchette raisonnable de 5-10x, suggère que la valeur d'entreprise reste cohérente avec la capacité opérationnelle de génération de résultats, offrant un contrepoint rassurant à la cherté apparente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**progression remarquable de +24,69%**, portant le cours actuel à **3 990 FCFA**, malgré un léger repli de **-0,25%** lors de la dernière séance. Le range de trading est particulièrement large, avec un plus haut à **4 500 FCFA** et un plus bas à **2 845 FCFA**, soit une amplitude de plus de 58% entre les deux extrêmes — signe d'une dynamique haussière puissante mais aussi d'une certaine nervosité. La tendance générale est clairement haussière, le cours actuel se situant à environ 40% au-dessus de son point bas. Les statistiques descriptives révèlent une **moyenne de 3 583 FCFA** très proche de la **médiane de 3 600 FCFA**, ce qui traduit une distribution équilibrée du cours sur la période, sans biais directionnel marqué. L'**écart-type de 370 FCFA** avec un **coefficient de variation de 10,3%** indique une dispersion modérée autour de la moyenne. Le **kurtosis de -0,436** (mésokurtique) suggère une distribution proche de la normale, sans risque excessif de pics extrêmes, tandis que le **skewness de 0,106** confirme une légère asymétrie positive mais globalement symétrique. La **volatilité annualisée de 45,3%** classe le titre dans la catégorie des valeurs à volatilité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(3 842,75 FCFA) et la MM50 (3 843,20 FCFA) sont quasiment confondues et se situent **en dessous du cours actuel** (3 990 FCFA), ce qui traduit une configuration haussière de court terme. Toutefois, la décision technique affichée est **"Vente"**, probablement parce que le cours s'éloigne significativement de ses moyennes, suggérant un risque de correction après une hausse trop rapide.</w:t>
      </w:r>
    </w:p>
    <w:p>
      <w:pPr>
        <w:spacing w:after="120" w:line="276" w:lineRule="auto"/>
      </w:pPr>
      <w:r>
        <w:t>**Bandes de Bollinger** : Le cours actuel (3 990 FCFA) évolue **à proximité immédiate de la borne supérieure** (4 004,95 FCFA), sans la franchir, ce qui place le titre en zone de surachat technique. La décision est **"Neutre"**, car le cours reste contenu dans le canal, mais la pression à la baisse pourrait s'accentuer si la borne supérieure n'est pas cassée avec conviction.</w:t>
      </w:r>
    </w:p>
    <w:p>
      <w:pPr>
        <w:spacing w:after="120" w:line="276" w:lineRule="auto"/>
      </w:pPr>
      <w:r>
        <w:t>**MACD** : La valeur du MACD (49,162) est **nettement supérieure à son signal** (30,681), générant un **croisement haussier** et une décision **"Achat"**. Le momentum positif est confirmé, bien que l'écart entre les deux lignes commence à se stabiliser, ce qui pourrait annoncer un essoufflement prochain.</w:t>
      </w:r>
    </w:p>
    <w:p>
      <w:pPr>
        <w:spacing w:after="120" w:line="276" w:lineRule="auto"/>
      </w:pPr>
      <w:r>
        <w:t>**RSI** : À **66,667**, le RSI se situe en zone neutre haute, **sans atteindre le seuil de surachat** (70). La décision est **"Neutre"**, indiquant que le titre conserve un potentiel de hausse mais se rapproche dangereusement d'une zone de correction.</w:t>
      </w:r>
    </w:p>
    <w:p>
      <w:pPr>
        <w:spacing w:after="120" w:line="276" w:lineRule="auto"/>
      </w:pPr>
      <w:r>
        <w:t>**Stochastique** : Le %K (96,825) et le %D (98,942) sont **tous deux en zone extrême de surachat**, avec un %D supérieur au %K, ce qui constitue un **signal baissier** (décision "Vente"). Ce positionnement suggère qu'une correction technique est imminente à court terme.</w:t>
      </w:r>
    </w:p>
    <w:p>
      <w:pPr>
        <w:spacing w:after="120" w:line="276" w:lineRule="auto"/>
      </w:pPr>
      <w:r>
        <w:t>**Conclusion technique** : Les indicateurs présentent une **divergence préoccupante**. Le MACD confirme la dynamique haussière, mais le RSI, les Bandes de Bollinger et surtout le Stochastique signalent un **surachat marqué** et un risque de retournement à court terme. La convergence des signaux de vente (MM, Stochastique) face à un unique signal d'achat (MACD) plaide pour une **prise de bénéfices** ou une attente de consolidation avant tout nouvel engagement.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Sénégal a réalisé un **chiffre d'affaires de 455,209 milliards FCFA**, en **baisse de 6,13%** par rapport à 2024, conséquence directe de l'arrêt stratégique de la commercialisation du fuel lourd. Le **résultat net s'établit à 6,779 milliards FCFA**, en léger recul de 5,1%, tandis que le **ROE atteint 24,01%** — un niveau excellent (&gt;15%) qui témoigne d'une remarquable efficacité dans l'utilisation des fonds propres, malgré une marge nette faible de **1,49%**, typique du secteur de distribution pétrolière. Le **ROA de 3,95%** et la **rotation des actifs de 265%** confirment une forte intensité capitalistique. En tant qu'entreprise non bancaire, l'analyse des délais d'exploitation est cruciale : le **délai clients de 47,43 jours** expose la société à un risque de trésorerie modéré, tandis que le **délai fournisseurs de 97,76 jours** constitue un avantage de financement significatif. Le **BFR est négatif à -36,899 milliards FCFA**, ce qui est **très favorable** car il signifie que les fournisseurs financent une partie du cycle d'exploitation. La **trésorerie nette de 13,941 milliards FCFA** et le **FCF de 17,483 milliards FCFA** renforcent la solidité financière. Le **ratio d'endettement de 52,16%** et l'**autonomie financière de 16,44%** (inférieure au seuil sain de 30%) appellent toutefois à la vigilance, même si la **capacité de remboursement de 0,94 an** et la **couverture des intérêts de 485,9%** rassurent sur la solvabilité.</w:t>
      </w:r>
    </w:p>
    <w:p>
      <w:pPr>
        <w:spacing w:after="120" w:line="276" w:lineRule="auto"/>
      </w:pPr>
      <w:r>
        <w:t>**Estimations basées sur les rapports trimestriels** : Le **rapport du 1er trimestre 2026 (publié le 4 mai 2026)** révèle un chiffre d'affaires de **99,9 milliards FCFA (-10%)**, mais un **résultat d'exploitation en hausse de 28% à 2,623 milliards FCFA** et un **résultat net en progression de 5% à 1,585 milliards FCFA**. Cette résilience, portée par l'amélioration des marges sur les lubrifiants, suggère que **l'exercice 2026 devrait maintenir une rentabilité stable, voire légèrement supérieure**, malgré la pression réglementaire sur les prix à la pompe. Le **rapport annuel 2025 (publié le 1er mai 2026)** confirme la solidité opérationnelle avec un **résultat opérationnel stable à 8,693 milliards FCFA** et une **trésorerie en forte amélioration (20,567 milliards FCFA)**. Les rapports antérieurs (T3 2025, S1 2025) montrent une **amélioration continue de la marge d'exploitation** (1,70% au S1 2025 vs 1,35% au S1 2024), validant la stratégie de recentrage sur les segments à forte valeur ajoutée.</w:t>
      </w:r>
    </w:p>
    <w:p>
      <w:pPr>
        <w:spacing w:after="120" w:line="276" w:lineRule="auto"/>
      </w:pPr>
      <w:r>
        <w:t>**Recommandation fondamentale** : TTLS présente un **profil défensif de qualité**, avec une position dominante (140 stations-service), un actionnariat stable (TotalEnergies à 69,1%) et une génération de cash-flow robuste. Les risques principaux résident dans la **dépendance aux décisions réglementaires** sur les prix des carburants, la **faiblesse structurelle des marges** et le **risque de concentration géographique** sur le Sénégal. La **recommandation fondamentale est de CONSERVER**, en attendant une clarification sur la politique de dividende et la confirmation de la reprise des volumes.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est exigeante : le PER de 19,2x et le P/B de 4,60x traduisent une prime significative par rapport au marché BRVM, justifiée par la qualité défensive du titre mais limitant le potentiel de revalorisation à court terme. Le **comportement du cours (Partie 1)** est haussier (+24,69% sur 100 jours) mais la volatilité élevée (45,3%) et la proximité du plus haut (4 500 FCFA) suggèrent une certaine maturité du mouvement. Les **signaux techniques (Partie 2)** sont majoritairement baissiers à court terme (Stochastique en surachat, décision "Vente" sur les MM), malgré un MACD positif, ce qui plaide pour une **consolidation imminente**. Les **fondamentaux (Partie 3)** restent solides : ROE de 24%, BFR négatif, trésorerie nette positive, et une résilience opérationnelle confirmée par le T1 2026 (+28% de résultat d'exploitation). Les **prédictions IA (J+1 à J+10)** anticipent une **légère correction** vers 3 914-3 946 FCFA, en cohérence avec les signaux techniques de surachat.</w:t>
      </w:r>
    </w:p>
    <w:p>
      <w:pPr>
        <w:spacing w:after="120" w:line="276" w:lineRule="auto"/>
      </w:pPr>
      <w:r>
        <w:t>**Recommandation finale : CONSERVER**</w:t>
      </w:r>
    </w:p>
    <w:p>
      <w:pPr>
        <w:spacing w:after="120" w:line="276" w:lineRule="auto"/>
      </w:pPr>
      <w:r>
        <w:t>Cette recommandation reflète la **convergence entre une valorisation tendue, des signaux techniques de court terme baissiers et des fondamentaux solides mais sans catalyseur immédiat**. La divergence entre le MACD (achat) et le Stochastique (vente) invite à la prudence, tandis que la correction anticipée par l'IA confirme l'absence de point d'entrée attractif à court terme. **Le niveau de confiance est Moyen**, car si les fondamentaux sont robustes, l'absence de visibilité sur la politique de dividende et la dépendance réglementaire limitent la prévisibilité. **Le niveau de risque global est Moyen**, atténué par la qualité défensive du titre et son statut de leader. **L'horizon d'investissement optimal est le long terme (&gt;1 an)**, pour bénéficier de la stabilité des cash-flows et des perspectives de diversification énergétique (GPL, lubrifiants, projets Sangomar/GTA), tout en évitant la volatilité de court terme. Un **achat** serait prématuré sans consolidation du cours vers 3 800-3 850 FCFA ou clarification sur le dividende 2025.</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486.72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20 titres</w:t>
            </w:r>
          </w:p>
        </w:tc>
        <w:tc>
          <w:tcPr>
            <w:tcW w:type="dxa" w:w="2268"/>
            <w:shd w:fill="FFF2CC" w:val="clear"/>
          </w:tcPr>
          <w:p>
            <w:r>
              <w:rPr>
                <w:b/>
                <w:color w:val="503200"/>
                <w:sz w:val="16"/>
              </w:rPr>
              <w:t xml:space="preserve">Cours actuel : </w:t>
            </w:r>
            <w:r>
              <w:rPr>
                <w:color w:val="000000"/>
                <w:sz w:val="17"/>
              </w:rPr>
              <w:t>53,000 FCFA</w:t>
            </w:r>
          </w:p>
          <w:p>
            <w:r>
              <w:rPr>
                <w:b/>
                <w:color w:val="503200"/>
                <w:sz w:val="16"/>
              </w:rPr>
              <w:t xml:space="preserve">Var. 100 jours : </w:t>
            </w:r>
            <w:r>
              <w:rPr>
                <w:b/>
                <w:color w:val="B40000"/>
                <w:sz w:val="17"/>
              </w:rPr>
              <w:t>-7.83%</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57.8%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26.0/100 → Moyen</w:t>
      </w:r>
    </w:p>
    <w:p>
      <w:pPr>
        <w:spacing w:before="40" w:after="80"/>
      </w:pPr>
      <w:r>
        <w:rPr>
          <w:rFonts w:ascii="Courier New" w:hAnsi="Courier New"/>
          <w:color w:val="825A00"/>
          <w:sz w:val="18"/>
        </w:rPr>
        <w:t>█████░░░░░░░░░░░░░░░  26.0/100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5.19% (Moyenne) — μ=55,679 FCFA, σ=2,891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β=-0.1611 (Contre-cyclique) — Cov=-0.000006, Var(idx)=0.000035, ρ=-0.026,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20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σ_j=3.64%/j (Modérée) — Vol. annualisée≈57.8%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2026-09-16</w:t>
            </w:r>
          </w:p>
        </w:tc>
        <w:tc>
          <w:tcPr>
            <w:tcW w:type="dxa" w:w="1440"/>
            <w:shd w:fill="FAFAFA" w:val="clear"/>
          </w:tcPr>
          <w:p>
            <w:r>
              <w:rPr>
                <w:sz w:val="17"/>
              </w:rPr>
              <w:t>50,427</w:t>
            </w:r>
          </w:p>
        </w:tc>
        <w:tc>
          <w:tcPr>
            <w:tcW w:type="dxa" w:w="1440"/>
            <w:shd w:fill="FAFAFA" w:val="clear"/>
          </w:tcPr>
          <w:p>
            <w:r>
              <w:rPr>
                <w:b/>
                <w:sz w:val="17"/>
              </w:rPr>
              <w:t>53,515</w:t>
            </w:r>
          </w:p>
        </w:tc>
        <w:tc>
          <w:tcPr>
            <w:tcW w:type="dxa" w:w="1440"/>
            <w:shd w:fill="FAFAFA" w:val="clear"/>
          </w:tcPr>
          <w:p>
            <w:r>
              <w:rPr>
                <w:sz w:val="17"/>
              </w:rPr>
              <w:t>56,603</w:t>
            </w:r>
          </w:p>
        </w:tc>
        <w:tc>
          <w:tcPr>
            <w:tcW w:type="dxa" w:w="1440"/>
            <w:shd w:fill="FAFAFA" w:val="clear"/>
          </w:tcPr>
          <w:p>
            <w:r>
              <w:rPr>
                <w:b/>
                <w:color w:val="008000"/>
                <w:sz w:val="17"/>
              </w:rPr>
              <w:t>+1.0%</w:t>
            </w:r>
          </w:p>
        </w:tc>
      </w:tr>
      <w:tr>
        <w:tc>
          <w:tcPr>
            <w:tcW w:type="dxa" w:w="1440"/>
            <w:shd w:fill="FAFAFA" w:val="clear"/>
          </w:tcPr>
          <w:p>
            <w:r>
              <w:rPr>
                <w:sz w:val="17"/>
              </w:rPr>
              <w:t>J+2  ⭐</w:t>
            </w:r>
          </w:p>
        </w:tc>
        <w:tc>
          <w:tcPr>
            <w:tcW w:type="dxa" w:w="1440"/>
            <w:shd w:fill="FAFAFA" w:val="clear"/>
          </w:tcPr>
          <w:p>
            <w:r>
              <w:rPr>
                <w:sz w:val="17"/>
              </w:rPr>
              <w:t>2026-09-17</w:t>
            </w:r>
          </w:p>
        </w:tc>
        <w:tc>
          <w:tcPr>
            <w:tcW w:type="dxa" w:w="1440"/>
            <w:shd w:fill="FAFAFA" w:val="clear"/>
          </w:tcPr>
          <w:p>
            <w:r>
              <w:rPr>
                <w:sz w:val="17"/>
              </w:rPr>
              <w:t>49,068</w:t>
            </w:r>
          </w:p>
        </w:tc>
        <w:tc>
          <w:tcPr>
            <w:tcW w:type="dxa" w:w="1440"/>
            <w:shd w:fill="FAFAFA" w:val="clear"/>
          </w:tcPr>
          <w:p>
            <w:r>
              <w:rPr>
                <w:b/>
                <w:sz w:val="17"/>
              </w:rPr>
              <w:t>53,428</w:t>
            </w:r>
          </w:p>
        </w:tc>
        <w:tc>
          <w:tcPr>
            <w:tcW w:type="dxa" w:w="1440"/>
            <w:shd w:fill="FAFAFA" w:val="clear"/>
          </w:tcPr>
          <w:p>
            <w:r>
              <w:rPr>
                <w:sz w:val="17"/>
              </w:rPr>
              <w:t>57,788</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2026-09-18</w:t>
            </w:r>
          </w:p>
        </w:tc>
        <w:tc>
          <w:tcPr>
            <w:tcW w:type="dxa" w:w="1440"/>
            <w:shd w:fill="FAFAFA" w:val="clear"/>
          </w:tcPr>
          <w:p>
            <w:r>
              <w:rPr>
                <w:sz w:val="17"/>
              </w:rPr>
              <w:t>48,037</w:t>
            </w:r>
          </w:p>
        </w:tc>
        <w:tc>
          <w:tcPr>
            <w:tcW w:type="dxa" w:w="1440"/>
            <w:shd w:fill="FAFAFA" w:val="clear"/>
          </w:tcPr>
          <w:p>
            <w:r>
              <w:rPr>
                <w:b/>
                <w:sz w:val="17"/>
              </w:rPr>
              <w:t>53,372</w:t>
            </w:r>
          </w:p>
        </w:tc>
        <w:tc>
          <w:tcPr>
            <w:tcW w:type="dxa" w:w="1440"/>
            <w:shd w:fill="FAFAFA" w:val="clear"/>
          </w:tcPr>
          <w:p>
            <w:r>
              <w:rPr>
                <w:sz w:val="17"/>
              </w:rPr>
              <w:t>58,706</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47,166</w:t>
            </w:r>
          </w:p>
        </w:tc>
        <w:tc>
          <w:tcPr>
            <w:tcW w:type="dxa" w:w="1440"/>
            <w:shd w:fill="FAFAFA" w:val="clear"/>
          </w:tcPr>
          <w:p>
            <w:r>
              <w:rPr>
                <w:b/>
                <w:sz w:val="17"/>
              </w:rPr>
              <w:t>53,320</w:t>
            </w:r>
          </w:p>
        </w:tc>
        <w:tc>
          <w:tcPr>
            <w:tcW w:type="dxa" w:w="1440"/>
            <w:shd w:fill="FAFAFA" w:val="clear"/>
          </w:tcPr>
          <w:p>
            <w:r>
              <w:rPr>
                <w:sz w:val="17"/>
              </w:rPr>
              <w:t>59,474</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2026-09-22</w:t>
            </w:r>
          </w:p>
        </w:tc>
        <w:tc>
          <w:tcPr>
            <w:tcW w:type="dxa" w:w="1440"/>
            <w:shd w:fill="FAFAFA" w:val="clear"/>
          </w:tcPr>
          <w:p>
            <w:r>
              <w:rPr>
                <w:sz w:val="17"/>
              </w:rPr>
              <w:t>46,396</w:t>
            </w:r>
          </w:p>
        </w:tc>
        <w:tc>
          <w:tcPr>
            <w:tcW w:type="dxa" w:w="1440"/>
            <w:shd w:fill="FAFAFA" w:val="clear"/>
          </w:tcPr>
          <w:p>
            <w:r>
              <w:rPr>
                <w:b/>
                <w:sz w:val="17"/>
              </w:rPr>
              <w:t>53,269</w:t>
            </w:r>
          </w:p>
        </w:tc>
        <w:tc>
          <w:tcPr>
            <w:tcW w:type="dxa" w:w="1440"/>
            <w:shd w:fill="FAFAFA" w:val="clear"/>
          </w:tcPr>
          <w:p>
            <w:r>
              <w:rPr>
                <w:sz w:val="17"/>
              </w:rPr>
              <w:t>60,143</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2026-09-23</w:t>
            </w:r>
          </w:p>
        </w:tc>
        <w:tc>
          <w:tcPr>
            <w:tcW w:type="dxa" w:w="1440"/>
            <w:shd w:fill="FAFAFA" w:val="clear"/>
          </w:tcPr>
          <w:p>
            <w:r>
              <w:rPr>
                <w:sz w:val="17"/>
              </w:rPr>
              <w:t>45,696</w:t>
            </w:r>
          </w:p>
        </w:tc>
        <w:tc>
          <w:tcPr>
            <w:tcW w:type="dxa" w:w="1440"/>
            <w:shd w:fill="FAFAFA" w:val="clear"/>
          </w:tcPr>
          <w:p>
            <w:r>
              <w:rPr>
                <w:b/>
                <w:sz w:val="17"/>
              </w:rPr>
              <w:t>53,219</w:t>
            </w:r>
          </w:p>
        </w:tc>
        <w:tc>
          <w:tcPr>
            <w:tcW w:type="dxa" w:w="1440"/>
            <w:shd w:fill="FAFAFA" w:val="clear"/>
          </w:tcPr>
          <w:p>
            <w:r>
              <w:rPr>
                <w:sz w:val="17"/>
              </w:rPr>
              <w:t>60,742</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2026-09-24</w:t>
            </w:r>
          </w:p>
        </w:tc>
        <w:tc>
          <w:tcPr>
            <w:tcW w:type="dxa" w:w="1440"/>
            <w:shd w:fill="FAFAFA" w:val="clear"/>
          </w:tcPr>
          <w:p>
            <w:r>
              <w:rPr>
                <w:sz w:val="17"/>
              </w:rPr>
              <w:t>45,051</w:t>
            </w:r>
          </w:p>
        </w:tc>
        <w:tc>
          <w:tcPr>
            <w:tcW w:type="dxa" w:w="1440"/>
            <w:shd w:fill="FAFAFA" w:val="clear"/>
          </w:tcPr>
          <w:p>
            <w:r>
              <w:rPr>
                <w:b/>
                <w:sz w:val="17"/>
              </w:rPr>
              <w:t>53,169</w:t>
            </w:r>
          </w:p>
        </w:tc>
        <w:tc>
          <w:tcPr>
            <w:tcW w:type="dxa" w:w="1440"/>
            <w:shd w:fill="FAFAFA" w:val="clear"/>
          </w:tcPr>
          <w:p>
            <w:r>
              <w:rPr>
                <w:sz w:val="17"/>
              </w:rPr>
              <w:t>61,287</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2026-09-25</w:t>
            </w:r>
          </w:p>
        </w:tc>
        <w:tc>
          <w:tcPr>
            <w:tcW w:type="dxa" w:w="1440"/>
            <w:shd w:fill="FAFAFA" w:val="clear"/>
          </w:tcPr>
          <w:p>
            <w:r>
              <w:rPr>
                <w:sz w:val="17"/>
              </w:rPr>
              <w:t>44,449</w:t>
            </w:r>
          </w:p>
        </w:tc>
        <w:tc>
          <w:tcPr>
            <w:tcW w:type="dxa" w:w="1440"/>
            <w:shd w:fill="FAFAFA" w:val="clear"/>
          </w:tcPr>
          <w:p>
            <w:r>
              <w:rPr>
                <w:b/>
                <w:sz w:val="17"/>
              </w:rPr>
              <w:t>53,120</w:t>
            </w:r>
          </w:p>
        </w:tc>
        <w:tc>
          <w:tcPr>
            <w:tcW w:type="dxa" w:w="1440"/>
            <w:shd w:fill="FAFAFA" w:val="clear"/>
          </w:tcPr>
          <w:p>
            <w:r>
              <w:rPr>
                <w:sz w:val="17"/>
              </w:rPr>
              <w:t>61,790</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2026-09-28</w:t>
            </w:r>
          </w:p>
        </w:tc>
        <w:tc>
          <w:tcPr>
            <w:tcW w:type="dxa" w:w="1440"/>
            <w:shd w:fill="FAFAFA" w:val="clear"/>
          </w:tcPr>
          <w:p>
            <w:r>
              <w:rPr>
                <w:sz w:val="17"/>
              </w:rPr>
              <w:t>43,883</w:t>
            </w:r>
          </w:p>
        </w:tc>
        <w:tc>
          <w:tcPr>
            <w:tcW w:type="dxa" w:w="1440"/>
            <w:shd w:fill="FAFAFA" w:val="clear"/>
          </w:tcPr>
          <w:p>
            <w:r>
              <w:rPr>
                <w:b/>
                <w:sz w:val="17"/>
              </w:rPr>
              <w:t>53,071</w:t>
            </w:r>
          </w:p>
        </w:tc>
        <w:tc>
          <w:tcPr>
            <w:tcW w:type="dxa" w:w="1440"/>
            <w:shd w:fill="FAFAFA" w:val="clear"/>
          </w:tcPr>
          <w:p>
            <w:r>
              <w:rPr>
                <w:sz w:val="17"/>
              </w:rPr>
              <w:t>62,259</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2026-09-29</w:t>
            </w:r>
          </w:p>
        </w:tc>
        <w:tc>
          <w:tcPr>
            <w:tcW w:type="dxa" w:w="1440"/>
            <w:shd w:fill="FAFAFA" w:val="clear"/>
          </w:tcPr>
          <w:p>
            <w:r>
              <w:rPr>
                <w:sz w:val="17"/>
              </w:rPr>
              <w:t>43,347</w:t>
            </w:r>
          </w:p>
        </w:tc>
        <w:tc>
          <w:tcPr>
            <w:tcW w:type="dxa" w:w="1440"/>
            <w:shd w:fill="FAFAFA" w:val="clear"/>
          </w:tcPr>
          <w:p>
            <w:r>
              <w:rPr>
                <w:b/>
                <w:sz w:val="17"/>
              </w:rPr>
              <w:t>53,023</w:t>
            </w:r>
          </w:p>
        </w:tc>
        <w:tc>
          <w:tcPr>
            <w:tcW w:type="dxa" w:w="1440"/>
            <w:shd w:fill="FAFAFA" w:val="clear"/>
          </w:tcPr>
          <w:p>
            <w:r>
              <w:rPr>
                <w:sz w:val="17"/>
              </w:rPr>
              <w:t>62,699</w:t>
            </w:r>
          </w:p>
        </w:tc>
        <w:tc>
          <w:tcPr>
            <w:tcW w:type="dxa" w:w="1440"/>
            <w:shd w:fill="FAFAFA" w:val="clear"/>
          </w:tcPr>
          <w:p>
            <w:r>
              <w:rPr>
                <w:b/>
                <w:color w:val="008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486,72 milliards FCFA pour un cours de 53 000 FCFA, ce qui en fait une valeur de premier plan sur la BRVM (marché dont la capitalisation globale avoisine 10 000 milliards FCFA). Les ratios de valorisation boursière (BPA, PER, P/B, EV/EBITDA) ne sont pas calculables en l'absence de données financières structurées exploitables dans la base, ce qui limite l'appréciation directe du prix payé par rapport aux bénéfices. Toutefois, en croisant le bénéfice net 2023 de 640,3 millions FCFA (rapport du 31/12/2023) avec la capitalisation actuelle, on obtient un PER implicite très élevé (supérieur à 700x), signe d'une valorisation portée par des anticipations de redressement plutôt que par les résultats courants. Le marché valorise donc UNLC bien au-dessus de sa valeur comptable (capitaux propres négatifs de -10 658 millions FCFA en 2023), ce qui traduit une prime spéculative sur la marque et le potentiel de restructuration.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-7,83%, avec une dernière séance en repli de -1,85%, confirmant une dynamique baissière de court terme. Le titre a évolué dans un range de 50 000 à 63 345 FCFA, soit un écart de plus de 13 000 FCFA entre le plus bas et le plus haut, matérialisant une tendance globalement baissière ponctuée de rebonds techniques. Les statistiques descriptives révèlent une moyenne (55 679 FCFA) très proche de la médiane (55 600 FCFA), tandis que le mode se situe à 58 000 FCFA : cet écart modéré entre moyenne, médiane et mode indique une distribution quasi symétrique, cohérente avec le skewness de 0,175 (asymétrie légèrement positive, sans biais marqué). L'écart-type de 2 906 FCFA et le coefficient de variation de 5,2% traduisent une dispersion modérée du cours autour de sa moyenne, mais la volatilité annualisée de 57,8% classe le titre dans la catégorie des valeurs à volatilité élevée (&gt;30%), ce qui implique un risque de fluctuation important pour l'investisseur. Le kurtosis de -0,432 (mésokurtique) suggère une distribution proche de la normale, avec un risque de pics extrêmes limité par rapport à une distribution leptokurtique. Le cours actuel (53 000 FCFA) se situe sous la moyenne et la médiane, confirmant la pression baissière récente.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(53 642,75 FCFA) et la MM50 (53 527,40 FCFA) sont toutes deux supérieures au cours actuel (53 000 FCFA), ce qui place le titre en position de faiblesse relative. Cependant, la MM20 étant légèrement au-dessus de la MM50, la configuration reste haussière de moyen terme, ce qui justifie la décision "Achat" malgré le repli récent. Le croisement des moyennes mobiles n'indique pas encore de retournement baissier structurel.</w:t>
      </w:r>
    </w:p>
    <w:p>
      <w:pPr>
        <w:spacing w:after="120" w:line="276" w:lineRule="auto"/>
      </w:pPr>
      <w:r>
        <w:t>**Bandes de Bollinger** : Le cours (53 000 FCFA) se situe dans la partie basse de la bande, entre la borne inférieure (50 328,24 FCFA) et la borne supérieure (56 957,26 FCFA), sans atteindre les extrêmes. Cette position médiane-basse traduit une volatilité contenue et une absence de signal directionnel fort, justifiant la décision "Neutre". La largeur des bandes reste modérée, ce qui n'indique pas de compression imminente susceptible de générer un mouvement explosif.</w:t>
      </w:r>
    </w:p>
    <w:p>
      <w:pPr>
        <w:spacing w:after="120" w:line="276" w:lineRule="auto"/>
      </w:pPr>
      <w:r>
        <w:t>**MACD** : La valeur du MACD (-229,416) est supérieure à son signal (-234,224), générant un croisement haussier (MACD au-dessus du signal) bien que les deux restent en territoire négatif. Ce différentiel positif indique un momentum baissier en voie d'essoufflement, ce qui justifie la décision "Achat" en anticipation d'un retournement progressif. La divergence reste toutefois faible, nécessitant confirmation par les volumes.</w:t>
      </w:r>
    </w:p>
    <w:p>
      <w:pPr>
        <w:spacing w:after="120" w:line="276" w:lineRule="auto"/>
      </w:pPr>
      <w:r>
        <w:t>**RSI** : À 40,026, le RSI se situe en zone neutre basse (entre 30 et 70), sans atteindre la zone de survente (&lt;30). Cette position indique une absence de pression vendeuse excessive, mais aussi un manque de dynamique acheteuse, justifiant la décision "Neutre". Un RSI sous 50 traduit néanmoins une faiblesse relative persistante.</w:t>
      </w:r>
    </w:p>
    <w:p>
      <w:pPr>
        <w:spacing w:after="120" w:line="276" w:lineRule="auto"/>
      </w:pPr>
      <w:r>
        <w:t>**Stochastique** : Le %K (52,632) est légèrement inférieur au %D (56,645), sans croisement baissier confirmé, et les deux oscillateurs évoluent en zone neutre (autour de 50). Cette configuration indique une absence de signal clair, justifiant la décision "Neutre". Un croisement du %K sous le %D pourrait signaler un repli supplémentaire.</w:t>
      </w:r>
    </w:p>
    <w:p>
      <w:pPr>
        <w:spacing w:after="120" w:line="276" w:lineRule="auto"/>
      </w:pPr>
      <w:r>
        <w:t>**Conclusion technique** : Les indicateurs techniques présentent un tableau mitigé : deux signaux "Achat" (MM et MACD) contre trois signaux "Neutre" (Bollinger, RSI, Stochastique). La convergence des MM haussières et du MACD en amélioration suggère un potentiel de rebond, mais l'absence de confirmation par le RSI et le Stochastique invite à la prudence. Le titre évolue dans une zone de consolidation baissière, avec un support clé à 50 000 FCFA et une résistance à 56 957 FCFA (borne supérieure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**En 2023**, le chiffre d'affaires s'établit à 24 336 010 000 FCFA, stable par rapport à 2022, tandis que le résultat net redevient positif à 640 334 855 FCFA après une perte massive de -6 908 362 002 FCFA en 2022. Cette amélioration spectaculaire du résultat net (marge nette de 2,63% en 2023 contre -28,4% en 2022) résulte principalement du redressement du résultat d'exploitation, passé de -6 258 millions FCFA en 2022 à +3 340 millions FCFA en 2023, grâce à une réduction des charges et une meilleure gestion des stocks. **En 2022**, le chiffre d'affaires s'élevait à 36 174,6 millions FCFA (hors taxes), en baisse de 21,5% par rapport à 2021 (46 059,4 millions FCFA), en raison de la cession de l'activité "Thé" (Lipton) et des perturbations régionales (embargo malien, restrictions BCEAO). La perte nette de -6 382,6 millions FCFA en 2022 (contre un bénéfice marginal de 0,175 million FCFA en 2021) reflétait la disparition des produits exceptionnels liés à la cession de Lipton en 2021 (+16,7 milliards FCFA). **En 2021**, le résultat net était de +6 090 755 732 FCFA (marge nette de 25,0%), porté par une réduction des pertes sur stocks et une maîtrise des coûts. L'évolution sur trois ans (2021-2023) montre une volatilité extrême des résultats, avec un retour à la profitabilité en 2023, mais une structure financière toujours fragile : les capitaux propres restent négatifs à -10 658 millions FCFA en 2023, et l'endettement financier s'élève à 4 379 millions FCFA (contre 3 827 millions en 2022). Le ROE et le ROA ne sont pas calculables en raison de capitaux propres négatifs, mais la marge nette de 2,63% en 2023 reste inférieure à la moyenne sectorielle des FMCG en Afrique de l'Ouest (5-10%). **Perspectives** : La société ne verse aucun dividende depuis plusieurs années (0% de taux de distribution en 2022 et 2023), privilégiant la reconstitution des capitaux propres. Les risques identifiés incluent la dépendance au marché ivoirien, la concurrence accrue (Nestlé, P&amp;G), l'endettement élevé et les capitaux propres négatifs. Les opportunités résident dans l'expansion régionale (UEMOA), l'innovation produit (gammes premium, bio) et l'optimisation des coûts logistiques. **Recommandation fondamentale** : CONSERVER avec vigilance, en attendant une stabilisation durable des capitaux propres et une confirmation de la rentabilité en 2024-2025.</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les ratios de valorisation sont non calculables, mais le PER implicite très élevé (&gt;700x) et les capitaux propres négatifs indiquent une surévaluation manifeste par rapport aux fondamentaux actuels, le marché anticipant une restructuration réussie. **Comportement du cours (Partie 1)** : la tendance baissière (-7,83% sur 100 jours) avec une volatilité élevée (57,8%) et une distribution quasi symétrique (skewness 0,175, kurtosis -0,432) suggère un risque de fluctuation important, mais sans biais directionnel fort. **Signaux techniques (Partie 2)** : les indicateurs sont mitigés, avec deux signaux "Achat" (MM, MACD) et trois "Neutre" (Bollinger, RSI, Stochastique), reflétant une absence de convergence claire et une consolidation en cours. **Fondamentaux (Partie 3)** : le retour à la profitabilité en 2023 (bénéfice net de 640,3 millions FCFA) est encourageant, mais la structure financière reste précaire (capitaux propres négatifs, endettement élevé, absence de dividende). **Prédictions IA (J+1 à J+10)** : la trajectoire prédite (53 515 FCFA à 53 269 FCFA) indique une légère baisse puis une stabilisation autour de 53 300 FCFA, ce qui contredit les signaux d'achat techniques à court terme mais confirme la tendance baissière modérée. **Recommandation finale** : **CONSERVER** (avec vigilance). La convergence entre la surévaluation fondamentale, la faiblesse des signaux techniques et la prédiction baissière invite à la prudence, mais le potentiel de redressement (marque forte, retour à la profitabilité) justifie de ne pas vendre. **Niveau de confiance** : Moyen (les signaux sont divergents). **Niveau de risque** : Élevé (volatilité, capitaux propres négatifs, absence de dividende). **Horizon d'investissement optimal** : Moyen terme (3-12 mois), en attendant la publication des résultats 2024-2025 pour confirmer la tendance.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49.38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13,163 titres</w:t>
            </w:r>
          </w:p>
        </w:tc>
        <w:tc>
          <w:tcPr>
            <w:tcW w:type="dxa" w:w="2268"/>
            <w:shd w:fill="FFF2CC" w:val="clear"/>
          </w:tcPr>
          <w:p>
            <w:r>
              <w:rPr>
                <w:b/>
                <w:color w:val="503200"/>
                <w:sz w:val="16"/>
              </w:rPr>
              <w:t xml:space="preserve">Cours actuel : </w:t>
            </w:r>
            <w:r>
              <w:rPr>
                <w:color w:val="000000"/>
                <w:sz w:val="17"/>
              </w:rPr>
              <w:t>2,380 FCFA</w:t>
            </w:r>
          </w:p>
          <w:p>
            <w:r>
              <w:rPr>
                <w:b/>
                <w:color w:val="503200"/>
                <w:sz w:val="16"/>
              </w:rPr>
              <w:t xml:space="preserve">Var. 100 jours : </w:t>
            </w:r>
            <w:r>
              <w:rPr>
                <w:b/>
                <w:color w:val="007800"/>
                <w:sz w:val="17"/>
              </w:rPr>
              <w:t>+26.93%</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14.15% (Moyenne) — μ=1,952 FCFA, σ=276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β=-0.1400 (Contre-cyclique) — Cov=-0.000005, Var(idx)=0.000035, ρ=-0.026,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2026-09-16</w:t>
            </w:r>
          </w:p>
        </w:tc>
        <w:tc>
          <w:tcPr>
            <w:tcW w:type="dxa" w:w="1440"/>
            <w:shd w:fill="FAFAFA" w:val="clear"/>
          </w:tcPr>
          <w:p>
            <w:r>
              <w:rPr>
                <w:sz w:val="17"/>
              </w:rPr>
              <w:t>2,271</w:t>
            </w:r>
          </w:p>
        </w:tc>
        <w:tc>
          <w:tcPr>
            <w:tcW w:type="dxa" w:w="1440"/>
            <w:shd w:fill="FAFAFA" w:val="clear"/>
          </w:tcPr>
          <w:p>
            <w:r>
              <w:rPr>
                <w:b/>
                <w:sz w:val="17"/>
              </w:rPr>
              <w:t>2,367</w:t>
            </w:r>
          </w:p>
        </w:tc>
        <w:tc>
          <w:tcPr>
            <w:tcW w:type="dxa" w:w="1440"/>
            <w:shd w:fill="FAFAFA" w:val="clear"/>
          </w:tcPr>
          <w:p>
            <w:r>
              <w:rPr>
                <w:sz w:val="17"/>
              </w:rPr>
              <w:t>2,463</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2026-09-17</w:t>
            </w:r>
          </w:p>
        </w:tc>
        <w:tc>
          <w:tcPr>
            <w:tcW w:type="dxa" w:w="1440"/>
            <w:shd w:fill="FAFAFA" w:val="clear"/>
          </w:tcPr>
          <w:p>
            <w:r>
              <w:rPr>
                <w:sz w:val="17"/>
              </w:rPr>
              <w:t>2,221</w:t>
            </w:r>
          </w:p>
        </w:tc>
        <w:tc>
          <w:tcPr>
            <w:tcW w:type="dxa" w:w="1440"/>
            <w:shd w:fill="FAFAFA" w:val="clear"/>
          </w:tcPr>
          <w:p>
            <w:r>
              <w:rPr>
                <w:b/>
                <w:sz w:val="17"/>
              </w:rPr>
              <w:t>2,357</w:t>
            </w:r>
          </w:p>
        </w:tc>
        <w:tc>
          <w:tcPr>
            <w:tcW w:type="dxa" w:w="1440"/>
            <w:shd w:fill="FAFAFA" w:val="clear"/>
          </w:tcPr>
          <w:p>
            <w:r>
              <w:rPr>
                <w:sz w:val="17"/>
              </w:rPr>
              <w:t>2,492</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2026-09-18</w:t>
            </w:r>
          </w:p>
        </w:tc>
        <w:tc>
          <w:tcPr>
            <w:tcW w:type="dxa" w:w="1440"/>
            <w:shd w:fill="FAFAFA" w:val="clear"/>
          </w:tcPr>
          <w:p>
            <w:r>
              <w:rPr>
                <w:sz w:val="17"/>
              </w:rPr>
              <w:t>2,181</w:t>
            </w:r>
          </w:p>
        </w:tc>
        <w:tc>
          <w:tcPr>
            <w:tcW w:type="dxa" w:w="1440"/>
            <w:shd w:fill="FAFAFA" w:val="clear"/>
          </w:tcPr>
          <w:p>
            <w:r>
              <w:rPr>
                <w:b/>
                <w:sz w:val="17"/>
              </w:rPr>
              <w:t>2,346</w:t>
            </w:r>
          </w:p>
        </w:tc>
        <w:tc>
          <w:tcPr>
            <w:tcW w:type="dxa" w:w="1440"/>
            <w:shd w:fill="FAFAFA" w:val="clear"/>
          </w:tcPr>
          <w:p>
            <w:r>
              <w:rPr>
                <w:sz w:val="17"/>
              </w:rPr>
              <w:t>2,512</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2026-09-21</w:t>
            </w:r>
          </w:p>
        </w:tc>
        <w:tc>
          <w:tcPr>
            <w:tcW w:type="dxa" w:w="1440"/>
            <w:shd w:fill="FAFAFA" w:val="clear"/>
          </w:tcPr>
          <w:p>
            <w:r>
              <w:rPr>
                <w:sz w:val="17"/>
              </w:rPr>
              <w:t>2,147</w:t>
            </w:r>
          </w:p>
        </w:tc>
        <w:tc>
          <w:tcPr>
            <w:tcW w:type="dxa" w:w="1440"/>
            <w:shd w:fill="FAFAFA" w:val="clear"/>
          </w:tcPr>
          <w:p>
            <w:r>
              <w:rPr>
                <w:b/>
                <w:sz w:val="17"/>
              </w:rPr>
              <w:t>2,337</w:t>
            </w:r>
          </w:p>
        </w:tc>
        <w:tc>
          <w:tcPr>
            <w:tcW w:type="dxa" w:w="1440"/>
            <w:shd w:fill="FAFAFA" w:val="clear"/>
          </w:tcPr>
          <w:p>
            <w:r>
              <w:rPr>
                <w:sz w:val="17"/>
              </w:rPr>
              <w:t>2,527</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2026-09-22</w:t>
            </w:r>
          </w:p>
        </w:tc>
        <w:tc>
          <w:tcPr>
            <w:tcW w:type="dxa" w:w="1440"/>
            <w:shd w:fill="FFDCE0" w:val="clear"/>
          </w:tcPr>
          <w:p>
            <w:r>
              <w:rPr>
                <w:sz w:val="17"/>
              </w:rPr>
              <w:t>2,116</w:t>
            </w:r>
          </w:p>
        </w:tc>
        <w:tc>
          <w:tcPr>
            <w:tcW w:type="dxa" w:w="1440"/>
            <w:shd w:fill="FFDCE0" w:val="clear"/>
          </w:tcPr>
          <w:p>
            <w:r>
              <w:rPr>
                <w:b/>
                <w:sz w:val="17"/>
              </w:rPr>
              <w:t>2,327</w:t>
            </w:r>
          </w:p>
        </w:tc>
        <w:tc>
          <w:tcPr>
            <w:tcW w:type="dxa" w:w="1440"/>
            <w:shd w:fill="FFDCE0" w:val="clear"/>
          </w:tcPr>
          <w:p>
            <w:r>
              <w:rPr>
                <w:sz w:val="17"/>
              </w:rPr>
              <w:t>2,539</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2026-09-23</w:t>
            </w:r>
          </w:p>
        </w:tc>
        <w:tc>
          <w:tcPr>
            <w:tcW w:type="dxa" w:w="1440"/>
            <w:shd w:fill="FFDCE0" w:val="clear"/>
          </w:tcPr>
          <w:p>
            <w:r>
              <w:rPr>
                <w:sz w:val="17"/>
              </w:rPr>
              <w:t>2,088</w:t>
            </w:r>
          </w:p>
        </w:tc>
        <w:tc>
          <w:tcPr>
            <w:tcW w:type="dxa" w:w="1440"/>
            <w:shd w:fill="FFDCE0" w:val="clear"/>
          </w:tcPr>
          <w:p>
            <w:r>
              <w:rPr>
                <w:b/>
                <w:sz w:val="17"/>
              </w:rPr>
              <w:t>2,318</w:t>
            </w:r>
          </w:p>
        </w:tc>
        <w:tc>
          <w:tcPr>
            <w:tcW w:type="dxa" w:w="1440"/>
            <w:shd w:fill="FFDCE0" w:val="clear"/>
          </w:tcPr>
          <w:p>
            <w:r>
              <w:rPr>
                <w:sz w:val="17"/>
              </w:rPr>
              <w:t>2,549</w:t>
            </w:r>
          </w:p>
        </w:tc>
        <w:tc>
          <w:tcPr>
            <w:tcW w:type="dxa" w:w="1440"/>
            <w:shd w:fill="FFDCE0" w:val="clear"/>
          </w:tcPr>
          <w:p>
            <w:r>
              <w:rPr>
                <w:b/>
                <w:color w:val="C00000"/>
                <w:sz w:val="17"/>
              </w:rPr>
              <w:t>-2.6%</w:t>
            </w:r>
          </w:p>
        </w:tc>
      </w:tr>
      <w:tr>
        <w:tc>
          <w:tcPr>
            <w:tcW w:type="dxa" w:w="1440"/>
            <w:shd w:fill="FFDCE0" w:val="clear"/>
          </w:tcPr>
          <w:p>
            <w:r>
              <w:rPr>
                <w:sz w:val="17"/>
              </w:rPr>
              <w:t>J+7  ⭐</w:t>
            </w:r>
          </w:p>
        </w:tc>
        <w:tc>
          <w:tcPr>
            <w:tcW w:type="dxa" w:w="1440"/>
            <w:shd w:fill="FFDCE0" w:val="clear"/>
          </w:tcPr>
          <w:p>
            <w:r>
              <w:rPr>
                <w:sz w:val="17"/>
              </w:rPr>
              <w:t>2026-09-24</w:t>
            </w:r>
          </w:p>
        </w:tc>
        <w:tc>
          <w:tcPr>
            <w:tcW w:type="dxa" w:w="1440"/>
            <w:shd w:fill="FFDCE0" w:val="clear"/>
          </w:tcPr>
          <w:p>
            <w:r>
              <w:rPr>
                <w:sz w:val="17"/>
              </w:rPr>
              <w:t>2,061</w:t>
            </w:r>
          </w:p>
        </w:tc>
        <w:tc>
          <w:tcPr>
            <w:tcW w:type="dxa" w:w="1440"/>
            <w:shd w:fill="FFDCE0" w:val="clear"/>
          </w:tcPr>
          <w:p>
            <w:r>
              <w:rPr>
                <w:b/>
                <w:sz w:val="17"/>
              </w:rPr>
              <w:t>2,310</w:t>
            </w:r>
          </w:p>
        </w:tc>
        <w:tc>
          <w:tcPr>
            <w:tcW w:type="dxa" w:w="1440"/>
            <w:shd w:fill="FFDCE0" w:val="clear"/>
          </w:tcPr>
          <w:p>
            <w:r>
              <w:rPr>
                <w:sz w:val="17"/>
              </w:rPr>
              <w:t>2,558</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2026-09-25</w:t>
            </w:r>
          </w:p>
        </w:tc>
        <w:tc>
          <w:tcPr>
            <w:tcW w:type="dxa" w:w="1440"/>
            <w:shd w:fill="FFDCE0" w:val="clear"/>
          </w:tcPr>
          <w:p>
            <w:r>
              <w:rPr>
                <w:sz w:val="17"/>
              </w:rPr>
              <w:t>2,036</w:t>
            </w:r>
          </w:p>
        </w:tc>
        <w:tc>
          <w:tcPr>
            <w:tcW w:type="dxa" w:w="1440"/>
            <w:shd w:fill="FFDCE0" w:val="clear"/>
          </w:tcPr>
          <w:p>
            <w:r>
              <w:rPr>
                <w:b/>
                <w:sz w:val="17"/>
              </w:rPr>
              <w:t>2,301</w:t>
            </w:r>
          </w:p>
        </w:tc>
        <w:tc>
          <w:tcPr>
            <w:tcW w:type="dxa" w:w="1440"/>
            <w:shd w:fill="FFDCE0" w:val="clear"/>
          </w:tcPr>
          <w:p>
            <w:r>
              <w:rPr>
                <w:sz w:val="17"/>
              </w:rPr>
              <w:t>2,566</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2026-09-28</w:t>
            </w:r>
          </w:p>
        </w:tc>
        <w:tc>
          <w:tcPr>
            <w:tcW w:type="dxa" w:w="1440"/>
            <w:shd w:fill="FFDCE0" w:val="clear"/>
          </w:tcPr>
          <w:p>
            <w:r>
              <w:rPr>
                <w:sz w:val="17"/>
              </w:rPr>
              <w:t>2,013</w:t>
            </w:r>
          </w:p>
        </w:tc>
        <w:tc>
          <w:tcPr>
            <w:tcW w:type="dxa" w:w="1440"/>
            <w:shd w:fill="FFDCE0" w:val="clear"/>
          </w:tcPr>
          <w:p>
            <w:r>
              <w:rPr>
                <w:b/>
                <w:sz w:val="17"/>
              </w:rPr>
              <w:t>2,293</w:t>
            </w:r>
          </w:p>
        </w:tc>
        <w:tc>
          <w:tcPr>
            <w:tcW w:type="dxa" w:w="1440"/>
            <w:shd w:fill="FFDCE0" w:val="clear"/>
          </w:tcPr>
          <w:p>
            <w:r>
              <w:rPr>
                <w:sz w:val="17"/>
              </w:rPr>
              <w:t>2,572</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2026-09-29</w:t>
            </w:r>
          </w:p>
        </w:tc>
        <w:tc>
          <w:tcPr>
            <w:tcW w:type="dxa" w:w="1440"/>
            <w:shd w:fill="FFDCE0" w:val="clear"/>
          </w:tcPr>
          <w:p>
            <w:r>
              <w:rPr>
                <w:sz w:val="17"/>
              </w:rPr>
              <w:t>1,991</w:t>
            </w:r>
          </w:p>
        </w:tc>
        <w:tc>
          <w:tcPr>
            <w:tcW w:type="dxa" w:w="1440"/>
            <w:shd w:fill="FFDCE0" w:val="clear"/>
          </w:tcPr>
          <w:p>
            <w:r>
              <w:rPr>
                <w:b/>
                <w:sz w:val="17"/>
              </w:rPr>
              <w:t>2,284</w:t>
            </w:r>
          </w:p>
        </w:tc>
        <w:tc>
          <w:tcPr>
            <w:tcW w:type="dxa" w:w="1440"/>
            <w:shd w:fill="FFDCE0" w:val="clear"/>
          </w:tcPr>
          <w:p>
            <w:r>
              <w:rPr>
                <w:sz w:val="17"/>
              </w:rPr>
              <w:t>2,578</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 RAPPORT D'ANALYSE FINANCIÈRE — UNIWAX (UNXC)</w:t>
        <w:br/>
        <w:t>## Bourse Régionale des Valeurs Mobilières (BRVM) — Secteur Textile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49,38 milliards FCFA, UNIWAX se positionne comme une valeur de taille intermédiaire sur la cote BRVM, représentant un poids non négligeable dans l'indice sectoriel textile. Le BPA ressort à -105 FCFA/action pour l'exercice 2024, traduisant une société déficitaire dont chaque action détruit de la valeur comptable sur la période. Le PER de -22,6x est mécaniquement négatif et donc non interprétable en tant que multiple de valorisation classique — il confirme simplement l'absence de bénéfices positifs sur 2024, rendant toute comparaison avec le PER moyen BRVM (8-12x) inopérante. En revanche, le P/B de 3,17x mérite attention : le marché valorise UNIWAX à plus de trois fois ses fonds propres comptables, ce qui traduit une prime de croissance significative — probablement liée à la restructuration financière en cours (cession-bail du terrain) et au retour à une rentabilité opérationnelle positive observé au S1 2026. Cette prime reste toutefois à surveiller, car elle n'est justifiée que si la trajectoire de redressement se confirme durablement.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performance remarquable de +26,93%, portant le cours à 2 380 FCFA, malgré un léger repli de -0,83% sur la dernière séance (J-1). Le range de trading est particulièrement large, avec un plus haut à 2 495 FCFA et un plus bas à 1 250 FCFA — soit un écart de près de 100% entre les deux extrêmes, révélant une dynamique haussière puissante enclenchée depuis le point bas. La tendance générale est clairement haussière, soutenue par le retour à une rentabilité opérationnelle positive annoncé dans les rapports récents. Les statistiques descriptives confirment cette dynamique : la moyenne (1 952 FCFA) est légèrement supérieure à la médiane (1 902 FCFA), avec un mode à 1 900 FCFA — l'écart modéré entre moyenne et médiane indique une distribution quasi-symétrique, cohérente avec le skewness de 0,176 (distribution symétrique). L'écart-type de 277 FCFA (CV=14,2%) traduit une dispersion modérée du cours autour de sa moyenne, tandis que le kurtosis de 0,175 (mésokurtique) suggère une distribution proche de la normale, sans risque de pics extrêmes marqué. La volatilité annualisée de 50,5% classe UNXC dans la catégorie des titres à volatilité élevée (&gt;30%), ce qui implique un risque de marché significatif mais aussi des opportunités de rendement amplifiées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(2 408,25 FCFA) et la MM50 (2 030,90 FCFA) encadrent le cours actuel (2 380 FCFA) de manière significative. Le cours évolue légèrement sous sa MM20 mais nettement au-dessus de sa MM50, ce qui traduit une dynamique haussière de fond intacte malgré une consolidation court terme. La MM20 &gt; MM50 confirme la configuration haussière (golden cross), justifiant la décision technique d'**Achat**.</w:t>
      </w:r>
    </w:p>
    <w:p>
      <w:pPr>
        <w:spacing w:after="120" w:line="276" w:lineRule="auto"/>
      </w:pPr>
      <w:r>
        <w:t>**Bandes de Bollinger** : Le cours (2 380 FCFA) se situe dans la partie médiane-haute de la bande, entre la borne inférieure (2 298,12 FCFA) et la borne supérieure (2 518,38 FCFA). L'écart entre les bornes (220 FCFA) reflète une volatilité modérée récente, sans compression excessive ni expansion brutale. La position du cours à mi-chemin entre les bornes justifie la décision **Neutre**, sans signal de surachat ni de survente.</w:t>
      </w:r>
    </w:p>
    <w:p>
      <w:pPr>
        <w:spacing w:after="120" w:line="276" w:lineRule="auto"/>
      </w:pPr>
      <w:r>
        <w:t>**MACD** : La valeur du MACD (87,98) est inférieure à son signal (112,14), générant un croisement baissier qui traduit un essoufflement du momentum haussier à court terme. Cette divergence négative, bien que modérée, justifie la décision de **Vente** technique, signalant une possible consolidation avant reprise.</w:t>
      </w:r>
    </w:p>
    <w:p>
      <w:pPr>
        <w:spacing w:after="120" w:line="276" w:lineRule="auto"/>
      </w:pPr>
      <w:r>
        <w:t>**RSI** : À 46,30, le RSI se situe dans la zone neutre (30-70), sans signal de surachat (&gt;70) ni de survente (&lt;30). Cette position médiane indique un équilibre entre acheteurs et vendeurs, justifiant la décision **Neutre** et suggérant qu'aucun mouvement directionnel fort n'est imminent à court terme.</w:t>
      </w:r>
    </w:p>
    <w:p>
      <w:pPr>
        <w:spacing w:after="120" w:line="276" w:lineRule="auto"/>
      </w:pPr>
      <w:r>
        <w:t>**Stochastique** : Le %K (34,78) est inférieur au %D (41,89), avec un croisement baissier en zone basse. Cette configuration suggère une pression vendeuse persistante mais proche de la zone de survente, sans signal d'achat confirmé. La décision reste **Neutre**, en attente d'un croisement haussier pour valider un rebond.</w:t>
      </w:r>
    </w:p>
    <w:p>
      <w:pPr>
        <w:spacing w:after="120" w:line="276" w:lineRule="auto"/>
      </w:pPr>
      <w:r>
        <w:t>**Conclusion technique** : Les indicateurs techniques présentent un tableau mitigé — la structure de fond reste haussière (MM20 &gt; MM50, cours &gt; MM50), mais les signaux de momentum à court terme (MACD baissier, Stochastique baissier) plaident pour une consolidation. Le RSI neutre et les Bandes de Bollinger sans signal extrême confirment cette phase d'indécision. La convergence des signaux suggère une **prise de position attentiste** avant confirmation d'un nouveau signal directionnel.</w:t>
      </w:r>
    </w:p>
    <w:p>
      <w:pPr>
        <w:spacing w:after="120" w:line="276" w:lineRule="auto"/>
      </w:pPr>
      <w:r>
        <w:t>---</w:t>
      </w:r>
    </w:p>
    <w:p>
      <w:pPr>
        <w:spacing w:after="120" w:line="276" w:lineRule="auto"/>
      </w:pPr>
      <w:r>
        <w:t>## PARTIE 3 : ANALYSE FONDAMENTALE</w:t>
      </w:r>
    </w:p>
    <w:p>
      <w:pPr>
        <w:spacing w:after="120" w:line="276" w:lineRule="auto"/>
      </w:pPr>
      <w:r>
        <w:t>**Données structurées (exercice 2024)** : En 2024, UNIWAX a réalisé un chiffre d'affaires de 27,333 milliards FCFA, en croissance de 15,4% par rapport à 2023 (23,690 milliards FCFA), mais a enregistré une perte nette de -2,189 milliards FCFA (marge nette de -8,01%), contre un bénéfice de 4,188 milliards FCFA en 2023. Cette dégradation s'explique par l'explosion des charges d'exploitation (32,706 milliards FCFA, soit un coefficient d'exploitation de 106,99%) et une valeur ajoutée en baisse de 14,8% à 5,414 milliards FCFA. Le ROE ressort à -14,04% et le ROA à -6,39%, confirmant la destruction de valeur sur l'exercice. La structure financière reste néanmoins solide avec une autonomie financière de 45,53% (capitaux propres de 15,591 milliards FCFA), une liquidité générale de 126,23% et un endettement financier très faible (328,66 millions FCFA, soit 2,11% du total bilan). Les délais d'exploitation révèlent toutefois des tensions : délai clients de 51 jours (risque de trésorerie modéré), durée de stockage de 254,72 jours (immobilisation de capital importante) et délai fournisseurs de 267,82 jours (favorable à la trésorerie). Le BFR de 2,149 milliards FCFA et le fonds de roulement de 4,027 milliards FCFA témoignent d'une gestion équilibrée du cycle d'exploitation.</w:t>
      </w:r>
    </w:p>
    <w:p>
      <w:pPr>
        <w:spacing w:after="120" w:line="276" w:lineRule="auto"/>
      </w:pPr>
      <w:r>
        <w:t>**Estimations basées sur les rapports trimestriels** : Le rapport du **S1 2026 (publié en 2026)** marque un tournant décisif : le chiffre d'affaires semestriel s'établit à 15,752 milliards FCFA (+0,3% sur un an), mais surtout le **résultat d'exploitation redevient positif à 771 millions FCFA**, contre une perte de -314 millions FCFA au S1 2025 — soit une amélioration de +345,4%. Le résultat net du S1 2026 est de 771 millions FCFA (marge nette de 4,9%), à comparer aux 8,216 milliards FCFA du S1 2025 qui incluaient une plus-value exceptionnelle de cession de près de 10 milliards FCFA. Le rapport du **T3 2025 (publié en 2025)** confirme cette dynamique : sur les neuf premiers mois 2025, le CA atteint 22,474 milliards FCFA (+13%), et la direction annonce l'absence de perte opérationnelle au T3 seul, signalant une inflexion vers la rentabilité récurrente. Le rapport annuel **2025 (publié en 2025)** indique un CA de 29,03 milliards FCFA (+6,2%), un EBE redevenu positif à 1,13 milliard FCFA (contre -0,35 milliard en 2024) et une perte nette réduite de 71% à -624 millions FCFA. **On estime donc que l'exercice 2026 devrait confirmer le retour à une rentabilité opérationnelle positive, avec un résultat net potentiellement à l'équilibre ou légèrement bénéficiaire**, sous réserve de la confirmation de la tendance au S2 2026.</w:t>
      </w:r>
    </w:p>
    <w:p>
      <w:pPr>
        <w:spacing w:after="120" w:line="276" w:lineRule="auto"/>
      </w:pPr>
      <w:r>
        <w:t>**Recommandation fondamentale** : La trajectoire de redressement est réelle et documentée (EBE positif en 2025, résultat d'exploitation positif au S1 2026), mais la société reste fragile — pertes cumulées de -5,54 milliards FCFA, dépendance aux cessions d'actifs non récurrentes, et concurrence asiatique persistante. La solidité du bilan (faible endettement, trésorerie positive) constitue un amortisseur, mais la **durabilité de la rentabilité opérationnelle** demeure l'enjeu central. Recommandation fondamentale : **CONSERVER avec biais positif**, en attendant la confirmation du S2 2026.</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mais porteur d'opportunités. **Sur le plan de la valorisation (Partie 0)** , le P/B de 3,17x traduit une prime de croissance significative, tandis que le PER négatif et le BPA de -105 FCFA rappellent la fragilité des bénéfices passés — la valorisation actuelle intègre donc déjà une large part du redressement attendu. **Le comportement du cours (Partie 1)** est nettement haussier (+26,93% sur 100 jours), avec une volatilité élevée (50,5%) et une distribution symétrique (skewness 0,176) sans risque de pics extrêmes (kurtosis 0,175), ce qui est favorable pour une stratégie de suivi de tendance. **Les signaux techniques (Partie 2)** sont mitigés : la structure de fond reste haussière (MM20 &gt; MM50), mais le MACD baissier et le Stochastique en zone basse plaident pour une consolidation court terme, avec un RSI neutre (46,30) confirmant l'absence de signal directionnel fort. **Les fondamentaux (Partie 3)** montrent une amélioration réelle mais fragile : retour à un résultat d'exploitation positif au S1 2026 (771 millions FCFA), EBE positif en 2025 (1,13 milliard FCFA), mais perte nette encore présente en 2025 (-624 millions FCFA) et dépendance aux cessions d'actifs. **Les prédictions IA (J+1 à J+10)** anticipent une légère correction baissière (2 367 → 2 327 FCFA, soit -2,2% sur 10 jours), ce qui contredit partiellement la dynamique haussière récente mais s'aligne avec les signaux techniques de consolidation à court terme.</w:t>
      </w:r>
    </w:p>
    <w:p>
      <w:pPr>
        <w:spacing w:after="120" w:line="276" w:lineRule="auto"/>
      </w:pPr>
      <w:r>
        <w:t>**Recommandation finale : CONSERVER** — Justification : la convergence entre valorisation exigeante (P/B 3,17x), technique mitigée (consolidation attendue) et fondamentaux en amélioration mais non encore confirmés (résultat net 2025 encore négatif) plaide pour une position d'attente. Les prédictions IA baissières à court terme renforcent cette prudence. Un passage à **ACHAT** serait justifié si le S2 2026 confirme la rentabilité opérationnelle positive et si le cours casse la résistance des 2 495 FCFA. **Niveau de confiance : Moyen** — les signaux sont divergents entre court terme (baissier) et moyen terme (haussier). **Niveau de risque global : Élevé** — volatilité de 50,5%, société en restructuration, dépendance aux marchés d'exportation (Nigeria, Guinée) et concurrence asiatique. **Horizon d'investissement optimal : Moyen terme (3-12 mois)** — le temps que la trajectoire de redressement se confirme et que les comptes 2026 soient publiés, avec un suivi trimestriel impératif des marges opérationnelles.</w:t>
      </w:r>
    </w:p>
    <w:p>
      <w:pPr>
        <w:spacing w:after="120" w:line="276" w:lineRule="auto"/>
      </w:pPr>
      <w:r>
        <w:t>---</w:t>
      </w:r>
    </w:p>
    <w:p>
      <w:pPr>
        <w:spacing w:after="120" w:line="276" w:lineRule="auto"/>
      </w:pPr>
      <w:r>
        <w:t>*Rapport généré le 15 septembre 2026 — Sources : BRVM Données Financières, Rapports UNIWAX (2024, 2025, S1 2026), Analyses techniques et prédictions IA.*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