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11/09/2026 à 09:02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PALC  (score 84/100)</w:t>
      </w:r>
    </w:p>
    <w:p>
      <w:pPr>
        <w:spacing w:before="20" w:after="20"/>
        <w:ind w:left="360" w:right="360"/>
        <w:shd w:val="clear" w:color="auto" w:fill="EBF5FB"/>
      </w:pPr>
      <w:r>
        <w:rPr>
          <w:b/>
          <w:sz w:val="19"/>
        </w:rPr>
        <w:t xml:space="preserve">Secteur surperformant :  </w:t>
      </w:r>
      <w:r>
        <w:rPr>
          <w:color w:val="008000"/>
          <w:sz w:val="19"/>
        </w:rPr>
        <w:t>SERVICES PUBLICS  (+107.2%)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552.75 points </w:t>
      </w:r>
      <w:r>
        <w:rPr>
          <w:color w:val="008000"/>
        </w:rPr>
        <w:t>(+0.18%)</w:t>
      </w:r>
      <w:r>
        <w:t xml:space="preserve"> sur la séance. </w:t>
      </w:r>
      <w:r>
        <w:t>La capitalisation globale du marché atteint 21 314,885 milliards FCFA.</w:t>
      </w:r>
    </w:p>
    <w:p/>
    <w:p>
      <w:pPr>
        <w:pStyle w:val="Heading3"/>
      </w:pPr>
      <w:r>
        <w:t>📊 Évolution de l'indice BRVM Composite (100 derniers jours)</w:t>
      </w:r>
    </w:p>
    <w:p>
      <w:r>
        <w:rPr>
          <w:b/>
        </w:rPr>
        <w:t xml:space="preserve">BRVM Composite — </w:t>
      </w:r>
      <w:r>
        <w:t xml:space="preserve">Sur les 100 derniers jours de cotation (2026-04-16 au 2026-09-10), l'indice BRVM Composite a évolué de </w:t>
      </w:r>
      <w:r>
        <w:rPr>
          <w:b/>
          <w:color w:val="008000"/>
        </w:rPr>
        <w:t>+39.12%</w:t>
      </w:r>
      <w:r>
        <w:t>, passant de 397.33 pts à 552.75 pts. Le plus haut atteint est 553.02 pts et le plus bas 397.33 pts. Sur l'ensemble de la période, la moyenne de l'indice s'établit à 460.17 pts, la médiane à 455.35 pts et le mode à 397.33 pts</w:t>
      </w:r>
      <w:r>
        <w:t xml:space="preserve"> (asymétrie positive — plus de jours sous la moyenne). </w:t>
      </w:r>
      <w:r>
        <w:t xml:space="preserve">L'écart-type de 45.19 pts (CV=9.8%) traduit une modérée dispersion des cotations. Le kurtosis de -0.83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+39.14%</w:t>
      </w:r>
      <w:r>
        <w:t xml:space="preserve"> sur la période, passant de 15 319,235 Mds FCFA à 21 314,885 Mds FCFA. Le pic de capitalisation observé est de 21 325,303 Mds FCFA et le plancher de 15 319,235 Mds FCFA. La moyenne de la capitalisation sur la période s'établit à 17 735,480 Mds FCFA, la médiane à 17 541,363 Mds FCFA et le mode à 15 319,235 Mds FCFA</w:t>
      </w:r>
      <w:r>
        <w:t xml:space="preserve"> (asymétrie positive). </w:t>
      </w:r>
      <w:r>
        <w:t>L'écart-type de 1 743,120 Mds FCFA (CV=9.8%) reflète une modérée variabilité de la valorisation du marché. Le kurtosis de -0.82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SIBC - SIBC - SOCIETE IVOIRIENNE DE BANQUE</w:t>
      </w:r>
      <w:r>
        <w:t xml:space="preserve"> | Prix: 9300 FCFA | </w:t>
      </w:r>
      <w:r>
        <w:rPr>
          <w:b/>
          <w:color w:val="008000"/>
        </w:rPr>
        <w:t>ACHAT FORT</w:t>
      </w:r>
      <w:r>
        <w:t xml:space="preserve"> | Confiance: Faible | Risque: Faible</w:t>
      </w:r>
    </w:p>
    <w:p>
      <w:pPr>
        <w:pStyle w:val="ListNumber"/>
      </w:pPr>
      <w:r>
        <w:rPr>
          <w:b/>
        </w:rPr>
        <w:t>ABJC - ABJC - SERVAIR ABIDJAN CI</w:t>
      </w:r>
      <w:r>
        <w:t xml:space="preserve"> | Prix: 4005 FCFA | </w:t>
      </w:r>
      <w:r>
        <w:rPr>
          <w:b/>
          <w:color w:val="008000"/>
        </w:rPr>
        <w:t>ACHAT</w:t>
      </w:r>
      <w:r>
        <w:t xml:space="preserve"> | Confiance: Moyen | Risque: Moyen</w:t>
      </w:r>
    </w:p>
    <w:p>
      <w:pPr>
        <w:pStyle w:val="ListNumber"/>
      </w:pPr>
      <w:r>
        <w:rPr>
          <w:b/>
        </w:rPr>
        <w:t>BICB - BIIC BN - Banque internationale pour le commerce du benin</w:t>
      </w:r>
      <w:r>
        <w:t xml:space="preserve"> | Prix: 10200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32600 FCFA | </w:t>
      </w:r>
      <w:r>
        <w:rPr>
          <w:b/>
          <w:color w:val="008000"/>
        </w:rPr>
        <w:t>ACHAT</w:t>
      </w:r>
      <w:r>
        <w:t xml:space="preserve"> | Confiance: Élevée | Risque: Faible</w:t>
      </w:r>
    </w:p>
    <w:p>
      <w:pPr>
        <w:pStyle w:val="ListNumber"/>
      </w:pPr>
      <w:r>
        <w:rPr>
          <w:b/>
        </w:rPr>
        <w:t>BNBC - BNBC - BERNABE CI</w:t>
      </w:r>
      <w:r>
        <w:t xml:space="preserve"> | Prix: 2165 FCFA | </w:t>
      </w:r>
      <w:r>
        <w:rPr>
          <w:b/>
          <w:color w:val="008000"/>
        </w:rPr>
        <w:t>ACHAT</w:t>
      </w:r>
      <w:r>
        <w:t xml:space="preserve"> | Confiance: Moyen | Risque: Faible</w:t>
      </w:r>
    </w:p>
    <w:p>
      <w:pPr>
        <w:pStyle w:val="ListNumber"/>
      </w:pPr>
      <w:r>
        <w:rPr>
          <w:b/>
        </w:rPr>
        <w:t>BOAB - BANK OF AFRICA BENIN</w:t>
      </w:r>
      <w:r>
        <w:t xml:space="preserve"> | Prix: 10030 FCFA | </w:t>
      </w:r>
      <w:r>
        <w:rPr>
          <w:b/>
          <w:color w:val="008000"/>
        </w:rPr>
        <w:t>ACHAT</w:t>
      </w:r>
      <w:r>
        <w:t xml:space="preserve"> | Confiance: Élevée | Risque: Moyen</w:t>
      </w:r>
    </w:p>
    <w:p>
      <w:pPr>
        <w:pStyle w:val="ListNumber"/>
      </w:pPr>
      <w:r>
        <w:rPr>
          <w:b/>
        </w:rPr>
        <w:t>BOABF - BANK OF AFRICA BURKINA FASO</w:t>
      </w:r>
      <w:r>
        <w:t xml:space="preserve"> | Prix: 8995 FCFA | </w:t>
      </w:r>
      <w:r>
        <w:rPr>
          <w:b/>
          <w:color w:val="008000"/>
        </w:rPr>
        <w:t>ACHAT</w:t>
      </w:r>
      <w:r>
        <w:t xml:space="preserve"> | Confiance: Moyen | Risque: Moyen</w:t>
      </w:r>
    </w:p>
    <w:p>
      <w:pPr>
        <w:pStyle w:val="ListNumber"/>
      </w:pPr>
      <w:r>
        <w:rPr>
          <w:b/>
        </w:rPr>
        <w:t>BOAC - BANK OF AFRICA COTE D'IVOIRE</w:t>
      </w:r>
      <w:r>
        <w:t xml:space="preserve"> | Prix: 12400 FCFA | </w:t>
      </w:r>
      <w:r>
        <w:rPr>
          <w:b/>
          <w:color w:val="008000"/>
        </w:rPr>
        <w:t>ACHAT</w:t>
      </w:r>
      <w:r>
        <w:t xml:space="preserve"> | Confiance: Élevée | Risque: Moyen</w:t>
      </w:r>
    </w:p>
    <w:p>
      <w:pPr>
        <w:pStyle w:val="ListNumber"/>
      </w:pPr>
      <w:r>
        <w:rPr>
          <w:b/>
        </w:rPr>
        <w:t>BOAM - BANK OF AFRICA MALI</w:t>
      </w:r>
      <w:r>
        <w:t xml:space="preserve"> | Prix: 7195 FCFA | </w:t>
      </w:r>
      <w:r>
        <w:rPr>
          <w:b/>
          <w:color w:val="008000"/>
        </w:rPr>
        <w:t>ACHAT</w:t>
      </w:r>
      <w:r>
        <w:t xml:space="preserve"> | Confiance: Faible | Risque: Faible</w:t>
      </w:r>
    </w:p>
    <w:p>
      <w:pPr>
        <w:pStyle w:val="ListNumber"/>
      </w:pPr>
      <w:r>
        <w:rPr>
          <w:b/>
        </w:rPr>
        <w:t>BOAN - BANK OF AFRICA NIGER</w:t>
      </w:r>
      <w:r>
        <w:t xml:space="preserve"> | Prix: 5495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107.16%</w:t>
      </w:r>
      <w:r>
        <w:t xml:space="preserve">  |  </w:t>
      </w:r>
      <w:r>
        <w:rPr>
          <w:b/>
        </w:rPr>
        <w:t xml:space="preserve">vs BRVM Composite: </w:t>
      </w:r>
      <w:r>
        <w:rPr>
          <w:b/>
          <w:color w:val="008000"/>
        </w:rPr>
        <w:t>+68.05%  🟢 Surperformance</w:t>
      </w:r>
      <w:r>
        <w:br/>
      </w:r>
      <w:r>
        <w:rPr>
          <w:b/>
        </w:rPr>
        <w:t xml:space="preserve">Sentiment général: </w:t>
      </w:r>
      <w:r>
        <w:t xml:space="preserve">ACHAT  |  </w:t>
      </w:r>
      <w:r>
        <w:rPr>
          <w:b/>
        </w:rPr>
        <w:t xml:space="preserve">Risque moyen: </w:t>
      </w:r>
      <w:r>
        <w:t xml:space="preserve">Moyen  |  </w:t>
      </w:r>
      <w:r>
        <w:rPr>
          <w:b/>
        </w:rPr>
        <w:t xml:space="preserve">Prix moyen: </w:t>
      </w:r>
      <w:r>
        <w:t>10165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50.18%</w:t>
      </w:r>
      <w:r>
        <w:t xml:space="preserve">  |  </w:t>
      </w:r>
      <w:r>
        <w:rPr>
          <w:b/>
        </w:rPr>
        <w:t xml:space="preserve">vs BRVM Composite: </w:t>
      </w:r>
      <w:r>
        <w:rPr>
          <w:b/>
          <w:color w:val="008000"/>
        </w:rPr>
        <w:t>+11.07%  🟢 Surperformance</w:t>
      </w:r>
      <w:r>
        <w:br/>
      </w:r>
      <w:r>
        <w:rPr>
          <w:b/>
        </w:rPr>
        <w:t xml:space="preserve">Sentiment général: </w:t>
      </w:r>
      <w:r>
        <w:t xml:space="preserve">ACHAT  |  </w:t>
      </w:r>
      <w:r>
        <w:rPr>
          <w:b/>
        </w:rPr>
        <w:t xml:space="preserve">Risque moyen: </w:t>
      </w:r>
      <w:r>
        <w:t xml:space="preserve">Moyen  |  </w:t>
      </w:r>
      <w:r>
        <w:rPr>
          <w:b/>
        </w:rPr>
        <w:t xml:space="preserve">Prix moyen: </w:t>
      </w:r>
      <w:r>
        <w:t>14165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32.34%</w:t>
      </w:r>
      <w:r>
        <w:t xml:space="preserve">  |  </w:t>
      </w:r>
      <w:r>
        <w:rPr>
          <w:b/>
        </w:rPr>
        <w:t xml:space="preserve">vs BRVM Composite: </w:t>
      </w:r>
      <w:r>
        <w:rPr>
          <w:b/>
          <w:color w:val="C00000"/>
        </w:rPr>
        <w:t>-6.78%  🔴 Sous-performance</w:t>
      </w:r>
      <w:r>
        <w:br/>
      </w:r>
      <w:r>
        <w:rPr>
          <w:b/>
        </w:rPr>
        <w:t xml:space="preserve">Sentiment général: </w:t>
      </w:r>
      <w:r>
        <w:t xml:space="preserve">ACHAT  |  </w:t>
      </w:r>
      <w:r>
        <w:rPr>
          <w:b/>
        </w:rPr>
        <w:t xml:space="preserve">Risque moyen: </w:t>
      </w:r>
      <w:r>
        <w:t xml:space="preserve">Moyen  |  </w:t>
      </w:r>
      <w:r>
        <w:rPr>
          <w:b/>
        </w:rPr>
        <w:t xml:space="preserve">Prix moyen: </w:t>
      </w:r>
      <w:r>
        <w:t>21442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30.19%</w:t>
      </w:r>
      <w:r>
        <w:t xml:space="preserve">  |  </w:t>
      </w:r>
      <w:r>
        <w:rPr>
          <w:b/>
        </w:rPr>
        <w:t xml:space="preserve">vs BRVM Composite: </w:t>
      </w:r>
      <w:r>
        <w:rPr>
          <w:b/>
          <w:color w:val="C00000"/>
        </w:rPr>
        <w:t>-8.93%  🔴 Sous-performance</w:t>
      </w:r>
      <w:r>
        <w:br/>
      </w:r>
      <w:r>
        <w:rPr>
          <w:b/>
        </w:rPr>
        <w:t xml:space="preserve">Sentiment général: </w:t>
      </w:r>
      <w:r>
        <w:t xml:space="preserve">ACHAT  |  </w:t>
      </w:r>
      <w:r>
        <w:rPr>
          <w:b/>
        </w:rPr>
        <w:t xml:space="preserve">Risque moyen: </w:t>
      </w:r>
      <w:r>
        <w:t xml:space="preserve">Moyen  |  </w:t>
      </w:r>
      <w:r>
        <w:rPr>
          <w:b/>
        </w:rPr>
        <w:t xml:space="preserve">Prix moyen: </w:t>
      </w:r>
      <w:r>
        <w:t>7032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26.75%</w:t>
      </w:r>
      <w:r>
        <w:t xml:space="preserve">  |  </w:t>
      </w:r>
      <w:r>
        <w:rPr>
          <w:b/>
        </w:rPr>
        <w:t xml:space="preserve">vs BRVM Composite: </w:t>
      </w:r>
      <w:r>
        <w:rPr>
          <w:b/>
          <w:color w:val="C00000"/>
        </w:rPr>
        <w:t>-12.37%  🔴 Sous-performance</w:t>
      </w:r>
      <w:r>
        <w:br/>
      </w:r>
      <w:r>
        <w:rPr>
          <w:b/>
        </w:rPr>
        <w:t xml:space="preserve">Sentiment général: </w:t>
      </w:r>
      <w:r>
        <w:t xml:space="preserve">ACHAT  |  </w:t>
      </w:r>
      <w:r>
        <w:rPr>
          <w:b/>
        </w:rPr>
        <w:t xml:space="preserve">Risque moyen: </w:t>
      </w:r>
      <w:r>
        <w:t xml:space="preserve">Faible  |  </w:t>
      </w:r>
      <w:r>
        <w:rPr>
          <w:b/>
        </w:rPr>
        <w:t xml:space="preserve">Prix moyen: </w:t>
      </w:r>
      <w:r>
        <w:t>3063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25.53%</w:t>
      </w:r>
      <w:r>
        <w:t xml:space="preserve">  |  </w:t>
      </w:r>
      <w:r>
        <w:rPr>
          <w:b/>
        </w:rPr>
        <w:t xml:space="preserve">vs BRVM Composite: </w:t>
      </w:r>
      <w:r>
        <w:rPr>
          <w:b/>
          <w:color w:val="C00000"/>
        </w:rPr>
        <w:t>-13.58%  🔴 Sous-performance</w:t>
      </w:r>
      <w:r>
        <w:br/>
      </w:r>
      <w:r>
        <w:rPr>
          <w:b/>
        </w:rPr>
        <w:t xml:space="preserve">Sentiment général: </w:t>
      </w:r>
      <w:r>
        <w:t xml:space="preserve">ACHAT  |  </w:t>
      </w:r>
      <w:r>
        <w:rPr>
          <w:b/>
        </w:rPr>
        <w:t xml:space="preserve">Risque moyen: </w:t>
      </w:r>
      <w:r>
        <w:t xml:space="preserve">Moyen  |  </w:t>
      </w:r>
      <w:r>
        <w:rPr>
          <w:b/>
        </w:rPr>
        <w:t xml:space="preserve">Prix moyen: </w:t>
      </w:r>
      <w:r>
        <w:t>18557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2.16%</w:t>
      </w:r>
      <w:r>
        <w:t xml:space="preserve">  |  </w:t>
      </w:r>
      <w:r>
        <w:rPr>
          <w:b/>
        </w:rPr>
        <w:t xml:space="preserve">vs BRVM Composite: </w:t>
      </w:r>
      <w:r>
        <w:rPr>
          <w:b/>
          <w:color w:val="C00000"/>
        </w:rPr>
        <w:t>-36.95%  🔴 Sous-performance</w:t>
      </w:r>
      <w:r>
        <w:br/>
      </w:r>
      <w:r>
        <w:rPr>
          <w:b/>
        </w:rPr>
        <w:t xml:space="preserve">Sentiment général: </w:t>
      </w:r>
      <w:r>
        <w:t xml:space="preserve">ACHAT  |  </w:t>
      </w:r>
      <w:r>
        <w:rPr>
          <w:b/>
        </w:rPr>
        <w:t xml:space="preserve">Risque moyen: </w:t>
      </w:r>
      <w:r>
        <w:t xml:space="preserve">Faible  |  </w:t>
      </w:r>
      <w:r>
        <w:rPr>
          <w:b/>
        </w:rPr>
        <w:t xml:space="preserve">Prix moyen: </w:t>
      </w:r>
      <w:r>
        <w:t>2519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BICB, BICC, BOAB, BOAC, CABC, CFAC, CIEC, ECOC, ETIT, FTSC, NSBC, ORAC, ORGT, PALC, SDCC, SDSC, SEMC, SGBC, SHEC, SIVC, SPHC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BNBC, BOABF, BOAN, BOAS, CBIBF, NEIC, NTLC, ONTBF, SAFC, SICC, SNTS, STAC, TTLC, TTLS,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BOAM, LNBB, PRSC, SCRC, SIBC, SLBC, SMBC, SOGC, STBC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1375075</w:t>
            </w:r>
          </w:p>
        </w:tc>
        <w:tc>
          <w:tcPr>
            <w:tcW w:type="dxa" w:w="1728"/>
          </w:tcPr>
          <w:p>
            <w:r>
              <w:t>92162712 FCFA</w:t>
            </w:r>
          </w:p>
        </w:tc>
        <w:tc>
          <w:tcPr>
            <w:tcW w:type="dxa" w:w="1728"/>
          </w:tcPr>
          <w:p>
            <w:r>
              <w:t>150.00%</w:t>
            </w:r>
          </w:p>
        </w:tc>
        <w:tc>
          <w:tcPr>
            <w:tcW w:type="dxa" w:w="1728"/>
          </w:tcPr>
          <w:p>
            <w:r>
              <w:t>ACHAT</w:t>
            </w:r>
          </w:p>
        </w:tc>
      </w:tr>
      <w:tr>
        <w:tc>
          <w:tcPr>
            <w:tcW w:type="dxa" w:w="1728"/>
          </w:tcPr>
          <w:p>
            <w:r>
              <w:t>BICB (BIIC BN - Banque internationale pour le commerce du benin)</w:t>
            </w:r>
          </w:p>
        </w:tc>
        <w:tc>
          <w:tcPr>
            <w:tcW w:type="dxa" w:w="1728"/>
          </w:tcPr>
          <w:p>
            <w:r>
              <w:t>20762</w:t>
            </w:r>
          </w:p>
        </w:tc>
        <w:tc>
          <w:tcPr>
            <w:tcW w:type="dxa" w:w="1728"/>
          </w:tcPr>
          <w:p>
            <w:r>
              <w:t>178703679 FCFA</w:t>
            </w:r>
          </w:p>
        </w:tc>
        <w:tc>
          <w:tcPr>
            <w:tcW w:type="dxa" w:w="1728"/>
          </w:tcPr>
          <w:p>
            <w:r>
              <w:t>99.61%</w:t>
            </w:r>
          </w:p>
        </w:tc>
        <w:tc>
          <w:tcPr>
            <w:tcW w:type="dxa" w:w="1728"/>
          </w:tcPr>
          <w:p>
            <w:r>
              <w:t>ACHAT</w:t>
            </w:r>
          </w:p>
        </w:tc>
      </w:tr>
      <w:tr>
        <w:tc>
          <w:tcPr>
            <w:tcW w:type="dxa" w:w="1728"/>
          </w:tcPr>
          <w:p>
            <w:r>
              <w:t>SDSC (SDSC - AFRICA GLOBAL LOGISTICS CI)</w:t>
            </w:r>
          </w:p>
        </w:tc>
        <w:tc>
          <w:tcPr>
            <w:tcW w:type="dxa" w:w="1728"/>
          </w:tcPr>
          <w:p>
            <w:r>
              <w:t>18094</w:t>
            </w:r>
          </w:p>
        </w:tc>
        <w:tc>
          <w:tcPr>
            <w:tcW w:type="dxa" w:w="1728"/>
          </w:tcPr>
          <w:p>
            <w:r>
              <w:t>50667622 FCFA</w:t>
            </w:r>
          </w:p>
        </w:tc>
        <w:tc>
          <w:tcPr>
            <w:tcW w:type="dxa" w:w="1728"/>
          </w:tcPr>
          <w:p>
            <w:r>
              <w:t>67.93%</w:t>
            </w:r>
          </w:p>
        </w:tc>
        <w:tc>
          <w:tcPr>
            <w:tcW w:type="dxa" w:w="1728"/>
          </w:tcPr>
          <w:p>
            <w:r>
              <w:t>ACHAT</w:t>
            </w:r>
          </w:p>
        </w:tc>
      </w:tr>
      <w:tr>
        <w:tc>
          <w:tcPr>
            <w:tcW w:type="dxa" w:w="1728"/>
          </w:tcPr>
          <w:p>
            <w:r>
              <w:t>SIBC (SIBC - SOCIETE IVOIRIENNE DE BANQUE)</w:t>
            </w:r>
          </w:p>
        </w:tc>
        <w:tc>
          <w:tcPr>
            <w:tcW w:type="dxa" w:w="1728"/>
          </w:tcPr>
          <w:p>
            <w:r>
              <w:t>15614</w:t>
            </w:r>
          </w:p>
        </w:tc>
        <w:tc>
          <w:tcPr>
            <w:tcW w:type="dxa" w:w="1728"/>
          </w:tcPr>
          <w:p>
            <w:r>
              <w:t>142697588 FCFA</w:t>
            </w:r>
          </w:p>
        </w:tc>
        <w:tc>
          <w:tcPr>
            <w:tcW w:type="dxa" w:w="1728"/>
          </w:tcPr>
          <w:p>
            <w:r>
              <w:t>32.86%</w:t>
            </w:r>
          </w:p>
        </w:tc>
        <w:tc>
          <w:tcPr>
            <w:tcW w:type="dxa" w:w="1728"/>
          </w:tcPr>
          <w:p>
            <w:r>
              <w:t>ACHAT FORT</w:t>
            </w:r>
          </w:p>
        </w:tc>
      </w:tr>
      <w:tr>
        <w:tc>
          <w:tcPr>
            <w:tcW w:type="dxa" w:w="1728"/>
          </w:tcPr>
          <w:p>
            <w:r>
              <w:t>UNXC (UNXC - UNIWAX COTE D'IVOIRE)</w:t>
            </w:r>
          </w:p>
        </w:tc>
        <w:tc>
          <w:tcPr>
            <w:tcW w:type="dxa" w:w="1728"/>
          </w:tcPr>
          <w:p>
            <w:r>
              <w:t>15535</w:t>
            </w:r>
          </w:p>
        </w:tc>
        <w:tc>
          <w:tcPr>
            <w:tcW w:type="dxa" w:w="1728"/>
          </w:tcPr>
          <w:p>
            <w:r>
              <w:t>36171007 FCFA</w:t>
            </w:r>
          </w:p>
        </w:tc>
        <w:tc>
          <w:tcPr>
            <w:tcW w:type="dxa" w:w="1728"/>
          </w:tcPr>
          <w:p>
            <w:r>
              <w:t>28.34%</w:t>
            </w:r>
          </w:p>
        </w:tc>
        <w:tc>
          <w:tcPr>
            <w:tcW w:type="dxa" w:w="1728"/>
          </w:tcPr>
          <w:p>
            <w:r>
              <w:t>ACHAT</w:t>
            </w:r>
          </w:p>
        </w:tc>
      </w:tr>
      <w:tr>
        <w:tc>
          <w:tcPr>
            <w:tcW w:type="dxa" w:w="1728"/>
          </w:tcPr>
          <w:p>
            <w:r>
              <w:t>BOAS (BANK OF AFRICA SENEGAL)</w:t>
            </w:r>
          </w:p>
        </w:tc>
        <w:tc>
          <w:tcPr>
            <w:tcW w:type="dxa" w:w="1728"/>
          </w:tcPr>
          <w:p>
            <w:r>
              <w:t>15286</w:t>
            </w:r>
          </w:p>
        </w:tc>
        <w:tc>
          <w:tcPr>
            <w:tcW w:type="dxa" w:w="1728"/>
          </w:tcPr>
          <w:p>
            <w:r>
              <w:t>123001295 FCFA</w:t>
            </w:r>
          </w:p>
        </w:tc>
        <w:tc>
          <w:tcPr>
            <w:tcW w:type="dxa" w:w="1728"/>
          </w:tcPr>
          <w:p>
            <w:r>
              <w:t>22.96%</w:t>
            </w:r>
          </w:p>
        </w:tc>
        <w:tc>
          <w:tcPr>
            <w:tcW w:type="dxa" w:w="1728"/>
          </w:tcPr>
          <w:p>
            <w:r>
              <w:t>ACHAT</w:t>
            </w:r>
          </w:p>
        </w:tc>
      </w:tr>
      <w:tr>
        <w:tc>
          <w:tcPr>
            <w:tcW w:type="dxa" w:w="1728"/>
          </w:tcPr>
          <w:p>
            <w:r>
              <w:t>SNTS (SNTS - SONATEL SN)</w:t>
            </w:r>
          </w:p>
        </w:tc>
        <w:tc>
          <w:tcPr>
            <w:tcW w:type="dxa" w:w="1728"/>
          </w:tcPr>
          <w:p>
            <w:r>
              <w:t>12309</w:t>
            </w:r>
          </w:p>
        </w:tc>
        <w:tc>
          <w:tcPr>
            <w:tcW w:type="dxa" w:w="1728"/>
          </w:tcPr>
          <w:p>
            <w:r>
              <w:t>442257009 FCFA</w:t>
            </w:r>
          </w:p>
        </w:tc>
        <w:tc>
          <w:tcPr>
            <w:tcW w:type="dxa" w:w="1728"/>
          </w:tcPr>
          <w:p>
            <w:r>
              <w:t>41.84%</w:t>
            </w:r>
          </w:p>
        </w:tc>
        <w:tc>
          <w:tcPr>
            <w:tcW w:type="dxa" w:w="1728"/>
          </w:tcPr>
          <w:p>
            <w:r>
              <w:t>ACHAT</w:t>
            </w:r>
          </w:p>
        </w:tc>
      </w:tr>
      <w:tr>
        <w:tc>
          <w:tcPr>
            <w:tcW w:type="dxa" w:w="1728"/>
          </w:tcPr>
          <w:p>
            <w:r>
              <w:t>BOAC (BANK OF AFRICA COTE D'IVOIRE)</w:t>
            </w:r>
          </w:p>
        </w:tc>
        <w:tc>
          <w:tcPr>
            <w:tcW w:type="dxa" w:w="1728"/>
          </w:tcPr>
          <w:p>
            <w:r>
              <w:t>11604</w:t>
            </w:r>
          </w:p>
        </w:tc>
        <w:tc>
          <w:tcPr>
            <w:tcW w:type="dxa" w:w="1728"/>
          </w:tcPr>
          <w:p>
            <w:r>
              <w:t>147067503 FCFA</w:t>
            </w:r>
          </w:p>
        </w:tc>
        <w:tc>
          <w:tcPr>
            <w:tcW w:type="dxa" w:w="1728"/>
          </w:tcPr>
          <w:p>
            <w:r>
              <w:t>47.62%</w:t>
            </w:r>
          </w:p>
        </w:tc>
        <w:tc>
          <w:tcPr>
            <w:tcW w:type="dxa" w:w="1728"/>
          </w:tcPr>
          <w:p>
            <w:r>
              <w:t>ACHAT</w:t>
            </w:r>
          </w:p>
        </w:tc>
      </w:tr>
      <w:tr>
        <w:tc>
          <w:tcPr>
            <w:tcW w:type="dxa" w:w="1728"/>
          </w:tcPr>
          <w:p>
            <w:r>
              <w:t>SOGC (SOGC - Société des caoutchoucs de Grand-Béréby)</w:t>
            </w:r>
          </w:p>
        </w:tc>
        <w:tc>
          <w:tcPr>
            <w:tcW w:type="dxa" w:w="1728"/>
          </w:tcPr>
          <w:p>
            <w:r>
              <w:t>11540</w:t>
            </w:r>
          </w:p>
        </w:tc>
        <w:tc>
          <w:tcPr>
            <w:tcW w:type="dxa" w:w="1728"/>
          </w:tcPr>
          <w:p>
            <w:r>
              <w:t>87951260 FCFA</w:t>
            </w:r>
          </w:p>
        </w:tc>
        <w:tc>
          <w:tcPr>
            <w:tcW w:type="dxa" w:w="1728"/>
          </w:tcPr>
          <w:p>
            <w:r>
              <w:t>1.07%</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4089</w:t>
            </w:r>
          </w:p>
        </w:tc>
        <w:tc>
          <w:tcPr>
            <w:tcW w:type="dxa" w:w="1728"/>
          </w:tcPr>
          <w:p>
            <w:r>
              <w:t>13087947 FCFA</w:t>
            </w:r>
          </w:p>
        </w:tc>
        <w:tc>
          <w:tcPr>
            <w:tcW w:type="dxa" w:w="1728"/>
          </w:tcPr>
          <w:p>
            <w:r>
              <w:t>-3.23%</w:t>
            </w:r>
          </w:p>
        </w:tc>
        <w:tc>
          <w:tcPr>
            <w:tcW w:type="dxa" w:w="1728"/>
          </w:tcPr>
          <w:p>
            <w:r>
              <w:t>ACHAT</w:t>
            </w:r>
          </w:p>
        </w:tc>
      </w:tr>
      <w:tr>
        <w:tc>
          <w:tcPr>
            <w:tcW w:type="dxa" w:w="1728"/>
          </w:tcPr>
          <w:p>
            <w:r>
              <w:t>ABJC (ABJC - SERVAIR ABIDJAN CI)</w:t>
            </w:r>
          </w:p>
        </w:tc>
        <w:tc>
          <w:tcPr>
            <w:tcW w:type="dxa" w:w="1728"/>
          </w:tcPr>
          <w:p>
            <w:r>
              <w:t>4087</w:t>
            </w:r>
          </w:p>
        </w:tc>
        <w:tc>
          <w:tcPr>
            <w:tcW w:type="dxa" w:w="1728"/>
          </w:tcPr>
          <w:p>
            <w:r>
              <w:t>15046839 FCFA</w:t>
            </w:r>
          </w:p>
        </w:tc>
        <w:tc>
          <w:tcPr>
            <w:tcW w:type="dxa" w:w="1728"/>
          </w:tcPr>
          <w:p>
            <w:r>
              <w:t>16.09%</w:t>
            </w:r>
          </w:p>
        </w:tc>
        <w:tc>
          <w:tcPr>
            <w:tcW w:type="dxa" w:w="1728"/>
          </w:tcPr>
          <w:p>
            <w:r>
              <w:t>ACHAT</w:t>
            </w:r>
          </w:p>
        </w:tc>
      </w:tr>
      <w:tr>
        <w:tc>
          <w:tcPr>
            <w:tcW w:type="dxa" w:w="1728"/>
          </w:tcPr>
          <w:p>
            <w:r>
              <w:t>ORAC (ORAC - ORANGE COTE D'IVOIRE)</w:t>
            </w:r>
          </w:p>
        </w:tc>
        <w:tc>
          <w:tcPr>
            <w:tcW w:type="dxa" w:w="1728"/>
          </w:tcPr>
          <w:p>
            <w:r>
              <w:t>3753</w:t>
            </w:r>
          </w:p>
        </w:tc>
        <w:tc>
          <w:tcPr>
            <w:tcW w:type="dxa" w:w="1728"/>
          </w:tcPr>
          <w:p>
            <w:r>
              <w:t>77743534 FCFA</w:t>
            </w:r>
          </w:p>
        </w:tc>
        <w:tc>
          <w:tcPr>
            <w:tcW w:type="dxa" w:w="1728"/>
          </w:tcPr>
          <w:p>
            <w:r>
              <w:t>49.67%</w:t>
            </w:r>
          </w:p>
        </w:tc>
        <w:tc>
          <w:tcPr>
            <w:tcW w:type="dxa" w:w="1728"/>
          </w:tcPr>
          <w:p>
            <w:r>
              <w:t>ACHAT</w:t>
            </w:r>
          </w:p>
        </w:tc>
      </w:tr>
      <w:tr>
        <w:tc>
          <w:tcPr>
            <w:tcW w:type="dxa" w:w="1728"/>
          </w:tcPr>
          <w:p>
            <w:r>
              <w:t>CFAC (CFAC - CFAO MOTORS CI)</w:t>
            </w:r>
          </w:p>
        </w:tc>
        <w:tc>
          <w:tcPr>
            <w:tcW w:type="dxa" w:w="1728"/>
          </w:tcPr>
          <w:p>
            <w:r>
              <w:t>3679</w:t>
            </w:r>
          </w:p>
        </w:tc>
        <w:tc>
          <w:tcPr>
            <w:tcW w:type="dxa" w:w="1728"/>
          </w:tcPr>
          <w:p>
            <w:r>
              <w:t>6261934 FCFA</w:t>
            </w:r>
          </w:p>
        </w:tc>
        <w:tc>
          <w:tcPr>
            <w:tcW w:type="dxa" w:w="1728"/>
          </w:tcPr>
          <w:p>
            <w:r>
              <w:t>9.35%</w:t>
            </w:r>
          </w:p>
        </w:tc>
        <w:tc>
          <w:tcPr>
            <w:tcW w:type="dxa" w:w="1728"/>
          </w:tcPr>
          <w:p>
            <w:r>
              <w:t>ACHAT</w:t>
            </w:r>
          </w:p>
        </w:tc>
      </w:tr>
      <w:tr>
        <w:tc>
          <w:tcPr>
            <w:tcW w:type="dxa" w:w="1728"/>
          </w:tcPr>
          <w:p>
            <w:r>
              <w:t>STBC (STBC - SITAB COTE D'IVOIRE)</w:t>
            </w:r>
          </w:p>
        </w:tc>
        <w:tc>
          <w:tcPr>
            <w:tcW w:type="dxa" w:w="1728"/>
          </w:tcPr>
          <w:p>
            <w:r>
              <w:t>3394</w:t>
            </w:r>
          </w:p>
        </w:tc>
        <w:tc>
          <w:tcPr>
            <w:tcW w:type="dxa" w:w="1728"/>
          </w:tcPr>
          <w:p>
            <w:r>
              <w:t>75753916 FCFA</w:t>
            </w:r>
          </w:p>
        </w:tc>
        <w:tc>
          <w:tcPr>
            <w:tcW w:type="dxa" w:w="1728"/>
          </w:tcPr>
          <w:p>
            <w:r>
              <w:t>9.73%</w:t>
            </w:r>
          </w:p>
        </w:tc>
        <w:tc>
          <w:tcPr>
            <w:tcW w:type="dxa" w:w="1728"/>
          </w:tcPr>
          <w:p>
            <w:r>
              <w:t>ACHAT</w:t>
            </w:r>
          </w:p>
        </w:tc>
      </w:tr>
      <w:tr>
        <w:tc>
          <w:tcPr>
            <w:tcW w:type="dxa" w:w="1728"/>
          </w:tcPr>
          <w:p>
            <w:r>
              <w:t>FTSC (FTSC - FILTISAC COTE D'IVOIRE)</w:t>
            </w:r>
          </w:p>
        </w:tc>
        <w:tc>
          <w:tcPr>
            <w:tcW w:type="dxa" w:w="1728"/>
          </w:tcPr>
          <w:p>
            <w:r>
              <w:t>3308</w:t>
            </w:r>
          </w:p>
        </w:tc>
        <w:tc>
          <w:tcPr>
            <w:tcW w:type="dxa" w:w="1728"/>
          </w:tcPr>
          <w:p>
            <w:r>
              <w:t>7120273 FCFA</w:t>
            </w:r>
          </w:p>
        </w:tc>
        <w:tc>
          <w:tcPr>
            <w:tcW w:type="dxa" w:w="1728"/>
          </w:tcPr>
          <w:p>
            <w:r>
              <w:t>-3.67%</w:t>
            </w:r>
          </w:p>
        </w:tc>
        <w:tc>
          <w:tcPr>
            <w:tcW w:type="dxa" w:w="1728"/>
          </w:tcPr>
          <w:p>
            <w:r>
              <w:t>ACHAT</w:t>
            </w:r>
          </w:p>
        </w:tc>
      </w:tr>
      <w:tr>
        <w:tc>
          <w:tcPr>
            <w:tcW w:type="dxa" w:w="1728"/>
          </w:tcPr>
          <w:p>
            <w:r>
              <w:t>PALC (PALC - PALM COTE D'IVOIRE)</w:t>
            </w:r>
          </w:p>
        </w:tc>
        <w:tc>
          <w:tcPr>
            <w:tcW w:type="dxa" w:w="1728"/>
          </w:tcPr>
          <w:p>
            <w:r>
              <w:t>3279</w:t>
            </w:r>
          </w:p>
        </w:tc>
        <w:tc>
          <w:tcPr>
            <w:tcW w:type="dxa" w:w="1728"/>
          </w:tcPr>
          <w:p>
            <w:r>
              <w:t>29595319 FCFA</w:t>
            </w:r>
          </w:p>
        </w:tc>
        <w:tc>
          <w:tcPr>
            <w:tcW w:type="dxa" w:w="1728"/>
          </w:tcPr>
          <w:p>
            <w:r>
              <w:t>2.47%</w:t>
            </w:r>
          </w:p>
        </w:tc>
        <w:tc>
          <w:tcPr>
            <w:tcW w:type="dxa" w:w="1728"/>
          </w:tcPr>
          <w:p>
            <w:r>
              <w:t>ACHAT</w:t>
            </w:r>
          </w:p>
        </w:tc>
      </w:tr>
      <w:tr>
        <w:tc>
          <w:tcPr>
            <w:tcW w:type="dxa" w:w="1728"/>
          </w:tcPr>
          <w:p>
            <w:r>
              <w:t>NEIC (NEIC - NEI-CEDA CI)</w:t>
            </w:r>
          </w:p>
        </w:tc>
        <w:tc>
          <w:tcPr>
            <w:tcW w:type="dxa" w:w="1728"/>
          </w:tcPr>
          <w:p>
            <w:r>
              <w:t>2541</w:t>
            </w:r>
          </w:p>
        </w:tc>
        <w:tc>
          <w:tcPr>
            <w:tcW w:type="dxa" w:w="1728"/>
          </w:tcPr>
          <w:p>
            <w:r>
              <w:t>6930923 FCFA</w:t>
            </w:r>
          </w:p>
        </w:tc>
        <w:tc>
          <w:tcPr>
            <w:tcW w:type="dxa" w:w="1728"/>
          </w:tcPr>
          <w:p>
            <w:r>
              <w:t>104.71%</w:t>
            </w:r>
          </w:p>
        </w:tc>
        <w:tc>
          <w:tcPr>
            <w:tcW w:type="dxa" w:w="1728"/>
          </w:tcPr>
          <w:p>
            <w:r>
              <w:t>ACHAT</w:t>
            </w:r>
          </w:p>
        </w:tc>
      </w:tr>
      <w:tr>
        <w:tc>
          <w:tcPr>
            <w:tcW w:type="dxa" w:w="1728"/>
          </w:tcPr>
          <w:p>
            <w:r>
              <w:t>TTLS (TTLS - TOTAL ENERGIES MARKETING SENEGAL)</w:t>
            </w:r>
          </w:p>
        </w:tc>
        <w:tc>
          <w:tcPr>
            <w:tcW w:type="dxa" w:w="1728"/>
          </w:tcPr>
          <w:p>
            <w:r>
              <w:t>2483</w:t>
            </w:r>
          </w:p>
        </w:tc>
        <w:tc>
          <w:tcPr>
            <w:tcW w:type="dxa" w:w="1728"/>
          </w:tcPr>
          <w:p>
            <w:r>
              <w:t>9388040 FCFA</w:t>
            </w:r>
          </w:p>
        </w:tc>
        <w:tc>
          <w:tcPr>
            <w:tcW w:type="dxa" w:w="1728"/>
          </w:tcPr>
          <w:p>
            <w:r>
              <w:t>17.38%</w:t>
            </w:r>
          </w:p>
        </w:tc>
        <w:tc>
          <w:tcPr>
            <w:tcW w:type="dxa" w:w="1728"/>
          </w:tcPr>
          <w:p>
            <w:r>
              <w:t>ACHAT</w:t>
            </w:r>
          </w:p>
        </w:tc>
      </w:tr>
      <w:tr>
        <w:tc>
          <w:tcPr>
            <w:tcW w:type="dxa" w:w="1728"/>
          </w:tcPr>
          <w:p>
            <w:r>
              <w:t>SDCC (SDCC - Société de Distribution d'Eau de Côte d'Ivoire)</w:t>
            </w:r>
          </w:p>
        </w:tc>
        <w:tc>
          <w:tcPr>
            <w:tcW w:type="dxa" w:w="1728"/>
          </w:tcPr>
          <w:p>
            <w:r>
              <w:t>2228</w:t>
            </w:r>
          </w:p>
        </w:tc>
        <w:tc>
          <w:tcPr>
            <w:tcW w:type="dxa" w:w="1728"/>
          </w:tcPr>
          <w:p>
            <w:r>
              <w:t>28521900 FCFA</w:t>
            </w:r>
          </w:p>
        </w:tc>
        <w:tc>
          <w:tcPr>
            <w:tcW w:type="dxa" w:w="1728"/>
          </w:tcPr>
          <w:p>
            <w:r>
              <w:t>85.29%</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2.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3.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4.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5. BOAM - BANK OF AFRICA MALI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SCRC - SCRC - SUCRIVOIRE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SIBC - SIBC - SOCIETE IVOIRIENNE DE BANQUE</w:t>
      </w:r>
    </w:p>
    <w:p>
      <w:r>
        <w:rPr>
          <w:b/>
        </w:rPr>
        <w:t xml:space="preserve">Score de divergence: </w:t>
      </w:r>
      <w:r>
        <w:t>4/8</w:t>
        <w:br/>
      </w:r>
      <w:r>
        <w:rPr>
          <w:b/>
        </w:rPr>
        <w:t xml:space="preserve">Description: </w:t>
      </w:r>
      <w:r>
        <w:t>Signaux d'achat: MM | Signaux de vente: MACD, Stochastique | Recommandation finale: ACHAT FORT</w:t>
        <w:br/>
      </w:r>
    </w:p>
    <w:p/>
    <w:p>
      <w:pPr>
        <w:pStyle w:val="Heading3"/>
      </w:pPr>
      <w:r>
        <w:t>8.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SMBC - SMBC - Société Multinationale de Bitumes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PALC - PALC - PALM COTE D'IVOIRE</w:t>
      </w:r>
    </w:p>
    <w:p>
      <w:r>
        <w:rPr>
          <w:b/>
        </w:rPr>
        <w:t xml:space="preserve">Score de divergence: </w:t>
      </w:r>
      <w:r>
        <w:t>3/8</w:t>
        <w:br/>
      </w:r>
      <w:r>
        <w:rPr>
          <w:b/>
        </w:rPr>
        <w:t xml:space="preserve">Description: </w:t>
      </w:r>
      <w:r>
        <w:t>Signaux d'achat: MM, Bollinger,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23</w:t>
            </w:r>
          </w:p>
        </w:tc>
        <w:tc>
          <w:tcPr>
            <w:tcW w:type="dxa" w:w="2160"/>
          </w:tcPr>
          <w:p>
            <w:r>
              <w:t>0</w:t>
            </w:r>
          </w:p>
        </w:tc>
      </w:tr>
      <w:tr>
        <w:tc>
          <w:tcPr>
            <w:tcW w:type="dxa" w:w="2160"/>
          </w:tcPr>
          <w:p>
            <w:r>
              <w:t>Risque Moyen</w:t>
            </w:r>
          </w:p>
        </w:tc>
        <w:tc>
          <w:tcPr>
            <w:tcW w:type="dxa" w:w="2160"/>
          </w:tcPr>
          <w:p>
            <w:r>
              <w:t>0</w:t>
            </w:r>
          </w:p>
        </w:tc>
        <w:tc>
          <w:tcPr>
            <w:tcW w:type="dxa" w:w="2160"/>
          </w:tcPr>
          <w:p>
            <w:r>
              <w:t>24</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BICC (BICI CI - Banque internationale pour le commerce et l'industrie de la Côte d'Ivoire)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 baril de Brent se rapproche des 100 dollars, mettant "une chape de plomb" sur les marchés actions mondiaux (CAC 40 stagnant). Barclays anticipe une nouvelle hausse des taux BCE en décembre, et Mediapart évoque un risque de récession européenne. L'indice MXV des matières premières progresse au-dessus de 3 000 points, signalant une pression inflationniste persistante.</w:t>
      </w:r>
    </w:p>
    <w:p>
      <w:pPr>
        <w:pStyle w:val="Heading3"/>
      </w:pPr>
      <w:r>
        <w:rPr>
          <w:color w:val="500050"/>
        </w:rPr>
        <w:t>⚡ Impact estimé sur la BRVM</w:t>
      </w:r>
    </w:p>
    <w:p>
      <w:pPr>
        <w:spacing w:before="20" w:after="40"/>
        <w:ind w:left="280"/>
      </w:pPr>
      <w:r>
        <w:rPr>
          <w:i/>
          <w:sz w:val="18"/>
        </w:rPr>
        <w:t>Le pétrole cher renchérit les coûts énergétiques des industriels (CABC, SDSC, FTSC) et des services publics (SDCC), pesant sur leurs marges. La hausse des taux BCE se transmet via le FCFA (arrimé à l'euro), renchérissant le coût du crédit pour les banques (BOAC, BICB, ECOC) et les sociétés endettées.</w:t>
      </w:r>
    </w:p>
    <w:p>
      <w:pPr>
        <w:pStyle w:val="Heading2"/>
      </w:pPr>
      <w:r>
        <w:rPr>
          <w:color w:val="006E32"/>
        </w:rPr>
        <w:t>🌍 Plan Africain</w:t>
      </w:r>
    </w:p>
    <w:p>
      <w:pPr>
        <w:spacing w:before="20" w:after="40"/>
        <w:ind w:left="0"/>
      </w:pPr>
      <w:r>
        <w:rPr>
          <w:sz w:val="18"/>
        </w:rPr>
        <w:t>Le Sénégal et le FMI concluent un accord sur un programme d'aide de ~1,9 milliard d'euros. Goldman Sachs prévoit un retour de l'Afrique du Sud en "Investment grade" dès 2028, signal d'amélioration des fondamentaux continentaux.</w:t>
      </w:r>
    </w:p>
    <w:p>
      <w:pPr>
        <w:pStyle w:val="Heading3"/>
      </w:pPr>
      <w:r>
        <w:rPr>
          <w:color w:val="500050"/>
        </w:rPr>
        <w:t>⚡ Impact estimé sur la BRVM</w:t>
      </w:r>
    </w:p>
    <w:p>
      <w:pPr>
        <w:spacing w:before="20" w:after="40"/>
        <w:ind w:left="280"/>
      </w:pPr>
      <w:r>
        <w:rPr>
          <w:i/>
          <w:sz w:val="18"/>
        </w:rPr>
        <w:t>Le soutien FMI au Sénégal rassure sur la stabilité macro de la zone UEMOA, bénéficiant indirectement aux banques régionales (BOAB, BOAM, SIBC, ORGT) exposées au Sénégal. Le re-rating africain pourrait attirer des flux vers les marchés frontières.</w:t>
      </w:r>
    </w:p>
    <w:p>
      <w:pPr>
        <w:pStyle w:val="Heading2"/>
      </w:pPr>
      <w:r>
        <w:rPr>
          <w:color w:val="145A28"/>
        </w:rPr>
        <w:t>🌍 Plan Afrique de l'Ouest</w:t>
      </w:r>
    </w:p>
    <w:p>
      <w:pPr>
        <w:spacing w:before="20" w:after="40"/>
        <w:ind w:left="0"/>
      </w:pPr>
      <w:r>
        <w:rPr>
          <w:sz w:val="18"/>
        </w:rPr>
        <w:t>La CEDEAO réaffirme son cap vers la monnaie unique ECO en 2027, accélérant les critères de convergence. Le Centre Julius Maada Bio est présenté comme vecteur d'intégration régionale.</w:t>
      </w:r>
    </w:p>
    <w:p>
      <w:pPr>
        <w:pStyle w:val="Heading3"/>
      </w:pPr>
      <w:r>
        <w:rPr>
          <w:color w:val="500050"/>
        </w:rPr>
        <w:t>⚡ Impact estimé sur la BRVM</w:t>
      </w:r>
    </w:p>
    <w:p>
      <w:pPr>
        <w:spacing w:before="20" w:after="40"/>
        <w:ind w:left="280"/>
      </w:pPr>
      <w:r>
        <w:rPr>
          <w:i/>
          <w:sz w:val="18"/>
        </w:rPr>
        <w:t>L'intégration monétaire à horizon 2027 est un catalyseur structurel positif pour les sociétés panafricaines cotées (ETIT, BOAB, SIBC) opérant dans plusieurs pays de la zone.</w:t>
      </w:r>
    </w:p>
    <w:p>
      <w:pPr>
        <w:pStyle w:val="Heading2"/>
      </w:pPr>
      <w:r>
        <w:rPr>
          <w:color w:val="8C4600"/>
        </w:rPr>
        <w:t>🏦 Plan UEMOA / Zone Franc</w:t>
      </w:r>
    </w:p>
    <w:p>
      <w:pPr>
        <w:spacing w:before="20" w:after="40"/>
        <w:ind w:left="0"/>
      </w:pPr>
      <w:r>
        <w:rPr>
          <w:sz w:val="18"/>
        </w:rPr>
        <w:t>Le discours "FMI-compatible" du Sénégal (réduction des subventions énergétiques) et les débats sur la dette sénégalaise dominent l'actualité. Ces réformes visent la consolidation budgétaire.</w:t>
      </w:r>
    </w:p>
    <w:p>
      <w:pPr>
        <w:pStyle w:val="Heading3"/>
      </w:pPr>
      <w:r>
        <w:rPr>
          <w:color w:val="500050"/>
        </w:rPr>
        <w:t>⚡ Impact estimé sur la BRVM</w:t>
      </w:r>
    </w:p>
    <w:p>
      <w:pPr>
        <w:spacing w:before="20" w:after="40"/>
        <w:ind w:left="280"/>
      </w:pPr>
      <w:r>
        <w:rPr>
          <w:i/>
          <w:sz w:val="18"/>
        </w:rPr>
        <w:t>La réduction des subventions énergétiques pèse sur le pouvoir d'achat, affectant la consommation discrétionnaire (ABJC, CFAC) et de base (PALC). Les banques (SGBC, BICB, ECOC) restent exposées au risque souverain sénégalais.</w:t>
      </w:r>
    </w:p>
    <w:p>
      <w:pPr>
        <w:pStyle w:val="Heading2"/>
      </w:pPr>
      <w:r>
        <w:rPr>
          <w:color w:val="003366"/>
        </w:rPr>
        <w:t>📈 Plan BRVM</w:t>
      </w:r>
    </w:p>
    <w:p>
      <w:pPr>
        <w:spacing w:before="20" w:after="40"/>
        <w:ind w:left="0"/>
      </w:pPr>
      <w:r>
        <w:rPr>
          <w:sz w:val="18"/>
        </w:rPr>
        <w:t>Les résultats des sociétés cotées ivoiriennes sont jugés encourageants (La Tribune, juin 2026). L'indice BRVM Composite se situe à 552,75 points.</w:t>
      </w:r>
    </w:p>
    <w:p>
      <w:pPr>
        <w:pStyle w:val="Heading3"/>
      </w:pPr>
      <w:r>
        <w:rPr>
          <w:color w:val="500050"/>
        </w:rPr>
        <w:t>⚡ Impact estimé sur la BRVM</w:t>
      </w:r>
    </w:p>
    <w:p>
      <w:pPr>
        <w:spacing w:before="20" w:after="40"/>
        <w:ind w:left="280"/>
      </w:pPr>
      <w:r>
        <w:rPr>
          <w:i/>
          <w:sz w:val="18"/>
        </w:rPr>
        <w:t>Recommandations : **PALC** (consommation de base, défensif) à conserver ; **SGBC/BICB** (banques) à surveiller face au risque taux ; **ONTBF/SDCC** (services publics) sous pression coûts énergétiques ; **CFAC/ABJC** (discrétionnaire) prudents ; **ETIT** attractif sur dynamique panafricaine.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sur le pétrole (Brent ~100$) traduisent des risques géopolitiques persistants. La BCE relève ses taux, prenant le "risque de plonger l'Europe dans la récession" (Mediapart), créant un climat d'incertitude mondiale.</w:t>
      </w:r>
    </w:p>
    <w:p>
      <w:pPr>
        <w:pStyle w:val="Heading3"/>
      </w:pPr>
      <w:r>
        <w:rPr>
          <w:color w:val="500050"/>
        </w:rPr>
        <w:t>⚡ Impact estimé sur la BRVM</w:t>
      </w:r>
    </w:p>
    <w:p>
      <w:pPr>
        <w:spacing w:before="20" w:after="40"/>
        <w:ind w:left="280"/>
      </w:pPr>
      <w:r>
        <w:rPr>
          <w:i/>
          <w:sz w:val="18"/>
        </w:rPr>
        <w:t>L'aversion au risque mondiale détourne les capitaux des marchés frontières, réduisant la liquidité sur la BRVM et pesant sur les valorisations.</w:t>
      </w:r>
    </w:p>
    <w:p>
      <w:pPr>
        <w:pStyle w:val="Heading2"/>
      </w:pPr>
      <w:r>
        <w:rPr>
          <w:color w:val="006E32"/>
        </w:rPr>
        <w:t>🌍 Plan Africain</w:t>
      </w:r>
    </w:p>
    <w:p>
      <w:pPr>
        <w:spacing w:before="20" w:after="40"/>
        <w:ind w:left="0"/>
      </w:pPr>
      <w:r>
        <w:rPr>
          <w:sz w:val="18"/>
        </w:rPr>
        <w:t>Amélioration attendue de la notation souveraine sud-africaine (Goldman Sachs) et soutien FMI au Sénégal traduisent une dynamique politique globalement stabilisatrice sur le continent.</w:t>
      </w:r>
    </w:p>
    <w:p>
      <w:pPr>
        <w:pStyle w:val="Heading3"/>
      </w:pPr>
      <w:r>
        <w:rPr>
          <w:color w:val="500050"/>
        </w:rPr>
        <w:t>⚡ Impact estimé sur la BRVM</w:t>
      </w:r>
    </w:p>
    <w:p>
      <w:pPr>
        <w:spacing w:before="20" w:after="40"/>
        <w:ind w:left="280"/>
      </w:pPr>
      <w:r>
        <w:rPr>
          <w:i/>
          <w:sz w:val="18"/>
        </w:rPr>
        <w:t>Ces signaux positifs renforcent la confiance des investisseurs institutionnels envers l'Afrique, pouvant bénéficier aux valeurs bancaires (BOAC, ETIT).</w:t>
      </w:r>
    </w:p>
    <w:p>
      <w:pPr>
        <w:pStyle w:val="Heading2"/>
      </w:pPr>
      <w:r>
        <w:rPr>
          <w:color w:val="145A28"/>
        </w:rPr>
        <w:t>🌍 Plan Afrique de l'Ouest</w:t>
      </w:r>
    </w:p>
    <w:p>
      <w:pPr>
        <w:spacing w:before="20" w:after="40"/>
        <w:ind w:left="0"/>
      </w:pPr>
      <w:r>
        <w:rPr>
          <w:sz w:val="18"/>
        </w:rPr>
        <w:t>La CEDEAO maintient le cap sur l'ECO malgré "les défis économiques et politiques persistants". Le dossier AES (Alliance des États du Sahel) reste une source de fragmentation régionale non résolue dans les données fournies.</w:t>
      </w:r>
    </w:p>
    <w:p>
      <w:pPr>
        <w:pStyle w:val="Heading3"/>
      </w:pPr>
      <w:r>
        <w:rPr>
          <w:color w:val="500050"/>
        </w:rPr>
        <w:t>⚡ Impact estimé sur la BRVM</w:t>
      </w:r>
    </w:p>
    <w:p>
      <w:pPr>
        <w:spacing w:before="20" w:after="40"/>
        <w:ind w:left="280"/>
      </w:pPr>
      <w:r>
        <w:rPr>
          <w:i/>
          <w:sz w:val="18"/>
        </w:rPr>
        <w:t>Données insuffisantes sur les risques sécuritaires spécifiques, mais la fragmentation sahélienne reste un risque latent pour les sociétés exposées au Burkina, Mali, Niger.</w:t>
      </w:r>
    </w:p>
    <w:p>
      <w:pPr>
        <w:pStyle w:val="Heading2"/>
      </w:pPr>
      <w:r>
        <w:rPr>
          <w:color w:val="8C4600"/>
        </w:rPr>
        <w:t>🏦 Plan UEMOA / Zone Franc</w:t>
      </w:r>
    </w:p>
    <w:p>
      <w:pPr>
        <w:spacing w:before="20" w:after="40"/>
        <w:ind w:left="0"/>
      </w:pPr>
      <w:r>
        <w:rPr>
          <w:sz w:val="18"/>
        </w:rPr>
        <w:t>Le Sénégal traverse une crise budgétaire (BBC), avec un débat sur les responsabilités (dette, FMI, déficit). Le parti majoritaire exige un "dialogue loyal" après le discours du Premier ministre, signal de tensions politiques internes.</w:t>
      </w:r>
    </w:p>
    <w:p>
      <w:pPr>
        <w:pStyle w:val="Heading3"/>
      </w:pPr>
      <w:r>
        <w:rPr>
          <w:color w:val="500050"/>
        </w:rPr>
        <w:t>⚡ Impact estimé sur la BRVM</w:t>
      </w:r>
    </w:p>
    <w:p>
      <w:pPr>
        <w:spacing w:before="20" w:after="40"/>
        <w:ind w:left="280"/>
      </w:pPr>
      <w:r>
        <w:rPr>
          <w:i/>
          <w:sz w:val="18"/>
        </w:rPr>
        <w:t>L'instabilité politique sénégalaise constitue un risque direct pour les banques (BOAB, BOAM, SIBC) et toute société exposée au marché sénégalais.</w:t>
      </w:r>
    </w:p>
    <w:p>
      <w:pPr>
        <w:pStyle w:val="Heading2"/>
      </w:pPr>
      <w:r>
        <w:rPr>
          <w:color w:val="003366"/>
        </w:rPr>
        <w:t>📈 Plan BRVM</w:t>
      </w:r>
    </w:p>
    <w:p>
      <w:pPr>
        <w:spacing w:before="20" w:after="40"/>
        <w:ind w:left="0"/>
      </w:pPr>
      <w:r>
        <w:rPr>
          <w:sz w:val="18"/>
        </w:rPr>
        <w:t>Données insuffisantes sur la réglementation CREPMF, nouvelles cotations ou gouvernance dans les actualités fournies.</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 CAC 40 stagne sous la pression du pétrole cher. Barclays anticipe une hausse BCE en décembre. Les marchés actions mondiaux subissent "une chape de plomb" liée aux matières premières et aux taux.</w:t>
      </w:r>
    </w:p>
    <w:p>
      <w:pPr>
        <w:pStyle w:val="Heading3"/>
      </w:pPr>
      <w:r>
        <w:rPr>
          <w:color w:val="500050"/>
        </w:rPr>
        <w:t>⚡ Impact estimé sur la BRVM</w:t>
      </w:r>
    </w:p>
    <w:p>
      <w:pPr>
        <w:spacing w:before="20" w:after="40"/>
        <w:ind w:left="280"/>
      </w:pPr>
      <w:r>
        <w:rPr>
          <w:i/>
          <w:sz w:val="18"/>
        </w:rPr>
        <w:t>Corrélation limitée mais réelle : la hausse des taux BCE renchérit le financement en zone FCFA, pesant sur les valeurs bancaires et industrielles de la BRVM.</w:t>
      </w:r>
    </w:p>
    <w:p>
      <w:pPr>
        <w:pStyle w:val="Heading2"/>
      </w:pPr>
      <w:r>
        <w:rPr>
          <w:color w:val="006E32"/>
        </w:rPr>
        <w:t>🌍 Plan Africain</w:t>
      </w:r>
    </w:p>
    <w:p>
      <w:pPr>
        <w:spacing w:before="20" w:after="40"/>
        <w:ind w:left="0"/>
      </w:pPr>
      <w:r>
        <w:rPr>
          <w:sz w:val="18"/>
        </w:rPr>
        <w:t>Le retour attendu de l'Afrique du Sud en Investment grade (2028) et l'accord FMI-Sénégal améliorent le sentiment sur les marchés obligataires africains (eurobonds).</w:t>
      </w:r>
    </w:p>
    <w:p>
      <w:pPr>
        <w:pStyle w:val="Heading3"/>
      </w:pPr>
      <w:r>
        <w:rPr>
          <w:color w:val="500050"/>
        </w:rPr>
        <w:t>⚡ Impact estimé sur la BRVM</w:t>
      </w:r>
    </w:p>
    <w:p>
      <w:pPr>
        <w:spacing w:before="20" w:after="40"/>
        <w:ind w:left="280"/>
      </w:pPr>
      <w:r>
        <w:rPr>
          <w:i/>
          <w:sz w:val="18"/>
        </w:rPr>
        <w:t>La concurrence pour les capitaux s'intensifie : si les eurobonds africains offrent des rendements attractifs, cela peut détourner les investisseurs des actions BRVM.</w:t>
      </w:r>
    </w:p>
    <w:p>
      <w:pPr>
        <w:pStyle w:val="Heading2"/>
      </w:pPr>
      <w:r>
        <w:rPr>
          <w:color w:val="145A28"/>
        </w:rPr>
        <w:t>🌍 Plan Afrique de l'Ouest</w:t>
      </w:r>
    </w:p>
    <w:p>
      <w:pPr>
        <w:spacing w:before="20" w:after="40"/>
        <w:ind w:left="0"/>
      </w:pPr>
      <w:r>
        <w:rPr>
          <w:sz w:val="18"/>
        </w:rPr>
        <w:t>Données insuffisantes sur les bourses régionales concurrentes (Ghana, Nigeria)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sur le marché des titres publics UEMOA, le taux interbancaire ou la liquidité bancaire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s'établit à 552,75 points. Les résultats des sociétés ivoiriennes cotées sont jugés encourageants (La Tribune). Aucune donnée sur top/flop, volumes ou IPO.</w:t>
      </w:r>
    </w:p>
    <w:p>
      <w:pPr>
        <w:pStyle w:val="Heading3"/>
      </w:pPr>
      <w:r>
        <w:rPr>
          <w:color w:val="500050"/>
        </w:rPr>
        <w:t>⚡ Impact estimé sur la BRVM</w:t>
      </w:r>
    </w:p>
    <w:p>
      <w:pPr>
        <w:spacing w:before="20" w:after="40"/>
        <w:ind w:left="280"/>
      </w:pPr>
      <w:r>
        <w:rPr>
          <w:i/>
          <w:sz w:val="18"/>
        </w:rPr>
        <w:t>**Opportunités d'achat** : PALC (défensif, consommation de base), ETIT (dynamique panafricaine). **Sous pression** : SDCC/ONTBF (coûts énergétiques), CFAC/ABJC (consommation discrétionnaire affaiblie). **À surveiller** : SGBC, BICB, ECOC (risque taux et souverain sénégalais).</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est marqué par des vents contraires : pétrole à 100$ (pression sur industriels et services publics), hausse des taux BCE (renchérissement du crédit en zone FCFA), et tensions politiques au Sénégal (risque souverain pour les banques). Les signaux positifs (accord FMI-Sénégal, cap ECO 2027, résultats encourageants des cotées ivoiriennes) offrent un contrepoids partiel. **Recommandation** : privilégier les valeurs défensives (PALC) et la diversification panafricaine (ETIT), tout en réduisant l'exposition aux secteurs cycliques et aux banques exposées au Sénégal (BOAB, BOAM) dans l'attente d'une clarification politique.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L'indice MXV poursuit sa progression, le prix du pétrole dépasse les 1</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 xml:space="preserve">La hausse des taux de la BCE peut-elle freiner le choc inflationniste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 xml:space="preserve">Monnaie unique : la CEDEAO maintient le cap sur le lancement de l’ECO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DOSSIER–CEDEAO REPORT - Centre international Julius Maada Bio, une inf</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 xml:space="preserve">ECO : la Cédéao accélère le processus vers 2027 - APAnews - Agence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ECO : La CEDEAO accélère le processus vers la fin du franc CFA - SeneN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La nouvelle vision pragmatique que compte imprimer Birame Diop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 le Général Birame Diop appelle à un renouveau de la solidarit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Sénégal : les trois mesures à retenir d’un discours très « FMI-compati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2026-09-10</w:t>
            </w:r>
          </w:p>
        </w:tc>
        <w:tc>
          <w:tcPr>
            <w:tcW w:type="dxa" w:w="1728"/>
          </w:tcPr>
          <w:p>
            <w:r>
              <w:rPr>
                <w:sz w:val="14"/>
              </w:rPr>
              <w:t>Dette, FMI, déficit : qui est responsable de la crise au Sénégal ? - B</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2026-09-10</w:t>
            </w:r>
          </w:p>
        </w:tc>
        <w:tc>
          <w:tcPr>
            <w:tcW w:type="dxa" w:w="1728"/>
          </w:tcPr>
          <w:p>
            <w:r>
              <w:rPr>
                <w:sz w:val="14"/>
              </w:rPr>
              <w:t>Sénégal: le parti majoritaire exige un «dialogue loyal» avec le présid</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2026-09-09</w:t>
            </w:r>
          </w:p>
        </w:tc>
        <w:tc>
          <w:tcPr>
            <w:tcW w:type="dxa" w:w="1728"/>
          </w:tcPr>
          <w:p>
            <w:r>
              <w:rPr>
                <w:sz w:val="14"/>
              </w:rPr>
              <w:t xml:space="preserve">Côte d'Ivoire : conseil des Ministres du mercredi 09 septembre 2026 - </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2026-09-10</w:t>
            </w:r>
          </w:p>
        </w:tc>
        <w:tc>
          <w:tcPr>
            <w:tcW w:type="dxa" w:w="1728"/>
          </w:tcPr>
          <w:p>
            <w:r>
              <w:rPr>
                <w:sz w:val="14"/>
              </w:rPr>
              <w:t>BCEAO: maintien du taux directeur à 3 % malgré un rebond de l’inflatio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UEMOA inflation </w:t>
            </w:r>
          </w:p>
        </w:tc>
      </w:tr>
      <w:tr>
        <w:tc>
          <w:tcPr>
            <w:tcW w:type="dxa" w:w="1728"/>
          </w:tcPr>
          <w:p>
            <w:r>
              <w:rPr>
                <w:sz w:val="14"/>
              </w:rPr>
              <w:t>2026-09-10</w:t>
            </w:r>
          </w:p>
        </w:tc>
        <w:tc>
          <w:tcPr>
            <w:tcW w:type="dxa" w:w="1728"/>
          </w:tcPr>
          <w:p>
            <w:r>
              <w:rPr>
                <w:sz w:val="14"/>
              </w:rPr>
              <w:t>Côte d'Ivoire : BCEAO, le CPM maintient inchangé le principal taux dir</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L'indice MXV poursuit sa progression, le prix du pétrole dépasse les 1</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L'Europe vue en hausse au lendemain de la BCE, le pétrole sous pressio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L'Europe vue en hausse au lendemain de la BCE, le pétrole sous pressio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à la hausse des prix, la BCE relève les taux d'intérêt - Touteleu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L'Europe vue en hausse au lendemain de la BCE, le pétrole sous pressio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à la hausse des prix, la BCE relève les taux d'intérêt - Touteleu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L'Europe vue en hausse au lendemain de la BCE, le pétrole sous pressio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L'indice MXV poursuit sa progression, le prix du pétrole dépasse les 1</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L'indice MXV poursuit sa progression, le prix du pétrole dépasse les 1</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L'indice MXV poursuit sa progression, le prix du pétrole dépasse les 1</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L'indice MXV poursuit sa progression, le prix du pétrole dépasse les 1</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L'indice MXV poursuit sa progression, le prix du pétrole dépasse les 1</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Le pétrole proche de 100 dollars le baril de Brent met une chape de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Barclays s'attend à ce que la BCE procède à une nouvelle hausse des ta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 xml:space="preserve">En relevant ses taux, la BCE prend le risque de plonger l’Europe dans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politique_monetaire  (13 alerte(s))</w:t>
      </w:r>
    </w:p>
    <w:p>
      <w:pPr>
        <w:spacing w:before="40" w:after="40"/>
        <w:ind w:left="360"/>
      </w:pPr>
      <w:r>
        <w:rPr>
          <w:color w:val="646464"/>
          <w:sz w:val="17"/>
        </w:rPr>
        <w:t xml:space="preserve">[11/09/2026] 🟢  </w:t>
      </w:r>
      <w:r>
        <w:rPr>
          <w:b/>
          <w:color w:val="008000"/>
          <w:sz w:val="18"/>
        </w:rPr>
        <w:t>L'Europe vue en hausse au lendemain de la BCE, le pétrole sous pression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Les marchés européens sont attendus en hausse au lendemain de la réunion de la Banque centrale européenne (BCE), qui a probablement maintenu ou ajusté sa politique monétaire. Le pétrole reste sous pression, pénalisé par des facteurs tels que la demande incertaine ou une offre abondante. Cette dynamique pourrait influencer les marchés mondiaux, y co</w:t>
      </w:r>
    </w:p>
    <w:p>
      <w:pPr>
        <w:spacing w:before="0" w:after="40"/>
        <w:ind w:left="600"/>
      </w:pPr>
      <w:r>
        <w:rPr>
          <w:color w:val="00643C"/>
          <w:sz w:val="16"/>
        </w:rPr>
        <w:t>Points clés : L'Europe vue en hausse après la BCE  •  Le pétrole sous pression</w:t>
      </w:r>
    </w:p>
    <w:p>
      <w:pPr>
        <w:spacing w:before="0" w:after="60"/>
        <w:ind w:left="600"/>
      </w:pPr>
      <w:r>
        <w:rPr>
          <w:color w:val="0064B4"/>
          <w:sz w:val="15"/>
        </w:rPr>
        <w:t>Source : https://news.google.com/rss/articles/CBMi5wFBVV95cUxNSmVDTTdQMEhqcENWV0NCSWdxbUt</w:t>
      </w:r>
    </w:p>
    <w:p>
      <w:pPr>
        <w:spacing w:before="40" w:after="40"/>
        <w:ind w:left="360"/>
      </w:pPr>
      <w:r>
        <w:rPr>
          <w:color w:val="646464"/>
          <w:sz w:val="17"/>
        </w:rPr>
        <w:t xml:space="preserve">[11/09/2026] ⚪  </w:t>
      </w:r>
      <w:r>
        <w:rPr>
          <w:b/>
          <w:color w:val="505050"/>
          <w:sz w:val="18"/>
        </w:rPr>
        <w:t>La hausse des taux de la BCE peut-elle freiner le choc inflationniste lié à l'énergie ? - Yahoo Finance France</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Banque centrale européenne a relevé ses taux directeurs pour lutter contre l'inflation, mais son efficacité face au choc inflationniste lié à l'énergie est incertaine. Les prix de l'énergie étant déterminés par des facteurs mondiaux, une hausse des taux n'agit que lentement sur cette composante. De plus, un resserrement monétaire pourrait peser </w:t>
      </w:r>
    </w:p>
    <w:p>
      <w:pPr>
        <w:spacing w:before="0" w:after="40"/>
        <w:ind w:left="600"/>
      </w:pPr>
      <w:r>
        <w:rPr>
          <w:color w:val="00643C"/>
          <w:sz w:val="16"/>
        </w:rPr>
        <w:t>Points clés : La BCE a augmenté ses taux pour contrer l'inflation.  •  Le choc énergétique est largement exogène et peu sensible aux taux.  •  Risque de freiner la croissance sans maîtriser les prix de l'énergie.</w:t>
      </w:r>
    </w:p>
    <w:p>
      <w:pPr>
        <w:spacing w:before="0" w:after="60"/>
        <w:ind w:left="600"/>
      </w:pPr>
      <w:r>
        <w:rPr>
          <w:color w:val="0064B4"/>
          <w:sz w:val="15"/>
        </w:rPr>
        <w:t>Source : https://news.google.com/rss/articles/CBMiiwFBVV95cUxNeXA4VlNJUzdsSWJYMm40V2U0VDR</w:t>
      </w:r>
    </w:p>
    <w:p>
      <w:pPr>
        <w:spacing w:before="40" w:after="40"/>
        <w:ind w:left="360"/>
      </w:pPr>
      <w:r>
        <w:rPr>
          <w:color w:val="646464"/>
          <w:sz w:val="17"/>
        </w:rPr>
        <w:t xml:space="preserve">[11/09/2026] 🔴  </w:t>
      </w:r>
      <w:r>
        <w:rPr>
          <w:b/>
          <w:color w:val="C00000"/>
          <w:sz w:val="18"/>
        </w:rPr>
        <w:t>Barclays s'attend à ce que la BCE procède à une nouvelle hausse des taux en décembre, alors que les pressions - Boursora</w:t>
      </w:r>
      <w:r>
        <w:rPr>
          <w:color w:val="787878"/>
          <w:sz w:val="15"/>
        </w:rPr>
        <w:t xml:space="preserve">  [politique_monetaire]</w:t>
      </w:r>
      <w:r>
        <w:rPr>
          <w:color w:val="B47800"/>
          <w:sz w:val="16"/>
        </w:rPr>
        <w:t xml:space="preserve">  ★ 50/10</w:t>
      </w:r>
    </w:p>
    <w:p>
      <w:pPr>
        <w:spacing w:before="0" w:after="20"/>
        <w:ind w:left="600"/>
      </w:pPr>
      <w:r>
        <w:rPr>
          <w:color w:val="323232"/>
          <w:sz w:val="17"/>
        </w:rPr>
        <w:t>Barclays anticipe une nouvelle hausse des taux directeurs de la Banque centrale européenne (BCE) en décembre, en raison de pressions persistantes sur les prix. Cette prévision intervient alors que l'institution monétaire européenne a déjà relevé ses taux à plusieurs reprises pour lutter contre l'inflation. Une telle décision pourrait renforcer le d</w:t>
      </w:r>
    </w:p>
    <w:p>
      <w:pPr>
        <w:spacing w:before="0" w:after="40"/>
        <w:ind w:left="600"/>
      </w:pPr>
      <w:r>
        <w:rPr>
          <w:color w:val="00643C"/>
          <w:sz w:val="16"/>
        </w:rPr>
        <w:t>Points clés : Barclays prévoit une hausse des taux de la BCE en décembre  •  Les pressions inflationnistes restent élevées dans la zone euro  •  La BCE a déjà procédé à plusieurs hausses de taux en 2023  •  Impact potentiel sur les changes et les flux de capitaux vers les marchés émergents</w:t>
      </w:r>
    </w:p>
    <w:p>
      <w:pPr>
        <w:spacing w:before="0" w:after="60"/>
        <w:ind w:left="600"/>
      </w:pPr>
      <w:r>
        <w:rPr>
          <w:color w:val="0064B4"/>
          <w:sz w:val="15"/>
        </w:rPr>
        <w:t>Source : https://news.google.com/rss/articles/CBMivgJBVV95cUxPcVVNcXhGcERzUDVoSXAySmM3cmJ</w:t>
      </w:r>
    </w:p>
    <w:p>
      <w:pPr>
        <w:spacing w:before="40" w:after="40"/>
        <w:ind w:left="360"/>
      </w:pPr>
      <w:r>
        <w:rPr>
          <w:color w:val="646464"/>
          <w:sz w:val="17"/>
        </w:rPr>
        <w:t xml:space="preserve">[10/09/2026] ⚪  </w:t>
      </w:r>
      <w:r>
        <w:rPr>
          <w:b/>
          <w:color w:val="505050"/>
          <w:sz w:val="18"/>
        </w:rPr>
        <w:t>Le CPM de la BCEAO maintient son taux directeur à 3 % après sa réunion du 9 septembre - Capmad</w:t>
      </w:r>
      <w:r>
        <w:rPr>
          <w:color w:val="787878"/>
          <w:sz w:val="15"/>
        </w:rPr>
        <w:t xml:space="preserve">  [politique_monetaire]</w:t>
      </w:r>
      <w:r>
        <w:rPr>
          <w:color w:val="B47800"/>
          <w:sz w:val="16"/>
        </w:rPr>
        <w:t xml:space="preserve">  ★ 50/10</w:t>
      </w:r>
    </w:p>
    <w:p>
      <w:pPr>
        <w:spacing w:before="0" w:after="20"/>
        <w:ind w:left="600"/>
      </w:pPr>
      <w:r>
        <w:rPr>
          <w:color w:val="323232"/>
          <w:sz w:val="17"/>
        </w:rPr>
        <w:t>Le Comité de Politique Monétaire (CPM) de la BCEAO a décidé de maintenir son taux directeur à 3 % à l'issue de sa réunion du 9 septembre. Cette décision s'inscrit dans un contexte de maîtrise de l'inflation et de soutien à la croissance économique dans l'Union. Le statu quo monétaire vise à préserver la stabilité des prix et à accompagner la repris</w:t>
      </w:r>
    </w:p>
    <w:p>
      <w:pPr>
        <w:spacing w:before="0" w:after="40"/>
        <w:ind w:left="600"/>
      </w:pPr>
      <w:r>
        <w:rPr>
          <w:color w:val="00643C"/>
          <w:sz w:val="16"/>
        </w:rPr>
        <w:t>Points clés : Maintien du taux directeur de la BCEAO à 3 %  •  Décision prise lors de la réunion du CPM du 9 septembre  •  Objectif de stabilité des prix et de soutien à la croissance</w:t>
      </w:r>
    </w:p>
    <w:p>
      <w:pPr>
        <w:spacing w:before="0" w:after="60"/>
        <w:ind w:left="600"/>
      </w:pPr>
      <w:r>
        <w:rPr>
          <w:color w:val="0064B4"/>
          <w:sz w:val="15"/>
        </w:rPr>
        <w:t>Source : https://news.google.com/rss/articles/CBMitAFBVV95cUxPc3gtQ0NqTk1kbVljYk9iZzEyZHV</w:t>
      </w:r>
    </w:p>
    <w:p>
      <w:pPr>
        <w:spacing w:before="40" w:after="40"/>
        <w:ind w:left="360"/>
      </w:pPr>
      <w:r>
        <w:rPr>
          <w:color w:val="646464"/>
          <w:sz w:val="17"/>
        </w:rPr>
        <w:t xml:space="preserve">[10/09/2026] 🔴  </w:t>
      </w:r>
      <w:r>
        <w:rPr>
          <w:b/>
          <w:color w:val="C00000"/>
          <w:sz w:val="18"/>
        </w:rPr>
        <w:t>En relevant ses taux, la BCE prend le risque de plonger l’Europe dans la récession - Mediapart</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relever ses taux directeurs afin de lutter contre l'inflation persistante dans la zone euro. Cette décision monétaire restrictive vise à freiner la hausse des prix, mais elle risque de peser sur la croissance économique déjà fragile. Selon Mediapart, ce resserrement pourrait précipiter l'Europe dans u</w:t>
      </w:r>
    </w:p>
    <w:p>
      <w:pPr>
        <w:spacing w:before="0" w:after="40"/>
        <w:ind w:left="600"/>
      </w:pPr>
      <w:r>
        <w:rPr>
          <w:color w:val="00643C"/>
          <w:sz w:val="16"/>
        </w:rPr>
        <w:t>Points clés : La BCE relève ses taux pour combattre l'inflation.  •  Risque accru de récession en Europe.  •  Impact potentiel sur la croissance et l'emploi.  •  Répercussions sur les marchés financiers internationaux.</w:t>
      </w:r>
    </w:p>
    <w:p>
      <w:pPr>
        <w:spacing w:before="0" w:after="60"/>
        <w:ind w:left="600"/>
      </w:pPr>
      <w:r>
        <w:rPr>
          <w:color w:val="0064B4"/>
          <w:sz w:val="15"/>
        </w:rPr>
        <w:t>Source : https://news.google.com/rss/articles/CBMi1wFBVV95cUxPMmVwUE5PWk40UXc5OVV4QjZGZkp</w:t>
      </w:r>
    </w:p>
    <w:p>
      <w:pPr>
        <w:spacing w:before="120" w:after="40"/>
      </w:pPr>
      <w:r>
        <w:rPr>
          <w:b/>
          <w:color w:val="00467F"/>
          <w:sz w:val="20"/>
        </w:rPr>
        <w:t>🔑 matieres_premieres  (2 alerte(s))</w:t>
      </w:r>
    </w:p>
    <w:p>
      <w:pPr>
        <w:spacing w:before="40" w:after="40"/>
        <w:ind w:left="360"/>
      </w:pPr>
      <w:r>
        <w:rPr>
          <w:color w:val="646464"/>
          <w:sz w:val="17"/>
        </w:rPr>
        <w:t xml:space="preserve">[11/09/2026] 🔴  </w:t>
      </w:r>
      <w:r>
        <w:rPr>
          <w:b/>
          <w:color w:val="C00000"/>
          <w:sz w:val="18"/>
        </w:rPr>
        <w:t>L'indice MXV poursuit sa progression, le prix du pétrole dépasse les 100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contrats à terme sur les matières premières, continue de progresser alors que le prix du pétrole brut dépasse le seuil symbolique des 100 dollars le baril. Cette hausse reflète des tensions persistantes sur l'offre et une demande mondiale soutenue. Le franchissement de ce cap pourrait alimenter les pressions inflationnist</w:t>
      </w:r>
    </w:p>
    <w:p>
      <w:pPr>
        <w:spacing w:before="0" w:after="40"/>
        <w:ind w:left="600"/>
      </w:pPr>
      <w:r>
        <w:rPr>
          <w:color w:val="00643C"/>
          <w:sz w:val="16"/>
        </w:rPr>
        <w:t>Points clés : L'indice MXV poursuit sa tendance haussière  •  Le prix du pétrole dépasse les 100 dollars le baril  •  Risque accru de pressions inflationnistes mondiales</w:t>
      </w:r>
    </w:p>
    <w:p>
      <w:pPr>
        <w:spacing w:before="0" w:after="60"/>
        <w:ind w:left="600"/>
      </w:pPr>
      <w:r>
        <w:rPr>
          <w:color w:val="0064B4"/>
          <w:sz w:val="15"/>
        </w:rPr>
        <w:t>Source : https://news.google.com/rss/articles/CBMihAFBVV95cUxPOTdiR3dKMXdOc0lXbnptUVU1OTV</w:t>
      </w:r>
    </w:p>
    <w:p>
      <w:pPr>
        <w:spacing w:before="40" w:after="40"/>
        <w:ind w:left="360"/>
      </w:pPr>
      <w:r>
        <w:rPr>
          <w:color w:val="646464"/>
          <w:sz w:val="17"/>
        </w:rPr>
        <w:t xml:space="preserve">[11/09/2026] 🟢  </w:t>
      </w:r>
      <w:r>
        <w:rPr>
          <w:b/>
          <w:color w:val="008000"/>
          <w:sz w:val="18"/>
        </w:rPr>
        <w:t>Marché des matières premières : l'indice MXV poursuit sa progression, fluctuant au-dessus de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l'évolution des matières premières sur les marchés internationaux, poursuit sa progression et évolue au-dessus du seuil des 3 000 points. Cette dynamique haussière reflète une demande soutenue et des tensions sur l'offre de certaines matières premières. Le marché reste toutefois volatil, les investisseurs surveillant les fact</w:t>
      </w:r>
    </w:p>
    <w:p>
      <w:pPr>
        <w:spacing w:before="0" w:after="40"/>
        <w:ind w:left="600"/>
      </w:pPr>
      <w:r>
        <w:rPr>
          <w:color w:val="00643C"/>
          <w:sz w:val="16"/>
        </w:rPr>
        <w:t>Points clés : L'indice MXV dépasse les 3 000 points et poursuit sa hausse  •  La progression est portée par la demande et les tensions d'approvisionnement  •  Le marché reste volatil face aux incertitudes macroéconomiques  •  Impact potentiel sur les coûts d'importation des matières premières</w:t>
      </w:r>
    </w:p>
    <w:p>
      <w:pPr>
        <w:spacing w:before="0" w:after="60"/>
        <w:ind w:left="600"/>
      </w:pPr>
      <w:r>
        <w:rPr>
          <w:color w:val="0064B4"/>
          <w:sz w:val="15"/>
        </w:rPr>
        <w:t>Source : https://news.google.com/rss/articles/CBMinAFBVV95cUxNTWs5d0U4MEJ2RjIxNk5rUEVjTFV</w:t>
      </w:r>
    </w:p>
    <w:p>
      <w:pPr>
        <w:spacing w:before="120" w:after="40"/>
      </w:pPr>
      <w:r>
        <w:rPr>
          <w:b/>
          <w:color w:val="00467F"/>
          <w:sz w:val="20"/>
        </w:rPr>
        <w:t>🔑 politique  (2 alerte(s))</w:t>
      </w:r>
    </w:p>
    <w:p>
      <w:pPr>
        <w:spacing w:before="40" w:after="40"/>
        <w:ind w:left="360"/>
      </w:pPr>
      <w:r>
        <w:rPr>
          <w:color w:val="646464"/>
          <w:sz w:val="17"/>
        </w:rPr>
        <w:t xml:space="preserve">[10/09/2026] 🔴  </w:t>
      </w:r>
      <w:r>
        <w:rPr>
          <w:b/>
          <w:color w:val="C00000"/>
          <w:sz w:val="18"/>
        </w:rPr>
        <w:t>Dette, FMI, déficit : qui est responsable de la crise au Sénégal ? - BBC</w:t>
      </w:r>
      <w:r>
        <w:rPr>
          <w:color w:val="787878"/>
          <w:sz w:val="15"/>
        </w:rPr>
        <w:t xml:space="preserve">  [politique]</w:t>
      </w:r>
      <w:r>
        <w:rPr>
          <w:color w:val="B47800"/>
          <w:sz w:val="16"/>
        </w:rPr>
        <w:t xml:space="preserve">  ★ 50/10</w:t>
      </w:r>
    </w:p>
    <w:p>
      <w:pPr>
        <w:spacing w:before="0" w:after="20"/>
        <w:ind w:left="600"/>
      </w:pPr>
      <w:r>
        <w:rPr>
          <w:color w:val="323232"/>
          <w:sz w:val="17"/>
        </w:rPr>
        <w:t>L'article de la BBC examine les responsabilités dans la crise économique et budgétaire que traverse le Sénégal, en mettant en lumière le rôle de la dette publique, des programmes du FMI et du déficit budgétaire. Il souligne les débats politiques autour de la gestion des finances publiques et les conséquences sociales pour la population. La question</w:t>
      </w:r>
    </w:p>
    <w:p>
      <w:pPr>
        <w:spacing w:before="0" w:after="40"/>
        <w:ind w:left="600"/>
      </w:pPr>
      <w:r>
        <w:rPr>
          <w:color w:val="00643C"/>
          <w:sz w:val="16"/>
        </w:rPr>
        <w:t>Points clés : Le Sénégal fait face à une crise économique marquée par un endettement élevé et un déficit budgétaire important.  •  Le FMI et les politiques d'austérité sont pointés du doigt par certains, tandis que d'autres accusent la mauvaise gestion des autorités.  •  Les conséquences sociales et politiques de cette crise alimentent le débat public et les tensions.</w:t>
      </w:r>
    </w:p>
    <w:p>
      <w:pPr>
        <w:spacing w:before="0" w:after="60"/>
        <w:ind w:left="600"/>
      </w:pPr>
      <w:r>
        <w:rPr>
          <w:color w:val="0064B4"/>
          <w:sz w:val="15"/>
        </w:rPr>
        <w:t>Source : https://news.google.com/rss/articles/CBMiXkFVX3lxTE5md1RyUVdwTUtRRUFIQWlUZTVYVFl</w:t>
      </w:r>
    </w:p>
    <w:p>
      <w:pPr>
        <w:spacing w:before="40" w:after="40"/>
        <w:ind w:left="360"/>
      </w:pPr>
      <w:r>
        <w:rPr>
          <w:color w:val="646464"/>
          <w:sz w:val="17"/>
        </w:rPr>
        <w:t xml:space="preserve">[10/09/2026] 🔴  </w:t>
      </w:r>
      <w:r>
        <w:rPr>
          <w:b/>
          <w:color w:val="C00000"/>
          <w:sz w:val="18"/>
        </w:rPr>
        <w:t>Sénégal: le parti majoritaire exige un «dialogue loyal» avec le président après le discours du Premier ministre - RFI</w:t>
      </w:r>
      <w:r>
        <w:rPr>
          <w:color w:val="787878"/>
          <w:sz w:val="15"/>
        </w:rPr>
        <w:t xml:space="preserve">  [politique]</w:t>
      </w:r>
      <w:r>
        <w:rPr>
          <w:color w:val="B47800"/>
          <w:sz w:val="16"/>
        </w:rPr>
        <w:t xml:space="preserve">  ★ 50/10</w:t>
      </w:r>
    </w:p>
    <w:p>
      <w:pPr>
        <w:spacing w:before="0" w:after="20"/>
        <w:ind w:left="600"/>
      </w:pPr>
      <w:r>
        <w:rPr>
          <w:color w:val="323232"/>
          <w:sz w:val="17"/>
        </w:rPr>
        <w:t>Le parti majoritaire au Sénégal demande un « dialogue loyal » avec le président de la République après le discours du Premier ministre. Cette exigence intervient dans un contexte politique tendu, alors que le pays traverse une période de contestation et de crise institutionnelle. Le parti au pouvoir cherche à apaiser les tensions par la voie du dia</w:t>
      </w:r>
    </w:p>
    <w:p>
      <w:pPr>
        <w:spacing w:before="0" w:after="40"/>
        <w:ind w:left="600"/>
      </w:pPr>
      <w:r>
        <w:rPr>
          <w:color w:val="00643C"/>
          <w:sz w:val="16"/>
        </w:rPr>
        <w:t>Points clés : Le parti majoritaire sénégalais réclame un dialogue loyal avec le président  •  La demande fait suite au discours du Premier ministre  •  Contexte de tensions politiques et de crise institutionnelle au Sénégal  •  Risque d'impact sur la stabilité économique et les marchés de l'UEMOA</w:t>
      </w:r>
    </w:p>
    <w:p>
      <w:pPr>
        <w:spacing w:before="0" w:after="60"/>
        <w:ind w:left="600"/>
      </w:pPr>
      <w:r>
        <w:rPr>
          <w:color w:val="0064B4"/>
          <w:sz w:val="15"/>
        </w:rPr>
        <w:t>Source : https://news.google.com/rss/articles/CBMi-wFBVV95cUxPblVJb2RNZjk0NU5oR1FfQjNXMFJ</w:t>
      </w:r>
    </w:p>
    <w:p>
      <w:pPr>
        <w:spacing w:before="120" w:after="40"/>
      </w:pPr>
      <w:r>
        <w:rPr>
          <w:b/>
          <w:color w:val="00467F"/>
          <w:sz w:val="20"/>
        </w:rPr>
        <w:t>🔑 économique  (3 alerte(s))</w:t>
      </w:r>
    </w:p>
    <w:p>
      <w:pPr>
        <w:spacing w:before="40" w:after="40"/>
        <w:ind w:left="360"/>
      </w:pPr>
      <w:r>
        <w:rPr>
          <w:color w:val="646464"/>
          <w:sz w:val="17"/>
        </w:rPr>
        <w:t xml:space="preserve">[10/09/2026] ⚪  </w:t>
      </w:r>
      <w:r>
        <w:rPr>
          <w:b/>
          <w:color w:val="505050"/>
          <w:sz w:val="18"/>
        </w:rPr>
        <w:t>BCEAO: maintien du taux directeur à 3 % malgré un rebond de l’inflation dans l’UEMOA - Benin Web TV</w:t>
      </w:r>
      <w:r>
        <w:rPr>
          <w:color w:val="787878"/>
          <w:sz w:val="15"/>
        </w:rPr>
        <w:t xml:space="preserve">  [économique]</w:t>
      </w:r>
      <w:r>
        <w:rPr>
          <w:color w:val="B47800"/>
          <w:sz w:val="16"/>
        </w:rPr>
        <w:t xml:space="preserve">  ★ 50/10</w:t>
      </w:r>
    </w:p>
    <w:p>
      <w:pPr>
        <w:spacing w:before="0" w:after="20"/>
        <w:ind w:left="600"/>
      </w:pPr>
      <w:r>
        <w:rPr>
          <w:color w:val="323232"/>
          <w:sz w:val="17"/>
        </w:rPr>
        <w:t xml:space="preserve">La BCEAO a décidé de maintenir son taux directeur à 3 % lors de sa dernière réunion de politique monétaire, malgré un rebond récent de l'inflation dans l'Union économique et monétaire ouest-africaine (UEMOA). Cette décision vise à soutenir la reprise économique tout en surveillant l'évolution des prix. Le maintien du taux directeur à un niveau bas </w:t>
      </w:r>
    </w:p>
    <w:p>
      <w:pPr>
        <w:spacing w:before="0" w:after="40"/>
        <w:ind w:left="600"/>
      </w:pPr>
      <w:r>
        <w:rPr>
          <w:color w:val="00643C"/>
          <w:sz w:val="16"/>
        </w:rPr>
        <w:t>Points clés : Maintien du taux directeur de la BCEAO à 3 %  •  Rebond de l'inflation dans l'UEMOA  •  Politique monétaire accommodante pour soutenir la croissance</w:t>
      </w:r>
    </w:p>
    <w:p>
      <w:pPr>
        <w:spacing w:before="0" w:after="60"/>
        <w:ind w:left="600"/>
      </w:pPr>
      <w:r>
        <w:rPr>
          <w:color w:val="0064B4"/>
          <w:sz w:val="15"/>
        </w:rPr>
        <w:t>Source : https://news.google.com/rss/articles/CBMipAFBVV95cUxQcENIMVlBc0lidUJ3QWdmT3hLaHg</w:t>
      </w:r>
    </w:p>
    <w:p>
      <w:pPr>
        <w:spacing w:before="40" w:after="40"/>
        <w:ind w:left="360"/>
      </w:pPr>
      <w:r>
        <w:rPr>
          <w:color w:val="646464"/>
          <w:sz w:val="17"/>
        </w:rPr>
        <w:t xml:space="preserve">[10/09/2026] ⚪  </w:t>
      </w:r>
      <w:r>
        <w:rPr>
          <w:b/>
          <w:color w:val="505050"/>
          <w:sz w:val="18"/>
        </w:rPr>
        <w:t>Monnaie unique : la CEDEAO maintient le cap sur le lancement de l’ECO en 2027 - LACTUACHO.COM</w:t>
      </w:r>
      <w:r>
        <w:rPr>
          <w:color w:val="787878"/>
          <w:sz w:val="15"/>
        </w:rPr>
        <w:t xml:space="preserve">  [économique]</w:t>
      </w:r>
      <w:r>
        <w:rPr>
          <w:color w:val="B47800"/>
          <w:sz w:val="16"/>
        </w:rPr>
        <w:t xml:space="preserve">  ★ 50/10</w:t>
      </w:r>
    </w:p>
    <w:p>
      <w:pPr>
        <w:spacing w:before="0" w:after="20"/>
        <w:ind w:left="600"/>
      </w:pPr>
      <w:r>
        <w:rPr>
          <w:color w:val="323232"/>
          <w:sz w:val="17"/>
        </w:rPr>
        <w:t>La CEDEAO a réaffirmé son engagement à lancer la monnaie unique ECO en 2027, malgré les défis économiques et politiques persistants dans la région. Ce projet vise à renforcer l'intégration monétaire et à faciliter les échanges commerciaux entre les États membres. Toutefois, des questions subsistent sur la convergence des critères macroéconomiques e</w:t>
      </w:r>
    </w:p>
    <w:p>
      <w:pPr>
        <w:spacing w:before="0" w:after="40"/>
        <w:ind w:left="600"/>
      </w:pPr>
      <w:r>
        <w:rPr>
          <w:color w:val="00643C"/>
          <w:sz w:val="16"/>
        </w:rPr>
        <w:t>Points clés : La CEDEAO maintient le calendrier de lancement de l'ECO pour 2027.  •  Le projet vise à approfondir l'intégration monétaire et commerciale en Afrique de l'Ouest.  •  Des défis de convergence économique et d'adhésion de tous les pays membres demeurent.</w:t>
      </w:r>
    </w:p>
    <w:p>
      <w:pPr>
        <w:spacing w:before="0" w:after="60"/>
        <w:ind w:left="600"/>
      </w:pPr>
      <w:r>
        <w:rPr>
          <w:color w:val="0064B4"/>
          <w:sz w:val="15"/>
        </w:rPr>
        <w:t>Source : https://news.google.com/rss/articles/CBMiowFBVV95cUxQME1ucTRGSkJid3VYczV1UXdMUVN</w:t>
      </w:r>
    </w:p>
    <w:p>
      <w:pPr>
        <w:spacing w:before="40" w:after="40"/>
        <w:ind w:left="360"/>
      </w:pPr>
      <w:r>
        <w:rPr>
          <w:color w:val="646464"/>
          <w:sz w:val="17"/>
        </w:rPr>
        <w:t xml:space="preserve">[10/09/2026] 🟢  </w:t>
      </w:r>
      <w:r>
        <w:rPr>
          <w:b/>
          <w:color w:val="008000"/>
          <w:sz w:val="18"/>
        </w:rPr>
        <w:t>DOSSIER–CEDEAO REPORT - Centre international Julius Maada Bio, une infrastructure pour l’intégration africaine - Africa2</w:t>
      </w:r>
      <w:r>
        <w:rPr>
          <w:color w:val="787878"/>
          <w:sz w:val="15"/>
        </w:rPr>
        <w:t xml:space="preserve">  [économique]</w:t>
      </w:r>
      <w:r>
        <w:rPr>
          <w:color w:val="B47800"/>
          <w:sz w:val="16"/>
        </w:rPr>
        <w:t xml:space="preserve">  ★ 50/10</w:t>
      </w:r>
    </w:p>
    <w:p>
      <w:pPr>
        <w:spacing w:before="0" w:after="20"/>
        <w:ind w:left="600"/>
      </w:pPr>
      <w:r>
        <w:rPr>
          <w:color w:val="323232"/>
          <w:sz w:val="17"/>
        </w:rPr>
        <w:t>Le Centre international Julius Maada Bio est présenté comme une infrastructure majeure destinée à renforcer l'intégration africaine, dans le cadre d'un reportage de la CEDEAO diffusé par Africa24 TV. Ce projet s'inscrit dans une dynamique régionale de coopération et de développement des échanges entre les pays d'Afrique de l'Ouest. L'article met en</w:t>
      </w:r>
    </w:p>
    <w:p>
      <w:pPr>
        <w:spacing w:before="0" w:after="40"/>
        <w:ind w:left="600"/>
      </w:pPr>
      <w:r>
        <w:rPr>
          <w:color w:val="00643C"/>
          <w:sz w:val="16"/>
        </w:rPr>
        <w:t>Points clés : Inauguration ou mise en avant du Centre international Julius Maada Bio  •  Infrastructure dédiée à l'intégration africaine et à la coopération régionale  •  Reportage diffusé dans le cadre du suivi des activités de la CEDEAO</w:t>
      </w:r>
    </w:p>
    <w:p>
      <w:pPr>
        <w:spacing w:before="0" w:after="60"/>
        <w:ind w:left="600"/>
      </w:pPr>
      <w:r>
        <w:rPr>
          <w:color w:val="0064B4"/>
          <w:sz w:val="15"/>
        </w:rPr>
        <w:t>Source : https://news.google.com/rss/articles/CBMiygFBVV95cUxPRWtZMjBhUlhMRkxOYmZyZVNTbmN</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8,300</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3,480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10,200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3,090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13,230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73/100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4,005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10,030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7,195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22,450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18,500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8,055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39,005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8,300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33,600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7,100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26</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24,000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38,870</w:t>
            </w:r>
          </w:p>
        </w:tc>
        <w:tc>
          <w:tcPr>
            <w:tcW w:type="dxa" w:w="1080"/>
            <w:shd w:fill="EBF5FB" w:val="clear"/>
          </w:tcPr>
          <w:p>
            <w:r>
              <w:rPr>
                <w:b/>
                <w:sz w:val="16"/>
              </w:rPr>
              <w:t>69/100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2,400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5,495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3,350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37,900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32,600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1,565</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2,165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16,700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2,825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5,490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8,005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54,300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3,480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16,800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13,230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7,195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CFAC</w:t>
            </w:r>
          </w:p>
        </w:tc>
        <w:tc>
          <w:tcPr>
            <w:tcW w:type="dxa" w:w="1728"/>
            <w:shd w:fill="DEEAF1" w:val="clear"/>
          </w:tcPr>
          <w:p>
            <w:r>
              <w:rPr>
                <w:sz w:val="17"/>
              </w:rPr>
              <w:t>CFAC - CFAO MOTORS CI</w:t>
            </w:r>
          </w:p>
        </w:tc>
        <w:tc>
          <w:tcPr>
            <w:tcW w:type="dxa" w:w="1728"/>
            <w:shd w:fill="DEEAF1" w:val="clear"/>
          </w:tcPr>
          <w:p>
            <w:r>
              <w:rPr>
                <w:sz w:val="17"/>
              </w:rPr>
              <w:t>1,695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8,300</w:t>
            </w:r>
          </w:p>
        </w:tc>
        <w:tc>
          <w:tcPr>
            <w:tcW w:type="dxa" w:w="1728"/>
            <w:shd w:fill="E2EFDA" w:val="clear"/>
          </w:tcPr>
          <w:p>
            <w:r>
              <w:rPr>
                <w:sz w:val="17"/>
              </w:rPr>
              <w:t>84/100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CABC</w:t>
            </w:r>
          </w:p>
        </w:tc>
        <w:tc>
          <w:tcPr>
            <w:tcW w:type="dxa" w:w="1728"/>
            <w:shd w:fill="E2EFDA" w:val="clear"/>
          </w:tcPr>
          <w:p>
            <w:r>
              <w:rPr>
                <w:sz w:val="17"/>
              </w:rPr>
              <w:t>CABC - SICABLE COTE D'IVOIRE</w:t>
            </w:r>
          </w:p>
        </w:tc>
        <w:tc>
          <w:tcPr>
            <w:tcW w:type="dxa" w:w="1728"/>
            <w:shd w:fill="E2EFDA" w:val="clear"/>
          </w:tcPr>
          <w:p>
            <w:r>
              <w:rPr>
                <w:sz w:val="17"/>
              </w:rPr>
              <w:t>3,480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10,200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3,090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FTSC</w:t>
            </w:r>
          </w:p>
        </w:tc>
        <w:tc>
          <w:tcPr>
            <w:tcW w:type="dxa" w:w="1728"/>
            <w:shd w:fill="E2EFDA" w:val="clear"/>
          </w:tcPr>
          <w:p>
            <w:r>
              <w:rPr>
                <w:sz w:val="17"/>
              </w:rPr>
              <w:t>FTSC - FILTISAC COTE D'IVOIR</w:t>
            </w:r>
          </w:p>
        </w:tc>
        <w:tc>
          <w:tcPr>
            <w:tcW w:type="dxa" w:w="1728"/>
            <w:shd w:fill="E2EFDA" w:val="clear"/>
          </w:tcPr>
          <w:p>
            <w:r>
              <w:rPr>
                <w:sz w:val="17"/>
              </w:rPr>
              <w:t>2,100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ORGT</w:t>
            </w:r>
          </w:p>
        </w:tc>
        <w:tc>
          <w:tcPr>
            <w:tcW w:type="dxa" w:w="1728"/>
            <w:shd w:fill="E2EFDA" w:val="clear"/>
          </w:tcPr>
          <w:p>
            <w:r>
              <w:rPr>
                <w:sz w:val="17"/>
              </w:rPr>
              <w:t>ORGT - ORAGROUP TOGO</w:t>
            </w:r>
          </w:p>
        </w:tc>
        <w:tc>
          <w:tcPr>
            <w:tcW w:type="dxa" w:w="1728"/>
            <w:shd w:fill="E2EFDA" w:val="clear"/>
          </w:tcPr>
          <w:p>
            <w:r>
              <w:rPr>
                <w:sz w:val="17"/>
              </w:rPr>
              <w:t>3,300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8,300</w:t>
            </w:r>
          </w:p>
        </w:tc>
        <w:tc>
          <w:tcPr>
            <w:tcW w:type="dxa" w:w="1728"/>
            <w:shd w:fill="FCE4D6" w:val="clear"/>
          </w:tcPr>
          <w:p>
            <w:r>
              <w:rPr>
                <w:sz w:val="17"/>
              </w:rPr>
              <w:t>84/100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CABC</w:t>
            </w:r>
          </w:p>
        </w:tc>
        <w:tc>
          <w:tcPr>
            <w:tcW w:type="dxa" w:w="1728"/>
            <w:shd w:fill="FCE4D6" w:val="clear"/>
          </w:tcPr>
          <w:p>
            <w:r>
              <w:rPr>
                <w:sz w:val="17"/>
              </w:rPr>
              <w:t>CABC - SICABLE COTE D'IVOIRE</w:t>
            </w:r>
          </w:p>
        </w:tc>
        <w:tc>
          <w:tcPr>
            <w:tcW w:type="dxa" w:w="1728"/>
            <w:shd w:fill="FCE4D6" w:val="clear"/>
          </w:tcPr>
          <w:p>
            <w:r>
              <w:rPr>
                <w:sz w:val="17"/>
              </w:rPr>
              <w:t>3,480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10,200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3,090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FTSC</w:t>
            </w:r>
          </w:p>
        </w:tc>
        <w:tc>
          <w:tcPr>
            <w:tcW w:type="dxa" w:w="1728"/>
            <w:shd w:fill="FCE4D6" w:val="clear"/>
          </w:tcPr>
          <w:p>
            <w:r>
              <w:rPr>
                <w:sz w:val="17"/>
              </w:rPr>
              <w:t>FTSC - FILTISAC COTE D'IVOIR</w:t>
            </w:r>
          </w:p>
        </w:tc>
        <w:tc>
          <w:tcPr>
            <w:tcW w:type="dxa" w:w="1728"/>
            <w:shd w:fill="FCE4D6" w:val="clear"/>
          </w:tcPr>
          <w:p>
            <w:r>
              <w:rPr>
                <w:sz w:val="17"/>
              </w:rPr>
              <w:t>2,100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ORGT</w:t>
            </w:r>
          </w:p>
        </w:tc>
        <w:tc>
          <w:tcPr>
            <w:tcW w:type="dxa" w:w="1728"/>
            <w:shd w:fill="FCE4D6" w:val="clear"/>
          </w:tcPr>
          <w:p>
            <w:r>
              <w:rPr>
                <w:sz w:val="17"/>
              </w:rPr>
              <w:t>ORGT - ORAGROUP TOGO</w:t>
            </w:r>
          </w:p>
        </w:tc>
        <w:tc>
          <w:tcPr>
            <w:tcW w:type="dxa" w:w="1728"/>
            <w:shd w:fill="FCE4D6" w:val="clear"/>
          </w:tcPr>
          <w:p>
            <w:r>
              <w:rPr>
                <w:sz w:val="17"/>
              </w:rPr>
              <w:t>3,300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BOAM — BANK OF AFRICA MALI</w:t>
      </w:r>
    </w:p>
    <w:p>
      <w:pPr>
        <w:pStyle w:val="ListBullet"/>
        <w:spacing w:before="20"/>
        <w:ind w:left="400"/>
      </w:pPr>
      <w:r>
        <w:rPr>
          <w:sz w:val="18"/>
        </w:rPr>
        <w:t>🔴 RSI surachat (80.2 &gt; 70) — risque de correction</w:t>
      </w:r>
    </w:p>
    <w:p>
      <w:pPr>
        <w:pStyle w:val="ListBullet"/>
        <w:spacing w:before="20"/>
        <w:ind w:left="400"/>
      </w:pPr>
      <w:r>
        <w:rPr>
          <w:sz w:val="18"/>
        </w:rPr>
        <w:t>⚠️ Cours à 0.0% du plus haut 100j (7,195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(88.5 &gt; 70) — risque de correction</w:t>
      </w:r>
    </w:p>
    <w:p>
      <w:pPr>
        <w:pStyle w:val="ListBullet"/>
        <w:spacing w:before="20"/>
        <w:ind w:left="400"/>
      </w:pPr>
      <w:r>
        <w:rPr>
          <w:sz w:val="18"/>
        </w:rPr>
        <w:t>⚠️ Cours à 0.0% du plus haut 100j (18,500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(83.1 &gt; 70) — risque de correction</w:t>
      </w:r>
    </w:p>
    <w:p>
      <w:pPr>
        <w:pStyle w:val="ListBullet"/>
        <w:spacing w:before="20"/>
        <w:ind w:left="400"/>
      </w:pPr>
      <w:r>
        <w:rPr>
          <w:sz w:val="18"/>
        </w:rPr>
        <w:t>⚠️ Cours à 0.0% du plus haut 100j (4,005 FCFA)</w:t>
      </w:r>
    </w:p>
    <w:p>
      <w:pPr>
        <w:spacing w:before="120"/>
      </w:pPr>
      <w:r>
        <w:rPr>
          <w:b/>
          <w:color w:val="0050A0"/>
          <w:sz w:val="20"/>
        </w:rPr>
        <w:t>BOABF — BANK OF AFRICA BURKINA FASO</w:t>
      </w:r>
    </w:p>
    <w:p>
      <w:pPr>
        <w:pStyle w:val="ListBullet"/>
        <w:spacing w:before="20"/>
        <w:ind w:left="400"/>
      </w:pPr>
      <w:r>
        <w:rPr>
          <w:sz w:val="18"/>
        </w:rPr>
        <w:t>🔴 RSI surachat (82.3 &gt; 70) — risque de correction</w:t>
      </w:r>
    </w:p>
    <w:p>
      <w:pPr>
        <w:pStyle w:val="ListBullet"/>
        <w:spacing w:before="20"/>
        <w:ind w:left="400"/>
      </w:pPr>
      <w:r>
        <w:rPr>
          <w:sz w:val="18"/>
        </w:rPr>
        <w:t>⚠️ Cours à 1.0% du plus haut 100j (9,090 FCFA)</w:t>
      </w:r>
    </w:p>
    <w:p>
      <w:pPr>
        <w:spacing w:before="120"/>
      </w:pPr>
      <w:r>
        <w:rPr>
          <w:b/>
          <w:color w:val="0050A0"/>
          <w:sz w:val="20"/>
        </w:rPr>
        <w:t>CBIBF — CBIBF - CORIS BANK INTERNATIONAL BURKINA FASO</w:t>
      </w:r>
    </w:p>
    <w:p>
      <w:pPr>
        <w:pStyle w:val="ListBullet"/>
        <w:spacing w:before="20"/>
        <w:ind w:left="400"/>
      </w:pPr>
      <w:r>
        <w:rPr>
          <w:sz w:val="18"/>
        </w:rPr>
        <w:t>🔴 RSI surachat (80.7 &gt; 70) — risque de correction</w:t>
      </w:r>
    </w:p>
    <w:p>
      <w:pPr>
        <w:pStyle w:val="ListBullet"/>
        <w:spacing w:before="20"/>
        <w:ind w:left="400"/>
      </w:pPr>
      <w:r>
        <w:rPr>
          <w:sz w:val="18"/>
        </w:rPr>
        <w:t>⚠️ Cours à 0.0% du plus haut 100j (33,600 FCFA)</w:t>
      </w:r>
    </w:p>
    <w:p>
      <w:pPr>
        <w:spacing w:before="120"/>
      </w:pPr>
      <w:r>
        <w:rPr>
          <w:b/>
          <w:color w:val="0050A0"/>
          <w:sz w:val="20"/>
        </w:rPr>
        <w:t>SIBC — SIBC - SOCIETE IVOIRIENNE DE BANQUE</w:t>
      </w:r>
    </w:p>
    <w:p>
      <w:pPr>
        <w:pStyle w:val="ListBullet"/>
        <w:spacing w:before="20"/>
        <w:ind w:left="400"/>
      </w:pPr>
      <w:r>
        <w:rPr>
          <w:sz w:val="18"/>
        </w:rPr>
        <w:t>⚠️ Cours à 2.1% du plus haut 100j (9,500 FCFA)</w:t>
      </w:r>
    </w:p>
    <w:p>
      <w:pPr>
        <w:pStyle w:val="ListBullet"/>
        <w:spacing w:before="20"/>
        <w:ind w:left="400"/>
      </w:pPr>
      <w:r>
        <w:rPr>
          <w:sz w:val="18"/>
        </w:rPr>
        <w:t>🟠 Divergence tech(VENTE) / fond(ACHAT) — recommandation ajustée à ACHAT FORT</w:t>
      </w:r>
    </w:p>
    <w:p>
      <w:pPr>
        <w:spacing w:before="120"/>
      </w:pPr>
      <w:r>
        <w:rPr>
          <w:b/>
          <w:color w:val="0050A0"/>
          <w:sz w:val="20"/>
        </w:rPr>
        <w:t>SNTS — SNTS - SONATEL SN</w:t>
      </w:r>
    </w:p>
    <w:p>
      <w:pPr>
        <w:pStyle w:val="ListBullet"/>
        <w:spacing w:before="20"/>
        <w:ind w:left="400"/>
      </w:pPr>
      <w:r>
        <w:rPr>
          <w:sz w:val="18"/>
        </w:rPr>
        <w:t>🔴 RSI surachat (72.2 &gt; 70) — risque de correction</w:t>
      </w:r>
    </w:p>
    <w:p>
      <w:pPr>
        <w:pStyle w:val="ListBullet"/>
        <w:spacing w:before="20"/>
        <w:ind w:left="400"/>
      </w:pPr>
      <w:r>
        <w:rPr>
          <w:sz w:val="18"/>
        </w:rPr>
        <w:t>⚠️ Cours à 0.5% du plus haut 100j (39,200 FCFA)</w:t>
      </w:r>
    </w:p>
    <w:p>
      <w:pPr>
        <w:spacing w:before="120"/>
      </w:pPr>
      <w:r>
        <w:rPr>
          <w:b/>
          <w:color w:val="0050A0"/>
          <w:sz w:val="20"/>
        </w:rPr>
        <w:t>BICB — BIIC BN - Banque internationale pour le commerce du benin</w:t>
      </w:r>
    </w:p>
    <w:p>
      <w:pPr>
        <w:pStyle w:val="ListBullet"/>
        <w:spacing w:before="20"/>
        <w:ind w:left="400"/>
      </w:pPr>
      <w:r>
        <w:rPr>
          <w:sz w:val="18"/>
        </w:rPr>
        <w:t>🔴 RSI surachat (75.1 &gt; 70) — risque de correction</w:t>
      </w:r>
    </w:p>
    <w:p>
      <w:pPr>
        <w:spacing w:before="120"/>
      </w:pPr>
      <w:r>
        <w:rPr>
          <w:b/>
          <w:color w:val="0050A0"/>
          <w:sz w:val="20"/>
        </w:rPr>
        <w:t>BOAC — BANK OF AFRICA COTE D'IVOIRE</w:t>
      </w:r>
    </w:p>
    <w:p>
      <w:pPr>
        <w:pStyle w:val="ListBullet"/>
        <w:spacing w:before="20"/>
        <w:ind w:left="400"/>
      </w:pPr>
      <w:r>
        <w:rPr>
          <w:sz w:val="18"/>
        </w:rPr>
        <w:t>🟢 RSI survente (15.9 &lt; 30) — opportunité potentielle</w:t>
      </w:r>
    </w:p>
    <w:p>
      <w:pPr>
        <w:spacing w:before="120"/>
      </w:pPr>
      <w:r>
        <w:rPr>
          <w:b/>
          <w:color w:val="0050A0"/>
          <w:sz w:val="20"/>
        </w:rPr>
        <w:t>BOAN — BANK OF AFRICA NIGER</w:t>
      </w:r>
    </w:p>
    <w:p>
      <w:pPr>
        <w:pStyle w:val="ListBullet"/>
        <w:spacing w:before="20"/>
        <w:ind w:left="400"/>
      </w:pPr>
      <w:r>
        <w:rPr>
          <w:sz w:val="18"/>
        </w:rPr>
        <w:t>⚠️ Cours à 2.7% du plus haut 100j (5,645 FCFA)</w:t>
      </w:r>
    </w:p>
    <w:p>
      <w:pPr>
        <w:spacing w:before="120"/>
      </w:pPr>
      <w:r>
        <w:rPr>
          <w:b/>
          <w:color w:val="0050A0"/>
          <w:sz w:val="20"/>
        </w:rPr>
        <w:t>BOAS — BANK OF AFRICA SENEGAL</w:t>
      </w:r>
    </w:p>
    <w:p>
      <w:pPr>
        <w:pStyle w:val="ListBullet"/>
        <w:spacing w:before="20"/>
        <w:ind w:left="400"/>
      </w:pPr>
      <w:r>
        <w:rPr>
          <w:sz w:val="18"/>
        </w:rPr>
        <w:t>⚠️ Cours à 2.4% du plus haut 100j (8,500 FCFA)</w:t>
      </w:r>
    </w:p>
    <w:p>
      <w:pPr>
        <w:spacing w:before="120"/>
      </w:pPr>
      <w:r>
        <w:rPr>
          <w:b/>
          <w:color w:val="0050A0"/>
          <w:sz w:val="20"/>
        </w:rPr>
        <w:t>CABC — CABC - SICABLE COTE D'IVOIRE</w:t>
      </w:r>
    </w:p>
    <w:p>
      <w:pPr>
        <w:pStyle w:val="ListBullet"/>
        <w:spacing w:before="20"/>
        <w:ind w:left="400"/>
      </w:pPr>
      <w:r>
        <w:rPr>
          <w:sz w:val="18"/>
        </w:rPr>
        <w:t>🟢 RSI survente (16.4 &lt; 30) — opportunité potentielle</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0.0% du plus haut 100j (22,450 FCFA)</w:t>
      </w:r>
    </w:p>
    <w:p>
      <w:pPr>
        <w:spacing w:before="120"/>
      </w:pPr>
      <w:r>
        <w:rPr>
          <w:b/>
          <w:color w:val="0050A0"/>
          <w:sz w:val="20"/>
        </w:rPr>
        <w:t>PALC — PALC - PALM COTE D'IVOIRE</w:t>
      </w:r>
    </w:p>
    <w:p>
      <w:pPr>
        <w:pStyle w:val="ListBullet"/>
        <w:spacing w:before="20"/>
        <w:ind w:left="400"/>
      </w:pPr>
      <w:r>
        <w:rPr>
          <w:sz w:val="18"/>
        </w:rPr>
        <w:t>🟢 RSI survente (21.0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1.1% du plus haut 100j (39,300 FCFA)</w:t>
      </w:r>
    </w:p>
    <w:p>
      <w:pPr>
        <w:spacing w:before="120"/>
      </w:pPr>
      <w:r>
        <w:rPr>
          <w:b/>
          <w:color w:val="0050A0"/>
          <w:sz w:val="20"/>
        </w:rPr>
        <w:t>SHEC — SHEC - VIVO ENERGY COTE D'IVOIRE</w:t>
      </w:r>
    </w:p>
    <w:p>
      <w:pPr>
        <w:pStyle w:val="ListBullet"/>
        <w:spacing w:before="20"/>
        <w:ind w:left="400"/>
      </w:pPr>
      <w:r>
        <w:rPr>
          <w:sz w:val="18"/>
        </w:rPr>
        <w:t>⚠️ Cours à 0.0% du plus haut 100j (2,500 FCFA)</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23 société(s) (49%)</w:t>
            </w:r>
          </w:p>
        </w:tc>
        <w:tc>
          <w:tcPr>
            <w:tcW w:type="dxa" w:w="1644"/>
            <w:shd w:fill="FFEB9C" w:val="clear"/>
          </w:tcPr>
          <w:p>
            <w:r>
              <w:rPr>
                <w:b/>
                <w:color w:val="825A00"/>
                <w:sz w:val="19"/>
              </w:rPr>
              <w:t>24 société(s) (51%)</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20.9/100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20.9/100).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#4 CBIBF (30.1/100 — Moyen) : </w:t>
      </w:r>
      <w:r>
        <w:rPr>
          <w:sz w:val="17"/>
        </w:rPr>
        <w:t>Volatilité=Élevée | Bêta=Neutre  | Liquidité=Bonne | Divergence signaux=taux divergence=40% (Très divergent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12.5/100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29.5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17.8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12.5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-12.85%  |  Médiane : -10.76%</w:t>
            </w:r>
          </w:p>
        </w:tc>
      </w:tr>
      <w:tr>
        <w:tc>
          <w:tcPr>
            <w:tcW w:type="dxa" w:w="2835"/>
            <w:shd w:fill="DEEAF1" w:val="clear"/>
          </w:tcPr>
          <w:p>
            <w:r>
              <w:rPr>
                <w:b/>
                <w:sz w:val="18"/>
              </w:rPr>
              <w:t>Répartition</w:t>
            </w:r>
          </w:p>
        </w:tc>
        <w:tc>
          <w:tcPr>
            <w:tcW w:type="dxa" w:w="7370"/>
          </w:tcPr>
          <w:p>
            <w:r>
              <w:rPr>
                <w:b/>
                <w:sz w:val="18"/>
              </w:rPr>
              <w:t>📈 9 sociétés en hausse (&gt;+1%)   📉 35 en baisse (&lt;-1%)   ➡️ 3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35 sociétés sur 47 sont orientées à la baisse avec une variation moyenne de -12.85%.</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3,480 FCFA</w:t>
            </w:r>
          </w:p>
        </w:tc>
        <w:tc>
          <w:tcPr>
            <w:tcW w:type="dxa" w:w="1417"/>
            <w:shd w:fill="FFFFFF" w:val="clear"/>
          </w:tcPr>
          <w:p>
            <w:r>
              <w:rPr>
                <w:sz w:val="16"/>
              </w:rPr>
              <w:t>6,035 FCFA</w:t>
            </w:r>
          </w:p>
        </w:tc>
        <w:tc>
          <w:tcPr>
            <w:tcW w:type="dxa" w:w="1134"/>
            <w:shd w:fill="C6EFCE" w:val="clear"/>
          </w:tcPr>
          <w:p>
            <w:r>
              <w:rPr>
                <w:b/>
                <w:color w:val="007800"/>
                <w:sz w:val="16"/>
              </w:rPr>
              <w:t>+73.41%</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24,000 FCFA</w:t>
            </w:r>
          </w:p>
        </w:tc>
        <w:tc>
          <w:tcPr>
            <w:tcW w:type="dxa" w:w="1417"/>
            <w:shd w:fill="FFFFFF" w:val="clear"/>
          </w:tcPr>
          <w:p>
            <w:r>
              <w:rPr>
                <w:sz w:val="16"/>
              </w:rPr>
              <w:t>28,201 FCFA</w:t>
            </w:r>
          </w:p>
        </w:tc>
        <w:tc>
          <w:tcPr>
            <w:tcW w:type="dxa" w:w="1134"/>
            <w:shd w:fill="C6EFCE" w:val="clear"/>
          </w:tcPr>
          <w:p>
            <w:r>
              <w:rPr>
                <w:b/>
                <w:color w:val="007800"/>
                <w:sz w:val="16"/>
              </w:rPr>
              <w:t>+17.50%</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22,000 FCFA</w:t>
            </w:r>
          </w:p>
        </w:tc>
        <w:tc>
          <w:tcPr>
            <w:tcW w:type="dxa" w:w="1417"/>
            <w:shd w:fill="FFFFFF" w:val="clear"/>
          </w:tcPr>
          <w:p>
            <w:r>
              <w:rPr>
                <w:sz w:val="16"/>
              </w:rPr>
              <w:t>24,610 FCFA</w:t>
            </w:r>
          </w:p>
        </w:tc>
        <w:tc>
          <w:tcPr>
            <w:tcW w:type="dxa" w:w="1134"/>
            <w:shd w:fill="C6EFCE" w:val="clear"/>
          </w:tcPr>
          <w:p>
            <w:r>
              <w:rPr>
                <w:b/>
                <w:color w:val="007800"/>
                <w:sz w:val="16"/>
              </w:rPr>
              <w:t>+11.86%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54,300 FCFA</w:t>
            </w:r>
          </w:p>
        </w:tc>
        <w:tc>
          <w:tcPr>
            <w:tcW w:type="dxa" w:w="1417"/>
            <w:shd w:fill="FFFFFF" w:val="clear"/>
          </w:tcPr>
          <w:p>
            <w:r>
              <w:rPr>
                <w:sz w:val="16"/>
              </w:rPr>
              <w:t>59,950 FCFA</w:t>
            </w:r>
          </w:p>
        </w:tc>
        <w:tc>
          <w:tcPr>
            <w:tcW w:type="dxa" w:w="1134"/>
            <w:shd w:fill="C6EFCE" w:val="clear"/>
          </w:tcPr>
          <w:p>
            <w:r>
              <w:rPr>
                <w:b/>
                <w:color w:val="007800"/>
                <w:sz w:val="16"/>
              </w:rPr>
              <w:t>+10.41%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LNBB — LNBB - LOTERIE NATIONALE DU BENIN</w:t>
            </w:r>
          </w:p>
        </w:tc>
        <w:tc>
          <w:tcPr>
            <w:tcW w:type="dxa" w:w="1701"/>
            <w:shd w:fill="FFFFFF" w:val="clear"/>
          </w:tcPr>
          <w:p>
            <w:r>
              <w:rPr>
                <w:sz w:val="16"/>
              </w:rPr>
              <w:t>CONSOMMATION DISCRET</w:t>
            </w:r>
          </w:p>
        </w:tc>
        <w:tc>
          <w:tcPr>
            <w:tcW w:type="dxa" w:w="1417"/>
            <w:shd w:fill="FFFFFF" w:val="clear"/>
          </w:tcPr>
          <w:p>
            <w:r>
              <w:rPr>
                <w:sz w:val="16"/>
              </w:rPr>
              <w:t>3,950 FCFA</w:t>
            </w:r>
          </w:p>
        </w:tc>
        <w:tc>
          <w:tcPr>
            <w:tcW w:type="dxa" w:w="1417"/>
            <w:shd w:fill="FFFFFF" w:val="clear"/>
          </w:tcPr>
          <w:p>
            <w:r>
              <w:rPr>
                <w:sz w:val="16"/>
              </w:rPr>
              <w:t>4,174 FCFA</w:t>
            </w:r>
          </w:p>
        </w:tc>
        <w:tc>
          <w:tcPr>
            <w:tcW w:type="dxa" w:w="1134"/>
            <w:shd w:fill="C6EFCE" w:val="clear"/>
          </w:tcPr>
          <w:p>
            <w:r>
              <w:rPr>
                <w:b/>
                <w:color w:val="007800"/>
                <w:sz w:val="16"/>
              </w:rPr>
              <w:t>+5.68%</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(+73.4%) — signal potentiellement excessif, à croiser avec l'analyse technique. Trajectoire : 📈 Hausse continue. Cours actuel : 3,480 FCFA → prédit J+10 : 6,035 FCFA. Confiance partielle — les premiers jours sont fiables, les jours lointains moins précis.</w:t>
      </w:r>
    </w:p>
    <w:p>
      <w:pPr>
        <w:pStyle w:val="ListBullet"/>
      </w:pPr>
      <w:r>
        <w:rPr>
          <w:b/>
          <w:color w:val="006400"/>
          <w:sz w:val="18"/>
        </w:rPr>
        <w:t xml:space="preserve">#2 NSBC </w:t>
      </w:r>
      <w:r>
        <w:rPr>
          <w:sz w:val="17"/>
        </w:rPr>
        <w:t>(NSBC - NSIA BANQUE COTE D'IVOIRE) — hausse significative (+17.5%) — potentiel de revalorisation notable. Trajectoire : 📈 Hausse continue. Cours actuel : 24,000 FCFA → prédit J+10 : 28,201 FCFA. Confiance partielle — les premiers jours sont fiables, les jours lointains moins précis.</w:t>
      </w:r>
    </w:p>
    <w:p>
      <w:pPr>
        <w:pStyle w:val="ListBullet"/>
      </w:pPr>
      <w:r>
        <w:rPr>
          <w:b/>
          <w:color w:val="006400"/>
          <w:sz w:val="18"/>
        </w:rPr>
        <w:t xml:space="preserve">#3 STBC </w:t>
      </w:r>
      <w:r>
        <w:rPr>
          <w:sz w:val="17"/>
        </w:rPr>
        <w:t>(STBC - SITAB COTE D'IVOIRE) — hausse significative (+11.9%) — potentiel de revalorisation notable. Trajectoire : 📈 Hausse continue. Cours actuel : 22,000 FCFA → prédit J+10 : 24,610 FCFA. ⚠️ Confiance limitée — volatilité élevée ou données insuffisantes. Résultat indicatif uniquement.</w:t>
      </w:r>
    </w:p>
    <w:p>
      <w:pPr>
        <w:pStyle w:val="ListBullet"/>
      </w:pPr>
      <w:r>
        <w:rPr>
          <w:b/>
          <w:color w:val="006400"/>
          <w:sz w:val="18"/>
        </w:rPr>
        <w:t xml:space="preserve">#4 UNLC </w:t>
      </w:r>
      <w:r>
        <w:rPr>
          <w:sz w:val="17"/>
        </w:rPr>
        <w:t>(UNLC - UNILEVER COTE D'IVOIRE) — hausse significative (+10.4%) — potentiel de revalorisation notable. Trajectoire : 📈 Hausse continue. Cours actuel : 54,300 FCFA → prédit J+10 : 59,950 FCFA. ⚠️ Confiance limitée — volatilité élevée ou données insuffisantes. Résultat indicatif uniquement.</w:t>
      </w:r>
    </w:p>
    <w:p>
      <w:pPr>
        <w:pStyle w:val="ListBullet"/>
      </w:pPr>
      <w:r>
        <w:rPr>
          <w:b/>
          <w:color w:val="006400"/>
          <w:sz w:val="18"/>
        </w:rPr>
        <w:t xml:space="preserve">#5 LNBB </w:t>
      </w:r>
      <w:r>
        <w:rPr>
          <w:sz w:val="17"/>
        </w:rPr>
        <w:t>(LNBB - LOTERIE NATIONALE DU BENIN) — hausse modérée (+5.7%) — signal raisonnable et crédible. Trajectoire : 📈 Hausse continue. Cours actuel : 3,950 FCFA → prédit J+10 : 4,174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70 FCFA</w:t>
            </w:r>
          </w:p>
        </w:tc>
        <w:tc>
          <w:tcPr>
            <w:tcW w:type="dxa" w:w="1417"/>
            <w:shd w:fill="FFFFFF" w:val="clear"/>
          </w:tcPr>
          <w:p>
            <w:r>
              <w:rPr>
                <w:sz w:val="16"/>
              </w:rPr>
              <w:t>32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7,100 FCFA</w:t>
            </w:r>
          </w:p>
        </w:tc>
        <w:tc>
          <w:tcPr>
            <w:tcW w:type="dxa" w:w="1417"/>
            <w:shd w:fill="FFFFFF" w:val="clear"/>
          </w:tcPr>
          <w:p>
            <w:r>
              <w:rPr>
                <w:sz w:val="16"/>
              </w:rPr>
              <w:t>3,256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3,350 FCFA</w:t>
            </w:r>
          </w:p>
        </w:tc>
        <w:tc>
          <w:tcPr>
            <w:tcW w:type="dxa" w:w="1417"/>
            <w:shd w:fill="FFFFFF" w:val="clear"/>
          </w:tcPr>
          <w:p>
            <w:r>
              <w:rPr>
                <w:sz w:val="16"/>
              </w:rPr>
              <w:t>1,536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5,490 FCFA</w:t>
            </w:r>
          </w:p>
        </w:tc>
        <w:tc>
          <w:tcPr>
            <w:tcW w:type="dxa" w:w="1417"/>
            <w:shd w:fill="FFFFFF" w:val="clear"/>
          </w:tcPr>
          <w:p>
            <w:r>
              <w:rPr>
                <w:sz w:val="16"/>
              </w:rPr>
              <w:t>2,518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33,600 FCFA</w:t>
            </w:r>
          </w:p>
        </w:tc>
        <w:tc>
          <w:tcPr>
            <w:tcW w:type="dxa" w:w="1417"/>
            <w:shd w:fill="FFFFFF" w:val="clear"/>
          </w:tcPr>
          <w:p>
            <w:r>
              <w:rPr>
                <w:sz w:val="16"/>
              </w:rPr>
              <w:t>17,854 FCFA</w:t>
            </w:r>
          </w:p>
        </w:tc>
        <w:tc>
          <w:tcPr>
            <w:tcW w:type="dxa" w:w="1134"/>
            <w:shd w:fill="FFC7CE" w:val="clear"/>
          </w:tcPr>
          <w:p>
            <w:r>
              <w:rPr>
                <w:b/>
                <w:color w:val="B40000"/>
                <w:sz w:val="16"/>
              </w:rPr>
              <w:t>-46.86%</w:t>
            </w:r>
          </w:p>
        </w:tc>
        <w:tc>
          <w:tcPr>
            <w:tcW w:type="dxa" w:w="1020"/>
            <w:shd w:fill="FFEB9C" w:val="clear"/>
          </w:tcPr>
          <w:p>
            <w:r>
              <w:rPr>
                <w:sz w:val="16"/>
              </w:rPr>
              <w:t>Moyenne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70 FCFA → prédit J+10 : 32 FCFA. ⚠️ Confiance limitée — volatilité élevée. Ne pas agir sur ce seul signal.</w:t>
      </w:r>
    </w:p>
    <w:p>
      <w:pPr>
        <w:pStyle w:val="ListBullet"/>
      </w:pPr>
      <w:r>
        <w:rPr>
          <w:b/>
          <w:color w:val="B40000"/>
          <w:sz w:val="18"/>
        </w:rPr>
        <w:t xml:space="preserve">#2 CIEC </w:t>
      </w:r>
      <w:r>
        <w:rPr>
          <w:sz w:val="17"/>
        </w:rPr>
        <w:t>(CIEC - Compagnie Ivoirienne d'Electricit) — baisse très forte (-54.1%) — amplitude potentiellement surestimée par le modèle. Trajectoire : 📉 Baisse continue. Cours actuel : 7,100 FCFA → prédit J+10 : 3,256 FCFA. ⚠️ Confiance limitée — volatilité élevée. Ne pas agir sur ce seul signal.</w:t>
      </w:r>
    </w:p>
    <w:p>
      <w:pPr>
        <w:pStyle w:val="ListBullet"/>
      </w:pPr>
      <w:r>
        <w:rPr>
          <w:b/>
          <w:color w:val="B40000"/>
          <w:sz w:val="18"/>
        </w:rPr>
        <w:t xml:space="preserve">#3 SCRC </w:t>
      </w:r>
      <w:r>
        <w:rPr>
          <w:sz w:val="17"/>
        </w:rPr>
        <w:t>(SCRC - SUCRIVOIRE) — baisse très forte (-54.1%) — amplitude potentiellement surestimée par le modèle. Trajectoire : 📉 Baisse continue. Cours actuel : 3,350 FCFA → prédit J+10 : 1,536 FCFA. ⚠️ Confiance limitée — volatilité élevée. Ne pas agir sur ce seul signal.</w:t>
      </w:r>
    </w:p>
    <w:p>
      <w:pPr>
        <w:pStyle w:val="ListBullet"/>
      </w:pPr>
      <w:r>
        <w:rPr>
          <w:b/>
          <w:color w:val="B40000"/>
          <w:sz w:val="18"/>
        </w:rPr>
        <w:t xml:space="preserve">#4 SAFC </w:t>
      </w:r>
      <w:r>
        <w:rPr>
          <w:sz w:val="17"/>
        </w:rPr>
        <w:t>(SAFCA CI) — baisse très forte (-54.1%) — amplitude potentiellement surestimée par le modèle. Trajectoire : 📉 Baisse continue. Cours actuel : 5,490 FCFA → prédit J+10 : 2,518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(-46.9%) — amplitude potentiellement surestimée par le modèle. Trajectoire : 📉 Baisse continue. Cours actuel : 33,600 FCFA → prédit J+10 : 17,854 FCFA. Confiance partielle — surveiller l'évolution réelle des premiers jours.</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3,480</w:t>
            </w:r>
          </w:p>
        </w:tc>
        <w:tc>
          <w:tcPr>
            <w:tcW w:type="dxa" w:w="1417"/>
            <w:shd w:fill="FFFFFF" w:val="clear"/>
          </w:tcPr>
          <w:p>
            <w:r>
              <w:rPr>
                <w:sz w:val="16"/>
              </w:rPr>
              <w:t>6,035</w:t>
            </w:r>
          </w:p>
        </w:tc>
        <w:tc>
          <w:tcPr>
            <w:tcW w:type="dxa" w:w="1134"/>
            <w:shd w:fill="C6EFCE" w:val="clear"/>
          </w:tcPr>
          <w:p>
            <w:r>
              <w:rPr>
                <w:b/>
                <w:color w:val="007800"/>
                <w:sz w:val="16"/>
              </w:rPr>
              <w:t>+73.41%</w:t>
            </w:r>
          </w:p>
        </w:tc>
        <w:tc>
          <w:tcPr>
            <w:tcW w:type="dxa" w:w="1134"/>
            <w:shd w:fill="FFEB9C" w:val="clear"/>
          </w:tcPr>
          <w:p>
            <w:r>
              <w:rPr>
                <w:sz w:val="16"/>
              </w:rPr>
              <w:t>Moyenne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24,000</w:t>
            </w:r>
          </w:p>
        </w:tc>
        <w:tc>
          <w:tcPr>
            <w:tcW w:type="dxa" w:w="1417"/>
            <w:shd w:fill="FFFFFF" w:val="clear"/>
          </w:tcPr>
          <w:p>
            <w:r>
              <w:rPr>
                <w:sz w:val="16"/>
              </w:rPr>
              <w:t>28,201</w:t>
            </w:r>
          </w:p>
        </w:tc>
        <w:tc>
          <w:tcPr>
            <w:tcW w:type="dxa" w:w="1134"/>
            <w:shd w:fill="C6EFCE" w:val="clear"/>
          </w:tcPr>
          <w:p>
            <w:r>
              <w:rPr>
                <w:b/>
                <w:color w:val="007800"/>
                <w:sz w:val="16"/>
              </w:rPr>
              <w:t>+17.50%</w:t>
            </w:r>
          </w:p>
        </w:tc>
        <w:tc>
          <w:tcPr>
            <w:tcW w:type="dxa" w:w="1134"/>
            <w:shd w:fill="FFEB9C" w:val="clear"/>
          </w:tcPr>
          <w:p>
            <w:r>
              <w:rPr>
                <w:sz w:val="16"/>
              </w:rPr>
              <w:t>Moyenne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22,000</w:t>
            </w:r>
          </w:p>
        </w:tc>
        <w:tc>
          <w:tcPr>
            <w:tcW w:type="dxa" w:w="1417"/>
            <w:shd w:fill="FFFFFF" w:val="clear"/>
          </w:tcPr>
          <w:p>
            <w:r>
              <w:rPr>
                <w:sz w:val="16"/>
              </w:rPr>
              <w:t>24,610</w:t>
            </w:r>
          </w:p>
        </w:tc>
        <w:tc>
          <w:tcPr>
            <w:tcW w:type="dxa" w:w="1134"/>
            <w:shd w:fill="C6EFCE" w:val="clear"/>
          </w:tcPr>
          <w:p>
            <w:r>
              <w:rPr>
                <w:b/>
                <w:color w:val="007800"/>
                <w:sz w:val="16"/>
              </w:rPr>
              <w:t>+11.86%</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54,300</w:t>
            </w:r>
          </w:p>
        </w:tc>
        <w:tc>
          <w:tcPr>
            <w:tcW w:type="dxa" w:w="1417"/>
            <w:shd w:fill="FFFFFF" w:val="clear"/>
          </w:tcPr>
          <w:p>
            <w:r>
              <w:rPr>
                <w:sz w:val="16"/>
              </w:rPr>
              <w:t>59,950</w:t>
            </w:r>
          </w:p>
        </w:tc>
        <w:tc>
          <w:tcPr>
            <w:tcW w:type="dxa" w:w="1134"/>
            <w:shd w:fill="C6EFCE" w:val="clear"/>
          </w:tcPr>
          <w:p>
            <w:r>
              <w:rPr>
                <w:b/>
                <w:color w:val="007800"/>
                <w:sz w:val="16"/>
              </w:rPr>
              <w:t>+10.41%</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3,950</w:t>
            </w:r>
          </w:p>
        </w:tc>
        <w:tc>
          <w:tcPr>
            <w:tcW w:type="dxa" w:w="1417"/>
            <w:shd w:fill="FFFFFF" w:val="clear"/>
          </w:tcPr>
          <w:p>
            <w:r>
              <w:rPr>
                <w:sz w:val="16"/>
              </w:rPr>
              <w:t>4,174</w:t>
            </w:r>
          </w:p>
        </w:tc>
        <w:tc>
          <w:tcPr>
            <w:tcW w:type="dxa" w:w="1134"/>
            <w:shd w:fill="C6EFCE" w:val="clear"/>
          </w:tcPr>
          <w:p>
            <w:r>
              <w:rPr>
                <w:b/>
                <w:color w:val="007800"/>
                <w:sz w:val="16"/>
              </w:rPr>
              <w:t>+5.68%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2,100</w:t>
            </w:r>
          </w:p>
        </w:tc>
        <w:tc>
          <w:tcPr>
            <w:tcW w:type="dxa" w:w="1417"/>
            <w:shd w:fill="FFFFFF" w:val="clear"/>
          </w:tcPr>
          <w:p>
            <w:r>
              <w:rPr>
                <w:sz w:val="16"/>
              </w:rPr>
              <w:t>2,198</w:t>
            </w:r>
          </w:p>
        </w:tc>
        <w:tc>
          <w:tcPr>
            <w:tcW w:type="dxa" w:w="1134"/>
            <w:shd w:fill="C6EFCE" w:val="clear"/>
          </w:tcPr>
          <w:p>
            <w:r>
              <w:rPr>
                <w:b/>
                <w:color w:val="007800"/>
                <w:sz w:val="16"/>
              </w:rPr>
              <w:t>+4.65%</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8,300</w:t>
            </w:r>
          </w:p>
        </w:tc>
        <w:tc>
          <w:tcPr>
            <w:tcW w:type="dxa" w:w="1417"/>
            <w:shd w:fill="FFFFFF" w:val="clear"/>
          </w:tcPr>
          <w:p>
            <w:r>
              <w:rPr>
                <w:sz w:val="16"/>
              </w:rPr>
              <w:t>8,672</w:t>
            </w:r>
          </w:p>
        </w:tc>
        <w:tc>
          <w:tcPr>
            <w:tcW w:type="dxa" w:w="1134"/>
            <w:shd w:fill="C6EFCE" w:val="clear"/>
          </w:tcPr>
          <w:p>
            <w:r>
              <w:rPr>
                <w:b/>
                <w:color w:val="007800"/>
                <w:sz w:val="16"/>
              </w:rPr>
              <w:t>+4.48%</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8,005</w:t>
            </w:r>
          </w:p>
        </w:tc>
        <w:tc>
          <w:tcPr>
            <w:tcW w:type="dxa" w:w="1417"/>
            <w:shd w:fill="FFFFFF" w:val="clear"/>
          </w:tcPr>
          <w:p>
            <w:r>
              <w:rPr>
                <w:sz w:val="16"/>
              </w:rPr>
              <w:t>8,100</w:t>
            </w:r>
          </w:p>
        </w:tc>
        <w:tc>
          <w:tcPr>
            <w:tcW w:type="dxa" w:w="1134"/>
            <w:shd w:fill="C6EFCE" w:val="clear"/>
          </w:tcPr>
          <w:p>
            <w:r>
              <w:rPr>
                <w:b/>
                <w:color w:val="007800"/>
                <w:sz w:val="16"/>
              </w:rPr>
              <w:t>+1.19%</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16,800</w:t>
            </w:r>
          </w:p>
        </w:tc>
        <w:tc>
          <w:tcPr>
            <w:tcW w:type="dxa" w:w="1417"/>
            <w:shd w:fill="FFFFFF" w:val="clear"/>
          </w:tcPr>
          <w:p>
            <w:r>
              <w:rPr>
                <w:sz w:val="16"/>
              </w:rPr>
              <w:t>16,985</w:t>
            </w:r>
          </w:p>
        </w:tc>
        <w:tc>
          <w:tcPr>
            <w:tcW w:type="dxa" w:w="1134"/>
            <w:shd w:fill="C6EFCE" w:val="clear"/>
          </w:tcPr>
          <w:p>
            <w:r>
              <w:rPr>
                <w:b/>
                <w:color w:val="007800"/>
                <w:sz w:val="16"/>
              </w:rPr>
              <w:t>+1.10%</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8,055</w:t>
            </w:r>
          </w:p>
        </w:tc>
        <w:tc>
          <w:tcPr>
            <w:tcW w:type="dxa" w:w="1417"/>
            <w:shd w:fill="FFFFFF" w:val="clear"/>
          </w:tcPr>
          <w:p>
            <w:r>
              <w:rPr>
                <w:sz w:val="16"/>
              </w:rPr>
              <w:t>8,044</w:t>
            </w:r>
          </w:p>
        </w:tc>
        <w:tc>
          <w:tcPr>
            <w:tcW w:type="dxa" w:w="1134"/>
            <w:shd w:fill="FFEB9C" w:val="clear"/>
          </w:tcPr>
          <w:p>
            <w:r>
              <w:rPr>
                <w:b/>
                <w:color w:val="646400"/>
                <w:sz w:val="16"/>
              </w:rPr>
              <w:t>-0.14%</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37,900</w:t>
            </w:r>
          </w:p>
        </w:tc>
        <w:tc>
          <w:tcPr>
            <w:tcW w:type="dxa" w:w="1417"/>
            <w:shd w:fill="FFFFFF" w:val="clear"/>
          </w:tcPr>
          <w:p>
            <w:r>
              <w:rPr>
                <w:sz w:val="16"/>
              </w:rPr>
              <w:t>37,535</w:t>
            </w:r>
          </w:p>
        </w:tc>
        <w:tc>
          <w:tcPr>
            <w:tcW w:type="dxa" w:w="1134"/>
            <w:shd w:fill="FFEB9C" w:val="clear"/>
          </w:tcPr>
          <w:p>
            <w:r>
              <w:rPr>
                <w:b/>
                <w:color w:val="646400"/>
                <w:sz w:val="16"/>
              </w:rPr>
              <w:t>-0.96%</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3,300</w:t>
            </w:r>
          </w:p>
        </w:tc>
        <w:tc>
          <w:tcPr>
            <w:tcW w:type="dxa" w:w="1417"/>
            <w:shd w:fill="FFFFFF" w:val="clear"/>
          </w:tcPr>
          <w:p>
            <w:r>
              <w:rPr>
                <w:sz w:val="16"/>
              </w:rPr>
              <w:t>3,268</w:t>
            </w:r>
          </w:p>
        </w:tc>
        <w:tc>
          <w:tcPr>
            <w:tcW w:type="dxa" w:w="1134"/>
            <w:shd w:fill="FFEB9C" w:val="clear"/>
          </w:tcPr>
          <w:p>
            <w:r>
              <w:rPr>
                <w:b/>
                <w:color w:val="646400"/>
                <w:sz w:val="16"/>
              </w:rPr>
              <w:t>-0.98%</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2,813</w:t>
            </w:r>
          </w:p>
        </w:tc>
        <w:tc>
          <w:tcPr>
            <w:tcW w:type="dxa" w:w="1134"/>
            <w:shd w:fill="FFC7CE" w:val="clear"/>
          </w:tcPr>
          <w:p>
            <w:r>
              <w:rPr>
                <w:b/>
                <w:color w:val="B40000"/>
                <w:sz w:val="16"/>
              </w:rPr>
              <w:t>-1.98%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16,700</w:t>
            </w:r>
          </w:p>
        </w:tc>
        <w:tc>
          <w:tcPr>
            <w:tcW w:type="dxa" w:w="1417"/>
            <w:shd w:fill="FFFFFF" w:val="clear"/>
          </w:tcPr>
          <w:p>
            <w:r>
              <w:rPr>
                <w:sz w:val="16"/>
              </w:rPr>
              <w:t>16,260</w:t>
            </w:r>
          </w:p>
        </w:tc>
        <w:tc>
          <w:tcPr>
            <w:tcW w:type="dxa" w:w="1134"/>
            <w:shd w:fill="FFC7CE" w:val="clear"/>
          </w:tcPr>
          <w:p>
            <w:r>
              <w:rPr>
                <w:b/>
                <w:color w:val="B40000"/>
                <w:sz w:val="16"/>
              </w:rPr>
              <w:t>-2.63%</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2,165</w:t>
            </w:r>
          </w:p>
        </w:tc>
        <w:tc>
          <w:tcPr>
            <w:tcW w:type="dxa" w:w="1417"/>
            <w:shd w:fill="FFFFFF" w:val="clear"/>
          </w:tcPr>
          <w:p>
            <w:r>
              <w:rPr>
                <w:sz w:val="16"/>
              </w:rPr>
              <w:t>2,106</w:t>
            </w:r>
          </w:p>
        </w:tc>
        <w:tc>
          <w:tcPr>
            <w:tcW w:type="dxa" w:w="1134"/>
            <w:shd w:fill="FFC7CE" w:val="clear"/>
          </w:tcPr>
          <w:p>
            <w:r>
              <w:rPr>
                <w:b/>
                <w:color w:val="B40000"/>
                <w:sz w:val="16"/>
              </w:rPr>
              <w:t>-2.73%</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5,495</w:t>
            </w:r>
          </w:p>
        </w:tc>
        <w:tc>
          <w:tcPr>
            <w:tcW w:type="dxa" w:w="1417"/>
            <w:shd w:fill="FFFFFF" w:val="clear"/>
          </w:tcPr>
          <w:p>
            <w:r>
              <w:rPr>
                <w:sz w:val="16"/>
              </w:rPr>
              <w:t>5,338</w:t>
            </w:r>
          </w:p>
        </w:tc>
        <w:tc>
          <w:tcPr>
            <w:tcW w:type="dxa" w:w="1134"/>
            <w:shd w:fill="FFC7CE" w:val="clear"/>
          </w:tcPr>
          <w:p>
            <w:r>
              <w:rPr>
                <w:b/>
                <w:color w:val="B40000"/>
                <w:sz w:val="16"/>
              </w:rPr>
              <w:t>-2.85%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38,870</w:t>
            </w:r>
          </w:p>
        </w:tc>
        <w:tc>
          <w:tcPr>
            <w:tcW w:type="dxa" w:w="1417"/>
            <w:shd w:fill="FFFFFF" w:val="clear"/>
          </w:tcPr>
          <w:p>
            <w:r>
              <w:rPr>
                <w:sz w:val="16"/>
              </w:rPr>
              <w:t>37,627</w:t>
            </w:r>
          </w:p>
        </w:tc>
        <w:tc>
          <w:tcPr>
            <w:tcW w:type="dxa" w:w="1134"/>
            <w:shd w:fill="FFC7CE" w:val="clear"/>
          </w:tcPr>
          <w:p>
            <w:r>
              <w:rPr>
                <w:b/>
                <w:color w:val="B40000"/>
                <w:sz w:val="16"/>
              </w:rPr>
              <w:t>-3.20%</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3,280</w:t>
            </w:r>
          </w:p>
        </w:tc>
        <w:tc>
          <w:tcPr>
            <w:tcW w:type="dxa" w:w="1417"/>
            <w:shd w:fill="FFFFFF" w:val="clear"/>
          </w:tcPr>
          <w:p>
            <w:r>
              <w:rPr>
                <w:sz w:val="16"/>
              </w:rPr>
              <w:t>3,170</w:t>
            </w:r>
          </w:p>
        </w:tc>
        <w:tc>
          <w:tcPr>
            <w:tcW w:type="dxa" w:w="1134"/>
            <w:shd w:fill="FFC7CE" w:val="clear"/>
          </w:tcPr>
          <w:p>
            <w:r>
              <w:rPr>
                <w:b/>
                <w:color w:val="B40000"/>
                <w:sz w:val="16"/>
              </w:rPr>
              <w:t>-3.36%</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4,199</w:t>
            </w:r>
          </w:p>
        </w:tc>
        <w:tc>
          <w:tcPr>
            <w:tcW w:type="dxa" w:w="1134"/>
            <w:shd w:fill="FFC7CE" w:val="clear"/>
          </w:tcPr>
          <w:p>
            <w:r>
              <w:rPr>
                <w:b/>
                <w:color w:val="B40000"/>
                <w:sz w:val="16"/>
              </w:rPr>
              <w:t>-4.56%</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39,005</w:t>
            </w:r>
          </w:p>
        </w:tc>
        <w:tc>
          <w:tcPr>
            <w:tcW w:type="dxa" w:w="1417"/>
            <w:shd w:fill="FFFFFF" w:val="clear"/>
          </w:tcPr>
          <w:p>
            <w:r>
              <w:rPr>
                <w:sz w:val="16"/>
              </w:rPr>
              <w:t>37,036</w:t>
            </w:r>
          </w:p>
        </w:tc>
        <w:tc>
          <w:tcPr>
            <w:tcW w:type="dxa" w:w="1134"/>
            <w:shd w:fill="FFC7CE" w:val="clear"/>
          </w:tcPr>
          <w:p>
            <w:r>
              <w:rPr>
                <w:b/>
                <w:color w:val="B40000"/>
                <w:sz w:val="16"/>
              </w:rPr>
              <w:t>-5.05%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18,500</w:t>
            </w:r>
          </w:p>
        </w:tc>
        <w:tc>
          <w:tcPr>
            <w:tcW w:type="dxa" w:w="1417"/>
            <w:shd w:fill="FFFFFF" w:val="clear"/>
          </w:tcPr>
          <w:p>
            <w:r>
              <w:rPr>
                <w:sz w:val="16"/>
              </w:rPr>
              <w:t>17,229</w:t>
            </w:r>
          </w:p>
        </w:tc>
        <w:tc>
          <w:tcPr>
            <w:tcW w:type="dxa" w:w="1134"/>
            <w:shd w:fill="FFC7CE" w:val="clear"/>
          </w:tcPr>
          <w:p>
            <w:r>
              <w:rPr>
                <w:b/>
                <w:color w:val="B40000"/>
                <w:sz w:val="16"/>
              </w:rPr>
              <w:t>-6.87%</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2,400</w:t>
            </w:r>
          </w:p>
        </w:tc>
        <w:tc>
          <w:tcPr>
            <w:tcW w:type="dxa" w:w="1417"/>
            <w:shd w:fill="FFFFFF" w:val="clear"/>
          </w:tcPr>
          <w:p>
            <w:r>
              <w:rPr>
                <w:sz w:val="16"/>
              </w:rPr>
              <w:t>2,223</w:t>
            </w:r>
          </w:p>
        </w:tc>
        <w:tc>
          <w:tcPr>
            <w:tcW w:type="dxa" w:w="1134"/>
            <w:shd w:fill="FFC7CE" w:val="clear"/>
          </w:tcPr>
          <w:p>
            <w:r>
              <w:rPr>
                <w:b/>
                <w:color w:val="B40000"/>
                <w:sz w:val="16"/>
              </w:rPr>
              <w:t>-7.38%</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22,450</w:t>
            </w:r>
          </w:p>
        </w:tc>
        <w:tc>
          <w:tcPr>
            <w:tcW w:type="dxa" w:w="1417"/>
            <w:shd w:fill="FFFFFF" w:val="clear"/>
          </w:tcPr>
          <w:p>
            <w:r>
              <w:rPr>
                <w:sz w:val="16"/>
              </w:rPr>
              <w:t>20,099</w:t>
            </w:r>
          </w:p>
        </w:tc>
        <w:tc>
          <w:tcPr>
            <w:tcW w:type="dxa" w:w="1134"/>
            <w:shd w:fill="FFC7CE" w:val="clear"/>
          </w:tcPr>
          <w:p>
            <w:r>
              <w:rPr>
                <w:b/>
                <w:color w:val="B40000"/>
                <w:sz w:val="16"/>
              </w:rPr>
              <w:t>-10.47%</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3,090</w:t>
            </w:r>
          </w:p>
        </w:tc>
        <w:tc>
          <w:tcPr>
            <w:tcW w:type="dxa" w:w="1417"/>
            <w:shd w:fill="FFFFFF" w:val="clear"/>
          </w:tcPr>
          <w:p>
            <w:r>
              <w:rPr>
                <w:sz w:val="16"/>
              </w:rPr>
              <w:t>2,758</w:t>
            </w:r>
          </w:p>
        </w:tc>
        <w:tc>
          <w:tcPr>
            <w:tcW w:type="dxa" w:w="1134"/>
            <w:shd w:fill="FFC7CE" w:val="clear"/>
          </w:tcPr>
          <w:p>
            <w:r>
              <w:rPr>
                <w:b/>
                <w:color w:val="B40000"/>
                <w:sz w:val="16"/>
              </w:rPr>
              <w:t>-10.76%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1,565</w:t>
            </w:r>
          </w:p>
        </w:tc>
        <w:tc>
          <w:tcPr>
            <w:tcW w:type="dxa" w:w="1417"/>
            <w:shd w:fill="FFFFFF" w:val="clear"/>
          </w:tcPr>
          <w:p>
            <w:r>
              <w:rPr>
                <w:sz w:val="16"/>
              </w:rPr>
              <w:t>1,380</w:t>
            </w:r>
          </w:p>
        </w:tc>
        <w:tc>
          <w:tcPr>
            <w:tcW w:type="dxa" w:w="1134"/>
            <w:shd w:fill="FFC7CE" w:val="clear"/>
          </w:tcPr>
          <w:p>
            <w:r>
              <w:rPr>
                <w:b/>
                <w:color w:val="B40000"/>
                <w:sz w:val="16"/>
              </w:rPr>
              <w:t>-11.80%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32,600</w:t>
            </w:r>
          </w:p>
        </w:tc>
        <w:tc>
          <w:tcPr>
            <w:tcW w:type="dxa" w:w="1417"/>
            <w:shd w:fill="FFFFFF" w:val="clear"/>
          </w:tcPr>
          <w:p>
            <w:r>
              <w:rPr>
                <w:sz w:val="16"/>
              </w:rPr>
              <w:t>28,597</w:t>
            </w:r>
          </w:p>
        </w:tc>
        <w:tc>
          <w:tcPr>
            <w:tcW w:type="dxa" w:w="1134"/>
            <w:shd w:fill="FFC7CE" w:val="clear"/>
          </w:tcPr>
          <w:p>
            <w:r>
              <w:rPr>
                <w:b/>
                <w:color w:val="B40000"/>
                <w:sz w:val="16"/>
              </w:rPr>
              <w:t>-12.28%</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13,230</w:t>
            </w:r>
          </w:p>
        </w:tc>
        <w:tc>
          <w:tcPr>
            <w:tcW w:type="dxa" w:w="1417"/>
            <w:shd w:fill="FFFFFF" w:val="clear"/>
          </w:tcPr>
          <w:p>
            <w:r>
              <w:rPr>
                <w:sz w:val="16"/>
              </w:rPr>
              <w:t>11,432</w:t>
            </w:r>
          </w:p>
        </w:tc>
        <w:tc>
          <w:tcPr>
            <w:tcW w:type="dxa" w:w="1134"/>
            <w:shd w:fill="FFC7CE" w:val="clear"/>
          </w:tcPr>
          <w:p>
            <w:r>
              <w:rPr>
                <w:b/>
                <w:color w:val="B40000"/>
                <w:sz w:val="16"/>
              </w:rPr>
              <w:t>-13.59%</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1,695</w:t>
            </w:r>
          </w:p>
        </w:tc>
        <w:tc>
          <w:tcPr>
            <w:tcW w:type="dxa" w:w="1417"/>
            <w:shd w:fill="FFFFFF" w:val="clear"/>
          </w:tcPr>
          <w:p>
            <w:r>
              <w:rPr>
                <w:sz w:val="16"/>
              </w:rPr>
              <w:t>1,451</w:t>
            </w:r>
          </w:p>
        </w:tc>
        <w:tc>
          <w:tcPr>
            <w:tcW w:type="dxa" w:w="1134"/>
            <w:shd w:fill="FFC7CE" w:val="clear"/>
          </w:tcPr>
          <w:p>
            <w:r>
              <w:rPr>
                <w:b/>
                <w:color w:val="B40000"/>
                <w:sz w:val="16"/>
              </w:rPr>
              <w:t>-14.39%</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3,850</w:t>
            </w:r>
          </w:p>
        </w:tc>
        <w:tc>
          <w:tcPr>
            <w:tcW w:type="dxa" w:w="1417"/>
            <w:shd w:fill="FFFFFF" w:val="clear"/>
          </w:tcPr>
          <w:p>
            <w:r>
              <w:rPr>
                <w:sz w:val="16"/>
              </w:rPr>
              <w:t>3,283</w:t>
            </w:r>
          </w:p>
        </w:tc>
        <w:tc>
          <w:tcPr>
            <w:tcW w:type="dxa" w:w="1134"/>
            <w:shd w:fill="FFC7CE" w:val="clear"/>
          </w:tcPr>
          <w:p>
            <w:r>
              <w:rPr>
                <w:b/>
                <w:color w:val="B40000"/>
                <w:sz w:val="16"/>
              </w:rPr>
              <w:t>-14.73%</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8,300</w:t>
            </w:r>
          </w:p>
        </w:tc>
        <w:tc>
          <w:tcPr>
            <w:tcW w:type="dxa" w:w="1417"/>
            <w:shd w:fill="FFFFFF" w:val="clear"/>
          </w:tcPr>
          <w:p>
            <w:r>
              <w:rPr>
                <w:sz w:val="16"/>
              </w:rPr>
              <w:t>7,019</w:t>
            </w:r>
          </w:p>
        </w:tc>
        <w:tc>
          <w:tcPr>
            <w:tcW w:type="dxa" w:w="1134"/>
            <w:shd w:fill="FFC7CE" w:val="clear"/>
          </w:tcPr>
          <w:p>
            <w:r>
              <w:rPr>
                <w:b/>
                <w:color w:val="B40000"/>
                <w:sz w:val="16"/>
              </w:rPr>
              <w:t>-15.43%</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10,030</w:t>
            </w:r>
          </w:p>
        </w:tc>
        <w:tc>
          <w:tcPr>
            <w:tcW w:type="dxa" w:w="1417"/>
            <w:shd w:fill="FFFFFF" w:val="clear"/>
          </w:tcPr>
          <w:p>
            <w:r>
              <w:rPr>
                <w:sz w:val="16"/>
              </w:rPr>
              <w:t>8,406</w:t>
            </w:r>
          </w:p>
        </w:tc>
        <w:tc>
          <w:tcPr>
            <w:tcW w:type="dxa" w:w="1134"/>
            <w:shd w:fill="FFC7CE" w:val="clear"/>
          </w:tcPr>
          <w:p>
            <w:r>
              <w:rPr>
                <w:b/>
                <w:color w:val="B40000"/>
                <w:sz w:val="16"/>
              </w:rPr>
              <w:t>-16.19%</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8,995</w:t>
            </w:r>
          </w:p>
        </w:tc>
        <w:tc>
          <w:tcPr>
            <w:tcW w:type="dxa" w:w="1417"/>
            <w:shd w:fill="FFFFFF" w:val="clear"/>
          </w:tcPr>
          <w:p>
            <w:r>
              <w:rPr>
                <w:sz w:val="16"/>
              </w:rPr>
              <w:t>7,463</w:t>
            </w:r>
          </w:p>
        </w:tc>
        <w:tc>
          <w:tcPr>
            <w:tcW w:type="dxa" w:w="1134"/>
            <w:shd w:fill="FFC7CE" w:val="clear"/>
          </w:tcPr>
          <w:p>
            <w:r>
              <w:rPr>
                <w:b/>
                <w:color w:val="B40000"/>
                <w:sz w:val="16"/>
              </w:rPr>
              <w:t>-17.03%</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6,844</w:t>
            </w:r>
          </w:p>
        </w:tc>
        <w:tc>
          <w:tcPr>
            <w:tcW w:type="dxa" w:w="1134"/>
            <w:shd w:fill="FFC7CE" w:val="clear"/>
          </w:tcPr>
          <w:p>
            <w:r>
              <w:rPr>
                <w:b/>
                <w:color w:val="B40000"/>
                <w:sz w:val="16"/>
              </w:rPr>
              <w:t>-18.52%</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4,005</w:t>
            </w:r>
          </w:p>
        </w:tc>
        <w:tc>
          <w:tcPr>
            <w:tcW w:type="dxa" w:w="1417"/>
            <w:shd w:fill="FFFFFF" w:val="clear"/>
          </w:tcPr>
          <w:p>
            <w:r>
              <w:rPr>
                <w:sz w:val="16"/>
              </w:rPr>
              <w:t>3,248</w:t>
            </w:r>
          </w:p>
        </w:tc>
        <w:tc>
          <w:tcPr>
            <w:tcW w:type="dxa" w:w="1134"/>
            <w:shd w:fill="FFC7CE" w:val="clear"/>
          </w:tcPr>
          <w:p>
            <w:r>
              <w:rPr>
                <w:b/>
                <w:color w:val="B40000"/>
                <w:sz w:val="16"/>
              </w:rPr>
              <w:t>-18.90%</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7,195</w:t>
            </w:r>
          </w:p>
        </w:tc>
        <w:tc>
          <w:tcPr>
            <w:tcW w:type="dxa" w:w="1417"/>
            <w:shd w:fill="FFFFFF" w:val="clear"/>
          </w:tcPr>
          <w:p>
            <w:r>
              <w:rPr>
                <w:sz w:val="16"/>
              </w:rPr>
              <w:t>5,738</w:t>
            </w:r>
          </w:p>
        </w:tc>
        <w:tc>
          <w:tcPr>
            <w:tcW w:type="dxa" w:w="1134"/>
            <w:shd w:fill="FFC7CE" w:val="clear"/>
          </w:tcPr>
          <w:p>
            <w:r>
              <w:rPr>
                <w:b/>
                <w:color w:val="B40000"/>
                <w:sz w:val="16"/>
              </w:rPr>
              <w:t>-20.24%</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2,300</w:t>
            </w:r>
          </w:p>
        </w:tc>
        <w:tc>
          <w:tcPr>
            <w:tcW w:type="dxa" w:w="1417"/>
            <w:shd w:fill="FFFFFF" w:val="clear"/>
          </w:tcPr>
          <w:p>
            <w:r>
              <w:rPr>
                <w:sz w:val="16"/>
              </w:rPr>
              <w:t>1,794</w:t>
            </w:r>
          </w:p>
        </w:tc>
        <w:tc>
          <w:tcPr>
            <w:tcW w:type="dxa" w:w="1134"/>
            <w:shd w:fill="FFC7CE" w:val="clear"/>
          </w:tcPr>
          <w:p>
            <w:r>
              <w:rPr>
                <w:b/>
                <w:color w:val="B40000"/>
                <w:sz w:val="16"/>
              </w:rPr>
              <w:t>-22.00%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7,240</w:t>
            </w:r>
          </w:p>
        </w:tc>
        <w:tc>
          <w:tcPr>
            <w:tcW w:type="dxa" w:w="1134"/>
            <w:shd w:fill="FFC7CE" w:val="clear"/>
          </w:tcPr>
          <w:p>
            <w:r>
              <w:rPr>
                <w:b/>
                <w:color w:val="B40000"/>
                <w:sz w:val="16"/>
              </w:rPr>
              <w:t>-22.15%</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12,400</w:t>
            </w:r>
          </w:p>
        </w:tc>
        <w:tc>
          <w:tcPr>
            <w:tcW w:type="dxa" w:w="1417"/>
            <w:shd w:fill="FFFFFF" w:val="clear"/>
          </w:tcPr>
          <w:p>
            <w:r>
              <w:rPr>
                <w:sz w:val="16"/>
              </w:rPr>
              <w:t>8,742</w:t>
            </w:r>
          </w:p>
        </w:tc>
        <w:tc>
          <w:tcPr>
            <w:tcW w:type="dxa" w:w="1134"/>
            <w:shd w:fill="FFC7CE" w:val="clear"/>
          </w:tcPr>
          <w:p>
            <w:r>
              <w:rPr>
                <w:b/>
                <w:color w:val="B40000"/>
                <w:sz w:val="16"/>
              </w:rPr>
              <w:t>-29.50%</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2,500</w:t>
            </w:r>
          </w:p>
        </w:tc>
        <w:tc>
          <w:tcPr>
            <w:tcW w:type="dxa" w:w="1417"/>
            <w:shd w:fill="FFFFFF" w:val="clear"/>
          </w:tcPr>
          <w:p>
            <w:r>
              <w:rPr>
                <w:sz w:val="16"/>
              </w:rPr>
              <w:t>1,714</w:t>
            </w:r>
          </w:p>
        </w:tc>
        <w:tc>
          <w:tcPr>
            <w:tcW w:type="dxa" w:w="1134"/>
            <w:shd w:fill="FFC7CE" w:val="clear"/>
          </w:tcPr>
          <w:p>
            <w:r>
              <w:rPr>
                <w:b/>
                <w:color w:val="B40000"/>
                <w:sz w:val="16"/>
              </w:rPr>
              <w:t>-31.44%</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2,580</w:t>
            </w:r>
          </w:p>
        </w:tc>
        <w:tc>
          <w:tcPr>
            <w:tcW w:type="dxa" w:w="1417"/>
            <w:shd w:fill="FFFFFF" w:val="clear"/>
          </w:tcPr>
          <w:p>
            <w:r>
              <w:rPr>
                <w:sz w:val="16"/>
              </w:rPr>
              <w:t>1,609</w:t>
            </w:r>
          </w:p>
        </w:tc>
        <w:tc>
          <w:tcPr>
            <w:tcW w:type="dxa" w:w="1134"/>
            <w:shd w:fill="FFC7CE" w:val="clear"/>
          </w:tcPr>
          <w:p>
            <w:r>
              <w:rPr>
                <w:b/>
                <w:color w:val="B40000"/>
                <w:sz w:val="16"/>
              </w:rPr>
              <w:t>-37.63%</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10,200</w:t>
            </w:r>
          </w:p>
        </w:tc>
        <w:tc>
          <w:tcPr>
            <w:tcW w:type="dxa" w:w="1417"/>
            <w:shd w:fill="FFFFFF" w:val="clear"/>
          </w:tcPr>
          <w:p>
            <w:r>
              <w:rPr>
                <w:sz w:val="16"/>
              </w:rPr>
              <w:t>5,666</w:t>
            </w:r>
          </w:p>
        </w:tc>
        <w:tc>
          <w:tcPr>
            <w:tcW w:type="dxa" w:w="1134"/>
            <w:shd w:fill="FFC7CE" w:val="clear"/>
          </w:tcPr>
          <w:p>
            <w:r>
              <w:rPr>
                <w:b/>
                <w:color w:val="B40000"/>
                <w:sz w:val="16"/>
              </w:rPr>
              <w:t>-44.45%</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2,825</w:t>
            </w:r>
          </w:p>
        </w:tc>
        <w:tc>
          <w:tcPr>
            <w:tcW w:type="dxa" w:w="1417"/>
            <w:shd w:fill="FFFFFF" w:val="clear"/>
          </w:tcPr>
          <w:p>
            <w:r>
              <w:rPr>
                <w:sz w:val="16"/>
              </w:rPr>
              <w:t>1,506</w:t>
            </w:r>
          </w:p>
        </w:tc>
        <w:tc>
          <w:tcPr>
            <w:tcW w:type="dxa" w:w="1134"/>
            <w:shd w:fill="FFC7CE" w:val="clear"/>
          </w:tcPr>
          <w:p>
            <w:r>
              <w:rPr>
                <w:b/>
                <w:color w:val="B40000"/>
                <w:sz w:val="16"/>
              </w:rPr>
              <w:t>-46.68%</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33,600</w:t>
            </w:r>
          </w:p>
        </w:tc>
        <w:tc>
          <w:tcPr>
            <w:tcW w:type="dxa" w:w="1417"/>
            <w:shd w:fill="FFFFFF" w:val="clear"/>
          </w:tcPr>
          <w:p>
            <w:r>
              <w:rPr>
                <w:sz w:val="16"/>
              </w:rPr>
              <w:t>17,854</w:t>
            </w:r>
          </w:p>
        </w:tc>
        <w:tc>
          <w:tcPr>
            <w:tcW w:type="dxa" w:w="1134"/>
            <w:shd w:fill="FFC7CE" w:val="clear"/>
          </w:tcPr>
          <w:p>
            <w:r>
              <w:rPr>
                <w:b/>
                <w:color w:val="B40000"/>
                <w:sz w:val="16"/>
              </w:rPr>
              <w:t>-46.86%</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5,490</w:t>
            </w:r>
          </w:p>
        </w:tc>
        <w:tc>
          <w:tcPr>
            <w:tcW w:type="dxa" w:w="1417"/>
            <w:shd w:fill="FFFFFF" w:val="clear"/>
          </w:tcPr>
          <w:p>
            <w:r>
              <w:rPr>
                <w:sz w:val="16"/>
              </w:rPr>
              <w:t>2,518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3,350</w:t>
            </w:r>
          </w:p>
        </w:tc>
        <w:tc>
          <w:tcPr>
            <w:tcW w:type="dxa" w:w="1417"/>
            <w:shd w:fill="FFFFFF" w:val="clear"/>
          </w:tcPr>
          <w:p>
            <w:r>
              <w:rPr>
                <w:sz w:val="16"/>
              </w:rPr>
              <w:t>1,536</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7,100</w:t>
            </w:r>
          </w:p>
        </w:tc>
        <w:tc>
          <w:tcPr>
            <w:tcW w:type="dxa" w:w="1417"/>
            <w:shd w:fill="FFFFFF" w:val="clear"/>
          </w:tcPr>
          <w:p>
            <w:r>
              <w:rPr>
                <w:sz w:val="16"/>
              </w:rPr>
              <w:t>3,256</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32</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3,539 titres</w:t>
            </w:r>
          </w:p>
        </w:tc>
        <w:tc>
          <w:tcPr>
            <w:tcW w:type="dxa" w:w="2268"/>
            <w:shd w:fill="FFF2CC" w:val="clear"/>
          </w:tcPr>
          <w:p>
            <w:r>
              <w:rPr>
                <w:b/>
                <w:color w:val="503200"/>
                <w:sz w:val="16"/>
              </w:rPr>
              <w:t xml:space="preserve">Cours actuel : </w:t>
            </w:r>
            <w:r>
              <w:rPr>
                <w:color w:val="000000"/>
                <w:sz w:val="17"/>
              </w:rPr>
              <w:t>4,005 FCFA</w:t>
            </w:r>
          </w:p>
          <w:p>
            <w:r>
              <w:rPr>
                <w:b/>
                <w:color w:val="503200"/>
                <w:sz w:val="16"/>
              </w:rPr>
              <w:t xml:space="preserve">Var. 100 jours : </w:t>
            </w:r>
            <w:r>
              <w:rPr>
                <w:b/>
                <w:color w:val="007800"/>
                <w:sz w:val="17"/>
              </w:rPr>
              <w:t>+16.09%</w:t>
            </w:r>
          </w:p>
          <w:p>
            <w:r>
              <w:rPr>
                <w:b/>
                <w:color w:val="503200"/>
                <w:sz w:val="16"/>
              </w:rPr>
              <w:t xml:space="preserve">Plus haut 100j : </w:t>
            </w:r>
            <w:r>
              <w:rPr>
                <w:color w:val="000000"/>
                <w:sz w:val="17"/>
              </w:rPr>
              <w:t>4,005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9.27% (Moyenne) — μ=3,249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β=0.3685 (Défensif) — Cov=0.000013, Var(idx)=0.000035, ρ=0.070,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3,699</w:t>
            </w:r>
          </w:p>
        </w:tc>
        <w:tc>
          <w:tcPr>
            <w:tcW w:type="dxa" w:w="1440"/>
            <w:shd w:fill="FFDCE0" w:val="clear"/>
          </w:tcPr>
          <w:p>
            <w:r>
              <w:rPr>
                <w:b/>
                <w:sz w:val="17"/>
              </w:rPr>
              <w:t>3,874</w:t>
            </w:r>
          </w:p>
        </w:tc>
        <w:tc>
          <w:tcPr>
            <w:tcW w:type="dxa" w:w="1440"/>
            <w:shd w:fill="FFDCE0" w:val="clear"/>
          </w:tcPr>
          <w:p>
            <w:r>
              <w:rPr>
                <w:sz w:val="17"/>
              </w:rPr>
              <w:t>4,049</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3,538</w:t>
            </w:r>
          </w:p>
        </w:tc>
        <w:tc>
          <w:tcPr>
            <w:tcW w:type="dxa" w:w="1440"/>
            <w:shd w:fill="FFDCE0" w:val="clear"/>
          </w:tcPr>
          <w:p>
            <w:r>
              <w:rPr>
                <w:b/>
                <w:sz w:val="17"/>
              </w:rPr>
              <w:t>3,780</w:t>
            </w:r>
          </w:p>
        </w:tc>
        <w:tc>
          <w:tcPr>
            <w:tcW w:type="dxa" w:w="1440"/>
            <w:shd w:fill="FFDCE0" w:val="clear"/>
          </w:tcPr>
          <w:p>
            <w:r>
              <w:rPr>
                <w:sz w:val="17"/>
              </w:rPr>
              <w:t>4,021</w:t>
            </w:r>
          </w:p>
        </w:tc>
        <w:tc>
          <w:tcPr>
            <w:tcW w:type="dxa" w:w="1440"/>
            <w:shd w:fill="FFDCE0" w:val="clear"/>
          </w:tcPr>
          <w:p>
            <w:r>
              <w:rPr>
                <w:b/>
                <w:color w:val="C00000"/>
                <w:sz w:val="17"/>
              </w:rPr>
              <w:t>-5.6%</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3,397</w:t>
            </w:r>
          </w:p>
        </w:tc>
        <w:tc>
          <w:tcPr>
            <w:tcW w:type="dxa" w:w="1440"/>
            <w:shd w:fill="FFDCE0" w:val="clear"/>
          </w:tcPr>
          <w:p>
            <w:r>
              <w:rPr>
                <w:b/>
                <w:sz w:val="17"/>
              </w:rPr>
              <w:t>3,685</w:t>
            </w:r>
          </w:p>
        </w:tc>
        <w:tc>
          <w:tcPr>
            <w:tcW w:type="dxa" w:w="1440"/>
            <w:shd w:fill="FFDCE0" w:val="clear"/>
          </w:tcPr>
          <w:p>
            <w:r>
              <w:rPr>
                <w:sz w:val="17"/>
              </w:rPr>
              <w:t>3,974</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3,278</w:t>
            </w:r>
          </w:p>
        </w:tc>
        <w:tc>
          <w:tcPr>
            <w:tcW w:type="dxa" w:w="1440"/>
            <w:shd w:fill="FFDCE0" w:val="clear"/>
          </w:tcPr>
          <w:p>
            <w:r>
              <w:rPr>
                <w:b/>
                <w:sz w:val="17"/>
              </w:rPr>
              <w:t>3,604</w:t>
            </w:r>
          </w:p>
        </w:tc>
        <w:tc>
          <w:tcPr>
            <w:tcW w:type="dxa" w:w="1440"/>
            <w:shd w:fill="FFDCE0" w:val="clear"/>
          </w:tcPr>
          <w:p>
            <w:r>
              <w:rPr>
                <w:sz w:val="17"/>
              </w:rPr>
              <w:t>3,930</w:t>
            </w:r>
          </w:p>
        </w:tc>
        <w:tc>
          <w:tcPr>
            <w:tcW w:type="dxa" w:w="1440"/>
            <w:shd w:fill="FFDCE0" w:val="clear"/>
          </w:tcPr>
          <w:p>
            <w:r>
              <w:rPr>
                <w:b/>
                <w:color w:val="C00000"/>
                <w:sz w:val="17"/>
              </w:rPr>
              <w:t>-10.0%</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3,176</w:t>
            </w:r>
          </w:p>
        </w:tc>
        <w:tc>
          <w:tcPr>
            <w:tcW w:type="dxa" w:w="1440"/>
            <w:shd w:fill="FFDCE0" w:val="clear"/>
          </w:tcPr>
          <w:p>
            <w:r>
              <w:rPr>
                <w:b/>
                <w:sz w:val="17"/>
              </w:rPr>
              <w:t>3,533</w:t>
            </w:r>
          </w:p>
        </w:tc>
        <w:tc>
          <w:tcPr>
            <w:tcW w:type="dxa" w:w="1440"/>
            <w:shd w:fill="FFDCE0" w:val="clear"/>
          </w:tcPr>
          <w:p>
            <w:r>
              <w:rPr>
                <w:sz w:val="17"/>
              </w:rPr>
              <w:t>3,890</w:t>
            </w:r>
          </w:p>
        </w:tc>
        <w:tc>
          <w:tcPr>
            <w:tcW w:type="dxa" w:w="1440"/>
            <w:shd w:fill="FFDCE0" w:val="clear"/>
          </w:tcPr>
          <w:p>
            <w:r>
              <w:rPr>
                <w:b/>
                <w:color w:val="C00000"/>
                <w:sz w:val="17"/>
              </w:rPr>
              <w:t>-11.8%</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3,084</w:t>
            </w:r>
          </w:p>
        </w:tc>
        <w:tc>
          <w:tcPr>
            <w:tcW w:type="dxa" w:w="1440"/>
            <w:shd w:fill="FFDCE0" w:val="clear"/>
          </w:tcPr>
          <w:p>
            <w:r>
              <w:rPr>
                <w:b/>
                <w:sz w:val="17"/>
              </w:rPr>
              <w:t>3,468</w:t>
            </w:r>
          </w:p>
        </w:tc>
        <w:tc>
          <w:tcPr>
            <w:tcW w:type="dxa" w:w="1440"/>
            <w:shd w:fill="FFDCE0" w:val="clear"/>
          </w:tcPr>
          <w:p>
            <w:r>
              <w:rPr>
                <w:sz w:val="17"/>
              </w:rPr>
              <w:t>3,852</w:t>
            </w:r>
          </w:p>
        </w:tc>
        <w:tc>
          <w:tcPr>
            <w:tcW w:type="dxa" w:w="1440"/>
            <w:shd w:fill="FFDCE0" w:val="clear"/>
          </w:tcPr>
          <w:p>
            <w:r>
              <w:rPr>
                <w:b/>
                <w:color w:val="C00000"/>
                <w:sz w:val="17"/>
              </w:rPr>
              <w:t>-13.4%</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3,000</w:t>
            </w:r>
          </w:p>
        </w:tc>
        <w:tc>
          <w:tcPr>
            <w:tcW w:type="dxa" w:w="1440"/>
            <w:shd w:fill="FFDCE0" w:val="clear"/>
          </w:tcPr>
          <w:p>
            <w:r>
              <w:rPr>
                <w:b/>
                <w:sz w:val="17"/>
              </w:rPr>
              <w:t>3,407</w:t>
            </w:r>
          </w:p>
        </w:tc>
        <w:tc>
          <w:tcPr>
            <w:tcW w:type="dxa" w:w="1440"/>
            <w:shd w:fill="FFDCE0" w:val="clear"/>
          </w:tcPr>
          <w:p>
            <w:r>
              <w:rPr>
                <w:sz w:val="17"/>
              </w:rPr>
              <w:t>3,815</w:t>
            </w:r>
          </w:p>
        </w:tc>
        <w:tc>
          <w:tcPr>
            <w:tcW w:type="dxa" w:w="1440"/>
            <w:shd w:fill="FFDCE0" w:val="clear"/>
          </w:tcPr>
          <w:p>
            <w:r>
              <w:rPr>
                <w:b/>
                <w:color w:val="C00000"/>
                <w:sz w:val="17"/>
              </w:rPr>
              <w:t>-14.9%</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2,922</w:t>
            </w:r>
          </w:p>
        </w:tc>
        <w:tc>
          <w:tcPr>
            <w:tcW w:type="dxa" w:w="1440"/>
            <w:shd w:fill="FFDCE0" w:val="clear"/>
          </w:tcPr>
          <w:p>
            <w:r>
              <w:rPr>
                <w:b/>
                <w:sz w:val="17"/>
              </w:rPr>
              <w:t>3,351</w:t>
            </w:r>
          </w:p>
        </w:tc>
        <w:tc>
          <w:tcPr>
            <w:tcW w:type="dxa" w:w="1440"/>
            <w:shd w:fill="FFDCE0" w:val="clear"/>
          </w:tcPr>
          <w:p>
            <w:r>
              <w:rPr>
                <w:sz w:val="17"/>
              </w:rPr>
              <w:t>3,779</w:t>
            </w:r>
          </w:p>
        </w:tc>
        <w:tc>
          <w:tcPr>
            <w:tcW w:type="dxa" w:w="1440"/>
            <w:shd w:fill="FFDCE0" w:val="clear"/>
          </w:tcPr>
          <w:p>
            <w:r>
              <w:rPr>
                <w:b/>
                <w:color w:val="C00000"/>
                <w:sz w:val="17"/>
              </w:rPr>
              <w:t>-16.3%</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2,851</w:t>
            </w:r>
          </w:p>
        </w:tc>
        <w:tc>
          <w:tcPr>
            <w:tcW w:type="dxa" w:w="1440"/>
            <w:shd w:fill="FFDCE0" w:val="clear"/>
          </w:tcPr>
          <w:p>
            <w:r>
              <w:rPr>
                <w:b/>
                <w:sz w:val="17"/>
              </w:rPr>
              <w:t>3,298</w:t>
            </w:r>
          </w:p>
        </w:tc>
        <w:tc>
          <w:tcPr>
            <w:tcW w:type="dxa" w:w="1440"/>
            <w:shd w:fill="FFDCE0" w:val="clear"/>
          </w:tcPr>
          <w:p>
            <w:r>
              <w:rPr>
                <w:sz w:val="17"/>
              </w:rPr>
              <w:t>3,745</w:t>
            </w:r>
          </w:p>
        </w:tc>
        <w:tc>
          <w:tcPr>
            <w:tcW w:type="dxa" w:w="1440"/>
            <w:shd w:fill="FFDCE0" w:val="clear"/>
          </w:tcPr>
          <w:p>
            <w:r>
              <w:rPr>
                <w:b/>
                <w:color w:val="C00000"/>
                <w:sz w:val="17"/>
              </w:rPr>
              <w:t>-17.7%</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2,784</w:t>
            </w:r>
          </w:p>
        </w:tc>
        <w:tc>
          <w:tcPr>
            <w:tcW w:type="dxa" w:w="1440"/>
            <w:shd w:fill="FFDCE0" w:val="clear"/>
          </w:tcPr>
          <w:p>
            <w:r>
              <w:rPr>
                <w:b/>
                <w:sz w:val="17"/>
              </w:rPr>
              <w:t>3,248</w:t>
            </w:r>
          </w:p>
        </w:tc>
        <w:tc>
          <w:tcPr>
            <w:tcW w:type="dxa" w:w="1440"/>
            <w:shd w:fill="FFDCE0" w:val="clear"/>
          </w:tcPr>
          <w:p>
            <w:r>
              <w:rPr>
                <w:sz w:val="17"/>
              </w:rPr>
              <w:t>3,712</w:t>
            </w:r>
          </w:p>
        </w:tc>
        <w:tc>
          <w:tcPr>
            <w:tcW w:type="dxa" w:w="1440"/>
            <w:shd w:fill="FFDCE0" w:val="clear"/>
          </w:tcPr>
          <w:p>
            <w:r>
              <w:rPr>
                <w:b/>
                <w:color w:val="C00000"/>
                <w:sz w:val="17"/>
              </w:rPr>
              <w:t>-18.9%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43,70 Mds FCFA, ABJC se positionne comme une valeur de taille moyenne sur la cote BRVM, loin des poids lourds bancaires et télécoms mais suffisamment liquide pour intéresser les investisseurs institutionnels régionaux. Le BPA de 124 FCFA/action signifie que chaque titre génère un bénéfice net de 124 FCFA, ce qui, rapporté au cours actuel de 4 005 FCFA, aboutit à un PER de 32,4x — soit près de trois fois la moyenne du marché BRVM (8-12x), un niveau qui traduit soit une anticipation de forte croissance, soit une surévaluation manifeste au regard des performances récentes. Le P/B de 8,47x confirme cette prime très agressive : le marché valorise la société à plus de huit fois sa valeur comptable, ce qui est difficilement justifiable pour une entreprise dont le résultat net recule. Enfin, l'EV/EBITDA de 16,7x, supérieur au seuil de 15x généralement considéré comme exigeant, indique que la valeur d'entreprise intègre déjà une prime de qualité et de rareté sectorielle. L'ensemble de ces ratios dessine une valorisation tendue, sans marge de sécurité évidente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progression totale de +16,09%, avec une dernière séance quasi stable (+0,25%), portant le cours à 4 005 FCFA — soit précisément son plus haut de la période, contre un plus bas de 2 800 FCFA, ce qui matérialise un range de trading de 1 205 FCFA (43% d'amplitude). La tendance générale est donc nettement haussière, le titre évoluant au sommet de sa fourchette récente. Les statistiques descriptives révèlent une moyenne de 3 249 FCFA supérieure à la médiane de 3 182 FCFA et au mode de 3 150 FCFA, signe d'une distribution asymétrique tirée vers le haut par les récentes poussées. L'écart-type de 303 FCFA (CV = 9,3%) indique une dispersion modérée du cours autour de sa moyenne, tandis que le kurtosis de 0,116 (mésokurtique) suggère une distribution proche de la normale, sans risque de pics extrêmes marqué. Le skewness positif de 0,869 signale toutefois une asymétrie à droite, avec davantage de journées passées sous la moyenne — configuration typique d'un titre qui progresse par à-coups. La volatilité annualisée de 49,3% classe ABJC dans la catégorie des titres à volatilité élevée (&gt;30%), ce qui implique un risque de correction significatif après le rallye récent.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(3 653,25 FCFA) et la MM50 (3 314,10 FCFA) se situent toutes deux nettement sous le cours actuel (4 005 FCFA), avec une MM20 au-dessus de la MM50 — configuration haussière classique en « golden cross ». L'écart entre le cours et la MM20 (+9,6%) traduit cependant une extension excessive à court terme, ce qui justifie la décision technique d'**Achat** tout en appelant à la prudence sur les points d'entrée.</w:t>
      </w:r>
    </w:p>
    <w:p>
      <w:pPr>
        <w:spacing w:after="120" w:line="276" w:lineRule="auto"/>
      </w:pPr>
      <w:r>
        <w:t>**Bandes de Bollinger** : Le cours (4 005 FCFA) évolue dans la partie haute du canal, à proximité de la borne supérieure (4 227,30 FCFA) et très loin de la borne inférieure (3 079,20 FCFA). L'amplitude du canal (1 148 FCFA) confirme une volatilité élevée. La décision **Neutre** reflète cette position ambiguë : le titre n'est pas encore en zone de cassure, mais la marge de progression vers la borne haute se réduit.</w:t>
      </w:r>
    </w:p>
    <w:p>
      <w:pPr>
        <w:spacing w:after="120" w:line="276" w:lineRule="auto"/>
      </w:pPr>
      <w:r>
        <w:t>**MACD** : Le MACD (217,26) surpasse son signal (190,13), avec un histogramme positif qui valide un momentum haussier toujours actif. La décision d'**Achat** est cohérente, mais l'écart entre les deux lignes reste modéré, suggérant un essoufflement possible de la dynamique.</w:t>
      </w:r>
    </w:p>
    <w:p>
      <w:pPr>
        <w:spacing w:after="120" w:line="276" w:lineRule="auto"/>
      </w:pPr>
      <w:r>
        <w:t>**RSI** : À 83,06, le RSI se situe largement au-dessus du seuil de surachat (70), signalant une pression acheteuse excessive et un risque élevé de correction à court terme. La décision de **Vente** est ici un signal de prudence majeur, en contradiction avec les moyennes mobiles et le MACD.</w:t>
      </w:r>
    </w:p>
    <w:p>
      <w:pPr>
        <w:spacing w:after="120" w:line="276" w:lineRule="auto"/>
      </w:pPr>
      <w:r>
        <w:t>**Stochastique** : Avec %K et %D tous deux à 100,0, l'indicateur est en zone de surachat extrême, sans croisement baissier pour l'instant. La décision de **Vente** confirme le risque de retournement imminent, le titre étant collé à son plus haut.</w:t>
      </w:r>
    </w:p>
    <w:p>
      <w:pPr>
        <w:spacing w:after="120" w:line="276" w:lineRule="auto"/>
      </w:pPr>
      <w:r>
        <w:t>**Conclusion technique** : Les indicateurs de tendance (MM, MACD) restent haussiers, mais les oscillateurs (RSI à 83, Stochastique à 100) clignotent en rouge vif, créant une divergence baissière préoccupante. Le titre est techniquement suracheté et une consolidation, voire une correction, apparaît probable à court terme. La convergence des signaux de vente sur les oscillateurs invite à la prudence malgré la tendance de fond positive.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structurés d'ABJC affichent un chiffre d'affaires de 13,298 Mds FCFA, en croissance de 6,67% sur un an, pour un résultat net de 1,351 Md FCFA — soit une marge nette de 10,16%. La rentabilité des fonds propres (ROE) s'établit à 26,18%, un niveau excellent (&gt;15%), et le ROA à 14,64%, confirmant l'efficacité de l'utilisation des actifs. La structure financière est très saine : autonomie financière de 55,92%, ratio d'endettement de 44,08%, dettes financières quasi nulles (65,89 M FCFA) et trésorerie nette de 4,035 Mds FCFA. Le BFR est positif à 257,45 M FCFA, mais les délais d'exploitation méritent attention : 70,10 jours de délai client (risque de trésorerie modéré) contre 92,11 jours de délai fournisseur (favorable), avec une rotation des stocks de 29,40 jours. La marge brute de 68,49% et la marge opérationnelle de 16,38% témoignent d'un bon contrôle des coûts. Cependant, les rapports narratifs révèlent une dégradation récente : le rapport du T1 2026 (publié le 30/04/2026) fait état d'une croissance du CA limitée à +1,9% (3,237 Mds FCFA) mais d'une chute du résultat net de -35,6% (222,6 M FCFA) et du résultat ordinaire de -27,4%, sous l'effet d'ajustements de redevances aéroportuaires et de tensions géopolitiques. Le rapport T3 2025 (30/09/2025) montrait pourtant un T3 solide (+10,3% de CA, +17,1% de résultat net), et l'exercice 2024 s'était clos sur un CA de 12,467 Mds FCFA (+10,8%) et un résultat net de 1,515 Md FCFA (+11,6%). On estime donc que l'exercice 2026 devrait être marqué par un ralentissement sensible de la rentabilité, le T1 2026 ne représentant que 16,5% du résultat net annuel 2025. La solidité bilancielle (capitaux propres de 5,159 Mds FCFA, liquidité générale de 218%) constitue un amortisseur, mais la dynamique bénéficiaire est clairement négative. La recommandation fondamentale est de **conserver** la valeur pour sa solidité financière et sa position dominante, tout en surveillant étroitement l'évolution de la rentabilité et la résolution des contentieux réglementaires.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nettement tendue : PER de 32,4x, P/B de 8,47x et EV/EBITDA de 16,7x intègrent une prime de qualité difficilement compatible avec la dégradation récente des résultats. Le comportement du cours (Partie 1) est haussier (+16,09% sur 100 jours) mais la volatilité élevée (49,3%) et le skewness positif (0,869) signalent un risque de correction, le titre évoluant à son plus haut historique récent. Les signaux techniques (Partie 2) sont divergents : les moyennes mobiles et le MACD restent acheteurs, mais le RSI (83,06) et le stochastique (100) sont en surachat extrême, générant des signaux de vente convergents. Les fondamentaux (Partie 3) demeurent solides (ROE 26,18%, trésorerie nette 4,035 Mds FCFA, endettement quasi nul) mais la dynamique se dégrade fortement, le T1 2026 affichant une chute de -35,6% du résultat net. Les prédictions IA (J+1 à J+10) anticipent une correction marquée, avec un cours passant de 3 874 FCFA à 3 533 FCFA en cinq séances, soit une baisse de -8,8% — ce qui contredit la tendance haussière actuelle mais confirme les signaux de surachat des oscillateurs. **Recommandation finale : CONSERVER**, avec un biais baissier à court terme. La convergence entre valorisation exigeante, surachat technique, dégradation des résultats et prédictions baissières plaide pour une prise de bénéfices partielle plutôt qu'un renforcement. Le niveau de confiance est **Moyen** (les fondamentaux bilanciels restent robustes), et le risque global est **Élevé** (volatilité 49,3%, surachat extrême, résultats en recul). L'horizon d'investissement optimal est le **moyen terme (3-12 mois)**, en attendant une normalisation technique et une clarification des perspectives bénéficiaires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589.15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12,518 titres</w:t>
            </w:r>
          </w:p>
        </w:tc>
        <w:tc>
          <w:tcPr>
            <w:tcW w:type="dxa" w:w="2268"/>
            <w:shd w:fill="FFF2CC" w:val="clear"/>
          </w:tcPr>
          <w:p>
            <w:r>
              <w:rPr>
                <w:b/>
                <w:color w:val="503200"/>
                <w:sz w:val="16"/>
              </w:rPr>
              <w:t xml:space="preserve">Cours actuel : </w:t>
            </w:r>
            <w:r>
              <w:rPr>
                <w:color w:val="000000"/>
                <w:sz w:val="17"/>
              </w:rPr>
              <w:t>10,200 FCFA</w:t>
            </w:r>
          </w:p>
          <w:p>
            <w:r>
              <w:rPr>
                <w:b/>
                <w:color w:val="503200"/>
                <w:sz w:val="16"/>
              </w:rPr>
              <w:t xml:space="preserve">Var. 100 jours : </w:t>
            </w:r>
            <w:r>
              <w:rPr>
                <w:b/>
                <w:color w:val="007800"/>
                <w:sz w:val="17"/>
              </w:rPr>
              <w:t>+99.61%</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23.27% (Élevée) — μ=6,611 FCFA, σ=1,539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β=0.5175 (Défensif) — Cov=0.000018, Var(idx)=0.000035, ρ=0.143,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12,518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9,055</w:t>
            </w:r>
          </w:p>
        </w:tc>
        <w:tc>
          <w:tcPr>
            <w:tcW w:type="dxa" w:w="1440"/>
            <w:shd w:fill="FFDCE0" w:val="clear"/>
          </w:tcPr>
          <w:p>
            <w:r>
              <w:rPr>
                <w:b/>
                <w:sz w:val="17"/>
              </w:rPr>
              <w:t>9,435</w:t>
            </w:r>
          </w:p>
        </w:tc>
        <w:tc>
          <w:tcPr>
            <w:tcW w:type="dxa" w:w="1440"/>
            <w:shd w:fill="FFDCE0" w:val="clear"/>
          </w:tcPr>
          <w:p>
            <w:r>
              <w:rPr>
                <w:sz w:val="17"/>
              </w:rPr>
              <w:t>9,815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8,230</w:t>
            </w:r>
          </w:p>
        </w:tc>
        <w:tc>
          <w:tcPr>
            <w:tcW w:type="dxa" w:w="1440"/>
            <w:shd w:fill="FFDCE0" w:val="clear"/>
          </w:tcPr>
          <w:p>
            <w:r>
              <w:rPr>
                <w:b/>
                <w:sz w:val="17"/>
              </w:rPr>
              <w:t>8,727</w:t>
            </w:r>
          </w:p>
        </w:tc>
        <w:tc>
          <w:tcPr>
            <w:tcW w:type="dxa" w:w="1440"/>
            <w:shd w:fill="FFDCE0" w:val="clear"/>
          </w:tcPr>
          <w:p>
            <w:r>
              <w:rPr>
                <w:sz w:val="17"/>
              </w:rPr>
              <w:t>9,225</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7,509</w:t>
            </w:r>
          </w:p>
        </w:tc>
        <w:tc>
          <w:tcPr>
            <w:tcW w:type="dxa" w:w="1440"/>
            <w:shd w:fill="FFDCE0" w:val="clear"/>
          </w:tcPr>
          <w:p>
            <w:r>
              <w:rPr>
                <w:b/>
                <w:sz w:val="17"/>
              </w:rPr>
              <w:t>8,073</w:t>
            </w:r>
          </w:p>
        </w:tc>
        <w:tc>
          <w:tcPr>
            <w:tcW w:type="dxa" w:w="1440"/>
            <w:shd w:fill="FFDCE0" w:val="clear"/>
          </w:tcPr>
          <w:p>
            <w:r>
              <w:rPr>
                <w:sz w:val="17"/>
              </w:rPr>
              <w:t>8,636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6,865</w:t>
            </w:r>
          </w:p>
        </w:tc>
        <w:tc>
          <w:tcPr>
            <w:tcW w:type="dxa" w:w="1440"/>
            <w:shd w:fill="FFDCE0" w:val="clear"/>
          </w:tcPr>
          <w:p>
            <w:r>
              <w:rPr>
                <w:b/>
                <w:sz w:val="17"/>
              </w:rPr>
              <w:t>7,467</w:t>
            </w:r>
          </w:p>
        </w:tc>
        <w:tc>
          <w:tcPr>
            <w:tcW w:type="dxa" w:w="1440"/>
            <w:shd w:fill="FFDCE0" w:val="clear"/>
          </w:tcPr>
          <w:p>
            <w:r>
              <w:rPr>
                <w:sz w:val="17"/>
              </w:rPr>
              <w:t>8,069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6,285</w:t>
            </w:r>
          </w:p>
        </w:tc>
        <w:tc>
          <w:tcPr>
            <w:tcW w:type="dxa" w:w="1440"/>
            <w:shd w:fill="FFDCE0" w:val="clear"/>
          </w:tcPr>
          <w:p>
            <w:r>
              <w:rPr>
                <w:b/>
                <w:sz w:val="17"/>
              </w:rPr>
              <w:t>6,907</w:t>
            </w:r>
          </w:p>
        </w:tc>
        <w:tc>
          <w:tcPr>
            <w:tcW w:type="dxa" w:w="1440"/>
            <w:shd w:fill="FFDCE0" w:val="clear"/>
          </w:tcPr>
          <w:p>
            <w:r>
              <w:rPr>
                <w:sz w:val="17"/>
              </w:rPr>
              <w:t>7,530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5,758</w:t>
            </w:r>
          </w:p>
        </w:tc>
        <w:tc>
          <w:tcPr>
            <w:tcW w:type="dxa" w:w="1440"/>
            <w:shd w:fill="FFDCE0" w:val="clear"/>
          </w:tcPr>
          <w:p>
            <w:r>
              <w:rPr>
                <w:b/>
                <w:sz w:val="17"/>
              </w:rPr>
              <w:t>6,389</w:t>
            </w:r>
          </w:p>
        </w:tc>
        <w:tc>
          <w:tcPr>
            <w:tcW w:type="dxa" w:w="1440"/>
            <w:shd w:fill="FFDCE0" w:val="clear"/>
          </w:tcPr>
          <w:p>
            <w:r>
              <w:rPr>
                <w:sz w:val="17"/>
              </w:rPr>
              <w:t>7,020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5,394</w:t>
            </w:r>
          </w:p>
        </w:tc>
        <w:tc>
          <w:tcPr>
            <w:tcW w:type="dxa" w:w="1440"/>
            <w:shd w:fill="FFDCE0" w:val="clear"/>
          </w:tcPr>
          <w:p>
            <w:r>
              <w:rPr>
                <w:b/>
                <w:sz w:val="17"/>
              </w:rPr>
              <w:t>6,038</w:t>
            </w:r>
          </w:p>
        </w:tc>
        <w:tc>
          <w:tcPr>
            <w:tcW w:type="dxa" w:w="1440"/>
            <w:shd w:fill="FFDCE0" w:val="clear"/>
          </w:tcPr>
          <w:p>
            <w:r>
              <w:rPr>
                <w:sz w:val="17"/>
              </w:rPr>
              <w:t>6,682</w:t>
            </w:r>
          </w:p>
        </w:tc>
        <w:tc>
          <w:tcPr>
            <w:tcW w:type="dxa" w:w="1440"/>
            <w:shd w:fill="FFDCE0" w:val="clear"/>
          </w:tcPr>
          <w:p>
            <w:r>
              <w:rPr>
                <w:b/>
                <w:color w:val="C00000"/>
                <w:sz w:val="17"/>
              </w:rPr>
              <w:t>-40.8%</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5,223</w:t>
            </w:r>
          </w:p>
        </w:tc>
        <w:tc>
          <w:tcPr>
            <w:tcW w:type="dxa" w:w="1440"/>
            <w:shd w:fill="FFDCE0" w:val="clear"/>
          </w:tcPr>
          <w:p>
            <w:r>
              <w:rPr>
                <w:b/>
                <w:sz w:val="17"/>
              </w:rPr>
              <w:t>5,895</w:t>
            </w:r>
          </w:p>
        </w:tc>
        <w:tc>
          <w:tcPr>
            <w:tcW w:type="dxa" w:w="1440"/>
            <w:shd w:fill="FFDCE0" w:val="clear"/>
          </w:tcPr>
          <w:p>
            <w:r>
              <w:rPr>
                <w:sz w:val="17"/>
              </w:rPr>
              <w:t>6,567</w:t>
            </w:r>
          </w:p>
        </w:tc>
        <w:tc>
          <w:tcPr>
            <w:tcW w:type="dxa" w:w="1440"/>
            <w:shd w:fill="FFDCE0" w:val="clear"/>
          </w:tcPr>
          <w:p>
            <w:r>
              <w:rPr>
                <w:b/>
                <w:color w:val="C00000"/>
                <w:sz w:val="17"/>
              </w:rPr>
              <w:t>-42.2%</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5,074</w:t>
            </w:r>
          </w:p>
        </w:tc>
        <w:tc>
          <w:tcPr>
            <w:tcW w:type="dxa" w:w="1440"/>
            <w:shd w:fill="FFDCE0" w:val="clear"/>
          </w:tcPr>
          <w:p>
            <w:r>
              <w:rPr>
                <w:b/>
                <w:sz w:val="17"/>
              </w:rPr>
              <w:t>5,772</w:t>
            </w:r>
          </w:p>
        </w:tc>
        <w:tc>
          <w:tcPr>
            <w:tcW w:type="dxa" w:w="1440"/>
            <w:shd w:fill="FFDCE0" w:val="clear"/>
          </w:tcPr>
          <w:p>
            <w:r>
              <w:rPr>
                <w:sz w:val="17"/>
              </w:rPr>
              <w:t>6,470</w:t>
            </w:r>
          </w:p>
        </w:tc>
        <w:tc>
          <w:tcPr>
            <w:tcW w:type="dxa" w:w="1440"/>
            <w:shd w:fill="FFDCE0" w:val="clear"/>
          </w:tcPr>
          <w:p>
            <w:r>
              <w:rPr>
                <w:b/>
                <w:color w:val="C00000"/>
                <w:sz w:val="17"/>
              </w:rPr>
              <w:t>-43.4%</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4,944</w:t>
            </w:r>
          </w:p>
        </w:tc>
        <w:tc>
          <w:tcPr>
            <w:tcW w:type="dxa" w:w="1440"/>
            <w:shd w:fill="FFDCE0" w:val="clear"/>
          </w:tcPr>
          <w:p>
            <w:r>
              <w:rPr>
                <w:b/>
                <w:sz w:val="17"/>
              </w:rPr>
              <w:t>5,666</w:t>
            </w:r>
          </w:p>
        </w:tc>
        <w:tc>
          <w:tcPr>
            <w:tcW w:type="dxa" w:w="1440"/>
            <w:shd w:fill="FFDCE0" w:val="clear"/>
          </w:tcPr>
          <w:p>
            <w:r>
              <w:rPr>
                <w:sz w:val="17"/>
              </w:rPr>
              <w:t>6,388</w:t>
            </w:r>
          </w:p>
        </w:tc>
        <w:tc>
          <w:tcPr>
            <w:tcW w:type="dxa" w:w="1440"/>
            <w:shd w:fill="FFDCE0" w:val="clear"/>
          </w:tcPr>
          <w:p>
            <w:r>
              <w:rPr>
                <w:b/>
                <w:color w:val="C00000"/>
                <w:sz w:val="17"/>
              </w:rPr>
              <w:t>-44.5%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*Banque Internationale pour l'Industrie et le Commerce — Bénin*</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589,15 milliards FCFA, BICB s'impose comme l'une des plus importantes capitalisations de la cote BRVM, ce qui témoigne de son statut de valeur de premier plan dans le compartiment bancaire régional. Le BPA de 627 FCFA par action signifie que chaque titre génère près de 627 FCFA de bénéfice net, un niveau de rentabilité par action particulièrement élevé. Le PER de 16,3x se situe nettement au-dessus de la moyenne du marché BRVM (généralement comprise entre 8x et 12x), ce qui indique que les investisseurs acceptent de payer une prime significative pour les bénéfices de la banque, justifiée par sa croissance exceptionnelle mais constituant un facteur de vigilance. Le P/B de 4,36x révèle que le marché valorise l'action à plus de quatre fois sa valeur comptable, une prime exigeante qui traduit une forte anticipation de création de valeur future. Enfin, l'EV/EBITDA de 26,6x, très supérieur au seuil de 15x communément admis, confirme que la valeur d'entreprise intègre une prime de croissance agressive, ce qui expose le titre à un risque de correction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BICB a enregistré une progression spectaculaire de +99,61%, passant d'un plus bas de 5 100 FCFA à un plus haut de 10 790 FCFA, pour un cours actuel de 10 200 FCFA (en hausse de +0,89% sur la dernière séance). Cette tendance nettement haussière traduit un engouement marqué des investisseurs pour le titre, porté par les résultats solides de la banque et la dynamique du secteur bancaire dans l'UEMOA. L'analyse des statistiques descriptives révèle une distribution asymétrique : la moyenne (6 611 FCFA) est supérieure à la médiane (5 890 FCFA), ce qui indique que le cours a passé plus de temps dans des niveaux inférieurs avant de s'envoler en fin de période, confirmant le skewness positif de 0,980 (plus de journées sous la moyenne). L'écart-type de 1 546 FCFA et le coefficient de variation de 23,4% traduisent une dispersion modérée à élevée du cours, tandis que le kurtosis de -0,077 (mésokurtique) suggère une distribution proche de la normale, sans risque excessif de pics extrêmes. La volatilité annualisée de 34,4% classe le titre dans la catégorie des valeurs à volatilité élevée (&gt;30%), ce qui implique un potentiel de gain attractif mais aussi un risque de correction significatif, particulièrement après un doublement en trois mois.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(9 134,25 FCFA) et la MM50 (7 827,10 FCFA) sont toutes deux nettement inférieures au cours actuel (10 200 FCFA), et la MM20 est au-dessus de la MM50, confirmant une configuration haussière en "golden cross". Cette disposition des moyennes mobiles valide la décision d'achat, le cours évoluant au-dessus de ses supports dynamiques.</w:t>
      </w:r>
    </w:p>
    <w:p>
      <w:pPr>
        <w:spacing w:after="120" w:line="276" w:lineRule="auto"/>
      </w:pPr>
      <w:r>
        <w:t>**Bandes de Bollinger :** Le cours (10 200 FCFA) se situe dans la partie supérieure de la bande, entre la borne inférieure (7 361,375 FCFA) et la borne supérieure (10 907,125 FCFA), sans la franchir. Cette position proche de la borne haute traduit une pression acheteuse soutenue mais sans excès, justifiant la décision neutre : le titre n'est ni en surachat extrême ni en zone de repli.</w:t>
      </w:r>
    </w:p>
    <w:p>
      <w:pPr>
        <w:spacing w:after="120" w:line="276" w:lineRule="auto"/>
      </w:pPr>
      <w:r>
        <w:t>**MACD :** La valeur du MACD (752,237) est supérieure à son signal (665,455), avec un histogramme positif, ce qui confirme un momentum haussier en cours. La décision d'achat est validée par cette divergence positive, bien que l'écart entre les deux lignes se réduise, suggérant un essoufflement potentiel de la dynamique.</w:t>
      </w:r>
    </w:p>
    <w:p>
      <w:pPr>
        <w:spacing w:after="120" w:line="276" w:lineRule="auto"/>
      </w:pPr>
      <w:r>
        <w:t>**RSI :** À 75,14, le RSI se situe en zone de surachat (&gt;70), ce qui signale que le titre a été acheté de manière excessive à court terme et qu'une correction ou une consolidation est probable. La décision de vente générée par cet indicateur contraste avec les autres signaux techniques, invitant à la prudence sur les points d'entrée.</w:t>
      </w:r>
    </w:p>
    <w:p>
      <w:pPr>
        <w:spacing w:after="120" w:line="276" w:lineRule="auto"/>
      </w:pPr>
      <w:r>
        <w:t>**Stochastique :** Le %K (77,22) et le %D (79,279) évoluent tous deux en zone haute, proches du seuil de surachat (80), sans croisement baissier confirmé. La décision neutre reflète cette situation d'équilibre précaire, le stochastique n'ayant pas encore validé de retournement.</w:t>
      </w:r>
    </w:p>
    <w:p>
      <w:pPr>
        <w:spacing w:after="120" w:line="276" w:lineRule="auto"/>
      </w:pPr>
      <w:r>
        <w:t>**Conclusion technique :** Les indicateurs techniques présentent un tableau mitigé : les moyennes mobiles et le MACD confirment la tendance haussière, tandis que le RSI en zone de surachat et le stochastique proche de ses sommets alertent sur un risque de correction à court terme. La convergence des signaux d'achat (MM, MACD) et des signaux de prudence (RSI, Stochastique) suggère une phase de consolidation probable avant une nouvelle impulsion, dans un contexte de volatilité élevée.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BICB a réalisé un Produit Net Bancaire (PNB) de 52,805 milliards FCFA, en croissance de +16,49% par rapport à 2024, porté par une expansion rapide des crédits (+37,3%) et des dépôts (+29,4%). Le résultat net s'établit à 36,237 milliards FCFA, en hausse de +24,7%, générant un ROE exceptionnel de 26,82% (largement supérieur au seuil de 15% considéré comme excellent) et un ROA de 1,96%. Le coefficient d'exploitation de 31,12% témoigne d'une efficacité opérationnelle remarquable (seuil d'excellence &lt;50%), tandis que le coût du risque de 9,61% reste modéré mais à surveiller. La structure financière affiche une autonomie financière de 7,33% (faible, typique des banques) et un ratio de solvabilité de 19,64%, confortablement au-dessus du minimum réglementaire de 11,5%. Le ratio crédits nets/dépôts de 97,5% indique une transformation tendue, avec une liquidité réduite (11,03% d'actifs liquides nets sur ressources courtes).</w:t>
      </w:r>
    </w:p>
    <w:p>
      <w:pPr>
        <w:spacing w:after="120" w:line="276" w:lineRule="auto"/>
      </w:pPr>
      <w:r>
        <w:t>**Estimations basées sur les rapports trimestriels :** Le rapport du T1 2026 (publié en 2026) révèle une accélération spectaculaire : PNB de 14,6 milliards FCFA (+35%) et résultat net de 8,0 milliards FCFA (+48%), avec des dépôts à 1 248,3 milliards FCFA (+6%) et des crédits nets à 1 187,9 milliards FCFA (+3%). Sur cette base, on estime que l'exercice 2026 devrait enregistrer un PNB annualisé d'environ 58-60 milliards FCFA et un résultat net de 32-35 milliards FCFA, confirmant la trajectoire de croissance. Toutefois, le rapport T3 2025 (publié en 2025) avait montré un recul de -9% du résultat net sur 9 mois (13,1 milliards FCFA) en raison d'un renforcement des provisions, avant le rebond spectaculaire du T1 2026. Le rapport S1 2025 (publié en 2025) avait également alerté sur une explosion du coût du risque (+641%) et des faiblesses du système d'information pour le déclassement automatique des créances.</w:t>
      </w:r>
    </w:p>
    <w:p>
      <w:pPr>
        <w:spacing w:after="120" w:line="276" w:lineRule="auto"/>
      </w:pPr>
      <w:r>
        <w:t>**Recommandation fondamentale :** BICB présente des fondamentaux solides (ROE &gt;26%, coefficient d'exploitation &lt;32%, solvabilité &gt;19%) et une dynamique commerciale exceptionnelle, mais la qualité de la croissance reste le point de vigilance central : l'expansion très rapide des crédits (+37,3% en 2025) couplée à un coût du risque historiquement bas (reprise de provisions en 2025) et à une tension sur la liquidité (ratio crédits/dépôts de 97,5%) crée un déséquilibre. La normalisation du coût du risque, déjà visible au S1 2025 et au T3 2025, pourrait peser sur la rentabilité future. La recommandation fondamentale est **CONSERVER** pour les investisseurs déjà en portefeuille, dans l'attente de la confirmation que la croissance est saine et que le provisionnement n'est que préventif.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les ratios PER (16,3x), P/B (4,36x) et EV/EBITDA (26,6x) indiquent une surévaluation relative par rapport aux moyennes du marché BRVM, le titre intégrant déjà une prime de croissance agressive. **Comportement du cours (Partie 1)** : la tendance haussière (+99,61% en 100 jours) est impressionnante mais la volatilité élevée (34,4%) et le skewness positif (0,980) suggèrent que le cours a atteint des niveaux potentiellement vulnérables à une correction. **Signaux techniques (Partie 2)** : divergence entre les indicateurs haussiers (MM, MACD) et les signaux de surachat (RSI à 75,14, Stochastique à 77-79), plaidant pour une consolidation à court terme. **Fondamentaux (Partie 3)** : la solidité financière (ROE 26,8%, coefficient d'exploitation 31,1%) et la croissance du T1 2026 (RN +48%) sont exceptionnelles, mais les risques de crédit et de liquidité (ratio crédits/dépôts 97,5%) nécessitent une surveillance accrue. **Prédictions IA (J+1 à J+10)** : la trajectoire prédite (9 435 FCFA à J+1, puis 6 907 FCFA à J+10) contredit les signaux haussiers et anticipe une correction de -32% en 10 jours, ce qui est cohérent avec le RSI en surachat et la valorisation exigeante.</w:t>
      </w:r>
    </w:p>
    <w:p>
      <w:pPr>
        <w:spacing w:after="120" w:line="276" w:lineRule="auto"/>
      </w:pPr>
      <w:r>
        <w:t>**Recommandation finale : CONSERVER** — Justification : la convergence entre la valorisation exigeante, le RSI en surachat, la volatilité élevée et les prédictions IA baissières suggère qu'une prise de bénéfices est probable à court terme, mais les fondamentaux solides et la croissance du T1 2026 justifient de ne pas vendre précipitamment. **Niveau de confiance : Moyen** (les signaux techniques et fondamentaux divergent). **Niveau de risque global : Élevé** (volatilité &gt;30%, valorisation tendue, prédictions baissières). **Horizon d'investissement optimal : Moyen terme (3-12 mois)** , en attendant la publication des résultats du S1 2026 pour confirmer la normalisation du coût du risque et la soutenabilité de la croissance. Un renforcement de la position serait envisageable sur repli vers 8 500-9 000 FCFA, niveau correspondant à la MM20 et offrant un meilleur point d'entrée.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672 titres</w:t>
            </w:r>
          </w:p>
        </w:tc>
        <w:tc>
          <w:tcPr>
            <w:tcW w:type="dxa" w:w="2268"/>
            <w:shd w:fill="FFF2CC" w:val="clear"/>
          </w:tcPr>
          <w:p>
            <w:r>
              <w:rPr>
                <w:b/>
                <w:color w:val="503200"/>
                <w:sz w:val="16"/>
              </w:rPr>
              <w:t xml:space="preserve">Cours actuel : </w:t>
            </w:r>
            <w:r>
              <w:rPr>
                <w:color w:val="000000"/>
                <w:sz w:val="17"/>
              </w:rPr>
              <w:t>32,600 FCFA</w:t>
            </w:r>
          </w:p>
          <w:p>
            <w:r>
              <w:rPr>
                <w:b/>
                <w:color w:val="503200"/>
                <w:sz w:val="16"/>
              </w:rPr>
              <w:t xml:space="preserve">Var. 100 jours : </w:t>
            </w:r>
            <w:r>
              <w:rPr>
                <w:b/>
                <w:color w:val="007800"/>
                <w:sz w:val="17"/>
              </w:rPr>
              <w:t>+38.72%</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23,500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7.49% (Moyenne) — μ=28,122 FCFA, σ=2,106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β=0.5431 (Défensif) — Cov=0.000019, Var(idx)=0.000035, ρ=0.181,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672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31,004</w:t>
            </w:r>
          </w:p>
        </w:tc>
        <w:tc>
          <w:tcPr>
            <w:tcW w:type="dxa" w:w="1440"/>
            <w:shd w:fill="FAFAFA" w:val="clear"/>
          </w:tcPr>
          <w:p>
            <w:r>
              <w:rPr>
                <w:b/>
                <w:sz w:val="17"/>
              </w:rPr>
              <w:t>31,984</w:t>
            </w:r>
          </w:p>
        </w:tc>
        <w:tc>
          <w:tcPr>
            <w:tcW w:type="dxa" w:w="1440"/>
            <w:shd w:fill="FAFAFA" w:val="clear"/>
          </w:tcPr>
          <w:p>
            <w:r>
              <w:rPr>
                <w:sz w:val="17"/>
              </w:rPr>
              <w:t>32,963</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30,108</w:t>
            </w:r>
          </w:p>
        </w:tc>
        <w:tc>
          <w:tcPr>
            <w:tcW w:type="dxa" w:w="1440"/>
            <w:shd w:fill="FFDCE0" w:val="clear"/>
          </w:tcPr>
          <w:p>
            <w:r>
              <w:rPr>
                <w:b/>
                <w:sz w:val="17"/>
              </w:rPr>
              <w:t>31,471</w:t>
            </w:r>
          </w:p>
        </w:tc>
        <w:tc>
          <w:tcPr>
            <w:tcW w:type="dxa" w:w="1440"/>
            <w:shd w:fill="FFDCE0" w:val="clear"/>
          </w:tcPr>
          <w:p>
            <w:r>
              <w:rPr>
                <w:sz w:val="17"/>
              </w:rPr>
              <w:t>32,834</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29,363</w:t>
            </w:r>
          </w:p>
        </w:tc>
        <w:tc>
          <w:tcPr>
            <w:tcW w:type="dxa" w:w="1440"/>
            <w:shd w:fill="FFDCE0" w:val="clear"/>
          </w:tcPr>
          <w:p>
            <w:r>
              <w:rPr>
                <w:b/>
                <w:sz w:val="17"/>
              </w:rPr>
              <w:t>31,008</w:t>
            </w:r>
          </w:p>
        </w:tc>
        <w:tc>
          <w:tcPr>
            <w:tcW w:type="dxa" w:w="1440"/>
            <w:shd w:fill="FFDCE0" w:val="clear"/>
          </w:tcPr>
          <w:p>
            <w:r>
              <w:rPr>
                <w:sz w:val="17"/>
              </w:rPr>
              <w:t>32,652</w:t>
            </w:r>
          </w:p>
        </w:tc>
        <w:tc>
          <w:tcPr>
            <w:tcW w:type="dxa" w:w="1440"/>
            <w:shd w:fill="FFDCE0" w:val="clear"/>
          </w:tcPr>
          <w:p>
            <w:r>
              <w:rPr>
                <w:b/>
                <w:color w:val="C00000"/>
                <w:sz w:val="17"/>
              </w:rPr>
              <w:t>-4.9%</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28,726</w:t>
            </w:r>
          </w:p>
        </w:tc>
        <w:tc>
          <w:tcPr>
            <w:tcW w:type="dxa" w:w="1440"/>
            <w:shd w:fill="FFDCE0" w:val="clear"/>
          </w:tcPr>
          <w:p>
            <w:r>
              <w:rPr>
                <w:b/>
                <w:sz w:val="17"/>
              </w:rPr>
              <w:t>30,601</w:t>
            </w:r>
          </w:p>
        </w:tc>
        <w:tc>
          <w:tcPr>
            <w:tcW w:type="dxa" w:w="1440"/>
            <w:shd w:fill="FFDCE0" w:val="clear"/>
          </w:tcPr>
          <w:p>
            <w:r>
              <w:rPr>
                <w:sz w:val="17"/>
              </w:rPr>
              <w:t>32,475</w:t>
            </w:r>
          </w:p>
        </w:tc>
        <w:tc>
          <w:tcPr>
            <w:tcW w:type="dxa" w:w="1440"/>
            <w:shd w:fill="FFDCE0" w:val="clear"/>
          </w:tcPr>
          <w:p>
            <w:r>
              <w:rPr>
                <w:b/>
                <w:color w:val="C00000"/>
                <w:sz w:val="17"/>
              </w:rPr>
              <w:t>-6.1%</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28,155</w:t>
            </w:r>
          </w:p>
        </w:tc>
        <w:tc>
          <w:tcPr>
            <w:tcW w:type="dxa" w:w="1440"/>
            <w:shd w:fill="FFDCE0" w:val="clear"/>
          </w:tcPr>
          <w:p>
            <w:r>
              <w:rPr>
                <w:b/>
                <w:sz w:val="17"/>
              </w:rPr>
              <w:t>30,225</w:t>
            </w:r>
          </w:p>
        </w:tc>
        <w:tc>
          <w:tcPr>
            <w:tcW w:type="dxa" w:w="1440"/>
            <w:shd w:fill="FFDCE0" w:val="clear"/>
          </w:tcPr>
          <w:p>
            <w:r>
              <w:rPr>
                <w:sz w:val="17"/>
              </w:rPr>
              <w:t>32,295</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27,628</w:t>
            </w:r>
          </w:p>
        </w:tc>
        <w:tc>
          <w:tcPr>
            <w:tcW w:type="dxa" w:w="1440"/>
            <w:shd w:fill="FFDCE0" w:val="clear"/>
          </w:tcPr>
          <w:p>
            <w:r>
              <w:rPr>
                <w:b/>
                <w:sz w:val="17"/>
              </w:rPr>
              <w:t>29,869</w:t>
            </w:r>
          </w:p>
        </w:tc>
        <w:tc>
          <w:tcPr>
            <w:tcW w:type="dxa" w:w="1440"/>
            <w:shd w:fill="FFDCE0" w:val="clear"/>
          </w:tcPr>
          <w:p>
            <w:r>
              <w:rPr>
                <w:sz w:val="17"/>
              </w:rPr>
              <w:t>32,110</w:t>
            </w:r>
          </w:p>
        </w:tc>
        <w:tc>
          <w:tcPr>
            <w:tcW w:type="dxa" w:w="1440"/>
            <w:shd w:fill="FFDCE0" w:val="clear"/>
          </w:tcPr>
          <w:p>
            <w:r>
              <w:rPr>
                <w:b/>
                <w:color w:val="C00000"/>
                <w:sz w:val="17"/>
              </w:rPr>
              <w:t>-8.4%</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27,137</w:t>
            </w:r>
          </w:p>
        </w:tc>
        <w:tc>
          <w:tcPr>
            <w:tcW w:type="dxa" w:w="1440"/>
            <w:shd w:fill="FFDCE0" w:val="clear"/>
          </w:tcPr>
          <w:p>
            <w:r>
              <w:rPr>
                <w:b/>
                <w:sz w:val="17"/>
              </w:rPr>
              <w:t>29,529</w:t>
            </w:r>
          </w:p>
        </w:tc>
        <w:tc>
          <w:tcPr>
            <w:tcW w:type="dxa" w:w="1440"/>
            <w:shd w:fill="FFDCE0" w:val="clear"/>
          </w:tcPr>
          <w:p>
            <w:r>
              <w:rPr>
                <w:sz w:val="17"/>
              </w:rPr>
              <w:t>31,922</w:t>
            </w:r>
          </w:p>
        </w:tc>
        <w:tc>
          <w:tcPr>
            <w:tcW w:type="dxa" w:w="1440"/>
            <w:shd w:fill="FFDCE0" w:val="clear"/>
          </w:tcPr>
          <w:p>
            <w:r>
              <w:rPr>
                <w:b/>
                <w:color w:val="C00000"/>
                <w:sz w:val="17"/>
              </w:rPr>
              <w:t>-9.4%</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26,675</w:t>
            </w:r>
          </w:p>
        </w:tc>
        <w:tc>
          <w:tcPr>
            <w:tcW w:type="dxa" w:w="1440"/>
            <w:shd w:fill="FFDCE0" w:val="clear"/>
          </w:tcPr>
          <w:p>
            <w:r>
              <w:rPr>
                <w:b/>
                <w:sz w:val="17"/>
              </w:rPr>
              <w:t>29,204</w:t>
            </w:r>
          </w:p>
        </w:tc>
        <w:tc>
          <w:tcPr>
            <w:tcW w:type="dxa" w:w="1440"/>
            <w:shd w:fill="FFDCE0" w:val="clear"/>
          </w:tcPr>
          <w:p>
            <w:r>
              <w:rPr>
                <w:sz w:val="17"/>
              </w:rPr>
              <w:t>31,734</w:t>
            </w:r>
          </w:p>
        </w:tc>
        <w:tc>
          <w:tcPr>
            <w:tcW w:type="dxa" w:w="1440"/>
            <w:shd w:fill="FFDCE0" w:val="clear"/>
          </w:tcPr>
          <w:p>
            <w:r>
              <w:rPr>
                <w:b/>
                <w:color w:val="C00000"/>
                <w:sz w:val="17"/>
              </w:rPr>
              <w:t>-10.4%</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26,239</w:t>
            </w:r>
          </w:p>
        </w:tc>
        <w:tc>
          <w:tcPr>
            <w:tcW w:type="dxa" w:w="1440"/>
            <w:shd w:fill="FFDCE0" w:val="clear"/>
          </w:tcPr>
          <w:p>
            <w:r>
              <w:rPr>
                <w:b/>
                <w:sz w:val="17"/>
              </w:rPr>
              <w:t>28,894</w:t>
            </w:r>
          </w:p>
        </w:tc>
        <w:tc>
          <w:tcPr>
            <w:tcW w:type="dxa" w:w="1440"/>
            <w:shd w:fill="FFDCE0" w:val="clear"/>
          </w:tcPr>
          <w:p>
            <w:r>
              <w:rPr>
                <w:sz w:val="17"/>
              </w:rPr>
              <w:t>31,549</w:t>
            </w:r>
          </w:p>
        </w:tc>
        <w:tc>
          <w:tcPr>
            <w:tcW w:type="dxa" w:w="1440"/>
            <w:shd w:fill="FFDCE0" w:val="clear"/>
          </w:tcPr>
          <w:p>
            <w:r>
              <w:rPr>
                <w:b/>
                <w:color w:val="C00000"/>
                <w:sz w:val="17"/>
              </w:rPr>
              <w:t>-11.4%</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25,827</w:t>
            </w:r>
          </w:p>
        </w:tc>
        <w:tc>
          <w:tcPr>
            <w:tcW w:type="dxa" w:w="1440"/>
            <w:shd w:fill="FFDCE0" w:val="clear"/>
          </w:tcPr>
          <w:p>
            <w:r>
              <w:rPr>
                <w:b/>
                <w:sz w:val="17"/>
              </w:rPr>
              <w:t>28,597</w:t>
            </w:r>
          </w:p>
        </w:tc>
        <w:tc>
          <w:tcPr>
            <w:tcW w:type="dxa" w:w="1440"/>
            <w:shd w:fill="FFDCE0" w:val="clear"/>
          </w:tcPr>
          <w:p>
            <w:r>
              <w:rPr>
                <w:sz w:val="17"/>
              </w:rPr>
              <w:t>31,366</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 Bourse Régionale des Valeurs Mobilières (BRVM) — Secteur Bancaire</w:t>
        <w:br/>
        <w:t>### Cours actuel : 32 600 FCFA | Capitalisation : 543,33 Mds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543,33 Mds FCFA, BICC s'impose comme l'une des valeurs bancaires les plus capitalisées de la BRVM, ce qui témoigne de sa stature de blue chip au sein de la cote régionale. Le BPA de 2 191 FCFA/action signifie que chaque titre génère près de 2 200 FCFA de bénéfice net, un niveau élevé qui reflète la forte rentabilité de la banque. Le PER de 14,9x se situe au-dessus de la moyenne BRVM (~8-12x), indiquant que les investisseurs paient une prime modérée pour cette valeur de qualité, justifiée par la croissance à deux chiffres des bénéfices. Le P/B de 4,51x traduit une valorisation nettement supérieure à la valeur comptable (prime &gt;4x), ce qui est exigeant mais cohérent avec un ROE de 30,3% qui justifie amplement un multiple élevé. Enfin, l'EV/EBITDA de 10,8x, dans la fourchette 10-15x, confirme une valorisation élevée mais non déraisonnable au regard de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performance remarquable de +38,72%, passant d'un plus bas de 23 500 FCFA à un plus haut de 34 000 FCFA, avant de clôturer à 32 600 FCFA, soit un recul de -4,12% sur la dernière séance (J-1) qui marque une prise de bénéfices après un rallye soutenu. Le range de trading de 10 500 FCFA (soit ~45% d'amplitude) témoigne d'une tendance nettement haussière sur la période, bien que la correction récente suggère un essoufflement à court terme. Les statistiques descriptives révèlent une moyenne de 28 122 FCFA légèrement inférieure à la médiane de 28 478 FCFA, indiquant une très légère asymétrie négative (distribution quasi-symétrique, confirmée par un skewness de 0,091). L'écart-type de 2 117 FCFA avec un coefficient de variation de 7,5% traduit une dispersion modérée du cours autour de sa moyenne, ce qui est rassurant pour la stabilité du titre. Le kurtosis de 1,060 (leptokurtique) signale des queues épaisses, donc un risque de pics de volatilité brutaux — un élément à surveiller. Enfin, la volatilité annualisée de 28,9% positionne BICC dans la catégorie des titres à volatilité modérée (15-30%), ce qui reste acceptable pour une valeur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La MM20 (30 508,5 FCFA) et la MM50 (29 343,9 FCFA) se situent toutes deux sous le cours actuel (32 600 FCFA), avec la MM20 au-dessus de la MM50 — configuration haussière classique (golden cross). Le cours évoluant au-dessus de ses deux moyennes, la dynamique de fond reste positive, ce qui justifie la décision technique d'**Achat**.</w:t>
      </w:r>
    </w:p>
    <w:p>
      <w:pPr>
        <w:spacing w:after="120" w:line="276" w:lineRule="auto"/>
      </w:pPr>
      <w:r>
        <w:t>**Bandes de Bollinger** : Le cours (32 600 FCFA) se situe dans la partie haute du canal, entre la borne inférieure (26 580 FCFA) et la borne supérieure (34 436,9 FCFA), sans franchir cette dernière. Cette position proche de la borne haute, sans breakout, traduit une volatilité contenue et une décision **Neutre** — le titre n'est ni en surachat extrême ni en zone d'achat agressive.</w:t>
      </w:r>
    </w:p>
    <w:p>
      <w:pPr>
        <w:spacing w:after="120" w:line="276" w:lineRule="auto"/>
      </w:pPr>
      <w:r>
        <w:t>**MACD** : La ligne MACD (1 212,947) surpasse nettement sa ligne de signal (838,954), avec un histogramme positif et croissant. Cette divergence haussière confirme un momentum positif soutenu, justifiant la décision d'**Achat** — la dynamique de court terme reste favorable malgré la correction de J-1.</w:t>
      </w:r>
    </w:p>
    <w:p>
      <w:pPr>
        <w:spacing w:after="120" w:line="276" w:lineRule="auto"/>
      </w:pPr>
      <w:r>
        <w:t>**RSI** : À 69,964, le RSI frôle le seuil de surachat (70) sans le franchir, ce qui place le titre en zone **Neutre** haute. Le momentum reste solide mais approche des niveaux où une consolidation devient probable, ce qui explique la prudence de l'indicateur.</w:t>
      </w:r>
    </w:p>
    <w:p>
      <w:pPr>
        <w:spacing w:after="120" w:line="276" w:lineRule="auto"/>
      </w:pPr>
      <w:r>
        <w:t>**Stochastique** : Le %K (74,074) est nettement inférieur au %D (91,358), avec un croisement baissier en zone haute — signal classique de retournement à court terme. Cette configuration, bien que non confirmée, justifie la décision **Neutre** et suggère une possible poursuite de la correction amorcée en J-1.</w:t>
      </w:r>
    </w:p>
    <w:p>
      <w:pPr>
        <w:spacing w:after="120" w:line="276" w:lineRule="auto"/>
      </w:pPr>
      <w:r>
        <w:t>**Conclusion technique** : Les indicateurs de tendance (MM, MACD) restent haussiers et confirment la solidité du mouvement de fond, tandis que les oscillateurs (RSI, Stochastique, Bollinger) signalent une zone de surachat imminent et un essoufflement à court terme. La convergence des signaux pointe vers une consolidation probable avant une reprise, avec un support technique à surveiller autour de la MM20 (30 500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(équivalent du chiffre d'affaires pour une banque) de 79 563 Mds FCFA, en croissance de +16,90% sur un an, porté par une marge d'intermédiation solide (intérêts perçus de 62 121 Mds FCFA) et des commissions nettes de 26 333 Mds FCFA. Le résultat net s'établit à 36 520 Mds FCFA, avec une marge nette exceptionnelle de 45,90% — parmi les meilleures du secteur bancaire UEMOA. Le ROE atteint 30,29% (largement supérieur au seuil de 15% considéré comme excellent) et le ROA de 3,24%, confirmant une rentabilité des actifs robuste. Le coefficient d'exploitation de 50,83% (inférieur au seuil de 60%) témoigne d'une efficacité opérationnelle remarquable, tandis que le coût du risque rapporté aux charges financières (-12,15%) reste contenu, signalant un portefeuille de crédits de bonne qualité. La structure financière affiche une autonomie financière de 10,71% (faible mais typique du modèle bancaire) et une solvabilité générale de 111,99% (total actif &gt; dettes totales), tandis que la capacité de remboursement de 0,40 an (dettes financières/CAF) est excellente. Le ratio dépôts/crédits (952 872 Mds FCFA de dépôts pour 524 439 Mds FCFA de créances clientèle, soit ~182%) indique une surliquidité confortable, bien que la transformation crédit reste perfectible.</w:t>
      </w:r>
    </w:p>
    <w:p>
      <w:pPr>
        <w:spacing w:after="120" w:line="276" w:lineRule="auto"/>
      </w:pPr>
      <w:r>
        <w:t>**Estimations basées sur les rapports trimestriels** : Selon le rapport du **T1 2026 (publié le 31 mars 2026)**, le PNB progresse de +17,01% à 21 214 MFCFA et le résultat net bondit de +29,66% à 10 387 MFCFA, avec une marge nette en hausse à 49,0% (contre 44,2% au T1 2025). Le rapport du **T3 2025 (30 septembre 2025)** confirme cette dynamique avec un PNB cumulé de 58 119 MFCFA (+16,4%) et un résultat net de 27 402 MFCFA (+50,8%), tandis que le **S1 2025 (30 juin 2025)** affichait déjà un résultat net de 16 253 MFCFA (+42,5%). Sur la base de ces tendances, on estime que l'exercice 2026 devrait enregistrer un PNB supérieur à 90 000 MFCFA et un résultat net approchant 45 000 MFCFA, confirmant la trajectoire de croissance à deux chiffres. Le principal point de vigilance reste la contraction des encours de crédits (-4,47% au T1 2026), compensée par la forte collecte de dépôts (+14,46%), ce qui pourrait peser sur la marge d'intermédiation future si la tendance se prolonge.</w:t>
      </w:r>
    </w:p>
    <w:p>
      <w:pPr>
        <w:spacing w:after="120" w:line="276" w:lineRule="auto"/>
      </w:pPr>
      <w:r>
        <w:t>**Recommandation fondamentale** : La solidité financière de BICC est incontestable — croissance du PNB, rentabilité exceptionnelle (ROE 30,3%), efficacité opérationnelle (coefficient 50,8%) et bilan sain. Les risques identifiés (baisse des crédits, dépendance aux taux, concentration sectorielle) sont modérés et compensés par la qualité de la gestion. La recommandation fondamentale est **ACHAT**, avec un biais positif confirmé par les rapports trimestriels récents.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globalement positive, bien que nuancée par des signaux techniques de court terme. **Sur le plan de la valorisation (Partie 0)**, le PER de 14,9x et le P/B de 4,51x indiquent une légère surévaluation par rapport à la moyenne BRVM, mais cette prime est justifiée par un ROE de 30,3% et une croissance à deux chiffres — le titre n'est donc pas sous-évalué, mais sa qualité intrinsèque soutient le multiple. **Le comportement du cours (Partie 1)** affiche une tendance haussière robuste (+38,72% sur 100 jours) avec une volatilité modérée (28,9%) et une distribution quasi-symétrique (skewness 0,091), bien que le kurtosis de 1,060 signale un risque de pics brutaux — la correction de -4,12% en J-1 illustre ce phénomène. **Les signaux techniques (Partie 2)** sont mitigés : les indicateurs de tendance (MM, MACD) restent haussiers, mais les oscillateurs (RSI à 69,96, Stochastique avec croisement baissier %K&lt;%D) pointent vers une consolidation imminente, ce qui suggère une divergence entre le fond (haussier) et la forme (essoufflement). **Les fondamentaux (Partie 3)** demeurent excellents : PNB 2025 de 79 563 Mds FCFA (+16,9%), résultat net de 36 520 Mds FCFA, ROE de 30,3%, et les rapports T1 2026 (+29,7% de résultat net) confirment la poursuite de la dynamique. **Les prédictions IA (J+1 à J+10)** anticipent une trajectoire baissière à court terme (31 984 FCFA le 11/09 → 30 225 FCFA le 17/09), ce qui contredit les signaux haussiers de fond mais confirme l'essoufflement technique observé.</w:t>
      </w:r>
    </w:p>
    <w:p>
      <w:pPr>
        <w:spacing w:after="120" w:line="276" w:lineRule="auto"/>
      </w:pPr>
      <w:r>
        <w:t>**Recommandation finale : ACHAT** — avec un niveau de confiance **Moyen** et un risque global **Moyen**. La convergence entre fondamentaux solides, tendance de fond haussière et valorisation justifiée soutient une position acheteuse, mais la divergence à court terme (prédictions IA baissières, oscillateurs en surachat) invite à la prudence sur le timing d'entrée. **Horizon d'investissement optimal : moyen terme (3-12 mois)**, en privilégiant une entrée progressive sur repli vers le support de la MM20 (~30 500 FCFA) pour optimiser le point d'entrée, avec un objectif de cours à 36 000-38 000 FCFA intégrant la croissance bénéficiaire attendue pour 2026.</w:t>
      </w:r>
    </w:p>
    <w:p>
      <w:pPr>
        <w:spacing w:after="120" w:line="276" w:lineRule="auto"/>
      </w:pPr>
      <w:r>
        <w:t>---</w:t>
      </w:r>
    </w:p>
    <w:p>
      <w:pPr>
        <w:spacing w:after="120" w:line="276" w:lineRule="auto"/>
      </w:pPr>
      <w:r>
        <w:t>*Rapport généré le 10 septembre 2026 — Sources : BRVM, états financiers BICICI 2025, rapports trimestriels T1 2026, T3 2025, S1 2025, T1 2025, états financiers 2024.*</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14.34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2,831 titres</w:t>
            </w:r>
          </w:p>
        </w:tc>
        <w:tc>
          <w:tcPr>
            <w:tcW w:type="dxa" w:w="2268"/>
            <w:shd w:fill="FFF2CC" w:val="clear"/>
          </w:tcPr>
          <w:p>
            <w:r>
              <w:rPr>
                <w:b/>
                <w:color w:val="503200"/>
                <w:sz w:val="16"/>
              </w:rPr>
              <w:t xml:space="preserve">Cours actuel : </w:t>
            </w:r>
            <w:r>
              <w:rPr>
                <w:color w:val="000000"/>
                <w:sz w:val="17"/>
              </w:rPr>
              <w:t>2,165 FCFA</w:t>
            </w:r>
          </w:p>
          <w:p>
            <w:r>
              <w:rPr>
                <w:b/>
                <w:color w:val="503200"/>
                <w:sz w:val="16"/>
              </w:rPr>
              <w:t xml:space="preserve">Var. 100 jours : </w:t>
            </w:r>
            <w:r>
              <w:rPr>
                <w:b/>
                <w:color w:val="007800"/>
                <w:sz w:val="17"/>
              </w:rPr>
              <w:t>+38.34%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13.23% (Moyenne) — μ=1,832 FCFA, σ=242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β=0.0163 (Défensif) — Cov=0.000001, Var(idx)=0.000035, ρ=0.003,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2,046</w:t>
            </w:r>
          </w:p>
        </w:tc>
        <w:tc>
          <w:tcPr>
            <w:tcW w:type="dxa" w:w="1440"/>
            <w:shd w:fill="FAFAFA" w:val="clear"/>
          </w:tcPr>
          <w:p>
            <w:r>
              <w:rPr>
                <w:b/>
                <w:sz w:val="17"/>
              </w:rPr>
              <w:t>2,146</w:t>
            </w:r>
          </w:p>
        </w:tc>
        <w:tc>
          <w:tcPr>
            <w:tcW w:type="dxa" w:w="1440"/>
            <w:shd w:fill="FAFAFA" w:val="clear"/>
          </w:tcPr>
          <w:p>
            <w:r>
              <w:rPr>
                <w:sz w:val="17"/>
              </w:rPr>
              <w:t>2,247</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2026-09-14</w:t>
            </w:r>
          </w:p>
        </w:tc>
        <w:tc>
          <w:tcPr>
            <w:tcW w:type="dxa" w:w="1440"/>
            <w:shd w:fill="FAFAFA" w:val="clear"/>
          </w:tcPr>
          <w:p>
            <w:r>
              <w:rPr>
                <w:sz w:val="17"/>
              </w:rPr>
              <w:t>2,003</w:t>
            </w:r>
          </w:p>
        </w:tc>
        <w:tc>
          <w:tcPr>
            <w:tcW w:type="dxa" w:w="1440"/>
            <w:shd w:fill="FAFAFA" w:val="clear"/>
          </w:tcPr>
          <w:p>
            <w:r>
              <w:rPr>
                <w:b/>
                <w:sz w:val="17"/>
              </w:rPr>
              <w:t>2,146</w:t>
            </w:r>
          </w:p>
        </w:tc>
        <w:tc>
          <w:tcPr>
            <w:tcW w:type="dxa" w:w="1440"/>
            <w:shd w:fill="FAFAFA" w:val="clear"/>
          </w:tcPr>
          <w:p>
            <w:r>
              <w:rPr>
                <w:sz w:val="17"/>
              </w:rPr>
              <w:t>2,288</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2026-09-15</w:t>
            </w:r>
          </w:p>
        </w:tc>
        <w:tc>
          <w:tcPr>
            <w:tcW w:type="dxa" w:w="1440"/>
            <w:shd w:fill="FAFAFA" w:val="clear"/>
          </w:tcPr>
          <w:p>
            <w:r>
              <w:rPr>
                <w:sz w:val="17"/>
              </w:rPr>
              <w:t>1,965</w:t>
            </w:r>
          </w:p>
        </w:tc>
        <w:tc>
          <w:tcPr>
            <w:tcW w:type="dxa" w:w="1440"/>
            <w:shd w:fill="FAFAFA" w:val="clear"/>
          </w:tcPr>
          <w:p>
            <w:r>
              <w:rPr>
                <w:b/>
                <w:sz w:val="17"/>
              </w:rPr>
              <w:t>2,139</w:t>
            </w:r>
          </w:p>
        </w:tc>
        <w:tc>
          <w:tcPr>
            <w:tcW w:type="dxa" w:w="1440"/>
            <w:shd w:fill="FAFAFA" w:val="clear"/>
          </w:tcPr>
          <w:p>
            <w:r>
              <w:rPr>
                <w:sz w:val="17"/>
              </w:rPr>
              <w:t>2,312</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1,933</w:t>
            </w:r>
          </w:p>
        </w:tc>
        <w:tc>
          <w:tcPr>
            <w:tcW w:type="dxa" w:w="1440"/>
            <w:shd w:fill="FAFAFA" w:val="clear"/>
          </w:tcPr>
          <w:p>
            <w:r>
              <w:rPr>
                <w:b/>
                <w:sz w:val="17"/>
              </w:rPr>
              <w:t>2,132</w:t>
            </w:r>
          </w:p>
        </w:tc>
        <w:tc>
          <w:tcPr>
            <w:tcW w:type="dxa" w:w="1440"/>
            <w:shd w:fill="FAFAFA" w:val="clear"/>
          </w:tcPr>
          <w:p>
            <w:r>
              <w:rPr>
                <w:sz w:val="17"/>
              </w:rPr>
              <w:t>2,332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2026-09-17</w:t>
            </w:r>
          </w:p>
        </w:tc>
        <w:tc>
          <w:tcPr>
            <w:tcW w:type="dxa" w:w="1440"/>
            <w:shd w:fill="FAFAFA" w:val="clear"/>
          </w:tcPr>
          <w:p>
            <w:r>
              <w:rPr>
                <w:sz w:val="17"/>
              </w:rPr>
              <w:t>1,905</w:t>
            </w:r>
          </w:p>
        </w:tc>
        <w:tc>
          <w:tcPr>
            <w:tcW w:type="dxa" w:w="1440"/>
            <w:shd w:fill="FAFAFA" w:val="clear"/>
          </w:tcPr>
          <w:p>
            <w:r>
              <w:rPr>
                <w:b/>
                <w:sz w:val="17"/>
              </w:rPr>
              <w:t>2,127</w:t>
            </w:r>
          </w:p>
        </w:tc>
        <w:tc>
          <w:tcPr>
            <w:tcW w:type="dxa" w:w="1440"/>
            <w:shd w:fill="FAFAFA" w:val="clear"/>
          </w:tcPr>
          <w:p>
            <w:r>
              <w:rPr>
                <w:sz w:val="17"/>
              </w:rPr>
              <w:t>2,350</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2026-09-18</w:t>
            </w:r>
          </w:p>
        </w:tc>
        <w:tc>
          <w:tcPr>
            <w:tcW w:type="dxa" w:w="1440"/>
            <w:shd w:fill="FAFAFA" w:val="clear"/>
          </w:tcPr>
          <w:p>
            <w:r>
              <w:rPr>
                <w:sz w:val="17"/>
              </w:rPr>
              <w:t>1,879</w:t>
            </w:r>
          </w:p>
        </w:tc>
        <w:tc>
          <w:tcPr>
            <w:tcW w:type="dxa" w:w="1440"/>
            <w:shd w:fill="FAFAFA" w:val="clear"/>
          </w:tcPr>
          <w:p>
            <w:r>
              <w:rPr>
                <w:b/>
                <w:sz w:val="17"/>
              </w:rPr>
              <w:t>2,123</w:t>
            </w:r>
          </w:p>
        </w:tc>
        <w:tc>
          <w:tcPr>
            <w:tcW w:type="dxa" w:w="1440"/>
            <w:shd w:fill="FAFAFA" w:val="clear"/>
          </w:tcPr>
          <w:p>
            <w:r>
              <w:rPr>
                <w:sz w:val="17"/>
              </w:rPr>
              <w:t>2,366</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1,856</w:t>
            </w:r>
          </w:p>
        </w:tc>
        <w:tc>
          <w:tcPr>
            <w:tcW w:type="dxa" w:w="1440"/>
            <w:shd w:fill="FFDCE0" w:val="clear"/>
          </w:tcPr>
          <w:p>
            <w:r>
              <w:rPr>
                <w:b/>
                <w:sz w:val="17"/>
              </w:rPr>
              <w:t>2,118</w:t>
            </w:r>
          </w:p>
        </w:tc>
        <w:tc>
          <w:tcPr>
            <w:tcW w:type="dxa" w:w="1440"/>
            <w:shd w:fill="FFDCE0" w:val="clear"/>
          </w:tcPr>
          <w:p>
            <w:r>
              <w:rPr>
                <w:sz w:val="17"/>
              </w:rPr>
              <w:t>2,381</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1,834</w:t>
            </w:r>
          </w:p>
        </w:tc>
        <w:tc>
          <w:tcPr>
            <w:tcW w:type="dxa" w:w="1440"/>
            <w:shd w:fill="FFDCE0" w:val="clear"/>
          </w:tcPr>
          <w:p>
            <w:r>
              <w:rPr>
                <w:b/>
                <w:sz w:val="17"/>
              </w:rPr>
              <w:t>2,114</w:t>
            </w:r>
          </w:p>
        </w:tc>
        <w:tc>
          <w:tcPr>
            <w:tcW w:type="dxa" w:w="1440"/>
            <w:shd w:fill="FFDCE0" w:val="clear"/>
          </w:tcPr>
          <w:p>
            <w:r>
              <w:rPr>
                <w:sz w:val="17"/>
              </w:rPr>
              <w:t>2,394</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1,813</w:t>
            </w:r>
          </w:p>
        </w:tc>
        <w:tc>
          <w:tcPr>
            <w:tcW w:type="dxa" w:w="1440"/>
            <w:shd w:fill="FFDCE0" w:val="clear"/>
          </w:tcPr>
          <w:p>
            <w:r>
              <w:rPr>
                <w:b/>
                <w:sz w:val="17"/>
              </w:rPr>
              <w:t>2,110</w:t>
            </w:r>
          </w:p>
        </w:tc>
        <w:tc>
          <w:tcPr>
            <w:tcW w:type="dxa" w:w="1440"/>
            <w:shd w:fill="FFDCE0" w:val="clear"/>
          </w:tcPr>
          <w:p>
            <w:r>
              <w:rPr>
                <w:sz w:val="17"/>
              </w:rPr>
              <w:t>2,407</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1,794</w:t>
            </w:r>
          </w:p>
        </w:tc>
        <w:tc>
          <w:tcPr>
            <w:tcW w:type="dxa" w:w="1440"/>
            <w:shd w:fill="FFDCE0" w:val="clear"/>
          </w:tcPr>
          <w:p>
            <w:r>
              <w:rPr>
                <w:b/>
                <w:sz w:val="17"/>
              </w:rPr>
              <w:t>2,106</w:t>
            </w:r>
          </w:p>
        </w:tc>
        <w:tc>
          <w:tcPr>
            <w:tcW w:type="dxa" w:w="1440"/>
            <w:shd w:fill="FFDCE0" w:val="clear"/>
          </w:tcPr>
          <w:p>
            <w:r>
              <w:rPr>
                <w:sz w:val="17"/>
              </w:rPr>
              <w:t>2,418</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*Marché : BRVM | Secteur : Entreprise (Distribution de matériaux de construction et équipements)*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14,34 Mds FCFA, BNBC se situe dans la catégorie des petites capitalisations de la BRVM, ce qui implique une liquidité limitée et une sensibilité accrue aux mouvements de faible volume. Le BPA de 3 FCFA/action est extrêmement faible, reflétant un résultat net de seulement 22,3 millions FCFA pour un chiffre d'affaires de 42,45 Mds FCFA. Le PER de 642,6x est aberrant et traduit une décorrélation totale entre le prix de marché et la capacité bénéficiaire : les investisseurs paient plus de 640 fois les bénéfices, contre une moyenne BRVM de 8-12x, signalant une surévaluation manifeste sur base bénéficiaire. À l'inverse, le P/B de 0,81x indique que le marché valorise l'action en dessous de sa valeur comptable (capitaux propres de 17,77 Mds FCFA), ce qui constitue une opportunité théorique mais qui doit être pondérée par la faible qualité des actifs (stocks de 28,95 Mds FCFA et créances clients de 12,31 Mds FCFA représentant 84% du total actif). Enfin, l'EV/EBITDA de 24,8x est très exigeant (seuil usuel : &gt;15x), signifiant que la valeur d'entreprise intègre une prime spéculative que la génération de cash-flow opérationnel (EBE de 2,01 Mds FCFA) ne justifie pas pleinement.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affiche une performance remarquable de +38,34%, avec une dernière séance en hausse de +2,12%, portant le cours à 2 165 FCFA. Le range de trading est très large, oscillant entre un plus bas de 1 300 FCFA et un plus haut de 2 400 FCFA, soit une amplitude de 84,6% qui témoigne d'une forte volatilité et d'un intérêt spéculatif marqué. La tendance générale est nettement haussière, le cours actuel se situant à 11% sous son plus haut mais à 66% au-dessus de son plus bas, suggérant une consolidation après un rallye. Les statistiques descriptives révèlent une moyenne de 1 832 FCFA légèrement inférieure à la médiane de 1 895 FCFA, indiquant une asymétrie négative modérée (skewness de -0,197 confirmant une distribution quasi-symétrique avec une légère queue à gauche). L'écart-type de 244 FCFA et le coefficient de variation de 13,3% traduisent une dispersion modérée du cours autour de sa moyenne. Le kurtosis de -0,643 (mésokurtique) indique une distribution proche de la normale, sans risque de pics extrêmes prononcé. La volatilité annualisée de 51,9% classe le titre dans la catégorie des valeurs à volatilité élevée (&gt;30%), ce qui est cohérent avec sa faible capitalisation et sa liquidité limitée (volume moyen de 2 831 titres/jour).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(2 119,75 FCFA) et la MM50 (1 997,60 FCFA) sont toutes deux inférieures au cours actuel de 2 165 FCFA, avec la MM20 au-dessus de la MM50, configurant un croisement haussier classique. Cette configuration en "golden cross" confirme la dynamique positive de court et moyen terme, justifiant la décision d'achat. Le cours évolue au-dessus de ses deux moyennes, ce qui constitue un signal de force.</w:t>
      </w:r>
    </w:p>
    <w:p>
      <w:pPr>
        <w:spacing w:after="120" w:line="276" w:lineRule="auto"/>
      </w:pPr>
      <w:r>
        <w:t>**Bandes de Bollinger** : Le cours actuel (2 165 FCFA) se situe dans la partie médiane-haute de la bande, entre la borne inférieure (1 856,24 FCFA) et la borne supérieure (2 383,26 FCFA). L'écart entre les bornes (527 FCFA) reflète une volatilité encore élevée. La décision neutre s'explique par l'absence de signal extrême : le cours n'est ni en surachat (proche borne supérieure) ni en survente (proche borne inférieure), laissant présager une poursuite de la tendance actuelle.</w:t>
      </w:r>
    </w:p>
    <w:p>
      <w:pPr>
        <w:spacing w:after="120" w:line="276" w:lineRule="auto"/>
      </w:pPr>
      <w:r>
        <w:t>**MACD** : La valeur du MACD (50,311) est inférieure à son signal (63,852), générant une divergence baissière et justifiant la décision de vente. Cette configuration indique un essoufflement du momentum haussier, bien que les deux lignes restent en territoire positif. La convergence à la baisse du MACD vers son signal suggère une possible correction à court terme.</w:t>
      </w:r>
    </w:p>
    <w:p>
      <w:pPr>
        <w:spacing w:after="120" w:line="276" w:lineRule="auto"/>
      </w:pPr>
      <w:r>
        <w:t>**RSI** : À 59,777, le RSI se situe en zone neutre (30-70), sans signal de surachat (&gt;70) ni de survente (&lt;30). Cette valeur modérée indique que le titre conserve un potentiel de hausse sans être dans une zone d'épuisement, justifiant la décision neutre.</w:t>
      </w:r>
    </w:p>
    <w:p>
      <w:pPr>
        <w:spacing w:after="120" w:line="276" w:lineRule="auto"/>
      </w:pPr>
      <w:r>
        <w:t>**Stochastique** : Le %K (42,683) est supérieur au %D (29,268), avec un croisement récent à la hausse du %K au-dessus du %D, ce qui constitue un signal d'achat potentiel. Cependant, les deux lignes se situent en zone basse (proche de 20-30), ce qui tempère le signal et justifie la décision neutre.</w:t>
      </w:r>
    </w:p>
    <w:p>
      <w:pPr>
        <w:spacing w:after="120" w:line="276" w:lineRule="auto"/>
      </w:pPr>
      <w:r>
        <w:t>**Conclusion technique** : Les indicateurs présentent une divergence notable : les moyennes mobiles confirment une tendance haussière de fond, tandis que le MACD signale un essoufflement du momentum et que le RSI et le stochastique restent neutres. Cette configuration suggère une phase de consolidation possible avant une reprise ou une correction. La convergence partielle des signaux (2 haussiers, 1 baissier, 2 neutres) plaide pour une prudence à court terme, avec une surveillance accrue du MACD et du stochastique pour confirmer la direction.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BNBC a réalisé un chiffre d'affaires de 42,454 Mds FCFA, en baisse de 6,31% par rapport à 2024 (45,312 Mds FCFA), signalant une contraction de l'activité commerciale. Le résultat net s'établit à 22,318 millions FCFA, en amélioration de 205% par rapport à 2024 (7,313 millions FCFA), mais la marge nette reste quasi-nulle à 0,0526%. Le ROE est de 0,1256% et le ROA de 0,0454%, des niveaux extrêmement faibles qui traduisent une rentabilité anémique. La structure financière révèle une autonomie financière de 36,16% (capitaux propres de 17,77 Mds FCFA), un ratio d'endettement de 105,48% et une trésorerie nette fortement négative de -16,689 Mds FCFA, créant un risque de liquidité majeur. Le BFR de 29,373 Mds FCFA est financé par des découverts bancaires, et les délais d'exploitation sont préoccupants : 104,40 jours pour les clients (risque de recouvrement), 339,23 jours pour les stocks (immobilisation massive de capital) et 116,09 jours pour les fournisseurs (bon pour la trésorerie mais insuffisant pour compenser).</w:t>
      </w:r>
    </w:p>
    <w:p>
      <w:pPr>
        <w:spacing w:after="120" w:line="276" w:lineRule="auto"/>
      </w:pPr>
      <w:r>
        <w:t>**Adaptation au secteur ENTREPRISE** : Les délais clients élevés (104 jours) et la durée de stockage très longue (339 jours) constituent des facteurs de risque majeurs pour la trésorerie, expliquant la trésorerie nette négative. Le BFR de 29,37 Mds FCFA représente 69% du chiffre d'affaires, un niveau insoutenable qui nécessite une refonte de la gestion du fonds de roulement.</w:t>
      </w:r>
    </w:p>
    <w:p>
      <w:pPr>
        <w:spacing w:after="120" w:line="276" w:lineRule="auto"/>
      </w:pPr>
      <w:r>
        <w:t>**Estimations basées sur les rapports trimestriels** : Le rapport du T1 2026 (publié le 30 juin 2026) indique un chiffre d'affaires stable à 11,194 Mds FCFA (-0,12% vs T1 2025) et un résultat net positif de 65,566 millions FCFA, contre une perte de 16,147 millions au T1 2025, soit une amélioration spectaculaire de 81,7 millions FCFA. Cette performance est toutefois impactée par l'intégration de la division Équipement (au 1er janvier 2026), encore en phase de montée en puissance. On estime que l'exercice 2026 devrait bénéficier de la montée en puissance des divisions Équipement et Power, ainsi que du développement de l'activité Matériaux via le nouveau showroom Technibat KM4, mais le retour à une rentabilité durable reste incertain. Le rapport du T3 2025 (30 septembre 2025) faisait état d'une perte nette cumulée de -157,03 millions FCFA, avec un objectif d'équilibre en fin d'année 2025, objectif finalement atteint avec un résultat net annuel de 22,3 millions FCFA.</w:t>
      </w:r>
    </w:p>
    <w:p>
      <w:pPr>
        <w:spacing w:after="120" w:line="276" w:lineRule="auto"/>
      </w:pPr>
      <w:r>
        <w:t>**Évolution pluriannuelle** : En 2024, le résultat net était de 7,313 millions FCFA (marge nette de 0,016%) et en 2023 de 35,581 millions FCFA, montrant une dégradation continue depuis 2021 (1,6 milliard FCFA de résultat net, marge nette de 3,6%). La tendance est donc à une érosion structurelle de la rentabilité, malgré une légère amélioration en 2025.</w:t>
      </w:r>
    </w:p>
    <w:p>
      <w:pPr>
        <w:spacing w:after="120" w:line="276" w:lineRule="auto"/>
      </w:pPr>
      <w:r>
        <w:t>**Recommandation fondamentale** : La situation financière de BNBC reste critique : rentabilité quasi-nulle, trésorerie négative massive, BFR insoutenable et absence de dividende depuis plusieurs exercices. Le retour à un résultat net positif au T1 2026 est encourageant mais fragile, car il dépend de facteurs non récurrents et de la montée en puissance incertaine des nouvelles divisions. La solidité des capitaux propres (17,77 Mds FCFA) et l'autonomie financière correcte (36,16%) constituent les seuls points d'appui, mais ils sont insuffisants pour compenser les risques opérationnels et de liquidité.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très contrasté. **Sur le plan de la valorisation (Partie 0)**, le PER de 642,6x signale une surévaluation manifeste sur base bénéficiaire, tandis que le P/B de 0,81x suggère une sous-évaluation comptable, créant une divergence qui reflète la faible qualité des actifs et la méfiance du marché. **Le comportement du cours (Partie 1)** est haussier (+38,34% sur 100 jours) avec une volatilité élevée (51,9%) et une distribution quasi-normale (kurtosis de -0,643, skewness de -0,197), ce qui est préoccupant pour un investisseur averse au risque mais attractif pour un spéculateur. **Les signaux techniques (Partie 2)** sont mitigés : les moyennes mobiles confirment la tendance haussière, mais le MACD signale un essoufflement, et le RSI/stochastique restent neutres, plaidant pour une consolidation. **Les fondamentaux (Partie 3)** sont fragiles : rentabilité quasi-nulle (ROE de 0,13%, ROA de 0,05%), trésorerie négative de -16,69 Mds FCFA, BFR insoutenable et absence de dividende, malgré une amélioration du résultat net en 2025 et un T1 2026 positif. **Les prédictions IA (J+1 à J+10)** anticipent une légère baisse du cours de 2 146 FCFA à 2 127 FCFA, contredisant la dynamique haussière récente et suggérant une correction imminente.</w:t>
      </w:r>
    </w:p>
    <w:p>
      <w:pPr>
        <w:spacing w:after="120" w:line="276" w:lineRule="auto"/>
      </w:pPr>
      <w:r>
        <w:t>**Recommandation finale : CONSERVER (avec surveillance accrue)**. Cette recommandation résulte d'une convergence partielle des signaux : la valorisation est contradictoire (surévaluée sur les bénéfices, sous-évaluée sur les fonds propres), la technique est mitigée (tendance haussière mais momentum faiblissant), les fondamentaux sont fragiles mais en amélioration, et les prédictions IA anticipent une correction. Le niveau de confiance est **Moyen**, car les signaux sont divergents et la visibilité sur la rentabilité future reste limitée. Le niveau de risque global est **Élevé**, en raison de la trésorerie négative, du BFR insoutenable et de la dépendance aux nouvelles divisions. L'horizon d'investissement optimal est **court terme (&lt;3 mois)** pour les investisseurs spéculatifs cherchant à profiter de la volatilité, ou **moyen terme (3-12 mois)** pour les investisseurs patients attendant la confirmation de la reprise des bénéfices au T2 2026. Une dégradation supplémentaire des fondamentaux ou une cassure technique à la baisse justifierait un passage à la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406.83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5,959 titres</w:t>
            </w:r>
          </w:p>
        </w:tc>
        <w:tc>
          <w:tcPr>
            <w:tcW w:type="dxa" w:w="2268"/>
            <w:shd w:fill="FFF2CC" w:val="clear"/>
          </w:tcPr>
          <w:p>
            <w:r>
              <w:rPr>
                <w:b/>
                <w:color w:val="503200"/>
                <w:sz w:val="16"/>
              </w:rPr>
              <w:t xml:space="preserve">Cours actuel : </w:t>
            </w:r>
            <w:r>
              <w:rPr>
                <w:color w:val="000000"/>
                <w:sz w:val="17"/>
              </w:rPr>
              <w:t>10,030 FCFA</w:t>
            </w:r>
          </w:p>
          <w:p>
            <w:r>
              <w:rPr>
                <w:b/>
                <w:color w:val="503200"/>
                <w:sz w:val="16"/>
              </w:rPr>
              <w:t xml:space="preserve">Var. 100 jours : </w:t>
            </w:r>
            <w:r>
              <w:rPr>
                <w:b/>
                <w:color w:val="007800"/>
                <w:sz w:val="17"/>
              </w:rPr>
              <w:t>+25.61%</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7,985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6.30% (Moyenne) — μ=9,023 FCFA, σ=568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β=-0.1825 (Contre-cyclique) — Cov=-0.000006, Var(idx)=0.000035, ρ=-0.066,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9,347</w:t>
            </w:r>
          </w:p>
        </w:tc>
        <w:tc>
          <w:tcPr>
            <w:tcW w:type="dxa" w:w="1440"/>
            <w:shd w:fill="FFDCE0" w:val="clear"/>
          </w:tcPr>
          <w:p>
            <w:r>
              <w:rPr>
                <w:b/>
                <w:sz w:val="17"/>
              </w:rPr>
              <w:t>9,685</w:t>
            </w:r>
          </w:p>
        </w:tc>
        <w:tc>
          <w:tcPr>
            <w:tcW w:type="dxa" w:w="1440"/>
            <w:shd w:fill="FFDCE0" w:val="clear"/>
          </w:tcPr>
          <w:p>
            <w:r>
              <w:rPr>
                <w:sz w:val="17"/>
              </w:rPr>
              <w:t>10,022</w:t>
            </w:r>
          </w:p>
        </w:tc>
        <w:tc>
          <w:tcPr>
            <w:tcW w:type="dxa" w:w="1440"/>
            <w:shd w:fill="FFDCE0" w:val="clear"/>
          </w:tcPr>
          <w:p>
            <w:r>
              <w:rPr>
                <w:b/>
                <w:color w:val="C00000"/>
                <w:sz w:val="17"/>
              </w:rPr>
              <w:t>-3.4%</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8,999</w:t>
            </w:r>
          </w:p>
        </w:tc>
        <w:tc>
          <w:tcPr>
            <w:tcW w:type="dxa" w:w="1440"/>
            <w:shd w:fill="FFDCE0" w:val="clear"/>
          </w:tcPr>
          <w:p>
            <w:r>
              <w:rPr>
                <w:b/>
                <w:sz w:val="17"/>
              </w:rPr>
              <w:t>9,465</w:t>
            </w:r>
          </w:p>
        </w:tc>
        <w:tc>
          <w:tcPr>
            <w:tcW w:type="dxa" w:w="1440"/>
            <w:shd w:fill="FFDCE0" w:val="clear"/>
          </w:tcPr>
          <w:p>
            <w:r>
              <w:rPr>
                <w:sz w:val="17"/>
              </w:rPr>
              <w:t>9,932</w:t>
            </w:r>
          </w:p>
        </w:tc>
        <w:tc>
          <w:tcPr>
            <w:tcW w:type="dxa" w:w="1440"/>
            <w:shd w:fill="FFDCE0" w:val="clear"/>
          </w:tcPr>
          <w:p>
            <w:r>
              <w:rPr>
                <w:b/>
                <w:color w:val="C00000"/>
                <w:sz w:val="17"/>
              </w:rPr>
              <w:t>-5.6%</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8,720</w:t>
            </w:r>
          </w:p>
        </w:tc>
        <w:tc>
          <w:tcPr>
            <w:tcW w:type="dxa" w:w="1440"/>
            <w:shd w:fill="FFDCE0" w:val="clear"/>
          </w:tcPr>
          <w:p>
            <w:r>
              <w:rPr>
                <w:b/>
                <w:sz w:val="17"/>
              </w:rPr>
              <w:t>9,280</w:t>
            </w:r>
          </w:p>
        </w:tc>
        <w:tc>
          <w:tcPr>
            <w:tcW w:type="dxa" w:w="1440"/>
            <w:shd w:fill="FFDCE0" w:val="clear"/>
          </w:tcPr>
          <w:p>
            <w:r>
              <w:rPr>
                <w:sz w:val="17"/>
              </w:rPr>
              <w:t>9,840</w:t>
            </w:r>
          </w:p>
        </w:tc>
        <w:tc>
          <w:tcPr>
            <w:tcW w:type="dxa" w:w="1440"/>
            <w:shd w:fill="FFDCE0" w:val="clear"/>
          </w:tcPr>
          <w:p>
            <w:r>
              <w:rPr>
                <w:b/>
                <w:color w:val="C00000"/>
                <w:sz w:val="17"/>
              </w:rPr>
              <w:t>-7.5%</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8,488</w:t>
            </w:r>
          </w:p>
        </w:tc>
        <w:tc>
          <w:tcPr>
            <w:tcW w:type="dxa" w:w="1440"/>
            <w:shd w:fill="FFDCE0" w:val="clear"/>
          </w:tcPr>
          <w:p>
            <w:r>
              <w:rPr>
                <w:b/>
                <w:sz w:val="17"/>
              </w:rPr>
              <w:t>9,124</w:t>
            </w:r>
          </w:p>
        </w:tc>
        <w:tc>
          <w:tcPr>
            <w:tcW w:type="dxa" w:w="1440"/>
            <w:shd w:fill="FFDCE0" w:val="clear"/>
          </w:tcPr>
          <w:p>
            <w:r>
              <w:rPr>
                <w:sz w:val="17"/>
              </w:rPr>
              <w:t>9,760</w:t>
            </w:r>
          </w:p>
        </w:tc>
        <w:tc>
          <w:tcPr>
            <w:tcW w:type="dxa" w:w="1440"/>
            <w:shd w:fill="FFDCE0" w:val="clear"/>
          </w:tcPr>
          <w:p>
            <w:r>
              <w:rPr>
                <w:b/>
                <w:color w:val="C00000"/>
                <w:sz w:val="17"/>
              </w:rPr>
              <w:t>-9.0%</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8,283</w:t>
            </w:r>
          </w:p>
        </w:tc>
        <w:tc>
          <w:tcPr>
            <w:tcW w:type="dxa" w:w="1440"/>
            <w:shd w:fill="FFDCE0" w:val="clear"/>
          </w:tcPr>
          <w:p>
            <w:r>
              <w:rPr>
                <w:b/>
                <w:sz w:val="17"/>
              </w:rPr>
              <w:t>8,984</w:t>
            </w:r>
          </w:p>
        </w:tc>
        <w:tc>
          <w:tcPr>
            <w:tcW w:type="dxa" w:w="1440"/>
            <w:shd w:fill="FFDCE0" w:val="clear"/>
          </w:tcPr>
          <w:p>
            <w:r>
              <w:rPr>
                <w:sz w:val="17"/>
              </w:rPr>
              <w:t>9,684</w:t>
            </w:r>
          </w:p>
        </w:tc>
        <w:tc>
          <w:tcPr>
            <w:tcW w:type="dxa" w:w="1440"/>
            <w:shd w:fill="FFDCE0" w:val="clear"/>
          </w:tcPr>
          <w:p>
            <w:r>
              <w:rPr>
                <w:b/>
                <w:color w:val="C00000"/>
                <w:sz w:val="17"/>
              </w:rPr>
              <w:t>-10.4%</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8,097</w:t>
            </w:r>
          </w:p>
        </w:tc>
        <w:tc>
          <w:tcPr>
            <w:tcW w:type="dxa" w:w="1440"/>
            <w:shd w:fill="FFDCE0" w:val="clear"/>
          </w:tcPr>
          <w:p>
            <w:r>
              <w:rPr>
                <w:b/>
                <w:sz w:val="17"/>
              </w:rPr>
              <w:t>8,853</w:t>
            </w:r>
          </w:p>
        </w:tc>
        <w:tc>
          <w:tcPr>
            <w:tcW w:type="dxa" w:w="1440"/>
            <w:shd w:fill="FFDCE0" w:val="clear"/>
          </w:tcPr>
          <w:p>
            <w:r>
              <w:rPr>
                <w:sz w:val="17"/>
              </w:rPr>
              <w:t>9,609</w:t>
            </w:r>
          </w:p>
        </w:tc>
        <w:tc>
          <w:tcPr>
            <w:tcW w:type="dxa" w:w="1440"/>
            <w:shd w:fill="FFDCE0" w:val="clear"/>
          </w:tcPr>
          <w:p>
            <w:r>
              <w:rPr>
                <w:b/>
                <w:color w:val="C00000"/>
                <w:sz w:val="17"/>
              </w:rPr>
              <w:t>-11.7%</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7,926</w:t>
            </w:r>
          </w:p>
        </w:tc>
        <w:tc>
          <w:tcPr>
            <w:tcW w:type="dxa" w:w="1440"/>
            <w:shd w:fill="FFDCE0" w:val="clear"/>
          </w:tcPr>
          <w:p>
            <w:r>
              <w:rPr>
                <w:b/>
                <w:sz w:val="17"/>
              </w:rPr>
              <w:t>8,731</w:t>
            </w:r>
          </w:p>
        </w:tc>
        <w:tc>
          <w:tcPr>
            <w:tcW w:type="dxa" w:w="1440"/>
            <w:shd w:fill="FFDCE0" w:val="clear"/>
          </w:tcPr>
          <w:p>
            <w:r>
              <w:rPr>
                <w:sz w:val="17"/>
              </w:rPr>
              <w:t>9,536</w:t>
            </w:r>
          </w:p>
        </w:tc>
        <w:tc>
          <w:tcPr>
            <w:tcW w:type="dxa" w:w="1440"/>
            <w:shd w:fill="FFDCE0" w:val="clear"/>
          </w:tcPr>
          <w:p>
            <w:r>
              <w:rPr>
                <w:b/>
                <w:color w:val="C00000"/>
                <w:sz w:val="17"/>
              </w:rPr>
              <w:t>-13.0%</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7,767</w:t>
            </w:r>
          </w:p>
        </w:tc>
        <w:tc>
          <w:tcPr>
            <w:tcW w:type="dxa" w:w="1440"/>
            <w:shd w:fill="FFDCE0" w:val="clear"/>
          </w:tcPr>
          <w:p>
            <w:r>
              <w:rPr>
                <w:b/>
                <w:sz w:val="17"/>
              </w:rPr>
              <w:t>8,616</w:t>
            </w:r>
          </w:p>
        </w:tc>
        <w:tc>
          <w:tcPr>
            <w:tcW w:type="dxa" w:w="1440"/>
            <w:shd w:fill="FFDCE0" w:val="clear"/>
          </w:tcPr>
          <w:p>
            <w:r>
              <w:rPr>
                <w:sz w:val="17"/>
              </w:rPr>
              <w:t>9,466</w:t>
            </w:r>
          </w:p>
        </w:tc>
        <w:tc>
          <w:tcPr>
            <w:tcW w:type="dxa" w:w="1440"/>
            <w:shd w:fill="FFDCE0" w:val="clear"/>
          </w:tcPr>
          <w:p>
            <w:r>
              <w:rPr>
                <w:b/>
                <w:color w:val="C00000"/>
                <w:sz w:val="17"/>
              </w:rPr>
              <w:t>-14.1%</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7,618</w:t>
            </w:r>
          </w:p>
        </w:tc>
        <w:tc>
          <w:tcPr>
            <w:tcW w:type="dxa" w:w="1440"/>
            <w:shd w:fill="FFDCE0" w:val="clear"/>
          </w:tcPr>
          <w:p>
            <w:r>
              <w:rPr>
                <w:b/>
                <w:sz w:val="17"/>
              </w:rPr>
              <w:t>8,508</w:t>
            </w:r>
          </w:p>
        </w:tc>
        <w:tc>
          <w:tcPr>
            <w:tcW w:type="dxa" w:w="1440"/>
            <w:shd w:fill="FFDCE0" w:val="clear"/>
          </w:tcPr>
          <w:p>
            <w:r>
              <w:rPr>
                <w:sz w:val="17"/>
              </w:rPr>
              <w:t>9,398</w:t>
            </w:r>
          </w:p>
        </w:tc>
        <w:tc>
          <w:tcPr>
            <w:tcW w:type="dxa" w:w="1440"/>
            <w:shd w:fill="FFDCE0" w:val="clear"/>
          </w:tcPr>
          <w:p>
            <w:r>
              <w:rPr>
                <w:b/>
                <w:color w:val="C00000"/>
                <w:sz w:val="17"/>
              </w:rPr>
              <w:t>-15.2%</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7,479</w:t>
            </w:r>
          </w:p>
        </w:tc>
        <w:tc>
          <w:tcPr>
            <w:tcW w:type="dxa" w:w="1440"/>
            <w:shd w:fill="FFDCE0" w:val="clear"/>
          </w:tcPr>
          <w:p>
            <w:r>
              <w:rPr>
                <w:b/>
                <w:sz w:val="17"/>
              </w:rPr>
              <w:t>8,406</w:t>
            </w:r>
          </w:p>
        </w:tc>
        <w:tc>
          <w:tcPr>
            <w:tcW w:type="dxa" w:w="1440"/>
            <w:shd w:fill="FFDCE0" w:val="clear"/>
          </w:tcPr>
          <w:p>
            <w:r>
              <w:rPr>
                <w:sz w:val="17"/>
              </w:rPr>
              <w:t>9,332</w:t>
            </w:r>
          </w:p>
        </w:tc>
        <w:tc>
          <w:tcPr>
            <w:tcW w:type="dxa" w:w="1440"/>
            <w:shd w:fill="FFDCE0" w:val="clear"/>
          </w:tcPr>
          <w:p>
            <w:r>
              <w:rPr>
                <w:b/>
                <w:color w:val="C00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406,83 milliards FCFA, BOAB s'impose comme l'une des valeurs bancaires de référence de la cote BRVM, reflétant la solidité de son bilan de 964,663 milliards FCFA. Le BPA de 496 FCFA/action signifie que chaque titre génère près de 500 FCFA de bénéfice net, un niveau appréciable pour le secteur. Le PER de 20,2x traduit toutefois une valorisation nettement supérieure à la moyenne du marché BRVM (8-12x), signalant que les investisseurs anticipent une croissance soutenue ou, à l'inverse, qu'un risque de surévaluation existe. Le P/B de 3,46x indique que le marché valorise la banque à plus de trois fois sa valeur comptable (117,507 Mds FCFA de capitaux propres), soit une prime de croissance significative. Enfin, l'EV/EBITDA de 20,5x, très exigeant (&gt;15x), confirme que la valeur d'entreprise intègre des attentes de rentabilité opérationnelle élevées,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 affiche une performance remarquable de +25,61%, portant le cours à 10 030 FCFA, malgré un repli de -1,67% lors de la dernière séance. Le range de trading s'étend de 7 985 FCFA (plus bas) à 10 350 FCFA (plus haut), soit une amplitude de 29,6% qui témoigne d'une dynamique haussière robuste, le cours évoluant actuellement dans le haut de cette fourchette. La moyenne (9 023 FCFA) se situe au-dessus de la médiane (8 850 FCFA), écart caractéristique d'une distribution asymétrique où les récents sommets tirent la moyenne vers le haut. L'écart-type de 571 FCFA et le coefficient de variation de 6,3% indiquent une dispersion modérée du cours, tandis que le kurtosis de 0,343 (mésokurtique) suggère un comportement proche d'une loi normale, sans risque excessif de pics extrêmes. Le skewness de 0,871, positif, révèle toutefois une asymétrie avec davantage de journées sous la moyenne, signalant que la progression s'est construite par à-coups. La volatilité annualisée de 26,1% place le titre dans la catégorie modérée (15-30%), offrant un profil risque/rendement équilibré pour une valeur bancaire.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(9 843,75 FCFA) et la MM50 (9 195,5 FCFA) se situent toutes deux sous le cours actuel (10 030 FCFA), confirmant une configuration haussière avec un alignement favorable des moyennes. La MM20 étant supérieure à la MM50, le croisement est positif et justifie la décision d'**Achat** émise par cet indicateur.</w:t>
      </w:r>
    </w:p>
    <w:p>
      <w:pPr>
        <w:spacing w:after="120" w:line="276" w:lineRule="auto"/>
      </w:pPr>
      <w:r>
        <w:t>**Bandes de Bollinger** : Le cours (10 030 FCFA) évolue dans la partie haute de la bande, entre la borne inférieure (8 672,108 FCFA) et la borne supérieure (11 015,392 FCFA), sans franchir cette dernière. Cette position médiane-haute, couplée à une volatilité modérée, justifie la décision **Neutre** : le titre n'est ni en suraccélération, ni en zone de survente.</w:t>
      </w:r>
    </w:p>
    <w:p>
      <w:pPr>
        <w:spacing w:after="120" w:line="276" w:lineRule="auto"/>
      </w:pPr>
      <w:r>
        <w:t>**MACD** : La valeur du MACD (340,836) est légèrement inférieure à son signal (359,331), générant une divergence baissière qui traduit un essoufflement du momentum haussier. Cette configuration justifie la décision de **Vente** à court terme, bien que l'écart reste faible.</w:t>
      </w:r>
    </w:p>
    <w:p>
      <w:pPr>
        <w:spacing w:after="120" w:line="276" w:lineRule="auto"/>
      </w:pPr>
      <w:r>
        <w:t>**RSI** : À 63,59, le RSI se situe en zone neutre (30-70), sans atteindre le seuil de surachat (70). Cette position indique que le titre conserve un potentiel de hausse sans être techniquement épuisé, justifiant la décision **Neutre**.</w:t>
      </w:r>
    </w:p>
    <w:p>
      <w:pPr>
        <w:spacing w:after="120" w:line="276" w:lineRule="auto"/>
      </w:pPr>
      <w:r>
        <w:t>**Stochastique** : Le %K (12,329) est très inférieur au %D (63,027), configuration inhabituelle qui place le %K en zone de survente extrême. Ce croisement suggère un rebond imminent, justifiant la décision d'**Achat** émise par cet indicateur.</w:t>
      </w:r>
    </w:p>
    <w:p>
      <w:pPr>
        <w:spacing w:after="120" w:line="276" w:lineRule="auto"/>
      </w:pPr>
      <w:r>
        <w:t>**Conclusion technique** : Les indicateurs sont divergents — les moyennes mobiles et le stochastique plaident pour l'achat, le MACD pour la vente, tandis que Bollinger et RSI restent neutres. Cette configuration mitigée suggère une consolidation à court terme avant une reprise potentielle, le stochastique en survente constituant le principal signal positif.</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 affiche un Produit Net Bancaire (équivalent du chiffre d'affaires pour une banque) de 51,274 milliards FCFA, en croissance de 10,20% sur un an, porté par 55,728 Mds FCFA de produits d'intérêts et 12,339 Mds FCFA de commissions. Le résultat net s'établit à 20,107 milliards FCFA, générant un ROE de 17,11% (&gt;15%, excellent) et un ROA de 2,08%, confirmant la rentabilité solide de l'établissement. Le coefficient d'exploitation de 49,53% (&lt;50%) classe BOAB parmi les banques les plus efficaces du secteur, tandis que la marge nette de 39,22% témoigne d'une excellente transformation. Le coût du risque, à 22,50% des charges financières, reste un point de vigilance modéré. La structure bilancielle révèle une collecte de dépôts de 711,642 Mds FCFA face à 391,724 Mds FCFA de créances clientèle, soit un ratio de transformation de 55%, typique d'une banque conservatrice. L'autonomie financière de 12,18% demeure faible (&lt;30%), mais la solvabilité générale de 113,87% et la couverture des intérêts de 101,77% rassurent sur la capacité de remboursement. Les rapports trimestriels confirment la dynamique : le T3 2025 (30/09/2025) affiche un PNB de 37,065 Mds FCFA (+9%) et un résultat net de 15,880 Mds FCFA (+13%), tandis que le T1 2026 (rapport 2026) montre un PNB de 12,329 Mds FCFA (+11%) et un résultat net de 4,502 Mds FCFA (+1%), avec des dépôts en hausse de 3,5% à 753,7 Mds FCFA. On estime donc que l'exercice 2026 devrait maintenir une croissance du PNB à deux chiffres, bien que la pression sur le résultat net (seulement +1% au T1 2026) invite à la prudence. La recommandation fondamentale est de **Conserver**, la solidité financière et la rentabilité étant contrebalancées par une valorisation exigeante et une croissance du bénéfice net qui marque le pas.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apparaît tendue : le PER de 20,2x et l'EV/EBITDA de 20,5x intègrent des anticipations de croissance élevées, laissant peu de marge de sécurité, tandis que le P/B de 3,46x traduit une prime de croissance significative. Le comportement du cours est favorable (+25,61% sur 100 jours), avec une volatilité modérée (26,1%) et une distribution proche de la normale (kurtosis 0,343), bien que le skewness positif (0,871) indique une progression par à-coups. Les signaux techniques sont divergents : les moyennes mobiles et le stochastique plaident pour l'achat, le MACD pour la vente, et le RSI/Bollinger pour la neutralité, suggérant une consolidation avant reprise. Les fondamentaux demeurent solides (ROE 17,11%, coefficient d'exploitation 49,53%, PNB +10,20% en 2025), mais le ralentissement du résultat net au T1 2026 (+1%) constitue un signal d'alerte. Les prédictions IA anticipent une correction baissière vers 8 984 FCFA d'ici J+10, contredisant les signaux haussiers des moyennes mobiles et du stochastique. Face à cette divergence entre valorisation exigeante, technique mitigée, fondamentaux solides mais en ralentissement, et prédictions baissières, la recommandation finale est de **CONSERVER**. Le niveau de confiance est **Moyen**, le risque global **Moyen**, et l'horizon d'investissement optimal est le **moyen terme (3-12 mois)**, en attendant une clarification de la tendance bénéficiaire et une correction éventuelle offrant un point d'entrée plus attractif.</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395.78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6,848 titres</w:t>
            </w:r>
          </w:p>
        </w:tc>
        <w:tc>
          <w:tcPr>
            <w:tcW w:type="dxa" w:w="2268"/>
            <w:shd w:fill="FFF2CC" w:val="clear"/>
          </w:tcPr>
          <w:p>
            <w:r>
              <w:rPr>
                <w:b/>
                <w:color w:val="503200"/>
                <w:sz w:val="16"/>
              </w:rPr>
              <w:t xml:space="preserve">Cours actuel : </w:t>
            </w:r>
            <w:r>
              <w:rPr>
                <w:color w:val="000000"/>
                <w:sz w:val="17"/>
              </w:rPr>
              <w:t>8,995 FCFA</w:t>
            </w:r>
          </w:p>
          <w:p>
            <w:r>
              <w:rPr>
                <w:b/>
                <w:color w:val="503200"/>
                <w:sz w:val="16"/>
              </w:rPr>
              <w:t xml:space="preserve">Var. 100 jours : </w:t>
            </w:r>
            <w:r>
              <w:rPr>
                <w:b/>
                <w:color w:val="007800"/>
                <w:sz w:val="17"/>
              </w:rPr>
              <w:t>+59.77%</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18.26% (Élevée) — μ=6,446 FCFA, σ=1,177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β=0.1007 (Défensif) — Cov=0.000004, Var(idx)=0.000035, ρ=0.028,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8,328</w:t>
            </w:r>
          </w:p>
        </w:tc>
        <w:tc>
          <w:tcPr>
            <w:tcW w:type="dxa" w:w="1440"/>
            <w:shd w:fill="FFDCE0" w:val="clear"/>
          </w:tcPr>
          <w:p>
            <w:r>
              <w:rPr>
                <w:b/>
                <w:sz w:val="17"/>
              </w:rPr>
              <w:t>8,640</w:t>
            </w:r>
          </w:p>
        </w:tc>
        <w:tc>
          <w:tcPr>
            <w:tcW w:type="dxa" w:w="1440"/>
            <w:shd w:fill="FFDCE0" w:val="clear"/>
          </w:tcPr>
          <w:p>
            <w:r>
              <w:rPr>
                <w:sz w:val="17"/>
              </w:rPr>
              <w:t>8,952</w:t>
            </w:r>
          </w:p>
        </w:tc>
        <w:tc>
          <w:tcPr>
            <w:tcW w:type="dxa" w:w="1440"/>
            <w:shd w:fill="FFDCE0" w:val="clear"/>
          </w:tcPr>
          <w:p>
            <w:r>
              <w:rPr>
                <w:b/>
                <w:color w:val="C00000"/>
                <w:sz w:val="17"/>
              </w:rPr>
              <w:t>-3.9%</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7,948</w:t>
            </w:r>
          </w:p>
        </w:tc>
        <w:tc>
          <w:tcPr>
            <w:tcW w:type="dxa" w:w="1440"/>
            <w:shd w:fill="FFDCE0" w:val="clear"/>
          </w:tcPr>
          <w:p>
            <w:r>
              <w:rPr>
                <w:b/>
                <w:sz w:val="17"/>
              </w:rPr>
              <w:t>8,376</w:t>
            </w:r>
          </w:p>
        </w:tc>
        <w:tc>
          <w:tcPr>
            <w:tcW w:type="dxa" w:w="1440"/>
            <w:shd w:fill="FFDCE0" w:val="clear"/>
          </w:tcPr>
          <w:p>
            <w:r>
              <w:rPr>
                <w:sz w:val="17"/>
              </w:rPr>
              <w:t>8,804</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7,669</w:t>
            </w:r>
          </w:p>
        </w:tc>
        <w:tc>
          <w:tcPr>
            <w:tcW w:type="dxa" w:w="1440"/>
            <w:shd w:fill="FFDCE0" w:val="clear"/>
          </w:tcPr>
          <w:p>
            <w:r>
              <w:rPr>
                <w:b/>
                <w:sz w:val="17"/>
              </w:rPr>
              <w:t>8,181</w:t>
            </w:r>
          </w:p>
        </w:tc>
        <w:tc>
          <w:tcPr>
            <w:tcW w:type="dxa" w:w="1440"/>
            <w:shd w:fill="FFDCE0" w:val="clear"/>
          </w:tcPr>
          <w:p>
            <w:r>
              <w:rPr>
                <w:sz w:val="17"/>
              </w:rPr>
              <w:t>8,693</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7,460</w:t>
            </w:r>
          </w:p>
        </w:tc>
        <w:tc>
          <w:tcPr>
            <w:tcW w:type="dxa" w:w="1440"/>
            <w:shd w:fill="FFDCE0" w:val="clear"/>
          </w:tcPr>
          <w:p>
            <w:r>
              <w:rPr>
                <w:b/>
                <w:sz w:val="17"/>
              </w:rPr>
              <w:t>8,041</w:t>
            </w:r>
          </w:p>
        </w:tc>
        <w:tc>
          <w:tcPr>
            <w:tcW w:type="dxa" w:w="1440"/>
            <w:shd w:fill="FFDCE0" w:val="clear"/>
          </w:tcPr>
          <w:p>
            <w:r>
              <w:rPr>
                <w:sz w:val="17"/>
              </w:rPr>
              <w:t>8,622</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7,287</w:t>
            </w:r>
          </w:p>
        </w:tc>
        <w:tc>
          <w:tcPr>
            <w:tcW w:type="dxa" w:w="1440"/>
            <w:shd w:fill="FFDCE0" w:val="clear"/>
          </w:tcPr>
          <w:p>
            <w:r>
              <w:rPr>
                <w:b/>
                <w:sz w:val="17"/>
              </w:rPr>
              <w:t>7,927</w:t>
            </w:r>
          </w:p>
        </w:tc>
        <w:tc>
          <w:tcPr>
            <w:tcW w:type="dxa" w:w="1440"/>
            <w:shd w:fill="FFDCE0" w:val="clear"/>
          </w:tcPr>
          <w:p>
            <w:r>
              <w:rPr>
                <w:sz w:val="17"/>
              </w:rPr>
              <w:t>8,568</w:t>
            </w:r>
          </w:p>
        </w:tc>
        <w:tc>
          <w:tcPr>
            <w:tcW w:type="dxa" w:w="1440"/>
            <w:shd w:fill="FFDCE0" w:val="clear"/>
          </w:tcPr>
          <w:p>
            <w:r>
              <w:rPr>
                <w:b/>
                <w:color w:val="C00000"/>
                <w:sz w:val="17"/>
              </w:rPr>
              <w:t>-11.9%</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7,133</w:t>
            </w:r>
          </w:p>
        </w:tc>
        <w:tc>
          <w:tcPr>
            <w:tcW w:type="dxa" w:w="1440"/>
            <w:shd w:fill="FFDCE0" w:val="clear"/>
          </w:tcPr>
          <w:p>
            <w:r>
              <w:rPr>
                <w:b/>
                <w:sz w:val="17"/>
              </w:rPr>
              <w:t>7,825</w:t>
            </w:r>
          </w:p>
        </w:tc>
        <w:tc>
          <w:tcPr>
            <w:tcW w:type="dxa" w:w="1440"/>
            <w:shd w:fill="FFDCE0" w:val="clear"/>
          </w:tcPr>
          <w:p>
            <w:r>
              <w:rPr>
                <w:sz w:val="17"/>
              </w:rPr>
              <w:t>8,518</w:t>
            </w:r>
          </w:p>
        </w:tc>
        <w:tc>
          <w:tcPr>
            <w:tcW w:type="dxa" w:w="1440"/>
            <w:shd w:fill="FFDCE0" w:val="clear"/>
          </w:tcPr>
          <w:p>
            <w:r>
              <w:rPr>
                <w:b/>
                <w:color w:val="C00000"/>
                <w:sz w:val="17"/>
              </w:rPr>
              <w:t>-13.0%</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6,991</w:t>
            </w:r>
          </w:p>
        </w:tc>
        <w:tc>
          <w:tcPr>
            <w:tcW w:type="dxa" w:w="1440"/>
            <w:shd w:fill="FFDCE0" w:val="clear"/>
          </w:tcPr>
          <w:p>
            <w:r>
              <w:rPr>
                <w:b/>
                <w:sz w:val="17"/>
              </w:rPr>
              <w:t>7,729</w:t>
            </w:r>
          </w:p>
        </w:tc>
        <w:tc>
          <w:tcPr>
            <w:tcW w:type="dxa" w:w="1440"/>
            <w:shd w:fill="FFDCE0" w:val="clear"/>
          </w:tcPr>
          <w:p>
            <w:r>
              <w:rPr>
                <w:sz w:val="17"/>
              </w:rPr>
              <w:t>8,468</w:t>
            </w:r>
          </w:p>
        </w:tc>
        <w:tc>
          <w:tcPr>
            <w:tcW w:type="dxa" w:w="1440"/>
            <w:shd w:fill="FFDCE0" w:val="clear"/>
          </w:tcPr>
          <w:p>
            <w:r>
              <w:rPr>
                <w:b/>
                <w:color w:val="C00000"/>
                <w:sz w:val="17"/>
              </w:rPr>
              <w:t>-14.1%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6,857</w:t>
            </w:r>
          </w:p>
        </w:tc>
        <w:tc>
          <w:tcPr>
            <w:tcW w:type="dxa" w:w="1440"/>
            <w:shd w:fill="FFDCE0" w:val="clear"/>
          </w:tcPr>
          <w:p>
            <w:r>
              <w:rPr>
                <w:b/>
                <w:sz w:val="17"/>
              </w:rPr>
              <w:t>7,637</w:t>
            </w:r>
          </w:p>
        </w:tc>
        <w:tc>
          <w:tcPr>
            <w:tcW w:type="dxa" w:w="1440"/>
            <w:shd w:fill="FFDCE0" w:val="clear"/>
          </w:tcPr>
          <w:p>
            <w:r>
              <w:rPr>
                <w:sz w:val="17"/>
              </w:rPr>
              <w:t>8,418</w:t>
            </w:r>
          </w:p>
        </w:tc>
        <w:tc>
          <w:tcPr>
            <w:tcW w:type="dxa" w:w="1440"/>
            <w:shd w:fill="FFDCE0" w:val="clear"/>
          </w:tcPr>
          <w:p>
            <w:r>
              <w:rPr>
                <w:b/>
                <w:color w:val="C00000"/>
                <w:sz w:val="17"/>
              </w:rPr>
              <w:t>-15.1%</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6,731</w:t>
            </w:r>
          </w:p>
        </w:tc>
        <w:tc>
          <w:tcPr>
            <w:tcW w:type="dxa" w:w="1440"/>
            <w:shd w:fill="FFDCE0" w:val="clear"/>
          </w:tcPr>
          <w:p>
            <w:r>
              <w:rPr>
                <w:b/>
                <w:sz w:val="17"/>
              </w:rPr>
              <w:t>7,549</w:t>
            </w:r>
          </w:p>
        </w:tc>
        <w:tc>
          <w:tcPr>
            <w:tcW w:type="dxa" w:w="1440"/>
            <w:shd w:fill="FFDCE0" w:val="clear"/>
          </w:tcPr>
          <w:p>
            <w:r>
              <w:rPr>
                <w:sz w:val="17"/>
              </w:rPr>
              <w:t>8,367</w:t>
            </w:r>
          </w:p>
        </w:tc>
        <w:tc>
          <w:tcPr>
            <w:tcW w:type="dxa" w:w="1440"/>
            <w:shd w:fill="FFDCE0" w:val="clear"/>
          </w:tcPr>
          <w:p>
            <w:r>
              <w:rPr>
                <w:b/>
                <w:color w:val="C00000"/>
                <w:sz w:val="17"/>
              </w:rPr>
              <w:t>-16.1%</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6,611</w:t>
            </w:r>
          </w:p>
        </w:tc>
        <w:tc>
          <w:tcPr>
            <w:tcW w:type="dxa" w:w="1440"/>
            <w:shd w:fill="FFDCE0" w:val="clear"/>
          </w:tcPr>
          <w:p>
            <w:r>
              <w:rPr>
                <w:b/>
                <w:sz w:val="17"/>
              </w:rPr>
              <w:t>7,463</w:t>
            </w:r>
          </w:p>
        </w:tc>
        <w:tc>
          <w:tcPr>
            <w:tcW w:type="dxa" w:w="1440"/>
            <w:shd w:fill="FFDCE0" w:val="clear"/>
          </w:tcPr>
          <w:p>
            <w:r>
              <w:rPr>
                <w:sz w:val="17"/>
              </w:rPr>
              <w:t>8,316</w:t>
            </w:r>
          </w:p>
        </w:tc>
        <w:tc>
          <w:tcPr>
            <w:tcW w:type="dxa" w:w="1440"/>
            <w:shd w:fill="FFDCE0" w:val="clear"/>
          </w:tcPr>
          <w:p>
            <w:r>
              <w:rPr>
                <w:b/>
                <w:color w:val="C00000"/>
                <w:sz w:val="17"/>
              </w:rPr>
              <w:t>-17.0%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395,78 milliards FCFA, BOABF s'impose comme l'une des valeurs bancaires les plus importantes de la cote BRVM, ce qui traduit la confiance du marché envers l'un des leaders du secteur bancaire burkinabè. Le BPA de 438 FCFA par action signifie que chaque titre génère près de 438 FCFA de bénéfice net, un niveau appréciable qui, rapporté au cours actuel de 8 995 FCFA, donne un PER de 20,6x. Ce multiple est nettement supérieur à la moyenne du marché BRVM (généralement située entre 8x et 12x), signalant que les investisseurs paient une prime significative pour les bénéfices de la banque, soit en anticipation d'une croissance future, soit en raison d'une surévaluation spéculative. Le P/B de 3,13x confirme cette prime de croissance : le marché valorise la banque à plus de trois fois sa valeur comptable, un niveau qui se situe dans la fourchette haute (2-4x) et qui suppose une rentabilité future soutenue des fonds propres. Enfin, l'EV/EBITDA de 9,5x apparaît plus raisonnable et cohérent avec la capacité opérationnelle de la banque, suggérant que la valeur d'entreprise reste contenue par rapport à la génération de cash-flow opérationnel.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enregistré une progression spectaculaire de +59,77%, passant d'un plus bas de 5 235 FCFA à un plus haut de 9 090 FCFA, pour un cours actuel de 8 995 FCFA, quasi stable sur la dernière séance (+0,06%). Cette tendance nettement haussière témoigne d'un fort engouement du marché pour le titre, porté probablement par l'amélioration de la rentabilité observée au premier semestre 2026 et par la normalisation du coût du risque. L'analyse des statistiques descriptives révèle une moyenne de 6 446 FCFA nettement supérieure à la médiane de 5 875 FCFA, ce qui traduit une distribution asymétrique avec une concentration des cours bas en début de période et une accélération récente vers les sommets — cohérent avec le skewness positif de 0,950 indiquant davantage de journées sous la moyenne. L'écart-type de 1 183 FCFA (CV de 18,4%) reflète une dispersion modérée du cours autour de sa moyenne, tandis que le kurtosis de -0,317 (mésokurtique) suggère une distribution proche de la normale, sans pics extrêmes marqués, ce qui est rassurant pour la prévisibilité du comportement du titre. La volatilité annualisée de 33,6% classe BOABF dans la catégorie des titres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8 314,75 FCFA et la MM50 à 7 386,90 FCFA, toutes deux nettement inférieures au cours actuel de 8 995 FCFA. Cette configuration — cours au-dessus des deux moyennes, avec la MM20 au-dessus de la MM50 — est typique d'une tendance haussière confirmée. La décision technique qui en résulte est donc logiquement à l'**Achat**, le titre évoluant en territoire haussier sur les deux horizons de référence.</w:t>
      </w:r>
    </w:p>
    <w:p>
      <w:pPr>
        <w:spacing w:after="120" w:line="276" w:lineRule="auto"/>
      </w:pPr>
      <w:r>
        <w:t>**Bandes de Bollinger** : La borne supérieure se situe à 9 890,145 FCFA et la borne inférieure à 6 739,355 FCFA, avec un cours actuel de 8 995 FCFA qui se positionne dans la partie haute du canal, sans toutefois atteindre la borne supérieure. Cette position indique que le titre évolue dans une zone de force relative, mais sans excès de volatilité immédiat. La décision est **Neutre**, suggérant que le cours pourrait consolider avant de reprendre sa direction.</w:t>
      </w:r>
    </w:p>
    <w:p>
      <w:pPr>
        <w:spacing w:after="120" w:line="276" w:lineRule="auto"/>
      </w:pPr>
      <w:r>
        <w:t>**MACD** : La valeur du MACD (515,305) est légèrement supérieure à son signal (513,642), générant un croisement haussier de faible amplitude. Ce différentiel positif, bien que ténu, confirme un momentum haussier encore présent mais qui s'essouffle. La décision qui en découle est à l'**Achat**, mais avec une conviction modérée compte tenu de l'étroitesse de l'écart.</w:t>
      </w:r>
    </w:p>
    <w:p>
      <w:pPr>
        <w:spacing w:after="120" w:line="276" w:lineRule="auto"/>
      </w:pPr>
      <w:r>
        <w:t>**RSI** : À 82,289, le RSI se situe très largement au-dessus du seuil de surachat de 70, signalant que le titre a été acheté de manière excessive à court terme et qu'une correction ou une consolidation est probable. La décision technique est donc à la **Vente**, ce qui contraste fortement avec les signaux des moyennes mobiles et du MACD.</w:t>
      </w:r>
    </w:p>
    <w:p>
      <w:pPr>
        <w:spacing w:after="120" w:line="276" w:lineRule="auto"/>
      </w:pPr>
      <w:r>
        <w:t>**Stochastique** : Le %K (93,624) et le %D (93,171) évoluent tous deux en zone de surachat extrême, avec un %K légèrement supérieur au %D, ce qui indique que la pression acheteuse reste dominante mais approche de son terme. La décision est également à la **Vente**, renforçant le signal de prudence émis par le RSI.</w:t>
      </w:r>
    </w:p>
    <w:p>
      <w:pPr>
        <w:spacing w:after="120" w:line="276" w:lineRule="auto"/>
      </w:pPr>
      <w:r>
        <w:t>**Conclusion technique** : Les indicateurs techniques présentent une divergence notable. Les moyennes mobiles et le MACD confirment une tendance haussière de fond, tandis que le RSI et le stochastique alertent sur un surachat imminent. Cette configuration suggère que le titre pourrait connaître une phase de consolidation ou de correction à court terme, avant de reprendre sa tendance haussière si les fondamentaux restent solides. La prudence est de mise pour les investisseurs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BOABF a réalisé un Produit Net Bancaire (PNB) de 57 820 millions FCFA, quasi stable par rapport à 2024 (+0,6%), avec un résultat net de 19 252 millions FCFA, en recul de -14,1% sur un an. Cette baisse s'explique principalement par un coût du risque qui a quasiment doublé, passant de -4 303 à -8 355 millions FCFA, reflétant une dégradation de la qualité du portefeuille de crédits. Le ROE s'établit à 15,22%, un niveau qui reste excellent (&gt;15%) et témoigne de la capacité de la banque à générer des profits sur ses fonds propres, tandis que le ROA de 1,68% demeure correct pour le secteur bancaire. Le coefficient d'exploitation de 47,19% est particulièrement remarquable, bien en dessous du seuil de 60% qui distingue les banques efficaces, ce qui indique une excellente maîtrise des charges opérationnelles. Le ratio dépôts/crédits (877 822 / 474 064 = 1,85) montre que la banque dispose d'une base de dépôts largement supérieure à ses crédits, ce qui est un signe de solidité financière et de liquidité abondante, mais aussi un indicateur de sous-utilisation des ressources collectées. Les créances interbancaires ont bondi à 213 132 millions FCFA (contre 53 994 millions en 2024), traduisant un placement massif de liquidités sur le marché interbancaire plutôt qu'un développement du crédit clientèle, qui a reculé de -19,3%.</w:t>
      </w:r>
    </w:p>
    <w:p>
      <w:pPr>
        <w:spacing w:after="120" w:line="276" w:lineRule="auto"/>
      </w:pPr>
      <w:r>
        <w:t>Les rapports trimestriels récents (T1 2026, S1 2026) fournissent des indications précieuses sur les tendances en cours. Au premier trimestre 2026 (rapport du 31/03/2026), le PNB a chuté de -10,75% à 12 694 millions FCFA et le résultat net de -12,99% à 4 520 millions FCFA, confirmant les difficultés commerciales. Cependant, au premier semestre 2026 (rapport du 30/06/2026), le résultat net a bondi de +31,0% à 10 770 millions FCFA, porté par une amélioration spectaculaire du coût du risque (-65,2% à -2 396 millions), bien que le PNB ait continué de reculer (-5,2% à 27 539 millions). Cette dissociation entre un PNB en baisse et un résultat net en hausse suggère que l'amélioration de la rentabilité est conjoncturelle (normalisation du risque) plutôt que structurelle (croissance de l'activité). Sur la base de ces tendances, on peut estimer que l'exercice 2026 devrait afficher un résultat net en amélioration par rapport à 2025, mais avec un PNB toujours sous pression, ce qui limite les perspectives de croissance à moyen terme. La recommandation fondamentale qui se dégage est donc de **CONSERVER** le titre : la banque reste solide (ROE &gt;15%, coefficient d'exploitation &lt;50%, liquidité abondante), mais les défis commerciaux (baisse du PNB, contraction du crédit) et les risques externes (contexte sécuritaire burkinabè)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 cette analyse révèle un profil d'investissement contrasté pour BOABF. Sur le plan de la **valorisation (Partie 0)**, les ratios PER de 20,6x et P/B de 3,13x indiquent une nette surévaluation par rapport aux moyennes du marché BRVM, ce qui suggère que le marché a déjà intégré une bonne partie des bonnes nouvelles et que le potentiel de hausse supplémentaire est limité. Le **comportement du cours (Partie 1)** est fortement haussier (+59,77% sur 100 jours), mais la volatilité élevée (33,6%) et le skewness positif (0,950) indiquent que cette performance s'est construite dans un contexte de forte dispersion, avec un risque de correction. Les **signaux techniques (Partie 2)** sont divergents : les moyennes mobiles et le MACD confirment la tendance haussière, mais le RSI (82,3) et le stochastique (93,6) alertent sur un surachat extrême, ce qui plaide pour une consolidation à court terme. Les **fondamentaux (Partie 3)** sont solides mais nuancés : la banque affiche une rentabilité excellente (ROE 15,2%) et une efficacité opérationnelle remarquable (coefficient d'exploitation 47,2%), mais le PNB est en recul et le crédit clientèle se contracte, ce qui limite les perspectives de croissance. Les **prédictions IA (J+1 à J+10)** anticipent une baisse progressive du cours de 8 640 FCFA à 7 927 FCFA, ce qui confirme les signaux de surachat et suggère une correction imminente.</w:t>
      </w:r>
    </w:p>
    <w:p>
      <w:pPr>
        <w:spacing w:after="120" w:line="276" w:lineRule="auto"/>
      </w:pPr>
      <w:r>
        <w:t>Sur la base de cette analyse globale, la recommandation finale est de **CONSERVER** le titre. Cette décision est justifiée par la convergence entre une valorisation tendue (PER et P/B élevés), des signaux techniques de surachat (RSI et stochastique), et des fondamentaux solides mais sans dynamique de croissance (PNB en baisse). Les prédictions IA à la baisse confirment ce diagnostic et invitent à ne pas acheter au cours actuel. Le niveau de confiance dans cette recommandation est **Moyen**, car si les signaux de surachat sont clairs, la solidité fondamentale de la banque et sa capacité à générer des profits pourraient limiter l'ampleur de la correction. Le niveau de risque global est **Élevé**, compte tenu de la volatilité du titre (33,6%) et du contexte sécuritaire et économique difficile au Burkina Faso. L'horizon d'investissement optimal est le **moyen terme (3-12 mois)**, le temps que la correction technique s'achève et que les fondamentaux confirment leur amélioration, notamment sur le front du PNB et de la croissance du crédit.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11,637 titres</w:t>
            </w:r>
          </w:p>
        </w:tc>
        <w:tc>
          <w:tcPr>
            <w:tcW w:type="dxa" w:w="2268"/>
            <w:shd w:fill="FFF2CC" w:val="clear"/>
          </w:tcPr>
          <w:p>
            <w:r>
              <w:rPr>
                <w:b/>
                <w:color w:val="503200"/>
                <w:sz w:val="16"/>
              </w:rPr>
              <w:t xml:space="preserve">Cours actuel : </w:t>
            </w:r>
            <w:r>
              <w:rPr>
                <w:color w:val="000000"/>
                <w:sz w:val="17"/>
              </w:rPr>
              <w:t>12,400 FCFA</w:t>
            </w:r>
          </w:p>
          <w:p>
            <w:r>
              <w:rPr>
                <w:b/>
                <w:color w:val="503200"/>
                <w:sz w:val="16"/>
              </w:rPr>
              <w:t xml:space="preserve">Var. 100 jours : </w:t>
            </w:r>
            <w:r>
              <w:rPr>
                <w:b/>
                <w:color w:val="007800"/>
                <w:sz w:val="17"/>
              </w:rPr>
              <w:t>+47.62%</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8,400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15.67% (Élevée) — μ=10,081 FCFA, σ=1,580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β=-0.0385 (Contre-cyclique) — Cov=-0.000001, Var(idx)=0.000035, ρ=-0.014,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11,637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11,366</w:t>
            </w:r>
          </w:p>
        </w:tc>
        <w:tc>
          <w:tcPr>
            <w:tcW w:type="dxa" w:w="1440"/>
            <w:shd w:fill="FFDCE0" w:val="clear"/>
          </w:tcPr>
          <w:p>
            <w:r>
              <w:rPr>
                <w:b/>
                <w:sz w:val="17"/>
              </w:rPr>
              <w:t>11,750</w:t>
            </w:r>
          </w:p>
        </w:tc>
        <w:tc>
          <w:tcPr>
            <w:tcW w:type="dxa" w:w="1440"/>
            <w:shd w:fill="FFDCE0" w:val="clear"/>
          </w:tcPr>
          <w:p>
            <w:r>
              <w:rPr>
                <w:sz w:val="17"/>
              </w:rPr>
              <w:t>12,134</w:t>
            </w:r>
          </w:p>
        </w:tc>
        <w:tc>
          <w:tcPr>
            <w:tcW w:type="dxa" w:w="1440"/>
            <w:shd w:fill="FFDCE0" w:val="clear"/>
          </w:tcPr>
          <w:p>
            <w:r>
              <w:rPr>
                <w:b/>
                <w:color w:val="C00000"/>
                <w:sz w:val="17"/>
              </w:rPr>
              <w:t>-5.2%</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10,740</w:t>
            </w:r>
          </w:p>
        </w:tc>
        <w:tc>
          <w:tcPr>
            <w:tcW w:type="dxa" w:w="1440"/>
            <w:shd w:fill="FFDCE0" w:val="clear"/>
          </w:tcPr>
          <w:p>
            <w:r>
              <w:rPr>
                <w:b/>
                <w:sz w:val="17"/>
              </w:rPr>
              <w:t>11,260</w:t>
            </w:r>
          </w:p>
        </w:tc>
        <w:tc>
          <w:tcPr>
            <w:tcW w:type="dxa" w:w="1440"/>
            <w:shd w:fill="FFDCE0" w:val="clear"/>
          </w:tcPr>
          <w:p>
            <w:r>
              <w:rPr>
                <w:sz w:val="17"/>
              </w:rPr>
              <w:t>11,781</w:t>
            </w:r>
          </w:p>
        </w:tc>
        <w:tc>
          <w:tcPr>
            <w:tcW w:type="dxa" w:w="1440"/>
            <w:shd w:fill="FFDCE0" w:val="clear"/>
          </w:tcPr>
          <w:p>
            <w:r>
              <w:rPr>
                <w:b/>
                <w:color w:val="C00000"/>
                <w:sz w:val="17"/>
              </w:rPr>
              <w:t>-9.2%</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10,167</w:t>
            </w:r>
          </w:p>
        </w:tc>
        <w:tc>
          <w:tcPr>
            <w:tcW w:type="dxa" w:w="1440"/>
            <w:shd w:fill="FFDCE0" w:val="clear"/>
          </w:tcPr>
          <w:p>
            <w:r>
              <w:rPr>
                <w:b/>
                <w:sz w:val="17"/>
              </w:rPr>
              <w:t>10,777</w:t>
            </w:r>
          </w:p>
        </w:tc>
        <w:tc>
          <w:tcPr>
            <w:tcW w:type="dxa" w:w="1440"/>
            <w:shd w:fill="FFDCE0" w:val="clear"/>
          </w:tcPr>
          <w:p>
            <w:r>
              <w:rPr>
                <w:sz w:val="17"/>
              </w:rPr>
              <w:t>11,387</w:t>
            </w:r>
          </w:p>
        </w:tc>
        <w:tc>
          <w:tcPr>
            <w:tcW w:type="dxa" w:w="1440"/>
            <w:shd w:fill="FFDCE0" w:val="clear"/>
          </w:tcPr>
          <w:p>
            <w:r>
              <w:rPr>
                <w:b/>
                <w:color w:val="C00000"/>
                <w:sz w:val="17"/>
              </w:rPr>
              <w:t>-13.1%</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9,676</w:t>
            </w:r>
          </w:p>
        </w:tc>
        <w:tc>
          <w:tcPr>
            <w:tcW w:type="dxa" w:w="1440"/>
            <w:shd w:fill="FFDCE0" w:val="clear"/>
          </w:tcPr>
          <w:p>
            <w:r>
              <w:rPr>
                <w:b/>
                <w:sz w:val="17"/>
              </w:rPr>
              <w:t>10,352</w:t>
            </w:r>
          </w:p>
        </w:tc>
        <w:tc>
          <w:tcPr>
            <w:tcW w:type="dxa" w:w="1440"/>
            <w:shd w:fill="FFDCE0" w:val="clear"/>
          </w:tcPr>
          <w:p>
            <w:r>
              <w:rPr>
                <w:sz w:val="17"/>
              </w:rPr>
              <w:t>11,029</w:t>
            </w:r>
          </w:p>
        </w:tc>
        <w:tc>
          <w:tcPr>
            <w:tcW w:type="dxa" w:w="1440"/>
            <w:shd w:fill="FFDCE0" w:val="clear"/>
          </w:tcPr>
          <w:p>
            <w:r>
              <w:rPr>
                <w:b/>
                <w:color w:val="C00000"/>
                <w:sz w:val="17"/>
              </w:rPr>
              <w:t>-16.5%</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9,255</w:t>
            </w:r>
          </w:p>
        </w:tc>
        <w:tc>
          <w:tcPr>
            <w:tcW w:type="dxa" w:w="1440"/>
            <w:shd w:fill="FFDCE0" w:val="clear"/>
          </w:tcPr>
          <w:p>
            <w:r>
              <w:rPr>
                <w:b/>
                <w:sz w:val="17"/>
              </w:rPr>
              <w:t>9,985</w:t>
            </w:r>
          </w:p>
        </w:tc>
        <w:tc>
          <w:tcPr>
            <w:tcW w:type="dxa" w:w="1440"/>
            <w:shd w:fill="FFDCE0" w:val="clear"/>
          </w:tcPr>
          <w:p>
            <w:r>
              <w:rPr>
                <w:sz w:val="17"/>
              </w:rPr>
              <w:t>10,715</w:t>
            </w:r>
          </w:p>
        </w:tc>
        <w:tc>
          <w:tcPr>
            <w:tcW w:type="dxa" w:w="1440"/>
            <w:shd w:fill="FFDCE0" w:val="clear"/>
          </w:tcPr>
          <w:p>
            <w:r>
              <w:rPr>
                <w:b/>
                <w:color w:val="C00000"/>
                <w:sz w:val="17"/>
              </w:rPr>
              <w:t>-19.5%</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8,892</w:t>
            </w:r>
          </w:p>
        </w:tc>
        <w:tc>
          <w:tcPr>
            <w:tcW w:type="dxa" w:w="1440"/>
            <w:shd w:fill="FFDCE0" w:val="clear"/>
          </w:tcPr>
          <w:p>
            <w:r>
              <w:rPr>
                <w:b/>
                <w:sz w:val="17"/>
              </w:rPr>
              <w:t>9,667</w:t>
            </w:r>
          </w:p>
        </w:tc>
        <w:tc>
          <w:tcPr>
            <w:tcW w:type="dxa" w:w="1440"/>
            <w:shd w:fill="FFDCE0" w:val="clear"/>
          </w:tcPr>
          <w:p>
            <w:r>
              <w:rPr>
                <w:sz w:val="17"/>
              </w:rPr>
              <w:t>10,441</w:t>
            </w:r>
          </w:p>
        </w:tc>
        <w:tc>
          <w:tcPr>
            <w:tcW w:type="dxa" w:w="1440"/>
            <w:shd w:fill="FFDCE0" w:val="clear"/>
          </w:tcPr>
          <w:p>
            <w:r>
              <w:rPr>
                <w:b/>
                <w:color w:val="C00000"/>
                <w:sz w:val="17"/>
              </w:rPr>
              <w:t>-22.0%</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8,577</w:t>
            </w:r>
          </w:p>
        </w:tc>
        <w:tc>
          <w:tcPr>
            <w:tcW w:type="dxa" w:w="1440"/>
            <w:shd w:fill="FFDCE0" w:val="clear"/>
          </w:tcPr>
          <w:p>
            <w:r>
              <w:rPr>
                <w:b/>
                <w:sz w:val="17"/>
              </w:rPr>
              <w:t>9,390</w:t>
            </w:r>
          </w:p>
        </w:tc>
        <w:tc>
          <w:tcPr>
            <w:tcW w:type="dxa" w:w="1440"/>
            <w:shd w:fill="FFDCE0" w:val="clear"/>
          </w:tcPr>
          <w:p>
            <w:r>
              <w:rPr>
                <w:sz w:val="17"/>
              </w:rPr>
              <w:t>10,202</w:t>
            </w:r>
          </w:p>
        </w:tc>
        <w:tc>
          <w:tcPr>
            <w:tcW w:type="dxa" w:w="1440"/>
            <w:shd w:fill="FFDCE0" w:val="clear"/>
          </w:tcPr>
          <w:p>
            <w:r>
              <w:rPr>
                <w:b/>
                <w:color w:val="C00000"/>
                <w:sz w:val="17"/>
              </w:rPr>
              <w:t>-24.3%</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8,301</w:t>
            </w:r>
          </w:p>
        </w:tc>
        <w:tc>
          <w:tcPr>
            <w:tcW w:type="dxa" w:w="1440"/>
            <w:shd w:fill="FFDCE0" w:val="clear"/>
          </w:tcPr>
          <w:p>
            <w:r>
              <w:rPr>
                <w:b/>
                <w:sz w:val="17"/>
              </w:rPr>
              <w:t>9,147</w:t>
            </w:r>
          </w:p>
        </w:tc>
        <w:tc>
          <w:tcPr>
            <w:tcW w:type="dxa" w:w="1440"/>
            <w:shd w:fill="FFDCE0" w:val="clear"/>
          </w:tcPr>
          <w:p>
            <w:r>
              <w:rPr>
                <w:sz w:val="17"/>
              </w:rPr>
              <w:t>9,993</w:t>
            </w:r>
          </w:p>
        </w:tc>
        <w:tc>
          <w:tcPr>
            <w:tcW w:type="dxa" w:w="1440"/>
            <w:shd w:fill="FFDCE0" w:val="clear"/>
          </w:tcPr>
          <w:p>
            <w:r>
              <w:rPr>
                <w:b/>
                <w:color w:val="C00000"/>
                <w:sz w:val="17"/>
              </w:rPr>
              <w:t>-26.2%</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8,057</w:t>
            </w:r>
          </w:p>
        </w:tc>
        <w:tc>
          <w:tcPr>
            <w:tcW w:type="dxa" w:w="1440"/>
            <w:shd w:fill="FFDCE0" w:val="clear"/>
          </w:tcPr>
          <w:p>
            <w:r>
              <w:rPr>
                <w:b/>
                <w:sz w:val="17"/>
              </w:rPr>
              <w:t>8,933</w:t>
            </w:r>
          </w:p>
        </w:tc>
        <w:tc>
          <w:tcPr>
            <w:tcW w:type="dxa" w:w="1440"/>
            <w:shd w:fill="FFDCE0" w:val="clear"/>
          </w:tcPr>
          <w:p>
            <w:r>
              <w:rPr>
                <w:sz w:val="17"/>
              </w:rPr>
              <w:t>9,809</w:t>
            </w:r>
          </w:p>
        </w:tc>
        <w:tc>
          <w:tcPr>
            <w:tcW w:type="dxa" w:w="1440"/>
            <w:shd w:fill="FFDCE0" w:val="clear"/>
          </w:tcPr>
          <w:p>
            <w:r>
              <w:rPr>
                <w:b/>
                <w:color w:val="C00000"/>
                <w:sz w:val="17"/>
              </w:rPr>
              <w:t>-28.0%</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7,838</w:t>
            </w:r>
          </w:p>
        </w:tc>
        <w:tc>
          <w:tcPr>
            <w:tcW w:type="dxa" w:w="1440"/>
            <w:shd w:fill="FFDCE0" w:val="clear"/>
          </w:tcPr>
          <w:p>
            <w:r>
              <w:rPr>
                <w:b/>
                <w:sz w:val="17"/>
              </w:rPr>
              <w:t>8,742</w:t>
            </w:r>
          </w:p>
        </w:tc>
        <w:tc>
          <w:tcPr>
            <w:tcW w:type="dxa" w:w="1440"/>
            <w:shd w:fill="FFDCE0" w:val="clear"/>
          </w:tcPr>
          <w:p>
            <w:r>
              <w:rPr>
                <w:sz w:val="17"/>
              </w:rPr>
              <w:t>9,646</w:t>
            </w:r>
          </w:p>
        </w:tc>
        <w:tc>
          <w:tcPr>
            <w:tcW w:type="dxa" w:w="1440"/>
            <w:shd w:fill="FFDCE0" w:val="clear"/>
          </w:tcPr>
          <w:p>
            <w:r>
              <w:rPr>
                <w:b/>
                <w:color w:val="C00000"/>
                <w:sz w:val="17"/>
              </w:rPr>
              <w:t>-29.5%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496,00 Mds FCFA, BOAC figure parmi les valeurs bancaires de premier plan de la BRVM, ce qui lui confère une liquidité relative et une visibilité institutionnelle appréciables. Le BPA de 888 FCFA/action signifie que chaque titre génère près de neuf cents francs de bénéfice net, un niveau élevé qui traduit la forte rentabilité de la banque. Le PER de 14,0x situe le titre légèrement au-dessus de la moyenne du marché BRVM (8-12x), ce qui indique que les investisseurs acceptent de payer une prime modérée pour la qualité de la signature, sans pour autant tomber dans une surévaluation manifeste. Le P/B de 3,90x montre que le marché valorise la banque à près de quatre fois ses fonds propres comptables, soit une prime de croissance significative qui se justifie par un ROE exceptionnel de 27,9%. En revanche, l'EV/EBITDA de 27,3x apparaît très exigeant (&gt;15x), signalant que la valeur d'entreprise intègre déjà une bonne partie des anticipations de croissance — un point de vigilance pour les investisseurs en quête de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BOAC affiche une progression spectaculaire de +47,62%, portée par un cours actuel de 12 400 FCFA, malgré un léger repli de -0,76% lors de la dernière séance. Le titre a évolué dans un range très large, entre un plus bas de 8 400 FCFA et un plus haut de 13 450 FCFA, soit une amplitude de plus de 60% qui témoigne d'une dynamique haussière puissante mais aussi d'une forte nervosité. La moyenne (10 081 FCFA) se situe nettement au-dessus de la médiane (9 275 FCFA), confirmant une distribution asymétrique où les cours élevés récents tirent la moyenne vers le haut — cohérent avec le skewness positif de 0,855 indiquant davantage de journées sous la moyenne mais des pics haussiers marqués. L'écart-type de 1 588 FCFA (CV = 15,8%) traduit une dispersion modérée à élevée du cours, tandis que le kurtosis de -0,857 (mésokurtique) suggère une distribution proche de la normale, sans risque extrême de pics violents. La volatilité annualisée de 25,7% classe le titre dans la catégorie modérée (15-30%), ce qui reste acceptable pour une valeur bancaire ayant connu une telle appréciation. Le volume moyen de 11 637 titres/jour confirme une liquidité correcte, permettant des entrées et sorties sans impact majeur sur le cours.</w:t>
      </w:r>
    </w:p>
    <w:p>
      <w:pPr>
        <w:spacing w:after="120" w:line="276" w:lineRule="auto"/>
      </w:pPr>
      <w:r>
        <w:t>---</w:t>
      </w:r>
    </w:p>
    <w:p>
      <w:pPr>
        <w:spacing w:after="120" w:line="276" w:lineRule="auto"/>
      </w:pPr>
      <w:r>
        <w:t>## PARTIE 2 : ANALYSE TECHNIQUE DÉTAILLÉE</w:t>
      </w:r>
    </w:p>
    <w:p>
      <w:pPr>
        <w:spacing w:after="120" w:line="276" w:lineRule="auto"/>
      </w:pPr>
      <w:r>
        <w:t>**Moyennes Mobiles :** La MM20 (12 747,75 FCFA) et la MM50 (11 291,70 FCFA) se situent toutes deux au-dessus du cours actuel (12 400 FCFA) pour la MM20, mais en dessous pour la MM50, ce qui traduit un ralentissement de court terme dans une tendance de fond haussière. La configuration MM20 &gt; MM50 confirme la dynamique positive de moyen terme, justifiant la décision d'**Achat** malgré la correction récente.</w:t>
      </w:r>
    </w:p>
    <w:p>
      <w:pPr>
        <w:spacing w:after="120" w:line="276" w:lineRule="auto"/>
      </w:pPr>
      <w:r>
        <w:t>**Bandes de Bollinger :** Le cours (12 400 FCFA) évolue dans la partie basse de la bande, entre la borne inférieure (12 004 FCFA) et la borne supérieure (13 491 FCFA), sans franchissement des extrêmes. Cette position médiane-basse traduit une volatilité contenue et une absence de signal directionnel fort, d'où la décision **Neutre** — le titre consolide après sa forte hausse.</w:t>
      </w:r>
    </w:p>
    <w:p>
      <w:pPr>
        <w:spacing w:after="120" w:line="276" w:lineRule="auto"/>
      </w:pPr>
      <w:r>
        <w:t>**MACD :** La valeur du MACD (277,62) est inférieure à son signal (417,52), générant un croisement baissier qui indique un essoufflement du momentum haussier. Cette divergence négative justifie la décision de **Vente** à court terme, bien qu'elle puisse n'être qu'une respiration dans une tendance plus large.</w:t>
      </w:r>
    </w:p>
    <w:p>
      <w:pPr>
        <w:spacing w:after="120" w:line="276" w:lineRule="auto"/>
      </w:pPr>
      <w:r>
        <w:t>**RSI :** À 15,91, le RSI se situe très largement en zone de survente (&lt;30), un niveau extrême qui signale un épuisement des vendeurs et une probabilité élevée de rebond technique. Cette configuration justifie pleinement la décision d'**Achat** — le titre est mécaniquement survendu.</w:t>
      </w:r>
    </w:p>
    <w:p>
      <w:pPr>
        <w:spacing w:after="120" w:line="276" w:lineRule="auto"/>
      </w:pPr>
      <w:r>
        <w:t>**Stochastique :** Le %K (15,22) et le %D (18,51) évoluent tous deux en zone de survente, avec un %K légèrement sous le %D, ce qui précède souvent un croisement haussier imminent. Cette configuration confirme la décision d'**Achat** et renforce le signal de rebond technique.</w:t>
      </w:r>
    </w:p>
    <w:p>
      <w:pPr>
        <w:spacing w:after="120" w:line="276" w:lineRule="auto"/>
      </w:pPr>
      <w:r>
        <w:t>**Conclusion technique :** Les indicateurs présentent une divergence notable : les oscillateurs (RSI à 15,9, Stochastique en survente) plaident pour un rebond imminent, tandis que le MACD baissier et la position du cours sous la MM20 signalent une pression vendeuse persistante. Cette configuration typique d'une consolidation après une hausse de +47% suggère un point d'entrée intéressant pour les investisseurs patients, mais une confirmation par le franchissement de la MM20 (12 747 FCFA) serait nécessaire pour valider le retournement.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BOAC affiche un Produit Net Bancaire (PNB) de 73 545 Mds FCFA, en légère hausse de +1,1% par rapport à 2024 (72 724 Mds FCFA), et un résultat net de 35 540 Mds FCFA, en progression de +10,9% (contre 32 045 Mds FCFA en 2024). Le ROE ressort à 27,91% (excellent, &gt;15%) et le ROA à 3,22%, confirmant une rentabilité exceptionnelle des fonds propres et une bonne efficacité de l'actif. Le coefficient d'exploitation de 36,70% (&lt;60%) témoigne d'une banque très efficace, tandis que le coût du risque rapporté aux charges financières (6,67%) reste modéré mais mérite une surveillance. Le ratio dépôts/crédits est très favorable : les dépôts clientèle (850 548 Mds FCFA) couvrent largement les créances clientèle (430 433 Mds FCFA), soit un taux de transformation de 50,6% — signe d'une forte capacité de collecte et d'une prudence dans l'octroi de crédits.</w:t>
      </w:r>
    </w:p>
    <w:p>
      <w:pPr>
        <w:spacing w:after="120" w:line="276" w:lineRule="auto"/>
      </w:pPr>
      <w:r>
        <w:t>**Estimations basées sur les rapports trimestriels :** Selon le rapport du **T1 2026 (daté du 31/03/2026)**, le PNB trimestriel s'élève à 18 960 Mds FCFA (+3,09% sur un an), avec un résultat net de 10 801 Mds FCFA (+0,91%). Point d'alerte : le coût net du risque bondit de +314,75% (-652 vs -157 Mds FCFA), une dégradation marquée qui, si elle se confirme, pourrait peser sur les trimestres suivants. Le rapport annuel **2025 (daté du 31/12/2025)** souligne une amélioration du coût du risque (-27,8%, à -4 902 Mds FCFA) et une hausse des créances en souffrance de +52,1%, avec un taux de sinistralité de 8,59% et un taux de provisionnement de 65,76%. Le rapport **T3 2025 (30/09/2025)** confirmait déjà une collecte de dépôts robuste (+10,28%) et un coût du risque maîtrisé. Sur la base du T1 2026, on peut estimer que l'exercice 2026 devrait maintenir une croissance modérée du PNB (+2 à +4%) et un résultat net stable, sous réserve que la dégradation du coût du risque ne s'amplifie pas.</w:t>
      </w:r>
    </w:p>
    <w:p>
      <w:pPr>
        <w:spacing w:after="120" w:line="276" w:lineRule="auto"/>
      </w:pPr>
      <w:r>
        <w:t>**Recommandation fondamentale :** BOAC présente des fondamentaux solides (ROE 27,9%, coefficient d'exploitation 36,7%, dividende 2024 de 684 FCFA/action soit ~5,5% de rendement au cours actuel), mais la dégradation récente du coût du risque et la hausse des créances en souffrance constituent des points de vigilance. La recommandation fondamentale est **CONSERVER**, avec un biais positif tant que le coût du risque reste contenu.</w:t>
      </w:r>
    </w:p>
    <w:p>
      <w:pPr>
        <w:spacing w:after="120" w:line="276" w:lineRule="auto"/>
      </w:pPr>
      <w:r>
        <w:t>---</w:t>
      </w:r>
    </w:p>
    <w:p>
      <w:pPr>
        <w:spacing w:after="120" w:line="276" w:lineRule="auto"/>
      </w:pPr>
      <w:r>
        <w:t>## PARTIE 4 : CONCLUSION D'INVESTISSEMENT</w:t>
      </w:r>
    </w:p>
    <w:p>
      <w:pPr>
        <w:spacing w:after="120" w:line="276" w:lineRule="auto"/>
      </w:pPr>
      <w:r>
        <w:t>La valorisation de BOAC (PER 14,0x, P/B 3,90x, EV/EBITDA 27,3x) indique une légère surévaluation relative par rapport à la moyenne du marché BRVM, mais cette prime se justifie par un ROE exceptionnel de 27,9% et une rentabilité supérieure à la moyenne sectorielle. Le comportement du cours sur 100 jours (+47,62%) témoigne d'une dynamique haussière puissante, avec une volatilité modérée (25,7%) et une distribution asymétrique positive (skewness 0,855) — favorable aux investisseurs de long terme, mais le kurtosis négatif (-0,857) suggère une absence de pics extrêmes, ce qui est rassurant. Les signaux techniques sont divergents : les oscillateurs (RSI 15,9, Stochastique en survente) plaident pour un rebond imminent, tandis que le MACD baissier et la position sous la MM20 signalent une consolidation en cours — cette divergence est typique d'un point d'entrée pour les investisseurs patients. Les fondamentaux (PNB 73 545 Mds FCFA en 2025, résultat net 35 540 Mds FCFA, ROE 27,9%) restent solides, mais la dégradation du coût du risque au T1 2026 (+314,75%) constitue un risque à surveiller. Les prédictions IA anticipent une baisse du cours vers 9 985 FCFA d'ici J+10 (soit -19,5% depuis 12 400 FCFA), ce qui contredit les signaux de rebond technique et suggère une poursuite de la correction à court terme.</w:t>
      </w:r>
    </w:p>
    <w:p>
      <w:pPr>
        <w:spacing w:after="120" w:line="276" w:lineRule="auto"/>
      </w:pPr>
      <w:r>
        <w:t>**Recommandation finale : CONSERVER** — La convergence entre une valorisation légèrement exigeante, des fondamentaux solides mais un coût du risque en dégradation, et des signaux techniques mitigés (oscillateurs survendus vs MACD baissier) plaide pour une position d'attente. Les prédictions IA baissières à court terme renforcent cette prudence, mais le potentiel de rebond technique et la qualité de la signature justifient de ne pas vendre. **Niveau de confiance : Moyen** (divergence entre technique et fondamental). **Niveau de risque : Moyen** (volatilité modérée, mais dégradation du coût du risque). **Horizon d'investissement optimal : Moyen terme (3-12 mois)** — le temps que la correction technique s'achève et que la tendance fondamentale (croissance du PNB, maîtrise du coût du risque) se confirme.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197.50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6,350 titres</w:t>
            </w:r>
          </w:p>
        </w:tc>
        <w:tc>
          <w:tcPr>
            <w:tcW w:type="dxa" w:w="2268"/>
            <w:shd w:fill="FFF2CC" w:val="clear"/>
          </w:tcPr>
          <w:p>
            <w:r>
              <w:rPr>
                <w:b/>
                <w:color w:val="503200"/>
                <w:sz w:val="16"/>
              </w:rPr>
              <w:t xml:space="preserve">Cours actuel : </w:t>
            </w:r>
            <w:r>
              <w:rPr>
                <w:color w:val="000000"/>
                <w:sz w:val="17"/>
              </w:rPr>
              <w:t>7,195 FCFA</w:t>
            </w:r>
          </w:p>
          <w:p>
            <w:r>
              <w:rPr>
                <w:b/>
                <w:color w:val="503200"/>
                <w:sz w:val="16"/>
              </w:rPr>
              <w:t xml:space="preserve">Var. 100 jours : </w:t>
            </w:r>
            <w:r>
              <w:rPr>
                <w:b/>
                <w:color w:val="007800"/>
                <w:sz w:val="17"/>
              </w:rPr>
              <w:t>+54.73%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13.61% (Moyenne) — μ=5,330 FCFA, σ=725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β=0.3955 (Défensif) — Cov=0.000014, Var(idx)=0.000035, ρ=0.109,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6,881</w:t>
            </w:r>
          </w:p>
        </w:tc>
        <w:tc>
          <w:tcPr>
            <w:tcW w:type="dxa" w:w="1440"/>
            <w:shd w:fill="FAFAFA" w:val="clear"/>
          </w:tcPr>
          <w:p>
            <w:r>
              <w:rPr>
                <w:b/>
                <w:sz w:val="17"/>
              </w:rPr>
              <w:t>7,099</w:t>
            </w:r>
          </w:p>
        </w:tc>
        <w:tc>
          <w:tcPr>
            <w:tcW w:type="dxa" w:w="1440"/>
            <w:shd w:fill="FAFAFA" w:val="clear"/>
          </w:tcPr>
          <w:p>
            <w:r>
              <w:rPr>
                <w:sz w:val="17"/>
              </w:rPr>
              <w:t>7,316</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6,563</w:t>
            </w:r>
          </w:p>
        </w:tc>
        <w:tc>
          <w:tcPr>
            <w:tcW w:type="dxa" w:w="1440"/>
            <w:shd w:fill="FFDCE0" w:val="clear"/>
          </w:tcPr>
          <w:p>
            <w:r>
              <w:rPr>
                <w:b/>
                <w:sz w:val="17"/>
              </w:rPr>
              <w:t>6,860</w:t>
            </w:r>
          </w:p>
        </w:tc>
        <w:tc>
          <w:tcPr>
            <w:tcW w:type="dxa" w:w="1440"/>
            <w:shd w:fill="FFDCE0" w:val="clear"/>
          </w:tcPr>
          <w:p>
            <w:r>
              <w:rPr>
                <w:sz w:val="17"/>
              </w:rPr>
              <w:t>7,158</w:t>
            </w:r>
          </w:p>
        </w:tc>
        <w:tc>
          <w:tcPr>
            <w:tcW w:type="dxa" w:w="1440"/>
            <w:shd w:fill="FFDCE0" w:val="clear"/>
          </w:tcPr>
          <w:p>
            <w:r>
              <w:rPr>
                <w:b/>
                <w:color w:val="C00000"/>
                <w:sz w:val="17"/>
              </w:rPr>
              <w:t>-4.7%</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6,271</w:t>
            </w:r>
          </w:p>
        </w:tc>
        <w:tc>
          <w:tcPr>
            <w:tcW w:type="dxa" w:w="1440"/>
            <w:shd w:fill="FFDCE0" w:val="clear"/>
          </w:tcPr>
          <w:p>
            <w:r>
              <w:rPr>
                <w:b/>
                <w:sz w:val="17"/>
              </w:rPr>
              <w:t>6,622</w:t>
            </w:r>
          </w:p>
        </w:tc>
        <w:tc>
          <w:tcPr>
            <w:tcW w:type="dxa" w:w="1440"/>
            <w:shd w:fill="FFDCE0" w:val="clear"/>
          </w:tcPr>
          <w:p>
            <w:r>
              <w:rPr>
                <w:sz w:val="17"/>
              </w:rPr>
              <w:t>6,974</w:t>
            </w:r>
          </w:p>
        </w:tc>
        <w:tc>
          <w:tcPr>
            <w:tcW w:type="dxa" w:w="1440"/>
            <w:shd w:fill="FFDCE0" w:val="clear"/>
          </w:tcPr>
          <w:p>
            <w:r>
              <w:rPr>
                <w:b/>
                <w:color w:val="C00000"/>
                <w:sz w:val="17"/>
              </w:rPr>
              <w:t>-8.0%</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6,036</w:t>
            </w:r>
          </w:p>
        </w:tc>
        <w:tc>
          <w:tcPr>
            <w:tcW w:type="dxa" w:w="1440"/>
            <w:shd w:fill="FFDCE0" w:val="clear"/>
          </w:tcPr>
          <w:p>
            <w:r>
              <w:rPr>
                <w:b/>
                <w:sz w:val="17"/>
              </w:rPr>
              <w:t>6,430</w:t>
            </w:r>
          </w:p>
        </w:tc>
        <w:tc>
          <w:tcPr>
            <w:tcW w:type="dxa" w:w="1440"/>
            <w:shd w:fill="FFDCE0" w:val="clear"/>
          </w:tcPr>
          <w:p>
            <w:r>
              <w:rPr>
                <w:sz w:val="17"/>
              </w:rPr>
              <w:t>6,824</w:t>
            </w:r>
          </w:p>
        </w:tc>
        <w:tc>
          <w:tcPr>
            <w:tcW w:type="dxa" w:w="1440"/>
            <w:shd w:fill="FFDCE0" w:val="clear"/>
          </w:tcPr>
          <w:p>
            <w:r>
              <w:rPr>
                <w:b/>
                <w:color w:val="C00000"/>
                <w:sz w:val="17"/>
              </w:rPr>
              <w:t>-10.6%</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5,847</w:t>
            </w:r>
          </w:p>
        </w:tc>
        <w:tc>
          <w:tcPr>
            <w:tcW w:type="dxa" w:w="1440"/>
            <w:shd w:fill="FFDCE0" w:val="clear"/>
          </w:tcPr>
          <w:p>
            <w:r>
              <w:rPr>
                <w:b/>
                <w:sz w:val="17"/>
              </w:rPr>
              <w:t>6,278</w:t>
            </w:r>
          </w:p>
        </w:tc>
        <w:tc>
          <w:tcPr>
            <w:tcW w:type="dxa" w:w="1440"/>
            <w:shd w:fill="FFDCE0" w:val="clear"/>
          </w:tcPr>
          <w:p>
            <w:r>
              <w:rPr>
                <w:sz w:val="17"/>
              </w:rPr>
              <w:t>6,708</w:t>
            </w:r>
          </w:p>
        </w:tc>
        <w:tc>
          <w:tcPr>
            <w:tcW w:type="dxa" w:w="1440"/>
            <w:shd w:fill="FFDCE0" w:val="clear"/>
          </w:tcPr>
          <w:p>
            <w:r>
              <w:rPr>
                <w:b/>
                <w:color w:val="C00000"/>
                <w:sz w:val="17"/>
              </w:rPr>
              <w:t>-12.8%</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5,687</w:t>
            </w:r>
          </w:p>
        </w:tc>
        <w:tc>
          <w:tcPr>
            <w:tcW w:type="dxa" w:w="1440"/>
            <w:shd w:fill="FFDCE0" w:val="clear"/>
          </w:tcPr>
          <w:p>
            <w:r>
              <w:rPr>
                <w:b/>
                <w:sz w:val="17"/>
              </w:rPr>
              <w:t>6,149</w:t>
            </w:r>
          </w:p>
        </w:tc>
        <w:tc>
          <w:tcPr>
            <w:tcW w:type="dxa" w:w="1440"/>
            <w:shd w:fill="FFDCE0" w:val="clear"/>
          </w:tcPr>
          <w:p>
            <w:r>
              <w:rPr>
                <w:sz w:val="17"/>
              </w:rPr>
              <w:t>6,610</w:t>
            </w:r>
          </w:p>
        </w:tc>
        <w:tc>
          <w:tcPr>
            <w:tcW w:type="dxa" w:w="1440"/>
            <w:shd w:fill="FFDCE0" w:val="clear"/>
          </w:tcPr>
          <w:p>
            <w:r>
              <w:rPr>
                <w:b/>
                <w:color w:val="C00000"/>
                <w:sz w:val="17"/>
              </w:rPr>
              <w:t>-14.5%</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5,544</w:t>
            </w:r>
          </w:p>
        </w:tc>
        <w:tc>
          <w:tcPr>
            <w:tcW w:type="dxa" w:w="1440"/>
            <w:shd w:fill="FFDCE0" w:val="clear"/>
          </w:tcPr>
          <w:p>
            <w:r>
              <w:rPr>
                <w:b/>
                <w:sz w:val="17"/>
              </w:rPr>
              <w:t>6,033</w:t>
            </w:r>
          </w:p>
        </w:tc>
        <w:tc>
          <w:tcPr>
            <w:tcW w:type="dxa" w:w="1440"/>
            <w:shd w:fill="FFDCE0" w:val="clear"/>
          </w:tcPr>
          <w:p>
            <w:r>
              <w:rPr>
                <w:sz w:val="17"/>
              </w:rPr>
              <w:t>6,522</w:t>
            </w:r>
          </w:p>
        </w:tc>
        <w:tc>
          <w:tcPr>
            <w:tcW w:type="dxa" w:w="1440"/>
            <w:shd w:fill="FFDCE0" w:val="clear"/>
          </w:tcPr>
          <w:p>
            <w:r>
              <w:rPr>
                <w:b/>
                <w:color w:val="C00000"/>
                <w:sz w:val="17"/>
              </w:rPr>
              <w:t>-16.1%</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5,414</w:t>
            </w:r>
          </w:p>
        </w:tc>
        <w:tc>
          <w:tcPr>
            <w:tcW w:type="dxa" w:w="1440"/>
            <w:shd w:fill="FFDCE0" w:val="clear"/>
          </w:tcPr>
          <w:p>
            <w:r>
              <w:rPr>
                <w:b/>
                <w:sz w:val="17"/>
              </w:rPr>
              <w:t>5,927</w:t>
            </w:r>
          </w:p>
        </w:tc>
        <w:tc>
          <w:tcPr>
            <w:tcW w:type="dxa" w:w="1440"/>
            <w:shd w:fill="FFDCE0" w:val="clear"/>
          </w:tcPr>
          <w:p>
            <w:r>
              <w:rPr>
                <w:sz w:val="17"/>
              </w:rPr>
              <w:t>6,441</w:t>
            </w:r>
          </w:p>
        </w:tc>
        <w:tc>
          <w:tcPr>
            <w:tcW w:type="dxa" w:w="1440"/>
            <w:shd w:fill="FFDCE0" w:val="clear"/>
          </w:tcPr>
          <w:p>
            <w:r>
              <w:rPr>
                <w:b/>
                <w:color w:val="C00000"/>
                <w:sz w:val="17"/>
              </w:rPr>
              <w:t>-17.6%</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5,293</w:t>
            </w:r>
          </w:p>
        </w:tc>
        <w:tc>
          <w:tcPr>
            <w:tcW w:type="dxa" w:w="1440"/>
            <w:shd w:fill="FFDCE0" w:val="clear"/>
          </w:tcPr>
          <w:p>
            <w:r>
              <w:rPr>
                <w:b/>
                <w:sz w:val="17"/>
              </w:rPr>
              <w:t>5,829</w:t>
            </w:r>
          </w:p>
        </w:tc>
        <w:tc>
          <w:tcPr>
            <w:tcW w:type="dxa" w:w="1440"/>
            <w:shd w:fill="FFDCE0" w:val="clear"/>
          </w:tcPr>
          <w:p>
            <w:r>
              <w:rPr>
                <w:sz w:val="17"/>
              </w:rPr>
              <w:t>6,365</w:t>
            </w:r>
          </w:p>
        </w:tc>
        <w:tc>
          <w:tcPr>
            <w:tcW w:type="dxa" w:w="1440"/>
            <w:shd w:fill="FFDCE0" w:val="clear"/>
          </w:tcPr>
          <w:p>
            <w:r>
              <w:rPr>
                <w:b/>
                <w:color w:val="C00000"/>
                <w:sz w:val="17"/>
              </w:rPr>
              <w:t>-19.0%</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5,182</w:t>
            </w:r>
          </w:p>
        </w:tc>
        <w:tc>
          <w:tcPr>
            <w:tcW w:type="dxa" w:w="1440"/>
            <w:shd w:fill="FFDCE0" w:val="clear"/>
          </w:tcPr>
          <w:p>
            <w:r>
              <w:rPr>
                <w:b/>
                <w:sz w:val="17"/>
              </w:rPr>
              <w:t>5,738</w:t>
            </w:r>
          </w:p>
        </w:tc>
        <w:tc>
          <w:tcPr>
            <w:tcW w:type="dxa" w:w="1440"/>
            <w:shd w:fill="FFDCE0" w:val="clear"/>
          </w:tcPr>
          <w:p>
            <w:r>
              <w:rPr>
                <w:sz w:val="17"/>
              </w:rPr>
              <w:t>6,295</w:t>
            </w:r>
          </w:p>
        </w:tc>
        <w:tc>
          <w:tcPr>
            <w:tcW w:type="dxa" w:w="1440"/>
            <w:shd w:fill="FFDCE0" w:val="clear"/>
          </w:tcPr>
          <w:p>
            <w:r>
              <w:rPr>
                <w:b/>
                <w:color w:val="C00000"/>
                <w:sz w:val="17"/>
              </w:rPr>
              <w:t>-20.2%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197,50 milliards FCFA, BOA Mali s'affirme comme une valeur de premier plan du compartiment bancaire de la BRVM, ce niveau représentant une taille significative à l'échelle régionale. Le BPA de 404 FCFA/action indique que chaque titre génère près de 404 FCFA de bénéfice net, un niveau appréciable qui traduit la capacité bénéficiaire de la banque. Le PER de 17,8x se situe nettement au-dessus de la moyenne BRVM (8-12x), signalant que les investisseurs paient une prime pour cette valeur — cette prime se justifie par la forte croissance récente du résultat net (+26,2% sur 9 mois en 2025), mais elle expose le titre à un risque de correction si la dynamique venait à s'essouffler. Le P/B de 3,96x confirme cette prime de croissance : le marché valorise BOAM à près de 4 fois ses fonds propres comptables (49,82 Mds FCFA), ce qui est élevé pour le secteur bancaire ouest-africain où les P/B oscillent généralement entre 1x et 2x. Enfin, l'EV/EBITDA de 9,9x, bien que dans la fourchette raisonnable (5-10x), se situe en haut de celle-ci, cohérent avec la prime de valorisation observée sur les autres multiples.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BOAM a enregistré une progression spectaculaire de +54,73%, avec une dernière séance (J-1) encore haussière de +2,71%, portant le cours actuel à 7 195 FCFA — soit exactement le plus haut de la période. Le range de trading est particulièrement large, le titre ayant évolué entre un plus bas de 4 425 FCFA et ce sommet de 7 195 FCFA, matérialisant une tendance haussière puissante et continue. Les statistiques descriptives révèlent un écart notable entre la moyenne (5 330 FCFA) et la médiane (5 000 FCFA), confirmant une distribution asymétrique avec une concentration des cours en dessous de la moyenne — le mode à 4 670 FCFA renforce cette observation. L'écart-type de 729 FCFA (CV=13,7%) indique une dispersion modérée du cours, tandis que le kurtosis de -0,628 (mésokurtique) suggère une distribution proche de la normale, sans risque excessif de pics extrêmes. Le skewness positif de 0,721 révèle toutefois une asymétrie positive : davantage de journées se sont situées sous la moyenne, mais les hausses ont été plus amples que les baisses. Avec une volatilité annualisée de 34,1%, le titre se classe dans la catégorie **élevée** (&gt;30%), ce qui est cohérent avec la forte appréciation récente et appelle à la prudence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(6 517,75 FCFA) et la MM50 (5 924,50 FCFA) se situent toutes deux sous le cours actuel (7 195 FCFA), avec la MM20 au-dessus de la MM50 — configuration haussière classique. Le cours évolue nettement au-dessus de ses deux moyennes, confirmant la dynamique positive et justifiant la décision d'**Achat**.</w:t>
      </w:r>
    </w:p>
    <w:p>
      <w:pPr>
        <w:spacing w:after="120" w:line="276" w:lineRule="auto"/>
      </w:pPr>
      <w:r>
        <w:t>**Bandes de Bollinger** : Le cours (7 195 FCFA) dépasse la borne supérieure (7 106,28 FCFA), signalant une situation de surachat technique et une volatilité accrue. Cette position extrême justifie la décision de **Vente** à court terme, le titre étant statistiquement susceptible de revenir vers sa moyenne.</w:t>
      </w:r>
    </w:p>
    <w:p>
      <w:pPr>
        <w:spacing w:after="120" w:line="276" w:lineRule="auto"/>
      </w:pPr>
      <w:r>
        <w:t>**MACD** : La valeur du MACD (306,25) surpasse son signal (270,23), avec un histogramme positif — le momentum reste haussier. La divergence positive entre les deux lignes confirme la poursuite de la tendance, justifiant la décision d'**Achat**.</w:t>
      </w:r>
    </w:p>
    <w:p>
      <w:pPr>
        <w:spacing w:after="120" w:line="276" w:lineRule="auto"/>
      </w:pPr>
      <w:r>
        <w:t>**RSI** : À 80,19, le RSI se situe largement au-dessus du seuil de surachat (70), indiquant que le titre est techniquement surévalué à court terme. Cette lecture justifie la décision de **Vente**, un repli correctif étant probable.</w:t>
      </w:r>
    </w:p>
    <w:p>
      <w:pPr>
        <w:spacing w:after="120" w:line="276" w:lineRule="auto"/>
      </w:pPr>
      <w:r>
        <w:t>**Stochastique** : Les lignes %K et %D sont toutes deux à 100,0 — niveau maximal absolu — sans croisement baissier pour l'instant. Cette configuration extrême signale un épuisement potentiel de la tendance haussière et justifie la décision de **Vente**.</w:t>
      </w:r>
    </w:p>
    <w:p>
      <w:pPr>
        <w:spacing w:after="120" w:line="276" w:lineRule="auto"/>
      </w:pPr>
      <w:r>
        <w:t>**Conclusion technique** : Les indicateurs présentent une divergence marquée : les moyennes mobiles et le MACD confirment la tendance haussière de fond, tandis que le RSI (80,19), les Bandes de Bollinger (cours &gt; borne supérieure) et le Stochastique (100/100) signalent tous un surachat extrême à court terme. Cette configuration suggère une tendance haussière mature, exposée à un risque de correction technique imminent, sans remettre en cause la dynamique de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 Mali affiche un Produit Net Bancaire (PNB) de 37,996 Mds FCFA, en croissance de 5,08% sur un an, et un résultat net de 11,081 Mds FCFA — en très forte progression par rapport aux 9,12 Mds FCFA de 2024 (+21,5%). La rentabilité des fonds propres (ROE) atteint 22,24%, un niveau **excellent** (&gt;15%), tandis que le ROA s'établit à 1,87%. Le coefficient d'exploitation de 63,14% reste supérieur au seuil de 60% — la banque n'est pas encore optimale en efficacité opérationnelle, mais s'améliore. Le coût du risque rapporté aux charges financières (43,39%) demeure élevé, signalant un risque de crédit significatif, bien que les rapports trimestriels indiquent une nette amélioration. La structure financière montre une autonomie financière faible (8,40%), typique du modèle bancaire, mais une solvabilité générale de 109,16% (&gt;1) et une capacité de remboursement de 1,79 an, rassurantes.</w:t>
      </w:r>
    </w:p>
    <w:p>
      <w:pPr>
        <w:spacing w:after="120" w:line="276" w:lineRule="auto"/>
      </w:pPr>
      <w:r>
        <w:t>**Analyse sectorielle bancaire** : Le ratio dépôts/créances s'établit à 502,89 Mds FCFA de dépôts clientèle pour 253,65 Mds FCFA de créances, soit un taux de transformation de 50,4% — la banque dispose d'une base de dépôts largement supérieure à ses crédits, offrant une marge de manœuvre importante pour développer son activité de crédit. Les créances interbancaires (18,78 Mds FCFA) et les dettes interbancaires (20,35 Mds FCFA) sont équilibrées, reflétant une gestion prudente de la liquidité.</w:t>
      </w:r>
    </w:p>
    <w:p>
      <w:pPr>
        <w:spacing w:after="120" w:line="276" w:lineRule="auto"/>
      </w:pPr>
      <w:r>
        <w:t>**Estimations basées sur les rapports trimestriels** : Selon le rapport du **3ème trimestre 2025 (30/09/2025)**, le PNB cumulé sur 9 mois atteint 28,52 Mds FCFA (+5,8%) et le résultat net 9,16 Mds FCFA (+26,2%), avec une collecte de dépôts en hausse de +9,2% depuis fin 2024. Le rapport du **1er semestre 2025 (30/06/2025)** confirme cette dynamique avec un résultat net semestriel de 6,21 Mds FCFA (+28,8%) et une baisse spectaculaire du coût du risque (-32,7%). Sur la base de ces tendances, on estime que l'exercice 2025 devrait clôturer avec un résultat net proche de 11 Mds FCFA (cohérent avec les données structurées), et que 2026 devrait poursuivre cette trajectoire avec une croissance du PNB estimée entre +5% et +7%, portée par la digitalisation et la reprise progressive des activités de crédit.</w:t>
      </w:r>
    </w:p>
    <w:p>
      <w:pPr>
        <w:spacing w:after="120" w:line="276" w:lineRule="auto"/>
      </w:pPr>
      <w:r>
        <w:t>**Évolution pluriannuelle** : De 2022 (résultat net de 2,46 Mds FCFA) à 2025 (11,08 Mds FCFA), BOA Mali a multiplié son résultat net par 4,5 en trois ans, avec une accélération marquée en 2024 (+57,9%) et 2025 (+21,5%). Cette performance résulte de la maîtrise des charges, de la réduction du coût du risque et de la résilience dans un contexte sécuritaire difficile.</w:t>
      </w:r>
    </w:p>
    <w:p>
      <w:pPr>
        <w:spacing w:after="120" w:line="276" w:lineRule="auto"/>
      </w:pPr>
      <w:r>
        <w:t>**Recommandation fondamentale** : BOA Mali présente des fondamentaux **solides** (ROE &gt;22%, croissance du résultat net à deux chiffres, base de dépôts en expansion), mais des **risques persistants** (coût du risque élevé, contexte sécuritaire malien, absence de visibilité sur le dividende 2025). La valorisation actuelle (PER 17,8x) intègre déjà une large part de ces bonnes performances, limitant le potentiel d'appréciation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de BOAM (PER 17,8x, P/B 3,96x, EV/EBITDA 9,9x) indique une **surévaluation relative** par rapport aux moyennes du secteur bancaire BRVM, le marché ayant déjà intégré la forte croissance des bénéfices. Le comportement du cours sur 100 jours (+54,73%) révèle une tendance haussière puissante mais désormais **étirée**, avec une volatilité élevée (34,1%) et un skewness positif (0,721) suggérant que les hausses récentes pourraient être suivies de corrections. Les signaux techniques sont **divergents** : les moyennes mobiles et le MACD confirment la tendance haussière, mais le RSI (80,19), les Bandes de Bollinger (cours &gt; borne supérieure) et le Stochastique (100/100) signalent un surachat extrême, plaidant pour une prise de bénéfices à court terme. Les fondamentaux restent **solides** (ROE 22,24%, résultat net 2025 de 11,08 Mds FCFA, croissance du PNB de +5,08%), mais les estimations issues des rapports trimestriels (T3 2025 : résultat net +26,2%) montrent que la dynamique pourrait ralentir en 2026. Les prédictions IA (J+1 à J+10) anticipent une **correction baissière** de 7 099 FCFA à 6 278 FCFA (-12,7%), confirmant les signaux de surachat technique et contredisant la tendance haussière de fond.</w:t>
      </w:r>
    </w:p>
    <w:p>
      <w:pPr>
        <w:spacing w:after="120" w:line="276" w:lineRule="auto"/>
      </w:pPr>
      <w:r>
        <w:t>**Recommandation finale : CONSERVER (avec prise de bénéfices partielle)**</w:t>
      </w:r>
    </w:p>
    <w:p>
      <w:pPr>
        <w:spacing w:after="120" w:line="276" w:lineRule="auto"/>
      </w:pPr>
      <w:r>
        <w:t>Cette recommandation résulte d'une **divergence** entre les signaux : la valorisation et les fondamentaux justifient une position de fond, mais le surachat technique extrême et les prédictions baissières à court terme incitent à la prudence. Les investisseurs déjà positionnés peuvent conserver le titre pour le moyen terme (3-12 mois) en prenant des bénéfices partiels sur la hausse récente, tandis que les nouveaux entrants devraient attendre une correction vers 6 000-6 300 FCFA (niveau de la MM50) avant d'initier une position. Le niveau de confiance est **Moyen** (les fondamentaux sont solides mais la valorisation est tendue), et le risque global est **Élevé** (volatilité de 34,1%, contexte sécuritaire malien, absence de dividende confirmé). L'horizon d'investissement optimal est le **moyen terme (3-12 mois)**, le temps que la correction technique s'achève et que la dynamique bénéficiaire se confirme sur l'exercice 2026.</w:t>
      </w:r>
    </w:p>
    <w:p>
      <w:pPr>
        <w:spacing w:after="120" w:line="276" w:lineRule="auto"/>
      </w:pPr>
      <w:r>
        <w:t>---</w:t>
      </w:r>
    </w:p>
    <w:p>
      <w:pPr>
        <w:spacing w:after="120" w:line="276" w:lineRule="auto"/>
      </w:pPr>
      <w:r>
        <w:t>*Rapport généré le 10 septembre 2026 — Sources : BRVM, états financiers BOA Mali 2025, rapports trimestriels T1/T2/T3 2025, analyses fondamentales certifiées.*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114.30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10,091 titres</w:t>
            </w:r>
          </w:p>
        </w:tc>
        <w:tc>
          <w:tcPr>
            <w:tcW w:type="dxa" w:w="2268"/>
            <w:shd w:fill="FFF2CC" w:val="clear"/>
          </w:tcPr>
          <w:p>
            <w:r>
              <w:rPr>
                <w:b/>
                <w:color w:val="503200"/>
                <w:sz w:val="16"/>
              </w:rPr>
              <w:t xml:space="preserve">Cours actuel : </w:t>
            </w:r>
            <w:r>
              <w:rPr>
                <w:color w:val="000000"/>
                <w:sz w:val="17"/>
              </w:rPr>
              <w:t>5,495 FCFA</w:t>
            </w:r>
          </w:p>
          <w:p>
            <w:r>
              <w:rPr>
                <w:b/>
                <w:color w:val="503200"/>
                <w:sz w:val="16"/>
              </w:rPr>
              <w:t xml:space="preserve">Var. 100 jours : </w:t>
            </w:r>
            <w:r>
              <w:rPr>
                <w:b/>
                <w:color w:val="007800"/>
                <w:sz w:val="17"/>
              </w:rPr>
              <w:t>+83.17%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38.2%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18.25% (Élevée) — μ=4,389 FCFA, σ=801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β=0.4585 (Défensif) — Cov=0.000016, Var(idx)=0.000035, ρ=0.112,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10,091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σ_j=2.41%/j (Stable) — Vol. annualisée≈38.2%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5,326</w:t>
            </w:r>
          </w:p>
        </w:tc>
        <w:tc>
          <w:tcPr>
            <w:tcW w:type="dxa" w:w="1440"/>
            <w:shd w:fill="FAFAFA" w:val="clear"/>
          </w:tcPr>
          <w:p>
            <w:r>
              <w:rPr>
                <w:b/>
                <w:sz w:val="17"/>
              </w:rPr>
              <w:t>5,460</w:t>
            </w:r>
          </w:p>
        </w:tc>
        <w:tc>
          <w:tcPr>
            <w:tcW w:type="dxa" w:w="1440"/>
            <w:shd w:fill="FAFAFA" w:val="clear"/>
          </w:tcPr>
          <w:p>
            <w:r>
              <w:rPr>
                <w:sz w:val="17"/>
              </w:rPr>
              <w:t>5,593</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2026-09-14</w:t>
            </w:r>
          </w:p>
        </w:tc>
        <w:tc>
          <w:tcPr>
            <w:tcW w:type="dxa" w:w="1440"/>
            <w:shd w:fill="FAFAFA" w:val="clear"/>
          </w:tcPr>
          <w:p>
            <w:r>
              <w:rPr>
                <w:sz w:val="17"/>
              </w:rPr>
              <w:t>5,261</w:t>
            </w:r>
          </w:p>
        </w:tc>
        <w:tc>
          <w:tcPr>
            <w:tcW w:type="dxa" w:w="1440"/>
            <w:shd w:fill="FAFAFA" w:val="clear"/>
          </w:tcPr>
          <w:p>
            <w:r>
              <w:rPr>
                <w:b/>
                <w:sz w:val="17"/>
              </w:rPr>
              <w:t>5,449</w:t>
            </w:r>
          </w:p>
        </w:tc>
        <w:tc>
          <w:tcPr>
            <w:tcW w:type="dxa" w:w="1440"/>
            <w:shd w:fill="FAFAFA" w:val="clear"/>
          </w:tcPr>
          <w:p>
            <w:r>
              <w:rPr>
                <w:sz w:val="17"/>
              </w:rPr>
              <w:t>5,638</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2026-09-15</w:t>
            </w:r>
          </w:p>
        </w:tc>
        <w:tc>
          <w:tcPr>
            <w:tcW w:type="dxa" w:w="1440"/>
            <w:shd w:fill="FAFAFA" w:val="clear"/>
          </w:tcPr>
          <w:p>
            <w:r>
              <w:rPr>
                <w:sz w:val="17"/>
              </w:rPr>
              <w:t>5,205</w:t>
            </w:r>
          </w:p>
        </w:tc>
        <w:tc>
          <w:tcPr>
            <w:tcW w:type="dxa" w:w="1440"/>
            <w:shd w:fill="FAFAFA" w:val="clear"/>
          </w:tcPr>
          <w:p>
            <w:r>
              <w:rPr>
                <w:b/>
                <w:sz w:val="17"/>
              </w:rPr>
              <w:t>5,435</w:t>
            </w:r>
          </w:p>
        </w:tc>
        <w:tc>
          <w:tcPr>
            <w:tcW w:type="dxa" w:w="1440"/>
            <w:shd w:fill="FAFAFA" w:val="clear"/>
          </w:tcPr>
          <w:p>
            <w:r>
              <w:rPr>
                <w:sz w:val="17"/>
              </w:rPr>
              <w:t>5,665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5,156</w:t>
            </w:r>
          </w:p>
        </w:tc>
        <w:tc>
          <w:tcPr>
            <w:tcW w:type="dxa" w:w="1440"/>
            <w:shd w:fill="FAFAFA" w:val="clear"/>
          </w:tcPr>
          <w:p>
            <w:r>
              <w:rPr>
                <w:b/>
                <w:sz w:val="17"/>
              </w:rPr>
              <w:t>5,421</w:t>
            </w:r>
          </w:p>
        </w:tc>
        <w:tc>
          <w:tcPr>
            <w:tcW w:type="dxa" w:w="1440"/>
            <w:shd w:fill="FAFAFA" w:val="clear"/>
          </w:tcPr>
          <w:p>
            <w:r>
              <w:rPr>
                <w:sz w:val="17"/>
              </w:rPr>
              <w:t>5,686</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2026-09-17</w:t>
            </w:r>
          </w:p>
        </w:tc>
        <w:tc>
          <w:tcPr>
            <w:tcW w:type="dxa" w:w="1440"/>
            <w:shd w:fill="FAFAFA" w:val="clear"/>
          </w:tcPr>
          <w:p>
            <w:r>
              <w:rPr>
                <w:sz w:val="17"/>
              </w:rPr>
              <w:t>5,111</w:t>
            </w:r>
          </w:p>
        </w:tc>
        <w:tc>
          <w:tcPr>
            <w:tcW w:type="dxa" w:w="1440"/>
            <w:shd w:fill="FAFAFA" w:val="clear"/>
          </w:tcPr>
          <w:p>
            <w:r>
              <w:rPr>
                <w:b/>
                <w:sz w:val="17"/>
              </w:rPr>
              <w:t>5,406</w:t>
            </w:r>
          </w:p>
        </w:tc>
        <w:tc>
          <w:tcPr>
            <w:tcW w:type="dxa" w:w="1440"/>
            <w:shd w:fill="FAFAFA" w:val="clear"/>
          </w:tcPr>
          <w:p>
            <w:r>
              <w:rPr>
                <w:sz w:val="17"/>
              </w:rPr>
              <w:t>5,702</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2026-09-18</w:t>
            </w:r>
          </w:p>
        </w:tc>
        <w:tc>
          <w:tcPr>
            <w:tcW w:type="dxa" w:w="1440"/>
            <w:shd w:fill="FAFAFA" w:val="clear"/>
          </w:tcPr>
          <w:p>
            <w:r>
              <w:rPr>
                <w:sz w:val="17"/>
              </w:rPr>
              <w:t>5,069</w:t>
            </w:r>
          </w:p>
        </w:tc>
        <w:tc>
          <w:tcPr>
            <w:tcW w:type="dxa" w:w="1440"/>
            <w:shd w:fill="FAFAFA" w:val="clear"/>
          </w:tcPr>
          <w:p>
            <w:r>
              <w:rPr>
                <w:b/>
                <w:sz w:val="17"/>
              </w:rPr>
              <w:t>5,392</w:t>
            </w:r>
          </w:p>
        </w:tc>
        <w:tc>
          <w:tcPr>
            <w:tcW w:type="dxa" w:w="1440"/>
            <w:shd w:fill="FAFAFA" w:val="clear"/>
          </w:tcPr>
          <w:p>
            <w:r>
              <w:rPr>
                <w:sz w:val="17"/>
              </w:rPr>
              <w:t>5,715</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5,031</w:t>
            </w:r>
          </w:p>
        </w:tc>
        <w:tc>
          <w:tcPr>
            <w:tcW w:type="dxa" w:w="1440"/>
            <w:shd w:fill="FFDCE0" w:val="clear"/>
          </w:tcPr>
          <w:p>
            <w:r>
              <w:rPr>
                <w:b/>
                <w:sz w:val="17"/>
              </w:rPr>
              <w:t>5,378</w:t>
            </w:r>
          </w:p>
        </w:tc>
        <w:tc>
          <w:tcPr>
            <w:tcW w:type="dxa" w:w="1440"/>
            <w:shd w:fill="FFDCE0" w:val="clear"/>
          </w:tcPr>
          <w:p>
            <w:r>
              <w:rPr>
                <w:sz w:val="17"/>
              </w:rPr>
              <w:t>5,726</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4,994</w:t>
            </w:r>
          </w:p>
        </w:tc>
        <w:tc>
          <w:tcPr>
            <w:tcW w:type="dxa" w:w="1440"/>
            <w:shd w:fill="FFDCE0" w:val="clear"/>
          </w:tcPr>
          <w:p>
            <w:r>
              <w:rPr>
                <w:b/>
                <w:sz w:val="17"/>
              </w:rPr>
              <w:t>5,365</w:t>
            </w:r>
          </w:p>
        </w:tc>
        <w:tc>
          <w:tcPr>
            <w:tcW w:type="dxa" w:w="1440"/>
            <w:shd w:fill="FFDCE0" w:val="clear"/>
          </w:tcPr>
          <w:p>
            <w:r>
              <w:rPr>
                <w:sz w:val="17"/>
              </w:rPr>
              <w:t>5,736</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4,959</w:t>
            </w:r>
          </w:p>
        </w:tc>
        <w:tc>
          <w:tcPr>
            <w:tcW w:type="dxa" w:w="1440"/>
            <w:shd w:fill="FFDCE0" w:val="clear"/>
          </w:tcPr>
          <w:p>
            <w:r>
              <w:rPr>
                <w:b/>
                <w:sz w:val="17"/>
              </w:rPr>
              <w:t>5,351</w:t>
            </w:r>
          </w:p>
        </w:tc>
        <w:tc>
          <w:tcPr>
            <w:tcW w:type="dxa" w:w="1440"/>
            <w:shd w:fill="FFDCE0" w:val="clear"/>
          </w:tcPr>
          <w:p>
            <w:r>
              <w:rPr>
                <w:sz w:val="17"/>
              </w:rPr>
              <w:t>5,744</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4,925</w:t>
            </w:r>
          </w:p>
        </w:tc>
        <w:tc>
          <w:tcPr>
            <w:tcW w:type="dxa" w:w="1440"/>
            <w:shd w:fill="FFDCE0" w:val="clear"/>
          </w:tcPr>
          <w:p>
            <w:r>
              <w:rPr>
                <w:b/>
                <w:sz w:val="17"/>
              </w:rPr>
              <w:t>5,338</w:t>
            </w:r>
          </w:p>
        </w:tc>
        <w:tc>
          <w:tcPr>
            <w:tcW w:type="dxa" w:w="1440"/>
            <w:shd w:fill="FFDCE0" w:val="clear"/>
          </w:tcPr>
          <w:p>
            <w:r>
              <w:rPr>
                <w:sz w:val="17"/>
              </w:rPr>
              <w:t>5,751</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ACTION BOAN (Bank of Africa Niger)**</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114,30 Mds FCFA, BOAN se positionne comme une valeur de taille moyenne sur le compartiment bancaire de la BRVM. Le BPA de 20 FCFA/action signifie que chaque titre génère seulement 20 FCFA de bénéfice net, ce qui, rapporté au cours actuel de 5 495 FCFA, aboutit à un PER de 279,5x — un niveau extrêmement élevé comparé à la moyenne BRVM (~8-12x), traduisant une décorrélation totale entre le prix de marché et la rentabilité effective de l'exercice 2025. Le P/B de 3,17x indique que le marché valorise la banque à plus de trois fois ses fonds propres comptables (36,06 Mds FCFA), soit une prime de croissance significative qui n'est justifiée ni par les résultats 2025 ni par le ROE de 1,13%. Enfin, l'EV/EBITDA de 41,0x (très supérieur au seuil de 15x) confirme que la valeur d'entreprise intègre des anticipations de redressement très optimistes, non encore matérialisées dans les comptes publiés.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performance spectaculaire de +83,17%, avec une dernière séance en légère hausse de +0,46%, portant le cours à 5 495 FCFA. Le titre a évolué dans un range très large de 2 645 FCFA, entre un plus bas de 3 000 FCFA et un plus haut de 5 645 FCFA, ce qui témoigne d'une tendance nettement haussière soutenue par un volume moyen de 10 091 titres/jour. La moyenne (4 389 FCFA) est supérieure à la médiane (4 188 FCFA), ce qui indique une légère asymétrie positive — les cours récents tirent la moyenne vers le haut — tandis que le mode à 3 500 FCFA rappelle que le titre a longtemps stagné avant son envolée. L'écart-type de 805 FCFA (CV = 18,3%) traduit une dispersion modérée mais réelle, et le kurtosis négatif (-1,655, distribution platykurtique) signale une faible concentration des rendements autour de la moyenne, donc un risque de mouvements amples plutôt que de pics extrêmes isolés. Le skewness de 0,134 confirme une distribution quasi symétrique, sans biais directionnel marqué. Avec une volatilité annualisée de 38,2%, le titre se classe dans la catégorie des valeurs à volatilité élevée (&gt;30%), ce qui est cohérent avec un parcours de +83% en 100 jours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(5 358,0 FCFA) et la MM50 (5 120,6 FCFA) se situent toutes deux sous le cours actuel (5 495 FCFA), avec la MM20 au-dessus de la MM50 — configuration haussière classique (golden cross). Le cours évoluant au-dessus de ses deux moyennes, la décision technique est logiquement **Achat**, confirmant la dynamique positive de court et moyen terme.</w:t>
      </w:r>
    </w:p>
    <w:p>
      <w:pPr>
        <w:spacing w:after="120" w:line="276" w:lineRule="auto"/>
      </w:pPr>
      <w:r>
        <w:t>**Bandes de Bollinger** : Le cours (5 495 FCFA) se situe dans la partie haute du canal, entre la borne inférieure (5 043,5 FCFA) et la borne supérieure (5 672,5 FCFA), sans franchissement de cette dernière. Cette position proche de la borne haute, sans breakout, justifie la décision **Neutre** : le titre est fort mais n'affiche pas de signal d'extension excessive immédiate.</w:t>
      </w:r>
    </w:p>
    <w:p>
      <w:pPr>
        <w:spacing w:after="120" w:line="276" w:lineRule="auto"/>
      </w:pPr>
      <w:r>
        <w:t>**MACD** : La valeur du MACD (114,797) est inférieure à son signal (126,111), générant un croisement baissier et une décision **Vente**. Cette divergence négative indique un essoufflement du momentum haussier malgré la tendance de fond positive, signal d'alerte à court terme.</w:t>
      </w:r>
    </w:p>
    <w:p>
      <w:pPr>
        <w:spacing w:after="120" w:line="276" w:lineRule="auto"/>
      </w:pPr>
      <w:r>
        <w:t>**RSI** : À 65,409, le RSI se situe en zone neutre-haute, sans atteindre le seuil de surachat (&gt;70). La décision **Neutre** reflète un titre encore dynamique mais approchant des niveaux où la prudence s'impose.</w:t>
      </w:r>
    </w:p>
    <w:p>
      <w:pPr>
        <w:spacing w:after="120" w:line="276" w:lineRule="auto"/>
      </w:pPr>
      <w:r>
        <w:t>**Stochastique** : Le %K (58,904) est légèrement inférieur au %D (61,096), sans croisement franc, et les deux oscillent en zone médiane. La décision **Neutre** confirme l'absence de signal directionnel fort à court terme.</w:t>
      </w:r>
    </w:p>
    <w:p>
      <w:pPr>
        <w:spacing w:after="120" w:line="276" w:lineRule="auto"/>
      </w:pPr>
      <w:r>
        <w:t>**Conclusion technique** : Les indicateurs sont globalement partagés — les moyennes mobiles valident la tendance haussière de fond, mais le MACD baissier et le RSI proche du surachat suggèrent une pause ou une consolidation imminente. La configuration plaide pour un **maintien de position avec vigilance**, sans signal d'achat agressif ni de vente franche à ce stade.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secteur Banque)** : En 2025, BOAN affiche un Produit Net Bancaire (équivalent du chiffre d'affaires) de 21 125 M FCFA, en léger recul de -1,19% sur un an, pour un résultat net de seulement 409 M FCFA — soit une marge nette de 1,94% et un ROE catastrophique de 1,13% (très loin du seuil de 15% considéré comme excellent). Le ROA de 0,14% confirme l'effondrement de la rentabilité des actifs. Le coefficient d'exploitation de 74,37% est très supérieur au seuil de 60% (banque efficace), traduisant une structure de coûts lourde, et le coût du risque rapporté aux charges financières atteint 67,30% — un niveau élevé signalant un portefeuille de crédits dégradé. La structure bilancielle montre des dépôts clientèle de 183 280 M FCFA contre des créances clientèle de 128 447 M FCFA (ratio de transformation de ~70%), avec une autonomie financière faible (12,36%) et un ratio d'endettement de 178,61%.</w:t>
      </w:r>
    </w:p>
    <w:p>
      <w:pPr>
        <w:spacing w:after="120" w:line="276" w:lineRule="auto"/>
      </w:pPr>
      <w:r>
        <w:t>**Évolution temporelle et contexte** : Les rapports officiels (rapport annuel 2024 du 31/12/2024, rapports trimestriels 2025) montrent une dégradation progressive : le PNB est passé de 26 976 M FCFA en 2023 à 21 380 M FCFA en 2024 (-20,7%), puis 21 125 M FCFA en 2025 (-1,2%), tandis que le résultat net chutait de 10 077 M FCFA (2023) à 5 002 M FCFA (2024) puis 409 M FCFA (2025), soit -91,8% sur le dernier exercice. Cette chute s'explique par une provision exceptionnelle de 4,8 Mds FCFA liée au taux de sinistralité sectoriel de 24% au Niger, dans un contexte post-sanctions (coup d'État de 2023) et de faible bancarisation (6,3%).</w:t>
      </w:r>
    </w:p>
    <w:p>
      <w:pPr>
        <w:spacing w:after="120" w:line="276" w:lineRule="auto"/>
      </w:pPr>
      <w:r>
        <w:t>**Estimations basées sur les rapports trimestriels** : Le rapport du T1 2026 (publié le 31/03/2026) marque un début de redressement net : PNB de 5 170 M FCFA (+7,9%), résultat net de 1 467,3 M FCFA (+28,9%), coefficient d'exploitation ramené à 56,2% (contre 66,8% un an plus tôt) et RBE en hausse de +42,2%. Sur cette base, on peut estimer que l'exercice 2026 devrait afficher un PNB annuel proche de 22 300 M FCFA (+6,4%, conforme au budget) et un résultat net en forte progression, potentiellement au-delà de 4 Mds FCFA si la tendance se confirme — tout en notant que le coût du risque reste élevé (+104,3% au T1 2026). La recommandation fondamentale reste **CONSERVER sous surveillance rapprochée** : la solidité bilancielle (solvabilité 14,06%, liquidité 123,95%) et le soutien du groupe BOA sont des atouts, mais la valorisation boursière actuelle (PER 279,5x) intègre déjà une reprise très optimiste, et un seul trimestre de redressement ne suffit pas à lever les risques structurels (créances douteuses, instabilité politique).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la valorisation, le comportement du cours, les signaux techniques et les fondamentaux. La valorisation (Partie 0) est extrêmement tendue : PER de 279,5x, P/B de 3,17x et EV/EBITDA de 41,0x traduisent une surévaluation manifeste au regard des bénéfices 2025, le marché ayant déjà intégré un scénario de redressement très favorable. Le comportement du cours (Partie 1) est haussier (+83,17% en 100 jours) mais avec une volatilité élevée (38,2%) et une distribution platykurtique indiquant un risque de mouvements amples. Les signaux techniques (Partie 2) sont mitigés : les moyennes mobiles confirment la tendance haussière, mais le MACD baissier et le RSI proche du surachat plaident pour une consolidation. Les fondamentaux (Partie 3) montrent une banque en phase de redressement après une année 2025 catastrophique (résultat net -91,8%), avec un T1 2026 encourageant (+28,9% de résultat net) mais des risques persistants (coût du risque élevé, créances douteuses à 24%). Les prédictions IA (J+1 à J+10) anticipent une légère correction vers 5 406-5 460 FCFA, ce qui **contredit** la dynamique haussière récente et confirme la nécessité d'une pause.</w:t>
      </w:r>
    </w:p>
    <w:p>
      <w:pPr>
        <w:spacing w:after="120" w:line="276" w:lineRule="auto"/>
      </w:pPr>
      <w:r>
        <w:t>**Recommandation finale : CONSERVER** — avec un niveau de confiance **Moyen** et un risque global **Élevé**. La convergence entre la surévaluation boursière, le signal baissier du MACD et la prédiction IA de repli suggère qu'il n'est pas opportun d'acheter à ces niveaux, tandis que la perspective de redressement fondamental (T1 2026) et le soutien du groupe BOA déconseillent une vente précipitée. L'horizon optimal est le **moyen terme (3-12 mois)**, en attendant la confirmation du redressement sur au moins deux à trois trimestres supplémentaires avant d'envisager un renforcement. Les investisseurs déjà positionnés peuvent conserver avec un stop-loss rigoureux, tandis que les nouveaux entrants devraient attendre une correction vers la zone des 5 000-5 100 FCFA (borne inférieure de Bollinger / MM50) pour améliorer leur point d'entrée.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298.80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10,317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+22.96%</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5.52% (Moyenne) — μ=7,558 FCFA, σ=417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β=0.2904 (Défensif) — Cov=0.000010, Var(idx)=0.000035, ρ=0.110,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7,849</w:t>
            </w:r>
          </w:p>
        </w:tc>
        <w:tc>
          <w:tcPr>
            <w:tcW w:type="dxa" w:w="1440"/>
            <w:shd w:fill="FFDCE0" w:val="clear"/>
          </w:tcPr>
          <w:p>
            <w:r>
              <w:rPr>
                <w:b/>
                <w:sz w:val="17"/>
              </w:rPr>
              <w:t>8,056</w:t>
            </w:r>
          </w:p>
        </w:tc>
        <w:tc>
          <w:tcPr>
            <w:tcW w:type="dxa" w:w="1440"/>
            <w:shd w:fill="FFDCE0" w:val="clear"/>
          </w:tcPr>
          <w:p>
            <w:r>
              <w:rPr>
                <w:sz w:val="17"/>
              </w:rPr>
              <w:t>8,263</w:t>
            </w:r>
          </w:p>
        </w:tc>
        <w:tc>
          <w:tcPr>
            <w:tcW w:type="dxa" w:w="1440"/>
            <w:shd w:fill="FFDCE0" w:val="clear"/>
          </w:tcPr>
          <w:p>
            <w:r>
              <w:rPr>
                <w:b/>
                <w:color w:val="C00000"/>
                <w:sz w:val="17"/>
              </w:rPr>
              <w:t>-2.9%</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7,624</w:t>
            </w:r>
          </w:p>
        </w:tc>
        <w:tc>
          <w:tcPr>
            <w:tcW w:type="dxa" w:w="1440"/>
            <w:shd w:fill="FFDCE0" w:val="clear"/>
          </w:tcPr>
          <w:p>
            <w:r>
              <w:rPr>
                <w:b/>
                <w:sz w:val="17"/>
              </w:rPr>
              <w:t>7,911</w:t>
            </w:r>
          </w:p>
        </w:tc>
        <w:tc>
          <w:tcPr>
            <w:tcW w:type="dxa" w:w="1440"/>
            <w:shd w:fill="FFDCE0" w:val="clear"/>
          </w:tcPr>
          <w:p>
            <w:r>
              <w:rPr>
                <w:sz w:val="17"/>
              </w:rPr>
              <w:t>8,198</w:t>
            </w:r>
          </w:p>
        </w:tc>
        <w:tc>
          <w:tcPr>
            <w:tcW w:type="dxa" w:w="1440"/>
            <w:shd w:fill="FFDCE0" w:val="clear"/>
          </w:tcPr>
          <w:p>
            <w:r>
              <w:rPr>
                <w:b/>
                <w:color w:val="C00000"/>
                <w:sz w:val="17"/>
              </w:rPr>
              <w:t>-4.7%</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7,423</w:t>
            </w:r>
          </w:p>
        </w:tc>
        <w:tc>
          <w:tcPr>
            <w:tcW w:type="dxa" w:w="1440"/>
            <w:shd w:fill="FFDCE0" w:val="clear"/>
          </w:tcPr>
          <w:p>
            <w:r>
              <w:rPr>
                <w:b/>
                <w:sz w:val="17"/>
              </w:rPr>
              <w:t>7,768</w:t>
            </w:r>
          </w:p>
        </w:tc>
        <w:tc>
          <w:tcPr>
            <w:tcW w:type="dxa" w:w="1440"/>
            <w:shd w:fill="FFDCE0" w:val="clear"/>
          </w:tcPr>
          <w:p>
            <w:r>
              <w:rPr>
                <w:sz w:val="17"/>
              </w:rPr>
              <w:t>8,113</w:t>
            </w:r>
          </w:p>
        </w:tc>
        <w:tc>
          <w:tcPr>
            <w:tcW w:type="dxa" w:w="1440"/>
            <w:shd w:fill="FFDCE0" w:val="clear"/>
          </w:tcPr>
          <w:p>
            <w:r>
              <w:rPr>
                <w:b/>
                <w:color w:val="C00000"/>
                <w:sz w:val="17"/>
              </w:rPr>
              <w:t>-6.4%</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7,247</w:t>
            </w:r>
          </w:p>
        </w:tc>
        <w:tc>
          <w:tcPr>
            <w:tcW w:type="dxa" w:w="1440"/>
            <w:shd w:fill="FFDCE0" w:val="clear"/>
          </w:tcPr>
          <w:p>
            <w:r>
              <w:rPr>
                <w:b/>
                <w:sz w:val="17"/>
              </w:rPr>
              <w:t>7,639</w:t>
            </w:r>
          </w:p>
        </w:tc>
        <w:tc>
          <w:tcPr>
            <w:tcW w:type="dxa" w:w="1440"/>
            <w:shd w:fill="FFDCE0" w:val="clear"/>
          </w:tcPr>
          <w:p>
            <w:r>
              <w:rPr>
                <w:sz w:val="17"/>
              </w:rPr>
              <w:t>8,031</w:t>
            </w:r>
          </w:p>
        </w:tc>
        <w:tc>
          <w:tcPr>
            <w:tcW w:type="dxa" w:w="1440"/>
            <w:shd w:fill="FFDCE0" w:val="clear"/>
          </w:tcPr>
          <w:p>
            <w:r>
              <w:rPr>
                <w:b/>
                <w:color w:val="C00000"/>
                <w:sz w:val="17"/>
              </w:rPr>
              <w:t>-8.0%</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7,088</w:t>
            </w:r>
          </w:p>
        </w:tc>
        <w:tc>
          <w:tcPr>
            <w:tcW w:type="dxa" w:w="1440"/>
            <w:shd w:fill="FFDCE0" w:val="clear"/>
          </w:tcPr>
          <w:p>
            <w:r>
              <w:rPr>
                <w:b/>
                <w:sz w:val="17"/>
              </w:rPr>
              <w:t>7,520</w:t>
            </w:r>
          </w:p>
        </w:tc>
        <w:tc>
          <w:tcPr>
            <w:tcW w:type="dxa" w:w="1440"/>
            <w:shd w:fill="FFDCE0" w:val="clear"/>
          </w:tcPr>
          <w:p>
            <w:r>
              <w:rPr>
                <w:sz w:val="17"/>
              </w:rPr>
              <w:t>7,951</w:t>
            </w:r>
          </w:p>
        </w:tc>
        <w:tc>
          <w:tcPr>
            <w:tcW w:type="dxa" w:w="1440"/>
            <w:shd w:fill="FFDCE0" w:val="clear"/>
          </w:tcPr>
          <w:p>
            <w:r>
              <w:rPr>
                <w:b/>
                <w:color w:val="C00000"/>
                <w:sz w:val="17"/>
              </w:rPr>
              <w:t>-9.4%</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6,942</w:t>
            </w:r>
          </w:p>
        </w:tc>
        <w:tc>
          <w:tcPr>
            <w:tcW w:type="dxa" w:w="1440"/>
            <w:shd w:fill="FFDCE0" w:val="clear"/>
          </w:tcPr>
          <w:p>
            <w:r>
              <w:rPr>
                <w:b/>
                <w:sz w:val="17"/>
              </w:rPr>
              <w:t>7,408</w:t>
            </w:r>
          </w:p>
        </w:tc>
        <w:tc>
          <w:tcPr>
            <w:tcW w:type="dxa" w:w="1440"/>
            <w:shd w:fill="FFDCE0" w:val="clear"/>
          </w:tcPr>
          <w:p>
            <w:r>
              <w:rPr>
                <w:sz w:val="17"/>
              </w:rPr>
              <w:t>7,873</w:t>
            </w:r>
          </w:p>
        </w:tc>
        <w:tc>
          <w:tcPr>
            <w:tcW w:type="dxa" w:w="1440"/>
            <w:shd w:fill="FFDCE0" w:val="clear"/>
          </w:tcPr>
          <w:p>
            <w:r>
              <w:rPr>
                <w:b/>
                <w:color w:val="C00000"/>
                <w:sz w:val="17"/>
              </w:rPr>
              <w:t>-10.8%</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6,806</w:t>
            </w:r>
          </w:p>
        </w:tc>
        <w:tc>
          <w:tcPr>
            <w:tcW w:type="dxa" w:w="1440"/>
            <w:shd w:fill="FFDCE0" w:val="clear"/>
          </w:tcPr>
          <w:p>
            <w:r>
              <w:rPr>
                <w:b/>
                <w:sz w:val="17"/>
              </w:rPr>
              <w:t>7,302</w:t>
            </w:r>
          </w:p>
        </w:tc>
        <w:tc>
          <w:tcPr>
            <w:tcW w:type="dxa" w:w="1440"/>
            <w:shd w:fill="FFDCE0" w:val="clear"/>
          </w:tcPr>
          <w:p>
            <w:r>
              <w:rPr>
                <w:sz w:val="17"/>
              </w:rPr>
              <w:t>7,798</w:t>
            </w:r>
          </w:p>
        </w:tc>
        <w:tc>
          <w:tcPr>
            <w:tcW w:type="dxa" w:w="1440"/>
            <w:shd w:fill="FFDCE0" w:val="clear"/>
          </w:tcPr>
          <w:p>
            <w:r>
              <w:rPr>
                <w:b/>
                <w:color w:val="C00000"/>
                <w:sz w:val="17"/>
              </w:rPr>
              <w:t>-12.0%</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6,680</w:t>
            </w:r>
          </w:p>
        </w:tc>
        <w:tc>
          <w:tcPr>
            <w:tcW w:type="dxa" w:w="1440"/>
            <w:shd w:fill="FFDCE0" w:val="clear"/>
          </w:tcPr>
          <w:p>
            <w:r>
              <w:rPr>
                <w:b/>
                <w:sz w:val="17"/>
              </w:rPr>
              <w:t>7,202</w:t>
            </w:r>
          </w:p>
        </w:tc>
        <w:tc>
          <w:tcPr>
            <w:tcW w:type="dxa" w:w="1440"/>
            <w:shd w:fill="FFDCE0" w:val="clear"/>
          </w:tcPr>
          <w:p>
            <w:r>
              <w:rPr>
                <w:sz w:val="17"/>
              </w:rPr>
              <w:t>7,725</w:t>
            </w:r>
          </w:p>
        </w:tc>
        <w:tc>
          <w:tcPr>
            <w:tcW w:type="dxa" w:w="1440"/>
            <w:shd w:fill="FFDCE0" w:val="clear"/>
          </w:tcPr>
          <w:p>
            <w:r>
              <w:rPr>
                <w:b/>
                <w:color w:val="C00000"/>
                <w:sz w:val="17"/>
              </w:rPr>
              <w:t>-13.2%</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6,561</w:t>
            </w:r>
          </w:p>
        </w:tc>
        <w:tc>
          <w:tcPr>
            <w:tcW w:type="dxa" w:w="1440"/>
            <w:shd w:fill="FFDCE0" w:val="clear"/>
          </w:tcPr>
          <w:p>
            <w:r>
              <w:rPr>
                <w:b/>
                <w:sz w:val="17"/>
              </w:rPr>
              <w:t>7,108</w:t>
            </w:r>
          </w:p>
        </w:tc>
        <w:tc>
          <w:tcPr>
            <w:tcW w:type="dxa" w:w="1440"/>
            <w:shd w:fill="FFDCE0" w:val="clear"/>
          </w:tcPr>
          <w:p>
            <w:r>
              <w:rPr>
                <w:sz w:val="17"/>
              </w:rPr>
              <w:t>7,656</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6,450</w:t>
            </w:r>
          </w:p>
        </w:tc>
        <w:tc>
          <w:tcPr>
            <w:tcW w:type="dxa" w:w="1440"/>
            <w:shd w:fill="FFDCE0" w:val="clear"/>
          </w:tcPr>
          <w:p>
            <w:r>
              <w:rPr>
                <w:b/>
                <w:sz w:val="17"/>
              </w:rPr>
              <w:t>7,019</w:t>
            </w:r>
          </w:p>
        </w:tc>
        <w:tc>
          <w:tcPr>
            <w:tcW w:type="dxa" w:w="1440"/>
            <w:shd w:fill="FFDCE0" w:val="clear"/>
          </w:tcPr>
          <w:p>
            <w:r>
              <w:rPr>
                <w:sz w:val="17"/>
              </w:rPr>
              <w:t>7,589</w:t>
            </w:r>
          </w:p>
        </w:tc>
        <w:tc>
          <w:tcPr>
            <w:tcW w:type="dxa" w:w="1440"/>
            <w:shd w:fill="FFDCE0" w:val="clear"/>
          </w:tcPr>
          <w:p>
            <w:r>
              <w:rPr>
                <w:b/>
                <w:color w:val="C00000"/>
                <w:sz w:val="17"/>
              </w:rPr>
              <w:t>-15.4%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BANK OF AFRICA SÉNÉGAL (BOAS)</w:t>
        <w:br/>
        <w:t>### 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298,80 milliards FCFA, BOAS s'impose comme l'une des valeurs bancaires de référence de la cote BRVM, témoignant d'une liquidité et d'une notoriété institutionnelle solides. Le BPA de 608 FCFA/action signifie que chaque titre génère près de 608 FCFA de bénéfice net, un niveau de rentabilité par action robuste qui soutient la distribution potentielle de dividendes. Le PER de 13,6x se situe légèrement au-dessus de la moyenne du marché BRVM (8-12x), traduisant une prime de qualité consentie par les investisseurs pour une banque affichant une croissance régulière de ses résultats. Le P/B de 3,10x indique que le marché valorise BOAS à plus de trois fois sa valeur comptable, ce qui reflète une forte anticipation de création de valeur future (ROE élevé à 22,7% justifiant cette prime). Enfin, l'EV/EBITDA de 8,9x, dans la fourchette raisonnable de 5-10x, suggère que la valeur d'entreprise reste cohérente avec la capacité opérationnelle de la banque,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BOAS a enregistré une progression remarquable de **+22,96%**, avec une dernière séance (J-1) encore positive à **+1,22%**, confirmant un momentum haussier intact. Le cours actuel de 8 300 FCFA évolue dans un range de 6 735 FCFA (plus bas) à 8 500 FCFA (plus haut), soit une amplitude de trading de 26,2% qui traduit une tendance franchement haussière, le titre évoluant désormais proche de ses sommets. La moyenne (7 558 FCFA) est légèrement supérieure à la médiane (7 468 FCFA), et le mode s'établit à 7 700 FCFA : cet écart modéré entre moyenne et médiane, couplé à un skewness de 0,294 (distribution symétrique), indique une distribution équilibrée sans biais marqué vers les extrêmes. L'écart-type de 420 FCFA avec un coefficient de variation de 5,6% révèle une dispersion relativement contenue du cours autour de sa moyenne, signe d'une progression ordonnée plutôt que spéculative. Le kurtosis de -0,301 (mésokurtique) suggère une distribution proche de la normale, sans risque excessif de pics extrêmes — un profil rassurant pour la gestion du risque. Enfin, la volatilité annualisée de **24,6%** positionne BOAS dans la catégorie des titres à volatilité **modérée** (15-30%), cohérente avec une valeur bancaire de qualité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(8 145 FCFA) et la MM50 (7 791,4 FCFA) se situent toutes deux sous le cours actuel (8 300 FCFA), avec la MM20 au-dessus de la MM50 — configuration haussière classique (golden cross). Le cours évoluant au-dessus de ses deux moyennes, la dynamique de court et moyen terme est clairement positive, ce qui justifie la décision **Achat**.</w:t>
      </w:r>
    </w:p>
    <w:p>
      <w:pPr>
        <w:spacing w:after="120" w:line="276" w:lineRule="auto"/>
      </w:pPr>
      <w:r>
        <w:t>**Bandes de Bollinger** : Le cours (8 300 FCFA) se situe dans la moitié supérieure de la bande, entre la borne inférieure (7 621 FCFA) et la borne supérieure (8 669 FCFA), sans franchissement de cette dernière. Cette position, couplée à un écartement modéré des bandes, indique une volatilité normale sans excès ; la décision **Neutre** reflète l'absence de signal de surachat ou de survente imminent.</w:t>
      </w:r>
    </w:p>
    <w:p>
      <w:pPr>
        <w:spacing w:after="120" w:line="276" w:lineRule="auto"/>
      </w:pPr>
      <w:r>
        <w:t>**MACD** : La valeur du MACD (144,124) est inférieure à son signal (161,355), générant un croisement baissier et un momentum négatif de court terme. Cette divergence suggère un essoufflement de la dynamique haussière, justifiant la décision **Vente** à court terme, bien que le MACD reste en territoire positif.</w:t>
      </w:r>
    </w:p>
    <w:p>
      <w:pPr>
        <w:spacing w:after="120" w:line="276" w:lineRule="auto"/>
      </w:pPr>
      <w:r>
        <w:t>**RSI** : À 63,761, le RSI se situe en zone neutre haute (30-70), sans atteindre le seuil de surachat (70). Le titre conserve donc un potentiel de progression sans signal de retournement, ce qui justifie la décision **Neutre**.</w:t>
      </w:r>
    </w:p>
    <w:p>
      <w:pPr>
        <w:spacing w:after="120" w:line="276" w:lineRule="auto"/>
      </w:pPr>
      <w:r>
        <w:t>**Stochastique** : Le %K (60,0) est légèrement supérieur au %D (55,952), sans croisement significatif ni zone extrême. Cette configuration neutre confirme l'absence de signal directionnel fort, d'où la décision **Neutre**.</w:t>
      </w:r>
    </w:p>
    <w:p>
      <w:pPr>
        <w:spacing w:after="120" w:line="276" w:lineRule="auto"/>
      </w:pPr>
      <w:r>
        <w:t>**Conclusion technique** : Les indicateurs présentent une configuration **mitigée mais globalement constructive**. Les moyennes mobiles confirment la tendance haussière de fond, tandis que le MACD signale un essoufflement de court terme et que le RSI/Stochastique restent neutres. Le titre semble entrer dans une phase de consolidation après sa forte progression, sans signal de retournement majeur — un profil compatible avec une poursuite haussière après respiration.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BOAS affiche un Produit Net Bancaire (équivalent du chiffre d'affaires bancaire) de **51,926 milliards FCFA**, un résultat net de **21,905 milliards FCFA**, un ROE exceptionnel de **22,69%** (largement supérieur au seuil de 15% considéré comme excellent) et un ROA de 2,62%. Le coefficient d'exploitation s'établit à **44,02%**, nettement inférieur au seuil de 60% et même sous les 50% — signe d'une banque très efficace. Le coût du risque (23,31% des charges financières) reste un point de vigilance, bien qu'en amélioration selon les rapports trimestriels. La structure bilancielle est solide : 686,927 milliards FCFA de dépôts clientèle contre 386,424 milliards FCFA de créances, soit un ratio de transformation de 56,3%, et une autonomie financière de 11,54% (faible mais typique du modèle bancaire à fort levier).</w:t>
      </w:r>
    </w:p>
    <w:p>
      <w:pPr>
        <w:spacing w:after="120" w:line="276" w:lineRule="auto"/>
      </w:pPr>
      <w:r>
        <w:t>**Estimations basées sur les rapports trimestriels** : Le rapport du **T3 2025 (30/09/2025)** indique un PNB cumulé de 37,44 milliards FCFA (+6,71%) et un résultat net de 16,37 milliards FCFA (+10,01%), avec un coefficient d'exploitation en baisse à 44,4% et un coût du risque réduit à -0,5% du PNB. Le rapport du **T1 2026 (mars 2026)** confirme la dynamique : PNB de 12,580 milliards FCFA (+6,82%), résultat net de 5,741 milliards FCFA (+9,78%), coefficient d'exploitation amélioré à 42,1%, et forte collecte de dépôts (+16,68% à 648,038 milliards FCFA). **On estime donc que l'exercice 2026 devrait afficher une croissance du PNB de l'ordre de 6-7% et une progression du résultat net proche de 10%**, poursuivant la trajectoire vertueuse observée depuis 2021 (où le résultat net avait bondi de 44,4% à 11,070 milliards FCFA selon le rapport annuel 2021).</w:t>
      </w:r>
    </w:p>
    <w:p>
      <w:pPr>
        <w:spacing w:after="120" w:line="276" w:lineRule="auto"/>
      </w:pPr>
      <w:r>
        <w:t>**Recommandation fondamentale** : BOAS présente un profil de **banque solide, rentable et bien gérée**, avec une croissance régulière de ses revenus, une maîtrise exemplaire des coûts et une amélioration continue de la qualité de son portefeuille. Les principaux risques identifiés sont la concentration sur le marché sénégalais, la concurrence accrue et la dépendance à l'environnement macroéconomique régional. La valorisation (PER 13,6x) intègre déjà une partie de cette qualité, mais le potentiel de croissance reste intact.</w:t>
      </w:r>
    </w:p>
    <w:p>
      <w:pPr>
        <w:spacing w:after="120" w:line="276" w:lineRule="auto"/>
      </w:pPr>
      <w:r>
        <w:t>---</w:t>
      </w:r>
    </w:p>
    <w:p>
      <w:pPr>
        <w:spacing w:after="120" w:line="276" w:lineRule="auto"/>
      </w:pPr>
      <w:r>
        <w:t>## PARTIE 4 : CONCLUSION D'INVESTISSEMENT</w:t>
      </w:r>
    </w:p>
    <w:p>
      <w:pPr>
        <w:spacing w:after="120" w:line="276" w:lineRule="auto"/>
      </w:pPr>
      <w:r>
        <w:t>La **valorisation (Partie 0)** de BOAS, avec un PER de 13,6x légèrement supérieur à la moyenne BRVM mais justifié par un ROE de 22,7% et un P/B de 3,10x, suggère une valorisation **raisonnable sans être bon marché** — le marché paie la qualité mais sans exubérance. Le **comportement du cours (Partie 1)** est très favorable : +22,96% sur 100 jours, volatilité modérée (24,6%), distribution symétrique (skewness 0,294) et absence de risque de pics extrêmes (kurtosis -0,301), un profil idéal pour un investisseur recherchant performance et stabilité. Les **signaux techniques (Partie 2)** sont mitigés : les moyennes mobiles confirment la tendance haussière, mais le MACD baissier et les indicateurs neutres (RSI, Stochastique, Bollinger) suggèrent une consolidation imminente. Les **fondamentaux (Partie 3)** sont excellents : ROE de 22,69%, coefficient d'exploitation de 44%, croissance du résultat net estimée à ~10% pour 2026 selon les rapports T1 2026 et T3 2025. Les **prédictions IA (J+1 à J+10)** anticipent toutefois une **correction baissière** (de 8 056 à 7 520 FCFA, soit -9,4% en 10 jours), ce qui **contredit partiellement** les signaux haussiers fondamentaux et techniques de moyen terme.</w:t>
      </w:r>
    </w:p>
    <w:p>
      <w:pPr>
        <w:spacing w:after="120" w:line="276" w:lineRule="auto"/>
      </w:pPr>
      <w:r>
        <w:t>**Recommandation finale : CONSERVER** (avec biais haussier à moyen terme). La convergence entre valorisation raisonnable, fondamentaux solides et tendance de fond haussière est contrebalancée par la divergence des prédictions IA à court terme et le signal MACD baissier, qui plaident pour une prise de profit partielle ou une attente de repli vers 7 500-7 600 FCFA avant renforcement. **Niveau de confiance : Moyen** (les fondamentaux sont solides mais la correction court terme est probable). **Niveau de risque global : Moyen** (volatilité modérée, exposition au marché sénégalais). **Horizon d'investissement optimal : Moyen terme (3-12 mois)**, le temps que la consolidation s'achève et que la croissance des bénéfices se matérialise dans le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2,134 titres</w:t>
            </w:r>
          </w:p>
        </w:tc>
        <w:tc>
          <w:tcPr>
            <w:tcW w:type="dxa" w:w="2268"/>
            <w:shd w:fill="FFF2CC" w:val="clear"/>
          </w:tcPr>
          <w:p>
            <w:r>
              <w:rPr>
                <w:b/>
                <w:color w:val="503200"/>
                <w:sz w:val="16"/>
              </w:rPr>
              <w:t xml:space="preserve">Cours actuel : </w:t>
            </w:r>
            <w:r>
              <w:rPr>
                <w:color w:val="000000"/>
                <w:sz w:val="17"/>
              </w:rPr>
              <w:t>3,480 FCFA</w:t>
            </w:r>
          </w:p>
          <w:p>
            <w:r>
              <w:rPr>
                <w:b/>
                <w:color w:val="503200"/>
                <w:sz w:val="16"/>
              </w:rPr>
              <w:t xml:space="preserve">Var. 100 jours : </w:t>
            </w:r>
            <w:r>
              <w:rPr>
                <w:b/>
                <w:color w:val="B40000"/>
                <w:sz w:val="17"/>
              </w:rPr>
              <w:t>-10.31%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7.18% (Moyenne) — μ=3,718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β=0.1572 (Défensif) — Cov=0.000006, Var(idx)=0.000035, ρ=0.030,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σ_j=3.03%/j (Modérée) — Vol. annualisée≈48.1%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2026-09-11</w:t>
            </w:r>
          </w:p>
        </w:tc>
        <w:tc>
          <w:tcPr>
            <w:tcW w:type="dxa" w:w="1440"/>
            <w:shd w:fill="C6EFCE" w:val="clear"/>
          </w:tcPr>
          <w:p>
            <w:r>
              <w:rPr>
                <w:sz w:val="17"/>
              </w:rPr>
              <w:t>3,521</w:t>
            </w:r>
          </w:p>
        </w:tc>
        <w:tc>
          <w:tcPr>
            <w:tcW w:type="dxa" w:w="1440"/>
            <w:shd w:fill="C6EFCE" w:val="clear"/>
          </w:tcPr>
          <w:p>
            <w:r>
              <w:rPr>
                <w:b/>
                <w:sz w:val="17"/>
              </w:rPr>
              <w:t>3,625</w:t>
            </w:r>
          </w:p>
        </w:tc>
        <w:tc>
          <w:tcPr>
            <w:tcW w:type="dxa" w:w="1440"/>
            <w:shd w:fill="C6EFCE" w:val="clear"/>
          </w:tcPr>
          <w:p>
            <w:r>
              <w:rPr>
                <w:sz w:val="17"/>
              </w:rPr>
              <w:t>3,728</w:t>
            </w:r>
          </w:p>
        </w:tc>
        <w:tc>
          <w:tcPr>
            <w:tcW w:type="dxa" w:w="1440"/>
            <w:shd w:fill="C6EFCE" w:val="clear"/>
          </w:tcPr>
          <w:p>
            <w:r>
              <w:rPr>
                <w:b/>
                <w:color w:val="008000"/>
                <w:sz w:val="17"/>
              </w:rPr>
              <w:t>+4.2%</w:t>
            </w:r>
          </w:p>
        </w:tc>
      </w:tr>
      <w:tr>
        <w:tc>
          <w:tcPr>
            <w:tcW w:type="dxa" w:w="1440"/>
            <w:shd w:fill="C6EFCE" w:val="clear"/>
          </w:tcPr>
          <w:p>
            <w:r>
              <w:rPr>
                <w:sz w:val="17"/>
              </w:rPr>
              <w:t>J+2  ⭐⭐⭐</w:t>
            </w:r>
          </w:p>
        </w:tc>
        <w:tc>
          <w:tcPr>
            <w:tcW w:type="dxa" w:w="1440"/>
            <w:shd w:fill="C6EFCE" w:val="clear"/>
          </w:tcPr>
          <w:p>
            <w:r>
              <w:rPr>
                <w:sz w:val="17"/>
              </w:rPr>
              <w:t>2026-09-14</w:t>
            </w:r>
          </w:p>
        </w:tc>
        <w:tc>
          <w:tcPr>
            <w:tcW w:type="dxa" w:w="1440"/>
            <w:shd w:fill="C6EFCE" w:val="clear"/>
          </w:tcPr>
          <w:p>
            <w:r>
              <w:rPr>
                <w:sz w:val="17"/>
              </w:rPr>
              <w:t>3,614</w:t>
            </w:r>
          </w:p>
        </w:tc>
        <w:tc>
          <w:tcPr>
            <w:tcW w:type="dxa" w:w="1440"/>
            <w:shd w:fill="C6EFCE" w:val="clear"/>
          </w:tcPr>
          <w:p>
            <w:r>
              <w:rPr>
                <w:b/>
                <w:sz w:val="17"/>
              </w:rPr>
              <w:t>3,766</w:t>
            </w:r>
          </w:p>
        </w:tc>
        <w:tc>
          <w:tcPr>
            <w:tcW w:type="dxa" w:w="1440"/>
            <w:shd w:fill="C6EFCE" w:val="clear"/>
          </w:tcPr>
          <w:p>
            <w:r>
              <w:rPr>
                <w:sz w:val="17"/>
              </w:rPr>
              <w:t>3,918</w:t>
            </w:r>
          </w:p>
        </w:tc>
        <w:tc>
          <w:tcPr>
            <w:tcW w:type="dxa" w:w="1440"/>
            <w:shd w:fill="C6EFCE" w:val="clear"/>
          </w:tcPr>
          <w:p>
            <w:r>
              <w:rPr>
                <w:b/>
                <w:color w:val="008000"/>
                <w:sz w:val="17"/>
              </w:rPr>
              <w:t>+8.2%</w:t>
            </w:r>
          </w:p>
        </w:tc>
      </w:tr>
      <w:tr>
        <w:tc>
          <w:tcPr>
            <w:tcW w:type="dxa" w:w="1440"/>
            <w:shd w:fill="C6EFCE" w:val="clear"/>
          </w:tcPr>
          <w:p>
            <w:r>
              <w:rPr>
                <w:sz w:val="17"/>
              </w:rPr>
              <w:t>J+3  ⭐⭐⭐</w:t>
            </w:r>
          </w:p>
        </w:tc>
        <w:tc>
          <w:tcPr>
            <w:tcW w:type="dxa" w:w="1440"/>
            <w:shd w:fill="C6EFCE" w:val="clear"/>
          </w:tcPr>
          <w:p>
            <w:r>
              <w:rPr>
                <w:sz w:val="17"/>
              </w:rPr>
              <w:t>2026-09-15</w:t>
            </w:r>
          </w:p>
        </w:tc>
        <w:tc>
          <w:tcPr>
            <w:tcW w:type="dxa" w:w="1440"/>
            <w:shd w:fill="C6EFCE" w:val="clear"/>
          </w:tcPr>
          <w:p>
            <w:r>
              <w:rPr>
                <w:sz w:val="17"/>
              </w:rPr>
              <w:t>3,742</w:t>
            </w:r>
          </w:p>
        </w:tc>
        <w:tc>
          <w:tcPr>
            <w:tcW w:type="dxa" w:w="1440"/>
            <w:shd w:fill="C6EFCE" w:val="clear"/>
          </w:tcPr>
          <w:p>
            <w:r>
              <w:rPr>
                <w:b/>
                <w:sz w:val="17"/>
              </w:rPr>
              <w:t>3,937</w:t>
            </w:r>
          </w:p>
        </w:tc>
        <w:tc>
          <w:tcPr>
            <w:tcW w:type="dxa" w:w="1440"/>
            <w:shd w:fill="C6EFCE" w:val="clear"/>
          </w:tcPr>
          <w:p>
            <w:r>
              <w:rPr>
                <w:sz w:val="17"/>
              </w:rPr>
              <w:t>4,132</w:t>
            </w:r>
          </w:p>
        </w:tc>
        <w:tc>
          <w:tcPr>
            <w:tcW w:type="dxa" w:w="1440"/>
            <w:shd w:fill="C6EFCE" w:val="clear"/>
          </w:tcPr>
          <w:p>
            <w:r>
              <w:rPr>
                <w:b/>
                <w:color w:val="008000"/>
                <w:sz w:val="17"/>
              </w:rPr>
              <w:t>+13.1%</w:t>
            </w:r>
          </w:p>
        </w:tc>
      </w:tr>
      <w:tr>
        <w:tc>
          <w:tcPr>
            <w:tcW w:type="dxa" w:w="1440"/>
            <w:shd w:fill="C6EFCE" w:val="clear"/>
          </w:tcPr>
          <w:p>
            <w:r>
              <w:rPr>
                <w:sz w:val="17"/>
              </w:rPr>
              <w:t>J+4  Moyenne</w:t>
            </w:r>
          </w:p>
        </w:tc>
        <w:tc>
          <w:tcPr>
            <w:tcW w:type="dxa" w:w="1440"/>
            <w:shd w:fill="C6EFCE" w:val="clear"/>
          </w:tcPr>
          <w:p>
            <w:r>
              <w:rPr>
                <w:sz w:val="17"/>
              </w:rPr>
              <w:t>2026-09-16</w:t>
            </w:r>
          </w:p>
        </w:tc>
        <w:tc>
          <w:tcPr>
            <w:tcW w:type="dxa" w:w="1440"/>
            <w:shd w:fill="C6EFCE" w:val="clear"/>
          </w:tcPr>
          <w:p>
            <w:r>
              <w:rPr>
                <w:sz w:val="17"/>
              </w:rPr>
              <w:t>3,896</w:t>
            </w:r>
          </w:p>
        </w:tc>
        <w:tc>
          <w:tcPr>
            <w:tcW w:type="dxa" w:w="1440"/>
            <w:shd w:fill="C6EFCE" w:val="clear"/>
          </w:tcPr>
          <w:p>
            <w:r>
              <w:rPr>
                <w:b/>
                <w:sz w:val="17"/>
              </w:rPr>
              <w:t>4,132</w:t>
            </w:r>
          </w:p>
        </w:tc>
        <w:tc>
          <w:tcPr>
            <w:tcW w:type="dxa" w:w="1440"/>
            <w:shd w:fill="C6EFCE" w:val="clear"/>
          </w:tcPr>
          <w:p>
            <w:r>
              <w:rPr>
                <w:sz w:val="17"/>
              </w:rPr>
              <w:t>4,368</w:t>
            </w:r>
          </w:p>
        </w:tc>
        <w:tc>
          <w:tcPr>
            <w:tcW w:type="dxa" w:w="1440"/>
            <w:shd w:fill="C6EFCE" w:val="clear"/>
          </w:tcPr>
          <w:p>
            <w:r>
              <w:rPr>
                <w:b/>
                <w:color w:val="008000"/>
                <w:sz w:val="17"/>
              </w:rPr>
              <w:t>+18.7%</w:t>
            </w:r>
          </w:p>
        </w:tc>
      </w:tr>
      <w:tr>
        <w:tc>
          <w:tcPr>
            <w:tcW w:type="dxa" w:w="1440"/>
            <w:shd w:fill="C6EFCE" w:val="clear"/>
          </w:tcPr>
          <w:p>
            <w:r>
              <w:rPr>
                <w:sz w:val="17"/>
              </w:rPr>
              <w:t>J+5  Moyenne</w:t>
            </w:r>
          </w:p>
        </w:tc>
        <w:tc>
          <w:tcPr>
            <w:tcW w:type="dxa" w:w="1440"/>
            <w:shd w:fill="C6EFCE" w:val="clear"/>
          </w:tcPr>
          <w:p>
            <w:r>
              <w:rPr>
                <w:sz w:val="17"/>
              </w:rPr>
              <w:t>2026-09-17</w:t>
            </w:r>
          </w:p>
        </w:tc>
        <w:tc>
          <w:tcPr>
            <w:tcW w:type="dxa" w:w="1440"/>
            <w:shd w:fill="C6EFCE" w:val="clear"/>
          </w:tcPr>
          <w:p>
            <w:r>
              <w:rPr>
                <w:sz w:val="17"/>
              </w:rPr>
              <w:t>4,074</w:t>
            </w:r>
          </w:p>
        </w:tc>
        <w:tc>
          <w:tcPr>
            <w:tcW w:type="dxa" w:w="1440"/>
            <w:shd w:fill="C6EFCE" w:val="clear"/>
          </w:tcPr>
          <w:p>
            <w:r>
              <w:rPr>
                <w:b/>
                <w:sz w:val="17"/>
              </w:rPr>
              <w:t>4,352</w:t>
            </w:r>
          </w:p>
        </w:tc>
        <w:tc>
          <w:tcPr>
            <w:tcW w:type="dxa" w:w="1440"/>
            <w:shd w:fill="C6EFCE" w:val="clear"/>
          </w:tcPr>
          <w:p>
            <w:r>
              <w:rPr>
                <w:sz w:val="17"/>
              </w:rPr>
              <w:t>4,630</w:t>
            </w:r>
          </w:p>
        </w:tc>
        <w:tc>
          <w:tcPr>
            <w:tcW w:type="dxa" w:w="1440"/>
            <w:shd w:fill="C6EFCE" w:val="clear"/>
          </w:tcPr>
          <w:p>
            <w:r>
              <w:rPr>
                <w:b/>
                <w:color w:val="008000"/>
                <w:sz w:val="17"/>
              </w:rPr>
              <w:t>+25.1%</w:t>
            </w:r>
          </w:p>
        </w:tc>
      </w:tr>
      <w:tr>
        <w:tc>
          <w:tcPr>
            <w:tcW w:type="dxa" w:w="1440"/>
            <w:shd w:fill="C6EFCE" w:val="clear"/>
          </w:tcPr>
          <w:p>
            <w:r>
              <w:rPr>
                <w:sz w:val="17"/>
              </w:rPr>
              <w:t>J+6  Moyenne</w:t>
            </w:r>
          </w:p>
        </w:tc>
        <w:tc>
          <w:tcPr>
            <w:tcW w:type="dxa" w:w="1440"/>
            <w:shd w:fill="C6EFCE" w:val="clear"/>
          </w:tcPr>
          <w:p>
            <w:r>
              <w:rPr>
                <w:sz w:val="17"/>
              </w:rPr>
              <w:t>2026-09-18</w:t>
            </w:r>
          </w:p>
        </w:tc>
        <w:tc>
          <w:tcPr>
            <w:tcW w:type="dxa" w:w="1440"/>
            <w:shd w:fill="C6EFCE" w:val="clear"/>
          </w:tcPr>
          <w:p>
            <w:r>
              <w:rPr>
                <w:sz w:val="17"/>
              </w:rPr>
              <w:t>4,279</w:t>
            </w:r>
          </w:p>
        </w:tc>
        <w:tc>
          <w:tcPr>
            <w:tcW w:type="dxa" w:w="1440"/>
            <w:shd w:fill="C6EFCE" w:val="clear"/>
          </w:tcPr>
          <w:p>
            <w:r>
              <w:rPr>
                <w:b/>
                <w:sz w:val="17"/>
              </w:rPr>
              <w:t>4,601</w:t>
            </w:r>
          </w:p>
        </w:tc>
        <w:tc>
          <w:tcPr>
            <w:tcW w:type="dxa" w:w="1440"/>
            <w:shd w:fill="C6EFCE" w:val="clear"/>
          </w:tcPr>
          <w:p>
            <w:r>
              <w:rPr>
                <w:sz w:val="17"/>
              </w:rPr>
              <w:t>4,923</w:t>
            </w:r>
          </w:p>
        </w:tc>
        <w:tc>
          <w:tcPr>
            <w:tcW w:type="dxa" w:w="1440"/>
            <w:shd w:fill="C6EFCE" w:val="clear"/>
          </w:tcPr>
          <w:p>
            <w:r>
              <w:rPr>
                <w:b/>
                <w:color w:val="008000"/>
                <w:sz w:val="17"/>
              </w:rPr>
              <w:t>+32.2%</w:t>
            </w:r>
          </w:p>
        </w:tc>
      </w:tr>
      <w:tr>
        <w:tc>
          <w:tcPr>
            <w:tcW w:type="dxa" w:w="1440"/>
            <w:shd w:fill="C6EFCE" w:val="clear"/>
          </w:tcPr>
          <w:p>
            <w:r>
              <w:rPr>
                <w:sz w:val="17"/>
              </w:rPr>
              <w:t>J+7  Moyenne</w:t>
            </w:r>
          </w:p>
        </w:tc>
        <w:tc>
          <w:tcPr>
            <w:tcW w:type="dxa" w:w="1440"/>
            <w:shd w:fill="C6EFCE" w:val="clear"/>
          </w:tcPr>
          <w:p>
            <w:r>
              <w:rPr>
                <w:sz w:val="17"/>
              </w:rPr>
              <w:t>2026-09-21</w:t>
            </w:r>
          </w:p>
        </w:tc>
        <w:tc>
          <w:tcPr>
            <w:tcW w:type="dxa" w:w="1440"/>
            <w:shd w:fill="C6EFCE" w:val="clear"/>
          </w:tcPr>
          <w:p>
            <w:r>
              <w:rPr>
                <w:sz w:val="17"/>
              </w:rPr>
              <w:t>4,517</w:t>
            </w:r>
          </w:p>
        </w:tc>
        <w:tc>
          <w:tcPr>
            <w:tcW w:type="dxa" w:w="1440"/>
            <w:shd w:fill="C6EFCE" w:val="clear"/>
          </w:tcPr>
          <w:p>
            <w:r>
              <w:rPr>
                <w:b/>
                <w:sz w:val="17"/>
              </w:rPr>
              <w:t>4,887</w:t>
            </w:r>
          </w:p>
        </w:tc>
        <w:tc>
          <w:tcPr>
            <w:tcW w:type="dxa" w:w="1440"/>
            <w:shd w:fill="C6EFCE" w:val="clear"/>
          </w:tcPr>
          <w:p>
            <w:r>
              <w:rPr>
                <w:sz w:val="17"/>
              </w:rPr>
              <w:t>5,256</w:t>
            </w:r>
          </w:p>
        </w:tc>
        <w:tc>
          <w:tcPr>
            <w:tcW w:type="dxa" w:w="1440"/>
            <w:shd w:fill="C6EFCE" w:val="clear"/>
          </w:tcPr>
          <w:p>
            <w:r>
              <w:rPr>
                <w:b/>
                <w:color w:val="008000"/>
                <w:sz w:val="17"/>
              </w:rPr>
              <w:t>+40.4%</w:t>
            </w:r>
          </w:p>
        </w:tc>
      </w:tr>
      <w:tr>
        <w:tc>
          <w:tcPr>
            <w:tcW w:type="dxa" w:w="1440"/>
            <w:shd w:fill="C6EFCE" w:val="clear"/>
          </w:tcPr>
          <w:p>
            <w:r>
              <w:rPr>
                <w:sz w:val="17"/>
              </w:rPr>
              <w:t>J+8  Moyenne</w:t>
            </w:r>
          </w:p>
        </w:tc>
        <w:tc>
          <w:tcPr>
            <w:tcW w:type="dxa" w:w="1440"/>
            <w:shd w:fill="C6EFCE" w:val="clear"/>
          </w:tcPr>
          <w:p>
            <w:r>
              <w:rPr>
                <w:sz w:val="17"/>
              </w:rPr>
              <w:t>2026-09-22</w:t>
            </w:r>
          </w:p>
        </w:tc>
        <w:tc>
          <w:tcPr>
            <w:tcW w:type="dxa" w:w="1440"/>
            <w:shd w:fill="C6EFCE" w:val="clear"/>
          </w:tcPr>
          <w:p>
            <w:r>
              <w:rPr>
                <w:sz w:val="17"/>
              </w:rPr>
              <w:t>4,800</w:t>
            </w:r>
          </w:p>
        </w:tc>
        <w:tc>
          <w:tcPr>
            <w:tcW w:type="dxa" w:w="1440"/>
            <w:shd w:fill="C6EFCE" w:val="clear"/>
          </w:tcPr>
          <w:p>
            <w:r>
              <w:rPr>
                <w:b/>
                <w:sz w:val="17"/>
              </w:rPr>
              <w:t>5,222</w:t>
            </w:r>
          </w:p>
        </w:tc>
        <w:tc>
          <w:tcPr>
            <w:tcW w:type="dxa" w:w="1440"/>
            <w:shd w:fill="C6EFCE" w:val="clear"/>
          </w:tcPr>
          <w:p>
            <w:r>
              <w:rPr>
                <w:sz w:val="17"/>
              </w:rPr>
              <w:t>5,644</w:t>
            </w:r>
          </w:p>
        </w:tc>
        <w:tc>
          <w:tcPr>
            <w:tcW w:type="dxa" w:w="1440"/>
            <w:shd w:fill="C6EFCE" w:val="clear"/>
          </w:tcPr>
          <w:p>
            <w:r>
              <w:rPr>
                <w:b/>
                <w:color w:val="008000"/>
                <w:sz w:val="17"/>
              </w:rPr>
              <w:t>+50.1%</w:t>
            </w:r>
          </w:p>
        </w:tc>
      </w:tr>
      <w:tr>
        <w:tc>
          <w:tcPr>
            <w:tcW w:type="dxa" w:w="1440"/>
            <w:shd w:fill="C6EFCE" w:val="clear"/>
          </w:tcPr>
          <w:p>
            <w:r>
              <w:rPr>
                <w:sz w:val="17"/>
              </w:rPr>
              <w:t>J+9  Moyenne</w:t>
            </w:r>
          </w:p>
        </w:tc>
        <w:tc>
          <w:tcPr>
            <w:tcW w:type="dxa" w:w="1440"/>
            <w:shd w:fill="C6EFCE" w:val="clear"/>
          </w:tcPr>
          <w:p>
            <w:r>
              <w:rPr>
                <w:sz w:val="17"/>
              </w:rPr>
              <w:t>2026-09-23</w:t>
            </w:r>
          </w:p>
        </w:tc>
        <w:tc>
          <w:tcPr>
            <w:tcW w:type="dxa" w:w="1440"/>
            <w:shd w:fill="C6EFCE" w:val="clear"/>
          </w:tcPr>
          <w:p>
            <w:r>
              <w:rPr>
                <w:sz w:val="17"/>
              </w:rPr>
              <w:t>5,133</w:t>
            </w:r>
          </w:p>
        </w:tc>
        <w:tc>
          <w:tcPr>
            <w:tcW w:type="dxa" w:w="1440"/>
            <w:shd w:fill="C6EFCE" w:val="clear"/>
          </w:tcPr>
          <w:p>
            <w:r>
              <w:rPr>
                <w:b/>
                <w:sz w:val="17"/>
              </w:rPr>
              <w:t>5,614</w:t>
            </w:r>
          </w:p>
        </w:tc>
        <w:tc>
          <w:tcPr>
            <w:tcW w:type="dxa" w:w="1440"/>
            <w:shd w:fill="C6EFCE" w:val="clear"/>
          </w:tcPr>
          <w:p>
            <w:r>
              <w:rPr>
                <w:sz w:val="17"/>
              </w:rPr>
              <w:t>6,095</w:t>
            </w:r>
          </w:p>
        </w:tc>
        <w:tc>
          <w:tcPr>
            <w:tcW w:type="dxa" w:w="1440"/>
            <w:shd w:fill="C6EFCE" w:val="clear"/>
          </w:tcPr>
          <w:p>
            <w:r>
              <w:rPr>
                <w:b/>
                <w:color w:val="008000"/>
                <w:sz w:val="17"/>
              </w:rPr>
              <w:t>+61.3%</w:t>
            </w:r>
          </w:p>
        </w:tc>
      </w:tr>
      <w:tr>
        <w:tc>
          <w:tcPr>
            <w:tcW w:type="dxa" w:w="1440"/>
            <w:shd w:fill="C6EFCE" w:val="clear"/>
          </w:tcPr>
          <w:p>
            <w:r>
              <w:rPr>
                <w:sz w:val="17"/>
              </w:rPr>
              <w:t>J+10  Moyenne</w:t>
            </w:r>
          </w:p>
        </w:tc>
        <w:tc>
          <w:tcPr>
            <w:tcW w:type="dxa" w:w="1440"/>
            <w:shd w:fill="C6EFCE" w:val="clear"/>
          </w:tcPr>
          <w:p>
            <w:r>
              <w:rPr>
                <w:sz w:val="17"/>
              </w:rPr>
              <w:t>2026-09-24</w:t>
            </w:r>
          </w:p>
        </w:tc>
        <w:tc>
          <w:tcPr>
            <w:tcW w:type="dxa" w:w="1440"/>
            <w:shd w:fill="C6EFCE" w:val="clear"/>
          </w:tcPr>
          <w:p>
            <w:r>
              <w:rPr>
                <w:sz w:val="17"/>
              </w:rPr>
              <w:t>5,490</w:t>
            </w:r>
          </w:p>
        </w:tc>
        <w:tc>
          <w:tcPr>
            <w:tcW w:type="dxa" w:w="1440"/>
            <w:shd w:fill="C6EFCE" w:val="clear"/>
          </w:tcPr>
          <w:p>
            <w:r>
              <w:rPr>
                <w:b/>
                <w:sz w:val="17"/>
              </w:rPr>
              <w:t>6,035</w:t>
            </w:r>
          </w:p>
        </w:tc>
        <w:tc>
          <w:tcPr>
            <w:tcW w:type="dxa" w:w="1440"/>
            <w:shd w:fill="C6EFCE" w:val="clear"/>
          </w:tcPr>
          <w:p>
            <w:r>
              <w:rPr>
                <w:sz w:val="17"/>
              </w:rPr>
              <w:t>6,580</w:t>
            </w:r>
          </w:p>
        </w:tc>
        <w:tc>
          <w:tcPr>
            <w:tcW w:type="dxa" w:w="1440"/>
            <w:shd w:fill="C6EFCE" w:val="clear"/>
          </w:tcPr>
          <w:p>
            <w:r>
              <w:rPr>
                <w:b/>
                <w:color w:val="008000"/>
                <w:sz w:val="17"/>
              </w:rPr>
              <w:t>+73.4%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20,60 Mds FCFA, CABC se situe dans la catégorie des valeurs moyennes de la BRVM, ce qui traduit une liquidité limitée mais une certaine représentativité du tissu industriel ivoirien. Le BPA de 243 FCFA/action indique que chaque titre génère un bénéfice unitaire significatif, ce qui, rapporté au cours actuel de 3 480 FCFA, donne un PER de 14,3x — supérieur à la moyenne du marché BRVM (8-12x), suggérant que les investisseurs paient une prime pour les perspectives de croissance du secteur des câbles, bien que cette prime paraisse optimiste au vu des récents trimestres. Le P/B de 2,20x confirme cette lecture : le marché valorise l'action à plus du double de sa valeur comptable, accordant une prime de croissance qui devra être justifiée par un retour durable à la profitabilité. Enfin, l'EV/EBITDA de 7,2x, dans la fourchette raisonnable de 5-10x, indique que la valeur d'entreprise reste cohérente avec la capacité opérationnelle, sans surévaluation manifeste à ce niveau.</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-10,31%, avec une dernière séance en léger repli de -0,29%, confirmant une tendance baissière de fond. Le cours actuel de 3 480 FCFA se situe dans la partie basse du range de trading, le plus haut ayant atteint 4 500 FCFA et le plus bas 3 350 FCFA, soit un écart de 1 150 FCFA (34% du plus bas) qui témoigne d'une forte amplitude. La moyenne de 3 718 FCFA est supérieure à la médiane de 3 642 FCFA, et le mode se situe à 3 500 FCFA : cet écart entre moyenne et médiane, couplé à un skewness positif de 1,072, indique une asymétrie à droite — autrement dit, le cours a passé plus de journées sous sa moyenne que au-dessus, avec quelques pics haussiers isolés qui tirent la moyenne vers le haut. L'écart-type de 268 FCFA (CV de 7,2%) révèle une dispersion modérée autour de la moyenne, tandis que le kurtosis de 0,714 (mésokurtique) suggère une distribution proche de la normale, sans risque extrême de pics violents. La volatilité annualisée de 48,1% classe le titre dans la catégorie des valeurs très volatiles (&gt;30%), ce qui implique un risque de marché élevé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(3 545,25 FCFA) et la MM50 (3 704,70 FCFA) se situent toutes deux au-dessus du cours actuel (3 480 FCFA), avec une MM20 inférieure à la MM50 — configuration baissière classique. Le cours évoluant sous ses deux moyennes, la pression vendeuse domine, ce qui justifie la décision technique de **Vente**.</w:t>
      </w:r>
    </w:p>
    <w:p>
      <w:pPr>
        <w:spacing w:after="120" w:line="276" w:lineRule="auto"/>
      </w:pPr>
      <w:r>
        <w:t>**Bandes de Bollinger** : Le cours (3 480 FCFA) se situe entre la borne inférieure (3 402,59 FCFA) et la borne supérieure (3 687,91 FCFA), plus proche de la borne basse, ce qui traduit une volatilité contenue et une absence de signal directionnel fort. La décision **Neutre** reflète cette position médiane, le marché attendant un catalyseur pour sortir de cette zone.</w:t>
      </w:r>
    </w:p>
    <w:p>
      <w:pPr>
        <w:spacing w:after="120" w:line="276" w:lineRule="auto"/>
      </w:pPr>
      <w:r>
        <w:t>**MACD** : La valeur du MACD (-47,119) est supérieure à son signal (-51,581), générant un croisement haussier bien que les deux lignes restent en territoire négatif. Ce momentum naissant, bien que fragile, justifie la décision d'**Achat** technique, mais la prudence reste de mise tant que le MACD n'a pas franchi la ligne zéro.</w:t>
      </w:r>
    </w:p>
    <w:p>
      <w:pPr>
        <w:spacing w:after="120" w:line="276" w:lineRule="auto"/>
      </w:pPr>
      <w:r>
        <w:t>**RSI** : À 16,418, le RSI est en zone de survente extrême (&lt;30), signalant un épuisement des vendeurs et un potentiel rebond technique à court terme. La décision d'**Achat** est cohérente avec cette lecture, mais un RSI aussi bas dans un contexte fondamental dégradé peut aussi annoncer une poursuite de la baisse.</w:t>
      </w:r>
    </w:p>
    <w:p>
      <w:pPr>
        <w:spacing w:after="120" w:line="276" w:lineRule="auto"/>
      </w:pPr>
      <w:r>
        <w:t>**Stochastique** : Le %K et le %D sont tous deux à 0,0, en zone de survente maximale, avec un croisement potentiel à venir. La décision d'**Achat** repose sur l'anticipation d'un retournement, mais l'absence de croisement effectif rend ce signal purement prospectif.</w:t>
      </w:r>
    </w:p>
    <w:p>
      <w:pPr>
        <w:spacing w:after="120" w:line="276" w:lineRule="auto"/>
      </w:pPr>
      <w:r>
        <w:t>**Conclusion technique** : Les indicateurs sont divergents — les moyennes mobiles sont baissières, les Bandes de Bollinger neutres, tandis que le MACD, le RSI et le Stochastique génèrent des signaux d'achat en zone de survente. Cette configuration suggère un rebond technique possible à court terme, mais la tendance de fond reste baissière et la prudence est de rigueur tant que le cours ne repasse pas au-dessus de la MM20 (3 545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CABC (exercice clos décembre 2025) affichent un chiffre d'affaires de 21 263 M FCFA, en croissance de +11,2% par rapport à 2024 (19 125 M FCFA), porté par la demande en infrastructures électriques et télécoms. Le résultat net s'établit à 1 439 M FCFA, avec une marge nette de 6,77% et un ROE de 15,40% — un niveau excellent qui traduit une bonne rentabilité des fonds propres — tandis que le ROA de 6,10% reste modéré. Cependant, l'analyse du bilan révèle des tensions : les créances clients (8 429 M FCFA) et les stocks (7 400 M FCFA) représentent des délais respectifs de 144,69 jours et 152,12 jours, très élevés, signalant un risque de trésorerie important et une immobilisation de capital préoccupante. Le BFR de 7 186 M FCFA (positif, donc défavorable) et un flux opérationnel négatif de -819,66 M FCFA en 2025 confirment cette pression, malgré une trésorerie nette de 5 139 M FCFA. Le taux d'endettement de 60,42% et la dépendance financière de 4,47% restent acceptables, mais la capacité de remboursement de 0,26 an est excellente. Les rapports trimestriels de 2025 (S1 2025, T3 2025) indiquent une dynamique positive : au T3 2025 (publié le 30/09/2025), le CA cumulé atteint 16 630 M FCFA (+13,7%) et le résultat net 1 329,5 M FCFA (+26,0%), avec une marge nette de 8,0%. Toutefois, le rapport T1 2026 (publié en 2026) révèle une brutale dégradation : CA en baisse de -26,5% à 3 794 M FCFA, perte d'exploitation de -237 M FCFA et résultat net déficitaire de -222 M FCFA, en raison d'une maintenance planifiée et de la flambée des cours des métaux (+23% en 3 mois). Sur la base de ces éléments, on estime que l'exercice 2026 pourrait être nettement moins favorable que 2025, avec un risque de retour à une perte annuelle si la reprise attendue au T2 2026 ne se matérialise pas. La recommandation fondamentale est donc **prudente** : la solidité du bilan (trésorerie, faible endettement) est un atout, mais la dégradation opérationnelle récente et les délais clients/stocks élevés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affiche un PER de 14,3x et un P/B de 2,20x, soit une prime par rapport au marché BRVM, ce qui suggère une surévaluation relative au vu des récents résultats trimestriels décevants. Le comportement du cours (Partie 1) est baissier (-10,31% sur 100 jours) avec une volatilité élevée (48,1%) et une asymétrie positive (skewness 1,072) qui indique que les hausses sont rares mais violentes, un profil risqué pour les investisseurs. Les signaux techniques (Partie 2) sont divergents : les moyennes mobiles sont baissières, mais le RSI (16,4) et le Stochastique (0,0) en survente extrême, ainsi que le MACD en croisement haussier, plaident pour un rebond à court terme — sans toutefois confirmer un retournement de tendance. Les fondamentaux (Partie 3) montrent une entreprise solide en 2025 (CA +11,2%, ROE 15,4%) mais fragilisée par des délais clients/stocks élevés et un T1 2026 catastrophique (perte de -222 M FCFA), ce qui rend les perspectives 2026 incertaines. Les prédictions IA (J+1 à J+10) anticipent une hausse progressive de 3 625 FCFA à 4 352 FCFA, soit un rebond de +25% en 10 jours, ce qui contredit la tendance baissière récente mais s'aligne sur les signaux techniques de survente. **Recommandation finale : CONSERVER** — la convergence entre les signaux techniques d'achat à court terme et les prédictions haussières de l'IA est tempérée par la dégradation fondamentale récente et la surévaluation relative. Le niveau de confiance est **Moyen** (les signaux techniques sont clairs mais les fondamentaux incertains), le risque global est **Élevé** (volatilité 48,1%, perte au T1 2026), et l'horizon optimal est **court terme (&lt;3 mois)** pour profiter du rebond technique, avec une surveillance stricte des prochains rapports trimestriels pour confirmer ou infirmer la reprise.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1075.20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1,508 titres</w:t>
            </w:r>
          </w:p>
        </w:tc>
        <w:tc>
          <w:tcPr>
            <w:tcW w:type="dxa" w:w="2268"/>
            <w:shd w:fill="FFF2CC" w:val="clear"/>
          </w:tcPr>
          <w:p>
            <w:r>
              <w:rPr>
                <w:b/>
                <w:color w:val="503200"/>
                <w:sz w:val="16"/>
              </w:rPr>
              <w:t xml:space="preserve">Cours actuel : </w:t>
            </w:r>
            <w:r>
              <w:rPr>
                <w:color w:val="000000"/>
                <w:sz w:val="17"/>
              </w:rPr>
              <w:t>33,600 FCFA</w:t>
            </w:r>
          </w:p>
          <w:p>
            <w:r>
              <w:rPr>
                <w:b/>
                <w:color w:val="503200"/>
                <w:sz w:val="16"/>
              </w:rPr>
              <w:t xml:space="preserve">Var. 100 jours : </w:t>
            </w:r>
            <w:r>
              <w:rPr>
                <w:b/>
                <w:color w:val="007800"/>
                <w:sz w:val="17"/>
              </w:rPr>
              <w:t>+103.64%</w:t>
            </w:r>
          </w:p>
          <w:p>
            <w:r>
              <w:rPr>
                <w:b/>
                <w:color w:val="503200"/>
                <w:sz w:val="16"/>
              </w:rPr>
              <w:t xml:space="preserve">Plus haut 100j : </w:t>
            </w:r>
            <w:r>
              <w:rPr>
                <w:color w:val="000000"/>
                <w:sz w:val="17"/>
              </w:rPr>
              <w:t>33,600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21.29% (Élevée) — μ=24,233 FCFA, σ=5,159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β=1.0542 (Neutre (suit le marché)) — Cov=0.000037, Var(idx)=0.000035, ρ=0.234,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1,508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30,188</w:t>
            </w:r>
          </w:p>
        </w:tc>
        <w:tc>
          <w:tcPr>
            <w:tcW w:type="dxa" w:w="1440"/>
            <w:shd w:fill="FFDCE0" w:val="clear"/>
          </w:tcPr>
          <w:p>
            <w:r>
              <w:rPr>
                <w:b/>
                <w:sz w:val="17"/>
              </w:rPr>
              <w:t>31,080</w:t>
            </w:r>
          </w:p>
        </w:tc>
        <w:tc>
          <w:tcPr>
            <w:tcW w:type="dxa" w:w="1440"/>
            <w:shd w:fill="FFDCE0" w:val="clear"/>
          </w:tcPr>
          <w:p>
            <w:r>
              <w:rPr>
                <w:sz w:val="17"/>
              </w:rPr>
              <w:t>31,972</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27,582</w:t>
            </w:r>
          </w:p>
        </w:tc>
        <w:tc>
          <w:tcPr>
            <w:tcW w:type="dxa" w:w="1440"/>
            <w:shd w:fill="FFDCE0" w:val="clear"/>
          </w:tcPr>
          <w:p>
            <w:r>
              <w:rPr>
                <w:b/>
                <w:sz w:val="17"/>
              </w:rPr>
              <w:t>28,749</w:t>
            </w:r>
          </w:p>
        </w:tc>
        <w:tc>
          <w:tcPr>
            <w:tcW w:type="dxa" w:w="1440"/>
            <w:shd w:fill="FFDCE0" w:val="clear"/>
          </w:tcPr>
          <w:p>
            <w:r>
              <w:rPr>
                <w:sz w:val="17"/>
              </w:rPr>
              <w:t>29,916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25,271</w:t>
            </w:r>
          </w:p>
        </w:tc>
        <w:tc>
          <w:tcPr>
            <w:tcW w:type="dxa" w:w="1440"/>
            <w:shd w:fill="FFDCE0" w:val="clear"/>
          </w:tcPr>
          <w:p>
            <w:r>
              <w:rPr>
                <w:b/>
                <w:sz w:val="17"/>
              </w:rPr>
              <w:t>26,593</w:t>
            </w:r>
          </w:p>
        </w:tc>
        <w:tc>
          <w:tcPr>
            <w:tcW w:type="dxa" w:w="1440"/>
            <w:shd w:fill="FFDCE0" w:val="clear"/>
          </w:tcPr>
          <w:p>
            <w:r>
              <w:rPr>
                <w:sz w:val="17"/>
              </w:rPr>
              <w:t>27,915</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23,186</w:t>
            </w:r>
          </w:p>
        </w:tc>
        <w:tc>
          <w:tcPr>
            <w:tcW w:type="dxa" w:w="1440"/>
            <w:shd w:fill="FFDCE0" w:val="clear"/>
          </w:tcPr>
          <w:p>
            <w:r>
              <w:rPr>
                <w:b/>
                <w:sz w:val="17"/>
              </w:rPr>
              <w:t>24,598</w:t>
            </w:r>
          </w:p>
        </w:tc>
        <w:tc>
          <w:tcPr>
            <w:tcW w:type="dxa" w:w="1440"/>
            <w:shd w:fill="FFDCE0" w:val="clear"/>
          </w:tcPr>
          <w:p>
            <w:r>
              <w:rPr>
                <w:sz w:val="17"/>
              </w:rPr>
              <w:t>26,011</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21,293</w:t>
            </w:r>
          </w:p>
        </w:tc>
        <w:tc>
          <w:tcPr>
            <w:tcW w:type="dxa" w:w="1440"/>
            <w:shd w:fill="FFDCE0" w:val="clear"/>
          </w:tcPr>
          <w:p>
            <w:r>
              <w:rPr>
                <w:b/>
                <w:sz w:val="17"/>
              </w:rPr>
              <w:t>22,753</w:t>
            </w:r>
          </w:p>
        </w:tc>
        <w:tc>
          <w:tcPr>
            <w:tcW w:type="dxa" w:w="1440"/>
            <w:shd w:fill="FFDCE0" w:val="clear"/>
          </w:tcPr>
          <w:p>
            <w:r>
              <w:rPr>
                <w:sz w:val="17"/>
              </w:rPr>
              <w:t>24,214</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19,567</w:t>
            </w:r>
          </w:p>
        </w:tc>
        <w:tc>
          <w:tcPr>
            <w:tcW w:type="dxa" w:w="1440"/>
            <w:shd w:fill="FFDCE0" w:val="clear"/>
          </w:tcPr>
          <w:p>
            <w:r>
              <w:rPr>
                <w:b/>
                <w:sz w:val="17"/>
              </w:rPr>
              <w:t>21,047</w:t>
            </w:r>
          </w:p>
        </w:tc>
        <w:tc>
          <w:tcPr>
            <w:tcW w:type="dxa" w:w="1440"/>
            <w:shd w:fill="FFDCE0" w:val="clear"/>
          </w:tcPr>
          <w:p>
            <w:r>
              <w:rPr>
                <w:sz w:val="17"/>
              </w:rPr>
              <w:t>22,527</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17,990</w:t>
            </w:r>
          </w:p>
        </w:tc>
        <w:tc>
          <w:tcPr>
            <w:tcW w:type="dxa" w:w="1440"/>
            <w:shd w:fill="FFDCE0" w:val="clear"/>
          </w:tcPr>
          <w:p>
            <w:r>
              <w:rPr>
                <w:b/>
                <w:sz w:val="17"/>
              </w:rPr>
              <w:t>19,468</w:t>
            </w:r>
          </w:p>
        </w:tc>
        <w:tc>
          <w:tcPr>
            <w:tcW w:type="dxa" w:w="1440"/>
            <w:shd w:fill="FFDCE0" w:val="clear"/>
          </w:tcPr>
          <w:p>
            <w:r>
              <w:rPr>
                <w:sz w:val="17"/>
              </w:rPr>
              <w:t>20,947</w:t>
            </w:r>
          </w:p>
        </w:tc>
        <w:tc>
          <w:tcPr>
            <w:tcW w:type="dxa" w:w="1440"/>
            <w:shd w:fill="FFDCE0" w:val="clear"/>
          </w:tcPr>
          <w:p>
            <w:r>
              <w:rPr>
                <w:b/>
                <w:color w:val="C00000"/>
                <w:sz w:val="17"/>
              </w:rPr>
              <w:t>-42.1%</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17,185</w:t>
            </w:r>
          </w:p>
        </w:tc>
        <w:tc>
          <w:tcPr>
            <w:tcW w:type="dxa" w:w="1440"/>
            <w:shd w:fill="FFDCE0" w:val="clear"/>
          </w:tcPr>
          <w:p>
            <w:r>
              <w:rPr>
                <w:b/>
                <w:sz w:val="17"/>
              </w:rPr>
              <w:t>18,703</w:t>
            </w:r>
          </w:p>
        </w:tc>
        <w:tc>
          <w:tcPr>
            <w:tcW w:type="dxa" w:w="1440"/>
            <w:shd w:fill="FFDCE0" w:val="clear"/>
          </w:tcPr>
          <w:p>
            <w:r>
              <w:rPr>
                <w:sz w:val="17"/>
              </w:rPr>
              <w:t>20,222</w:t>
            </w:r>
          </w:p>
        </w:tc>
        <w:tc>
          <w:tcPr>
            <w:tcW w:type="dxa" w:w="1440"/>
            <w:shd w:fill="FFDCE0" w:val="clear"/>
          </w:tcPr>
          <w:p>
            <w:r>
              <w:rPr>
                <w:b/>
                <w:color w:val="C00000"/>
                <w:sz w:val="17"/>
              </w:rPr>
              <w:t>-44.3%</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16,686</w:t>
            </w:r>
          </w:p>
        </w:tc>
        <w:tc>
          <w:tcPr>
            <w:tcW w:type="dxa" w:w="1440"/>
            <w:shd w:fill="FFDCE0" w:val="clear"/>
          </w:tcPr>
          <w:p>
            <w:r>
              <w:rPr>
                <w:b/>
                <w:sz w:val="17"/>
              </w:rPr>
              <w:t>18,258</w:t>
            </w:r>
          </w:p>
        </w:tc>
        <w:tc>
          <w:tcPr>
            <w:tcW w:type="dxa" w:w="1440"/>
            <w:shd w:fill="FFDCE0" w:val="clear"/>
          </w:tcPr>
          <w:p>
            <w:r>
              <w:rPr>
                <w:sz w:val="17"/>
              </w:rPr>
              <w:t>19,830</w:t>
            </w:r>
          </w:p>
        </w:tc>
        <w:tc>
          <w:tcPr>
            <w:tcW w:type="dxa" w:w="1440"/>
            <w:shd w:fill="FFDCE0" w:val="clear"/>
          </w:tcPr>
          <w:p>
            <w:r>
              <w:rPr>
                <w:b/>
                <w:color w:val="C00000"/>
                <w:sz w:val="17"/>
              </w:rPr>
              <w:t>-45.7%</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16,234</w:t>
            </w:r>
          </w:p>
        </w:tc>
        <w:tc>
          <w:tcPr>
            <w:tcW w:type="dxa" w:w="1440"/>
            <w:shd w:fill="FFDCE0" w:val="clear"/>
          </w:tcPr>
          <w:p>
            <w:r>
              <w:rPr>
                <w:b/>
                <w:sz w:val="17"/>
              </w:rPr>
              <w:t>17,854</w:t>
            </w:r>
          </w:p>
        </w:tc>
        <w:tc>
          <w:tcPr>
            <w:tcW w:type="dxa" w:w="1440"/>
            <w:shd w:fill="FFDCE0" w:val="clear"/>
          </w:tcPr>
          <w:p>
            <w:r>
              <w:rPr>
                <w:sz w:val="17"/>
              </w:rPr>
              <w:t>19,475</w:t>
            </w:r>
          </w:p>
        </w:tc>
        <w:tc>
          <w:tcPr>
            <w:tcW w:type="dxa" w:w="1440"/>
            <w:shd w:fill="FFDCE0" w:val="clear"/>
          </w:tcPr>
          <w:p>
            <w:r>
              <w:rPr>
                <w:b/>
                <w:color w:val="C00000"/>
                <w:sz w:val="17"/>
              </w:rPr>
              <w:t>-46.9%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 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**1 075,20 milliards FCFA**, CBIBF s'impose comme l'une des plus importantes capitalisations de la cote BRVM, ce qui témoigne de la solidité et de la liquidité relative du titre au sein du compartiment bancaire régional. Le BPA de **2 047 FCFA/action** signifie que chaque titre génère près de 2 047 FCFA de bénéfice net, un niveau de rentabilité par action particulièrement élevé pour le marché ouest-africain. Le PER de **16,4x** se situe nettement au-dessus de la moyenne BRVM (généralement comprise entre 8 et 12x), ce qui indique que les investisseurs acceptent de payer une prime de valorisation significative pour cette valeur bancaire, justifiée par sa croissance exceptionnelle et sa qualité de gestion. Le ratio EV/EBITDA de **12,2x**, situé dans la fourchette haute (10-15x), confirme cette appréciation premium : le marché valorise la capacité opérationnelle de la banque bien au-delà de la moyenne sectorielle, ce qui implique une attente forte de poursuite de la croissance. Le ratio P/B n'étant pas fourni dans les données, il n'est pas possible de comparer la valorisation boursière à la valeur comptable, mais la prime de PER et d'EV/EBITDA suggère que le marché anticipe une création de valeur durable.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**variation spectaculaire de +103,64%**, passant d'un plus bas de **15 600 FCFA** à un plus haut de **33 600 FCFA**, niveau qui correspond également au cours actuel — signe que le titre évolue en zone de sommet historique. La dernière séance (J-1) affiche une progression marginale de **+0,30%**, traduisant un essoufflement de la dynamique haussière à court terme. La tendance générale est donc **franchement haussière**, portée par des fondamentaux solides et un intérêt croissant des investisseurs pour le secteur bancaire burkinabè. Les statistiques descriptives révèlent une **moyenne de 24 233 FCFA** légèrement supérieure à la **médiane de 23 705 FCFA**, avec un mode à 22 000 FCFA : cet écart modéré indique une distribution quasi-symétrique, confirmée par un **skewness de -0,050** (distribution symétrique), ce qui signifie que les mouvements haussiers et baissiers sont équilibrés. L'**écart-type de 5 185 FCFA** et le **coefficient de variation de 21,4%** traduisent une dispersion modérée du cours autour de sa moyenne, tandis que le **kurtosis de -1,121** (distribution platykurtique) signale une faible concentration des valeurs extrêmes — le risque de pics brutaux est donc limité, ce qui est rassurant pour la stabilité du titre. Enfin, la **volatilité annualisée de 42,0%** positionne CBIBF dans la catégorie des titres à **volatilité élevée** (&gt;30%), ce qui implique un potentiel de gain important mais aussi un risque de correction significatif, à intégrer dans toute stratégie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**30 590,5 FCFA** et la MM50 à **28 777,4 FCFA**, toutes deux nettement inférieures au cours actuel de 33 600 FCFA. Cette configuration — cours au-dessus des deux moyennes, avec MM20 &gt; MM50 — est un signal haussier classique confirmant la tendance positive. La décision technique est donc logiquement **Achat**, le titre évoluant en territoire de force relative.</w:t>
      </w:r>
    </w:p>
    <w:p>
      <w:pPr>
        <w:spacing w:after="120" w:line="276" w:lineRule="auto"/>
      </w:pPr>
      <w:r>
        <w:t>**Bandes de Bollinger** : La borne supérieure se situe à **34 694,26 FCFA** et la borne inférieure à **26 486,74 FCFA**, avec un cours actuel de 33 600 FCFA qui évolue dans la partie haute du canal, sans toutefois franchir la borne supérieure. Cette position indique une pression acheteuse soutenue mais pas encore de surachat extrême, ce qui justifie une décision **Neutre** — le titre est proche de sa résistance dynamique, une consolidation est possible avant une nouvelle impulsion.</w:t>
      </w:r>
    </w:p>
    <w:p>
      <w:pPr>
        <w:spacing w:after="120" w:line="276" w:lineRule="auto"/>
      </w:pPr>
      <w:r>
        <w:t>**MACD** : La valeur du MACD (**1 526,88**) est supérieure à son signal (**1 252,23**), avec un histogramme positif. Cette divergence positive confirme un **momentum haussier intact** et la décision **Achat** est techniquement justifiée, le croisement étant orienté à la hausse.</w:t>
      </w:r>
    </w:p>
    <w:p>
      <w:pPr>
        <w:spacing w:after="120" w:line="276" w:lineRule="auto"/>
      </w:pPr>
      <w:r>
        <w:t>**RSI** : À **80,67**, le RSI se situe largement au-dessus du seuil de surachat de 70, ce qui déclenche une décision **Vente**. Ce niveau élevé signale que le titre a accumulé une forte hausse et qu'un repli technique ou une consolidation est probable à court terme, les acheteurs étant potentiellement essoufflés.</w:t>
      </w:r>
    </w:p>
    <w:p>
      <w:pPr>
        <w:spacing w:after="120" w:line="276" w:lineRule="auto"/>
      </w:pPr>
      <w:r>
        <w:t>**Stochastique** : Le %K (**100,0**) et le %D (**96,84**) sont tous deux en zone de surachat extrême, avec un %K au sommet absolu de son échelle. La décision **Vente** est cohérente : le croisement des lignes en zone haute annonce généralement un retournement ou une pause dans la tendance haussière.</w:t>
      </w:r>
    </w:p>
    <w:p>
      <w:pPr>
        <w:spacing w:after="120" w:line="276" w:lineRule="auto"/>
      </w:pPr>
      <w:r>
        <w:t>**Conclusion technique** : Les indicateurs de tendance (MM, MACD) restent haussiers et confirment la dynamique positive de fond, mais les oscillateurs (RSI, Stochastique) sont en zone de surachat extrême et signalent un risque de correction à court terme. Cette divergence entre tendance et momentum suggère une **phase de consolidation imminente**, le titre ayant besoin de digérer sa hausse de +103% avant de reprendre son ascension. La prudence est de mise pour les entrées à court terme, tandis que la tendance de fond reste favorable.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 réalisé un **Produit Net Bancaire (PNB) de 138,986 milliards FCFA**, en croissance de **+6,11%** par rapport à 2024, confirmant la dynamique commerciale de la banque. Le **résultat net s'établit à 65,495 milliards FCFA**, en progression remarquable de **+36,6%** par rapport aux 47,937 milliards de 2024 (rapport annuel 2024), portée par une amélioration significative du coût du risque (-59,3%) et une maîtrise des charges. La **marge nette de 47,12%** et la **marge opérationnelle de 51,77%** demeurent élevées, tandis que le **coefficient d'exploitation de 36,39%** — très inférieur au seuil de 60% — témoigne d'une **efficacité opérationnelle excellente**, parmi les meilleures du secteur bancaire UEMOA. Le **ROA de 2,18%** et la **rotation des actifs de 4,64%** reflètent une utilisation productive du bilan de **2 997,78 milliards FCFA**. Le **coût du risque** (provisions/charges financières) reste un point de vigilance, mais son amélioration de 59,3% en 2025 marque une nette détente après l'assainissement du portefeuille en 2024.</w:t>
      </w:r>
    </w:p>
    <w:p>
      <w:pPr>
        <w:spacing w:after="120" w:line="276" w:lineRule="auto"/>
      </w:pPr>
      <w:r>
        <w:t>**Adaptation au secteur bancaire** : La structure bilancielle est solide avec **2 015,28 milliards FCFA de dépôts clientèle** (+14,9%) pour **1 326,98 milliards FCFA de créances clientèle** (+5,4%), soit un **ratio de transformation (crédits/dépôts) de 65,8%** — niveau sain indiquant une capacité de prêt maîtrisée et une liquidité abondante. La croissance des dépôts (+14,9%) dépasse largement celle des crédits (+5,4%), ce qui pourrait comprimer la marge d'intérêt à court terme mais renforce la résilience du bilan.</w:t>
      </w:r>
    </w:p>
    <w:p>
      <w:pPr>
        <w:spacing w:after="120" w:line="276" w:lineRule="auto"/>
      </w:pPr>
      <w:r>
        <w:t>**Estimations basées sur les rapports trimestriels** : Le **rapport T1 2026** (publié en 2026) révèle une accélération spectaculaire : **PNB de 36,8 milliards FCFA (+28,5%)** et **résultat net de 21,5 milliards FCFA (+22,2%)**, avec des **dépôts clients en hausse de +37,9% à 2 365,1 milliards FCFA**. Sur cette base, on peut **estimer** que l'exercice 2026 devrait afficher un PNB supérieur à 160 milliards FCFA et un résultat net dépassant 75 milliards FCFA, confirmant la trajectoire de croissance. Le **rapport T3 2025** (30/09/2025) indiquait déjà un PNB de 101,3 milliards FCFA (+9,65%) et un résultat net de 52,9 milliards FCFA (+6,25%), avec une notation **AA/AI perspective stable** (Bloomfield) et un renforcement de la gouvernance.</w:t>
      </w:r>
    </w:p>
    <w:p>
      <w:pPr>
        <w:spacing w:after="120" w:line="276" w:lineRule="auto"/>
      </w:pPr>
      <w:r>
        <w:t>**Évolution pluriannuelle** : De 2022 (résultat net de 56,5 milliards FCFA) à 2025 (65,5 milliards FCFA), la banque a connu une année 2024 difficile (47,9 milliards FCFA, -25,4%) suivie d'un **rebond spectaculaire en 2025 (+36,6%)**, démontrant sa capacité de résilience et de redressement.</w:t>
      </w:r>
    </w:p>
    <w:p>
      <w:pPr>
        <w:spacing w:after="120" w:line="276" w:lineRule="auto"/>
      </w:pPr>
      <w:r>
        <w:t>**Recommandation fondamentale** : La solidité financière, l'efficacité opérationnelle exceptionnelle (coefficient d'exploitation de 36,4%), la croissance soutenue des dépôts et l'amélioration du coût du risque confirment la **qualité fondamentale du titre**. Les principaux risques restent l'environnement sécuritaire et politique burkinabè, ainsi que la concentration géographique de l'activité.</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**décalage significatif entre la qualité fondamentale et la valorisation technique à court terme**. Sur le plan de la **valorisation (Partie 0)**, le PER de 16,4x et l'EV/EBITDA de 12,2x indiquent une **surévaluation relative** par rapport à la moyenne BRVM (8-12x), le marché ayant déjà intégré une large part de la croissance future. Le **comportement du cours (Partie 1)** est exceptionnel (+103,64% sur 100 jours) mais la volatilité élevée (42%) et la position en sommet historique appellent à la prudence. Les **signaux techniques (Partie 2)** sont **divergents** : les moyennes mobiles et le MACD confirment la tendance haussière, mais le RSI (80,67) et le stochastique (100,0) sont en **surachat extrême**, annonçant une correction imminente. Les **fondamentaux (Partie 3)** sont **excellents** : résultat net 2025 de 65,5 milliards FCFA (+36,6%), coefficient d'exploitation de 36,4%, et les estimations issues du T1 2026 (+22,2% de résultat net) confirment la poursuite de la dynamique. Les **prédictions IA (J+1 à J+10)** anticipent une **correction baissière marquée** (de 31 080 FCFA à 22 753 FCFA, soit -26,8% en 10 jours), ce qui **contredit** la tendance fondamentale mais **confirme** les signaux de surachat technique.</w:t>
      </w:r>
    </w:p>
    <w:p>
      <w:pPr>
        <w:spacing w:after="120" w:line="276" w:lineRule="auto"/>
      </w:pPr>
      <w:r>
        <w:t>**Recommandation finale : CONSERVER** (avec opportunité d'achat sur repli). La convergence entre le surachat technique, la valorisation premium et les prédictions baissières à court terme suggère d'**éviter les achats au cours actuel de 33 600 FCFA** et d'attendre une correction vers la zone des 26 000-28 000 FCFA (borne inférieure de Bollinger / MM50) pour se positionner. Le **niveau de confiance est Moyen** : la qualité fondamentale est incontestable, mais le timing d'entrée est défavorable. Le **risque global est Élevé** à court terme (correction probable de 15-25%), mais **Moyen à long terme** grâce à la solidité du modèle d'affaires. L'**horizon d'investissement optimal est le moyen terme (3-12 mois)** : accumuler sur repli pour profiter de la poursuite de la croissance en 2026-2027, avec un objectif de cours à 38 000-40 000 FCFA si les résultats T2/T3 2026 confirment l'accélération.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307.43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3,673 titres</w:t>
            </w:r>
          </w:p>
        </w:tc>
        <w:tc>
          <w:tcPr>
            <w:tcW w:type="dxa" w:w="2268"/>
            <w:shd w:fill="FFF2CC" w:val="clear"/>
          </w:tcPr>
          <w:p>
            <w:r>
              <w:rPr>
                <w:b/>
                <w:color w:val="503200"/>
                <w:sz w:val="16"/>
              </w:rPr>
              <w:t xml:space="preserve">Cours actuel : </w:t>
            </w:r>
            <w:r>
              <w:rPr>
                <w:color w:val="000000"/>
                <w:sz w:val="17"/>
              </w:rPr>
              <w:t>1,695 FCFA</w:t>
            </w:r>
          </w:p>
          <w:p>
            <w:r>
              <w:rPr>
                <w:b/>
                <w:color w:val="503200"/>
                <w:sz w:val="16"/>
              </w:rPr>
              <w:t xml:space="preserve">Var. 100 jours : </w:t>
            </w:r>
            <w:r>
              <w:rPr>
                <w:b/>
                <w:color w:val="007800"/>
                <w:sz w:val="17"/>
              </w:rPr>
              <w:t>+9.35%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μ=1,618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β=1.0833 (Neutre (suit le marché)) — Cov=0.000038, Var(idx)=0.000035, ρ=0.212,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σ_j=3.00%/j (Stable) — Vol. annualisée≈47.6%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1,596</w:t>
            </w:r>
          </w:p>
        </w:tc>
        <w:tc>
          <w:tcPr>
            <w:tcW w:type="dxa" w:w="1440"/>
            <w:shd w:fill="FFDCE0" w:val="clear"/>
          </w:tcPr>
          <w:p>
            <w:r>
              <w:rPr>
                <w:b/>
                <w:sz w:val="17"/>
              </w:rPr>
              <w:t>1,654</w:t>
            </w:r>
          </w:p>
        </w:tc>
        <w:tc>
          <w:tcPr>
            <w:tcW w:type="dxa" w:w="1440"/>
            <w:shd w:fill="FFDCE0" w:val="clear"/>
          </w:tcPr>
          <w:p>
            <w:r>
              <w:rPr>
                <w:sz w:val="17"/>
              </w:rPr>
              <w:t>1,712</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1,550</w:t>
            </w:r>
          </w:p>
        </w:tc>
        <w:tc>
          <w:tcPr>
            <w:tcW w:type="dxa" w:w="1440"/>
            <w:shd w:fill="FFDCE0" w:val="clear"/>
          </w:tcPr>
          <w:p>
            <w:r>
              <w:rPr>
                <w:b/>
                <w:sz w:val="17"/>
              </w:rPr>
              <w:t>1,631</w:t>
            </w:r>
          </w:p>
        </w:tc>
        <w:tc>
          <w:tcPr>
            <w:tcW w:type="dxa" w:w="1440"/>
            <w:shd w:fill="FFDCE0" w:val="clear"/>
          </w:tcPr>
          <w:p>
            <w:r>
              <w:rPr>
                <w:sz w:val="17"/>
              </w:rPr>
              <w:t>1,712</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1,509</w:t>
            </w:r>
          </w:p>
        </w:tc>
        <w:tc>
          <w:tcPr>
            <w:tcW w:type="dxa" w:w="1440"/>
            <w:shd w:fill="FFDCE0" w:val="clear"/>
          </w:tcPr>
          <w:p>
            <w:r>
              <w:rPr>
                <w:b/>
                <w:sz w:val="17"/>
              </w:rPr>
              <w:t>1,607</w:t>
            </w:r>
          </w:p>
        </w:tc>
        <w:tc>
          <w:tcPr>
            <w:tcW w:type="dxa" w:w="1440"/>
            <w:shd w:fill="FFDCE0" w:val="clear"/>
          </w:tcPr>
          <w:p>
            <w:r>
              <w:rPr>
                <w:sz w:val="17"/>
              </w:rPr>
              <w:t>1,705</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1,472</w:t>
            </w:r>
          </w:p>
        </w:tc>
        <w:tc>
          <w:tcPr>
            <w:tcW w:type="dxa" w:w="1440"/>
            <w:shd w:fill="FFDCE0" w:val="clear"/>
          </w:tcPr>
          <w:p>
            <w:r>
              <w:rPr>
                <w:b/>
                <w:sz w:val="17"/>
              </w:rPr>
              <w:t>1,583</w:t>
            </w:r>
          </w:p>
        </w:tc>
        <w:tc>
          <w:tcPr>
            <w:tcW w:type="dxa" w:w="1440"/>
            <w:shd w:fill="FFDCE0" w:val="clear"/>
          </w:tcPr>
          <w:p>
            <w:r>
              <w:rPr>
                <w:sz w:val="17"/>
              </w:rPr>
              <w:t>1,694</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1,437</w:t>
            </w:r>
          </w:p>
        </w:tc>
        <w:tc>
          <w:tcPr>
            <w:tcW w:type="dxa" w:w="1440"/>
            <w:shd w:fill="FFDCE0" w:val="clear"/>
          </w:tcPr>
          <w:p>
            <w:r>
              <w:rPr>
                <w:b/>
                <w:sz w:val="17"/>
              </w:rPr>
              <w:t>1,560</w:t>
            </w:r>
          </w:p>
        </w:tc>
        <w:tc>
          <w:tcPr>
            <w:tcW w:type="dxa" w:w="1440"/>
            <w:shd w:fill="FFDCE0" w:val="clear"/>
          </w:tcPr>
          <w:p>
            <w:r>
              <w:rPr>
                <w:sz w:val="17"/>
              </w:rPr>
              <w:t>1,682</w:t>
            </w:r>
          </w:p>
        </w:tc>
        <w:tc>
          <w:tcPr>
            <w:tcW w:type="dxa" w:w="1440"/>
            <w:shd w:fill="FFDCE0" w:val="clear"/>
          </w:tcPr>
          <w:p>
            <w:r>
              <w:rPr>
                <w:b/>
                <w:color w:val="C00000"/>
                <w:sz w:val="17"/>
              </w:rPr>
              <w:t>-8.0%</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1,404</w:t>
            </w:r>
          </w:p>
        </w:tc>
        <w:tc>
          <w:tcPr>
            <w:tcW w:type="dxa" w:w="1440"/>
            <w:shd w:fill="FFDCE0" w:val="clear"/>
          </w:tcPr>
          <w:p>
            <w:r>
              <w:rPr>
                <w:b/>
                <w:sz w:val="17"/>
              </w:rPr>
              <w:t>1,537</w:t>
            </w:r>
          </w:p>
        </w:tc>
        <w:tc>
          <w:tcPr>
            <w:tcW w:type="dxa" w:w="1440"/>
            <w:shd w:fill="FFDCE0" w:val="clear"/>
          </w:tcPr>
          <w:p>
            <w:r>
              <w:rPr>
                <w:sz w:val="17"/>
              </w:rPr>
              <w:t>1,669</w:t>
            </w:r>
          </w:p>
        </w:tc>
        <w:tc>
          <w:tcPr>
            <w:tcW w:type="dxa" w:w="1440"/>
            <w:shd w:fill="FFDCE0" w:val="clear"/>
          </w:tcPr>
          <w:p>
            <w:r>
              <w:rPr>
                <w:b/>
                <w:color w:val="C00000"/>
                <w:sz w:val="17"/>
              </w:rPr>
              <w:t>-9.3%</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1,374</w:t>
            </w:r>
          </w:p>
        </w:tc>
        <w:tc>
          <w:tcPr>
            <w:tcW w:type="dxa" w:w="1440"/>
            <w:shd w:fill="FFDCE0" w:val="clear"/>
          </w:tcPr>
          <w:p>
            <w:r>
              <w:rPr>
                <w:b/>
                <w:sz w:val="17"/>
              </w:rPr>
              <w:t>1,515</w:t>
            </w:r>
          </w:p>
        </w:tc>
        <w:tc>
          <w:tcPr>
            <w:tcW w:type="dxa" w:w="1440"/>
            <w:shd w:fill="FFDCE0" w:val="clear"/>
          </w:tcPr>
          <w:p>
            <w:r>
              <w:rPr>
                <w:sz w:val="17"/>
              </w:rPr>
              <w:t>1,656</w:t>
            </w:r>
          </w:p>
        </w:tc>
        <w:tc>
          <w:tcPr>
            <w:tcW w:type="dxa" w:w="1440"/>
            <w:shd w:fill="FFDCE0" w:val="clear"/>
          </w:tcPr>
          <w:p>
            <w:r>
              <w:rPr>
                <w:b/>
                <w:color w:val="C00000"/>
                <w:sz w:val="17"/>
              </w:rPr>
              <w:t>-10.6%</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1,344</w:t>
            </w:r>
          </w:p>
        </w:tc>
        <w:tc>
          <w:tcPr>
            <w:tcW w:type="dxa" w:w="1440"/>
            <w:shd w:fill="FFDCE0" w:val="clear"/>
          </w:tcPr>
          <w:p>
            <w:r>
              <w:rPr>
                <w:b/>
                <w:sz w:val="17"/>
              </w:rPr>
              <w:t>1,493</w:t>
            </w:r>
          </w:p>
        </w:tc>
        <w:tc>
          <w:tcPr>
            <w:tcW w:type="dxa" w:w="1440"/>
            <w:shd w:fill="FFDCE0" w:val="clear"/>
          </w:tcPr>
          <w:p>
            <w:r>
              <w:rPr>
                <w:sz w:val="17"/>
              </w:rPr>
              <w:t>1,641</w:t>
            </w:r>
          </w:p>
        </w:tc>
        <w:tc>
          <w:tcPr>
            <w:tcW w:type="dxa" w:w="1440"/>
            <w:shd w:fill="FFDCE0" w:val="clear"/>
          </w:tcPr>
          <w:p>
            <w:r>
              <w:rPr>
                <w:b/>
                <w:color w:val="C00000"/>
                <w:sz w:val="17"/>
              </w:rPr>
              <w:t>-11.9%</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1,316</w:t>
            </w:r>
          </w:p>
        </w:tc>
        <w:tc>
          <w:tcPr>
            <w:tcW w:type="dxa" w:w="1440"/>
            <w:shd w:fill="FFDCE0" w:val="clear"/>
          </w:tcPr>
          <w:p>
            <w:r>
              <w:rPr>
                <w:b/>
                <w:sz w:val="17"/>
              </w:rPr>
              <w:t>1,472</w:t>
            </w:r>
          </w:p>
        </w:tc>
        <w:tc>
          <w:tcPr>
            <w:tcW w:type="dxa" w:w="1440"/>
            <w:shd w:fill="FFDCE0" w:val="clear"/>
          </w:tcPr>
          <w:p>
            <w:r>
              <w:rPr>
                <w:sz w:val="17"/>
              </w:rPr>
              <w:t>1,627</w:t>
            </w:r>
          </w:p>
        </w:tc>
        <w:tc>
          <w:tcPr>
            <w:tcW w:type="dxa" w:w="1440"/>
            <w:shd w:fill="FFDCE0" w:val="clear"/>
          </w:tcPr>
          <w:p>
            <w:r>
              <w:rPr>
                <w:b/>
                <w:color w:val="C00000"/>
                <w:sz w:val="17"/>
              </w:rPr>
              <w:t>-13.2%</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1,290</w:t>
            </w:r>
          </w:p>
        </w:tc>
        <w:tc>
          <w:tcPr>
            <w:tcW w:type="dxa" w:w="1440"/>
            <w:shd w:fill="FFDCE0" w:val="clear"/>
          </w:tcPr>
          <w:p>
            <w:r>
              <w:rPr>
                <w:b/>
                <w:sz w:val="17"/>
              </w:rPr>
              <w:t>1,451</w:t>
            </w:r>
          </w:p>
        </w:tc>
        <w:tc>
          <w:tcPr>
            <w:tcW w:type="dxa" w:w="1440"/>
            <w:shd w:fill="FFDCE0" w:val="clear"/>
          </w:tcPr>
          <w:p>
            <w:r>
              <w:rPr>
                <w:sz w:val="17"/>
              </w:rPr>
              <w:t>1,612</w:t>
            </w:r>
          </w:p>
        </w:tc>
        <w:tc>
          <w:tcPr>
            <w:tcW w:type="dxa" w:w="1440"/>
            <w:shd w:fill="FFDCE0" w:val="clear"/>
          </w:tcPr>
          <w:p>
            <w:r>
              <w:rPr>
                <w:b/>
                <w:color w:val="C00000"/>
                <w:sz w:val="17"/>
              </w:rPr>
              <w:t>-14.4%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307,43 milliards FCFA, CFAC figure parmi les valeurs les plus importantes de la cote BRVM, ce qui témoigne de sa liquidité relative et de son poids dans l'indice composite. Le BPA s'établit à 26 FCFA/action, un niveau modeste qui, rapporté au cours actuel de 1 695 FCFA, génère un PER de 65,5x — très largement supérieur à la moyenne du marché BRVM (8-12x), signalant que les investisseurs paient une prime spéculative considérable pour chaque franc de bénéfice. Le ratio P/B de 15,80x confirme cette exubérance : le marché valorise la société à près de 16 fois sa valeur comptable, une prime extrême qui n'est justifiable que par des anticipations de croissance très fortes. Enfin, l'EV/EBITDA de 33,3x (seuil d'alerte généralement fixé à 15x) indique que la valeur d'entreprise intègre une capacité opérationnelle déjà largement capitalisée, laissant peu de marge de sécurité en cas de déception sur les résultats. L'ensemble de ces ratios dessine une valorisation exigeante, voire surévaluée, qui expose le titre à un risque de correction en l'absence d'accélération confirmée des bénéfices.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+9,35%, avec une dernière séance en hausse de +0,30%, portant le cours actuel à 1 695 FCFA. Le range de trading est particulièrement large, oscillant entre un plus bas de 1 325 FCFA et un plus haut de 1 825 FCFA, soit une amplitude de 500 FCFA (37,7%) qui traduit une forte nervosité du marché. La tendance générale est haussière mais fragile, le cours actuel se situant à mi-chemin entre les extrêmes, ce qui suggère une phase de consolidation après le pic atteint. Les statistiques descriptives révèlent une moyenne de 1 618 FCFA légèrement supérieure à la médiane de 1 608 FCFA, avec un mode à 1 600 FCFA, indiquant une distribution quasi-symétrique mais légèrement tirée vers le haut par les pics récents. L'écart-type de 109 FCFA (CV = 6,7%) témoigne d'une dispersion modérée autour de la moyenne, tandis que le kurtosis de -0,361 (mésokurtique) et le skewness de -0,448 (distribution symétrique) suggèrent l'absence de pics extrêmes ou d'asymétrie marquée, ce qui est rassurant pour la prévisibilité relative du titre. La volatilité annualisée de 47,6% classe CFAC dans la catégorie des titres à volatilité élevée (&gt;30%), ce qui implique un risque de perte en capital significatif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(1 705,25 FCFA) et la MM50 (1 677,0 FCFA) encadrent le cours actuel de 1 695 FCFA, qui se situe légèrement sous la MM20 mais au-dessus de la MM50. Cette configuration indique une dynamique haussière de moyen terme (cours &gt; MM50) mais un essoufflement à court terme (cours &lt; MM20), ce qui justifie la décision d'achat avec prudence, le croisement des moyennes restant positif.</w:t>
      </w:r>
    </w:p>
    <w:p>
      <w:pPr>
        <w:spacing w:after="120" w:line="276" w:lineRule="auto"/>
      </w:pPr>
      <w:r>
        <w:t>**Bandes de Bollinger** : Le cours (1 695 FCFA) évolue dans la partie médiane des bandes, entre la borne inférieure (1 601,05 FCFA) et la borne supérieure (1 809,45 FCFA), sans contact avec les extrêmes. Cette position centrale, combinée à une largeur de bande importante (208,4 FCFA), traduit une volatilité élevée mais sans signal de surachat ou de survente, justifiant la décision neutre.</w:t>
      </w:r>
    </w:p>
    <w:p>
      <w:pPr>
        <w:spacing w:after="120" w:line="276" w:lineRule="auto"/>
      </w:pPr>
      <w:r>
        <w:t>**MACD** : La valeur du MACD (13,12) est inférieure à son signal (17,983), générant un croisement baissier qui indique un affaiblissement du momentum haussier. Cette divergence négative, bien que modérée, justifie la décision de vente à court terme et suggère que la pression acheteuse s'essouffle.</w:t>
      </w:r>
    </w:p>
    <w:p>
      <w:pPr>
        <w:spacing w:after="120" w:line="276" w:lineRule="auto"/>
      </w:pPr>
      <w:r>
        <w:t>**RSI** : À 52,381, le RSI se situe en zone parfaitement neutre (entre 30 et 70), sans signal de surachat (&gt;70) ni de survente (&lt;30). Cette position médiane confirme l'absence de tension directionnelle forte et justifie la décision neutre, le titre n'étant ni surévalué ni sous-évalué techniquement.</w:t>
      </w:r>
    </w:p>
    <w:p>
      <w:pPr>
        <w:spacing w:after="120" w:line="276" w:lineRule="auto"/>
      </w:pPr>
      <w:r>
        <w:t>**Stochastique** : Le %K (17,647) est nettement inférieur au %D (33,261), et les deux indicateurs se situent en zone de survente (&lt;20 pour le %K), ce qui suggère un potentiel rebond à court terme. Cette configuration justifie la décision d'achat, le croisement du %K sous le %D pouvant précéder un retournement haussier.</w:t>
      </w:r>
    </w:p>
    <w:p>
      <w:pPr>
        <w:spacing w:after="120" w:line="276" w:lineRule="auto"/>
      </w:pPr>
      <w:r>
        <w:t>**Conclusion technique** : Les indicateurs techniques présentent un tableau mitigé, avec une majorité de signaux neutres (Bollinger, RSI) et une divergence entre les signaux d'achat (MM, Stochastique) et de vente (MACD). Cette absence de convergence claire traduit une phase d'incertitude, le titre étant coincé entre une dynamique de fond haussière (MM50) et un essoufflement court terme (MACD baissier). Dans ce contexte, la prudence est de mise, et seul un franchissement de la MM20 (1 705 FCFA) avec confirmation du MACD pourrait valider une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une situation contrastée : le chiffre d'affaires s'établit à 158,313 milliards FCFA, en baisse de -12,13% par rapport à 2023, tandis que le résultat net chute à 4,693 milliards FCFA (-26,7%), générant une marge nette de seulement 2,96%. Le ROE reste néanmoins élevé à 24,13%, porté par des capitaux propres limités (19,453 milliards FCFA), mais le ROA de 5,52% et la rotation des actifs de 186,22% témoignent d'une efficacité opérationnelle correcte malgré la contraction. L'analyse sectorielle (entreprise non bancaire) met en évidence un BFR négatif de -3,482 milliards FCFA (favorable), un délai clients de 36,64 jours (risque de trésorerie modéré) et un délai fournisseurs de 81,75 jours (avantage de trésorerie), mais la trésorerie nette est négative à -624,20 millions FCFA et le Free Cash Flow s'établit à -1,650 milliard FCFA, signe de tensions de liquidité. Les rapports trimestriels récents (T3 2025, daté du 30/09/2025) montrent une nette amélioration : le CA progresse de +18,3% à 43,580 milliards FCFA et le résultat net bondit de +38,1% à 1,489 milliard FCFA, avec une marge nette en hausse à 3,42%. Sur la base de ces tendances, on estime que l'exercice 2025 devrait renouer avec la croissance, le S1 2025 (rapport du 30/06/2025) affichant déjà un CA de 91,182 milliards FCFA (+18,4%) et un résultat net de 5,420 milliards FCFA (+152,7%), ce qui laisse présager un résultat annuel 2025 nettement supérieur à celui de 2024. Cependant, les risques persistent : dépendance aux coûts d'achat (79% du CA en 2023), endettement locatif IFRS 16, et politique de dividende agressive (taux de distribution de 88,1% en 2023). La recommandation fondamentale est de **conserver** le titre avec vigilance, en surveillant l'amélioration de la trésorerie et la soutenabilité de la croissance.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La valorisation (Partie 0) est manifestement surévaluée : PER de 65,5x, P/B de 15,80x et EV/EBITDA de 33,3x traduisent une prime spéculative difficilement justifiable par les fondamentaux actuels. Le comportement du cours (Partie 1) est haussier sur 100 jours (+9,35%) mais avec une volatilité élevée (47,6%) et une distribution symétrique (skewness -0,448, kurtosis -0,361) qui n'offre pas de biais directionnel clair. Les signaux techniques (Partie 2) sont divergents : les MM et le Stochastique suggèrent un achat, le MACD une vente, et le RSI/Bollinger une neutralité, ce qui plaide pour une absence de tendance forte à court terme. Les fondamentaux (Partie 3) montrent une amélioration récente (T3 2025 : CA +18,3%, RN +38,1%) mais des fragilités persistantes (trésorerie négative, FCF négatif, distribution de dividendes excessive). Les prédictions IA (J+1 à J+10) anticipent une baisse continue de 1 654 FCFA à 1 560 FCFA, soit une correction de -8% sur 10 jours, ce qui contredit les signaux d'achat techniques et confirme les risques de correction liés à la surévaluation. **Recommandation finale : CONSERVER** (avec un biais baissier à court terme). La convergence entre la surévaluation, la divergence technique et les prédictions baissières incite à la prudence, tandis que l'amélioration fondamentale récente (T3 2025) empêche de recommander une vente franche. Le niveau de confiance est **Moyen** (les signaux sont contradictoires) et le risque global est **Élevé** (volatilité de 47,6%, valorisation extrême, trésorerie tendue). L'horizon d'investissement optimal est **court terme (&lt;3 mois)** pour profiter d'un éventuel rebond technique, mais une position **moyen terme (3-12 mois)** ne se justifierait qu'après confirmation d'une amélioration durable de la trésorerie et d'une normalisation des ratios de valorisation.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397.60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6,593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+129.03%</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24.38% (Élevée) — μ=4,933 FCFA, σ=1,203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β=0.8310 (Neutre (suit le marché)) — Cov=0.000029, Var(idx)=0.000035, ρ=0.154,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6,593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6,213</w:t>
            </w:r>
          </w:p>
        </w:tc>
        <w:tc>
          <w:tcPr>
            <w:tcW w:type="dxa" w:w="1440"/>
            <w:shd w:fill="FFDCE0" w:val="clear"/>
          </w:tcPr>
          <w:p>
            <w:r>
              <w:rPr>
                <w:b/>
                <w:sz w:val="17"/>
              </w:rPr>
              <w:t>6,568</w:t>
            </w:r>
          </w:p>
        </w:tc>
        <w:tc>
          <w:tcPr>
            <w:tcW w:type="dxa" w:w="1440"/>
            <w:shd w:fill="FFDCE0" w:val="clear"/>
          </w:tcPr>
          <w:p>
            <w:r>
              <w:rPr>
                <w:sz w:val="17"/>
              </w:rPr>
              <w:t>6,922</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5,611</w:t>
            </w:r>
          </w:p>
        </w:tc>
        <w:tc>
          <w:tcPr>
            <w:tcW w:type="dxa" w:w="1440"/>
            <w:shd w:fill="FFDCE0" w:val="clear"/>
          </w:tcPr>
          <w:p>
            <w:r>
              <w:rPr>
                <w:b/>
                <w:sz w:val="17"/>
              </w:rPr>
              <w:t>6,075</w:t>
            </w:r>
          </w:p>
        </w:tc>
        <w:tc>
          <w:tcPr>
            <w:tcW w:type="dxa" w:w="1440"/>
            <w:shd w:fill="FFDCE0" w:val="clear"/>
          </w:tcPr>
          <w:p>
            <w:r>
              <w:rPr>
                <w:sz w:val="17"/>
              </w:rPr>
              <w:t>6,539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5,094</w:t>
            </w:r>
          </w:p>
        </w:tc>
        <w:tc>
          <w:tcPr>
            <w:tcW w:type="dxa" w:w="1440"/>
            <w:shd w:fill="FFDCE0" w:val="clear"/>
          </w:tcPr>
          <w:p>
            <w:r>
              <w:rPr>
                <w:b/>
                <w:sz w:val="17"/>
              </w:rPr>
              <w:t>5,619</w:t>
            </w:r>
          </w:p>
        </w:tc>
        <w:tc>
          <w:tcPr>
            <w:tcW w:type="dxa" w:w="1440"/>
            <w:shd w:fill="FFDCE0" w:val="clear"/>
          </w:tcPr>
          <w:p>
            <w:r>
              <w:rPr>
                <w:sz w:val="17"/>
              </w:rPr>
              <w:t>6,145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4,636</w:t>
            </w:r>
          </w:p>
        </w:tc>
        <w:tc>
          <w:tcPr>
            <w:tcW w:type="dxa" w:w="1440"/>
            <w:shd w:fill="FFDCE0" w:val="clear"/>
          </w:tcPr>
          <w:p>
            <w:r>
              <w:rPr>
                <w:b/>
                <w:sz w:val="17"/>
              </w:rPr>
              <w:t>5,198</w:t>
            </w:r>
          </w:p>
        </w:tc>
        <w:tc>
          <w:tcPr>
            <w:tcW w:type="dxa" w:w="1440"/>
            <w:shd w:fill="FFDCE0" w:val="clear"/>
          </w:tcPr>
          <w:p>
            <w:r>
              <w:rPr>
                <w:sz w:val="17"/>
              </w:rPr>
              <w:t>5,759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4,227</w:t>
            </w:r>
          </w:p>
        </w:tc>
        <w:tc>
          <w:tcPr>
            <w:tcW w:type="dxa" w:w="1440"/>
            <w:shd w:fill="FFDCE0" w:val="clear"/>
          </w:tcPr>
          <w:p>
            <w:r>
              <w:rPr>
                <w:b/>
                <w:sz w:val="17"/>
              </w:rPr>
              <w:t>4,808</w:t>
            </w:r>
          </w:p>
        </w:tc>
        <w:tc>
          <w:tcPr>
            <w:tcW w:type="dxa" w:w="1440"/>
            <w:shd w:fill="FFDCE0" w:val="clear"/>
          </w:tcPr>
          <w:p>
            <w:r>
              <w:rPr>
                <w:sz w:val="17"/>
              </w:rPr>
              <w:t>5,389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3,859</w:t>
            </w:r>
          </w:p>
        </w:tc>
        <w:tc>
          <w:tcPr>
            <w:tcW w:type="dxa" w:w="1440"/>
            <w:shd w:fill="FFDCE0" w:val="clear"/>
          </w:tcPr>
          <w:p>
            <w:r>
              <w:rPr>
                <w:b/>
                <w:sz w:val="17"/>
              </w:rPr>
              <w:t>4,447</w:t>
            </w:r>
          </w:p>
        </w:tc>
        <w:tc>
          <w:tcPr>
            <w:tcW w:type="dxa" w:w="1440"/>
            <w:shd w:fill="FFDCE0" w:val="clear"/>
          </w:tcPr>
          <w:p>
            <w:r>
              <w:rPr>
                <w:sz w:val="17"/>
              </w:rPr>
              <w:t>5,036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3,526</w:t>
            </w:r>
          </w:p>
        </w:tc>
        <w:tc>
          <w:tcPr>
            <w:tcW w:type="dxa" w:w="1440"/>
            <w:shd w:fill="FFDCE0" w:val="clear"/>
          </w:tcPr>
          <w:p>
            <w:r>
              <w:rPr>
                <w:b/>
                <w:sz w:val="17"/>
              </w:rPr>
              <w:t>4,114</w:t>
            </w:r>
          </w:p>
        </w:tc>
        <w:tc>
          <w:tcPr>
            <w:tcW w:type="dxa" w:w="1440"/>
            <w:shd w:fill="FFDCE0" w:val="clear"/>
          </w:tcPr>
          <w:p>
            <w:r>
              <w:rPr>
                <w:sz w:val="17"/>
              </w:rPr>
              <w:t>4,702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3,224</w:t>
            </w:r>
          </w:p>
        </w:tc>
        <w:tc>
          <w:tcPr>
            <w:tcW w:type="dxa" w:w="1440"/>
            <w:shd w:fill="FFDCE0" w:val="clear"/>
          </w:tcPr>
          <w:p>
            <w:r>
              <w:rPr>
                <w:b/>
                <w:sz w:val="17"/>
              </w:rPr>
              <w:t>3,805</w:t>
            </w:r>
          </w:p>
        </w:tc>
        <w:tc>
          <w:tcPr>
            <w:tcW w:type="dxa" w:w="1440"/>
            <w:shd w:fill="FFDCE0" w:val="clear"/>
          </w:tcPr>
          <w:p>
            <w:r>
              <w:rPr>
                <w:sz w:val="17"/>
              </w:rPr>
              <w:t>4,387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2,950</w:t>
            </w:r>
          </w:p>
        </w:tc>
        <w:tc>
          <w:tcPr>
            <w:tcW w:type="dxa" w:w="1440"/>
            <w:shd w:fill="FFDCE0" w:val="clear"/>
          </w:tcPr>
          <w:p>
            <w:r>
              <w:rPr>
                <w:b/>
                <w:sz w:val="17"/>
              </w:rPr>
              <w:t>3,520</w:t>
            </w:r>
          </w:p>
        </w:tc>
        <w:tc>
          <w:tcPr>
            <w:tcW w:type="dxa" w:w="1440"/>
            <w:shd w:fill="FFDCE0" w:val="clear"/>
          </w:tcPr>
          <w:p>
            <w:r>
              <w:rPr>
                <w:sz w:val="17"/>
              </w:rPr>
              <w:t>4,090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2,700</w:t>
            </w:r>
          </w:p>
        </w:tc>
        <w:tc>
          <w:tcPr>
            <w:tcW w:type="dxa" w:w="1440"/>
            <w:shd w:fill="FFDCE0" w:val="clear"/>
          </w:tcPr>
          <w:p>
            <w:r>
              <w:rPr>
                <w:b/>
                <w:sz w:val="17"/>
              </w:rPr>
              <w:t>3,256</w:t>
            </w:r>
          </w:p>
        </w:tc>
        <w:tc>
          <w:tcPr>
            <w:tcW w:type="dxa" w:w="1440"/>
            <w:shd w:fill="FFDCE0" w:val="clear"/>
          </w:tcPr>
          <w:p>
            <w:r>
              <w:rPr>
                <w:sz w:val="17"/>
              </w:rPr>
              <w:t>3,812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CIEC affiche une capitalisation boursière de 397,60 Mds FCFA, un niveau significatif qui la place parmi les valeurs les plus importantes de la cote BRVM, reflétant sa position de monopole dans le secteur électrique ivoirien. Le BPA de 234 FCFA/action indique ce que chaque titre rapporte en bénéfice net, mais le PER de 30,3x traduit un prix payé très supérieur à la moyenne du marché BRVM (généralement 8-12x), signalant soit une forte anticipation de croissance, soit une surévaluation manifeste. Le P/B de 11,06x confirme cette prime excessive : le marché valorise la société à plus de onze fois sa valeur comptable, ce qui est très exigeant pour une entreprise de services publics régulée dont les capitaux propres ne s'élèvent qu'à 35,96 Mds FCFA. Enfin, l'EV/EBITDA de 15,8x, supérieur au seuil de 15x, montre que la valeur totale de l'entreprise (incluant la dette) est très élevée par rapport à sa capacité opérationnelle, ce qui limite la marge de sécurité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+129,03%, passant d'un plus bas de 3 000 FCFA à un plus haut de 7 400 FCFA, avant de clôturer à 7 100 FCFA, avec une dernière séance en repli de -4,05%. Cette tendance haussière exceptionnelle contraste avec la moyenne du cours (4 933 FCFA) et la médiane (5 072 FCFA), qui se situent bien en dessous du cours actuel, confirmant que la majeure partie de la hausse s'est produite récemment et que le titre évolue dans une zone de prix historiquement élevée. L'écart-type de 1 209 FCFA et le coefficient de variation de 24,5% témoignent d'une dispersion modérée à élevée du cours autour de sa moyenne, tandis que le kurtosis de -0,673 (mésokurtique) indique une distribution proche de la normale, sans pics extrêmes fréquents, et le skewness de 0,035 révèle une distribution quasi symétrique, sans biais directionnel marqué. La volatilité annualisée de 50,9% classe le titre dans la catégorie des valeurs très volatiles (seuil &gt;30%), ce qui implique un risque de perte en capital important à court terme, malgré la performance récente exceptionnelle.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6 677,75 FCFA et la MM50 à 5 799,40 FCFA, toutes deux inférieures au cours actuel de 7 100 FCFA, ce qui confirme une configuration haussière avec un cours au-dessus de ses moyennes. La MM20 étant supérieure à la MM50, on observe un croisement haussier (golden cross), justifiant la décision d'achat. Toutefois, l'écart important entre le cours et la MM20 suggère une possible extension excessive à court terme.</w:t>
      </w:r>
    </w:p>
    <w:p>
      <w:pPr>
        <w:spacing w:after="120" w:line="276" w:lineRule="auto"/>
      </w:pPr>
      <w:r>
        <w:t>**Bandes de Bollinger** : La borne supérieure se situe à 7 736,44 FCFA et la borne inférieure à 5 619,06 FCFA, avec un cours actuel de 7 100 FCFA qui se positionne dans la partie haute du canal, sans toutefois atteindre la borne supérieure. Cette position indique une pression acheteuse modérée mais un risque de retournement à la baisse si le cours ne parvient pas à franchir la borne supérieure. La décision est neutre, car le cours n'est ni en surachat extrême ni en survente.</w:t>
      </w:r>
    </w:p>
    <w:p>
      <w:pPr>
        <w:spacing w:after="120" w:line="276" w:lineRule="auto"/>
      </w:pPr>
      <w:r>
        <w:t>**MACD** : La valeur du MACD (415,034) est supérieure à son signal (397,251), générant un histogramme positif qui confirme un momentum haussier. La divergence positive entre le MACD et son signal justifie la décision d'achat, bien que l'écart reste modéré, ce qui suggère une dynamique haussière qui s'essouffle progressivement.</w:t>
      </w:r>
    </w:p>
    <w:p>
      <w:pPr>
        <w:spacing w:after="120" w:line="276" w:lineRule="auto"/>
      </w:pPr>
      <w:r>
        <w:t>**RSI** : À 47,826, le RSI se situe dans la zone neutre (30-70), sans signal de surachat ni de survente. Cette valeur indique que le titre n'est pas encore en territoire de surachat malgré la hausse récente, ce qui laisse une marge de progression potentielle, mais la décision reste neutre car aucun signal directionnel fort n'est émis.</w:t>
      </w:r>
    </w:p>
    <w:p>
      <w:pPr>
        <w:spacing w:after="120" w:line="276" w:lineRule="auto"/>
      </w:pPr>
      <w:r>
        <w:t>**Stochastique** : Le %K (66,667) est inférieur au %D (88,889), ce qui génère un croisement baissier (le %K passe sous le %D), signalant un ralentissement de la dynamique haussière à court terme. La décision est neutre, mais ce croisement baissier constitue un avertissement sur un possible essoufflement de la tendance.</w:t>
      </w:r>
    </w:p>
    <w:p>
      <w:pPr>
        <w:spacing w:after="120" w:line="276" w:lineRule="auto"/>
      </w:pPr>
      <w:r>
        <w:t>**Conclusion technique** : Les indicateurs techniques sont globalement haussiers (MM, MACD) mais montrent des signes de fatigue (Stochastique baissier, RSI neutre, Bandes de Bollinger en zone haute). La convergence des signaux positifs (MM20 &gt; MM50, MACD &gt; Signal) est tempérée par des signaux de prudence (croisement baissier du stochastique, cours proche de la borne supérieure). Le titre se trouve dans une phase de consolidation potentielle après une hausse verticale, et une correction technique ne peut être exclue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la CIEC a réalisé un chiffre d'affaires de 302,32 Mds FCFA, en croissance de +14,82% par rapport à 2024 (263,29 Mds FCFA), portée par une hausse des ventes d'énergie (+8,3% en volume) et une expansion du nombre de clients (+15,1% à 5 282 283 clients). Le résultat net s'établit à 13,127 Mds FCFA, en progression de +24,4% (contre 10,526 Mds FCFA en 2024), avec une marge nette de 4,34% et un ROE exceptionnel de 36,50%, bien supérieur au seuil de 15% considéré comme excellent. Toutefois, le ROA n'est que de 0,65%, reflétant la faible rotation des actifs (14,98%) typique d'une entreprise de services publics à forte intensité capitalistique. La structure financière est très déséquilibrée : l'autonomie financière n'est que de 1,78% (capitaux propres/total bilan), le ratio d'endettement atteint 612,94% et la dépendance financière est de 98,22%, ce qui expose la société à un risque de solvabilité en cas de choc économique. Le BFR est négatif (-90,24 Mds FCFA), ce qui est favorable car les dettes fournisseurs (278,11 Mds FCFA, délai de 970 jours) financent largement les créances clients (137,73 Mds FCFA, délai de 164 jours) et les stocks (50,13 Mds FCFA, durée de 175 jours). La trésorerie nette est positive à 32,19 Mds FCFA, et la couverture des intérêts est excellente (617,75%), mais la capacité de remboursement de 7,64 années reste élevée. Les rapports antérieurs (S1 2025, daté du 30/06/2025) confirment la tendance : le CA semestriel a progressé de +18,85% à 134,92 Mds FCFA et le résultat net de +13,37% à 5,096 Mds FCFA, avec une marge nette de 3,8%. Sur la base de ces performances, on estime que l'exercice 2026 devrait maintenir une croissance à deux chiffres du CA, portée par le programme PEPT et la demande régionale, mais la pression sur les marges (charges financières et fiscales en hausse) et le niveau d'endettement extrême constituent des risques majeurs. La recommandation fondamentale est de **CONSERVER** le titre pour son rendement (dividende de 234 FCFA/action, soit un rendement de 3,3% au cours actuel) et sa croissance, mais la valorisation boursière exigeante et la structure financière fragile limitent le potentiel d'appréciation à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CIEC apparaît nettement surévaluée avec un PER de 30,3x (contre une moyenne BRVM de 8-12x), un P/B de 11,06x et un EV/EBITDA de 15,8x, ce qui intègre déjà une forte anticipation de croissance et ne laisse que peu de marge de sécurité. Le comportement du cours sur 100 jours est exceptionnellement haussier (+129,03%) mais accompagné d'une volatilité très élevée (50,9%) et d'une distribution symétrique sans pics extrêmes (kurtosis -0,673, skewness 0,035), ce qui suggère que la hausse récente pourrait être suivie d'une correction. Les signaux techniques sont mitigés : les moyennes mobiles et le MACD sont haussiers, mais le stochastique génère un croisement baissier et le RSI est neutre, indiquant un essoufflement de la dynamique. Les fondamentaux sont solides en termes de croissance (CA +14,8%, résultat net +24,4% en 2025) et de rentabilité (ROE 36,5%), mais la structure financière est très risquée (autonomie financière de 1,78%, endettement de 612,94%) et la valorisation boursière est excessive. Les prédictions IA pour les 10 prochains jours (6568 → 4808 FCFA) anticipent une correction baissière de -32% depuis le cours actuel, ce qui contredit les signaux techniques haussiers à court terme mais confirme les risques de surévaluation et de volatilité. Sur la base de cette synthèse, la recommandation finale est **CONSERVER** avec un niveau de confiance **Moyen** et un risque global **Élevé**. L'horizon d'investissement optimal est le **moyen terme (3-12 mois)** pour bénéficier du dividende et de la croissance, mais une correction à court terme est probable, et les investisseurs devraient surveiller l'évolution de la trésorerie et des conditions de la concession avant d'envisager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924.85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4,005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+6.94%</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2.75% (Faible) — μ=16,438 FCFA, σ=451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β=0.3982 (Défensif) — Cov=0.000014, Var(idx)=0.000035,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2026-09-11</w:t>
            </w:r>
          </w:p>
        </w:tc>
        <w:tc>
          <w:tcPr>
            <w:tcW w:type="dxa" w:w="1440"/>
            <w:shd w:fill="C6EFCE" w:val="clear"/>
          </w:tcPr>
          <w:p>
            <w:r>
              <w:rPr>
                <w:sz w:val="17"/>
              </w:rPr>
              <w:t>16,708</w:t>
            </w:r>
          </w:p>
        </w:tc>
        <w:tc>
          <w:tcPr>
            <w:tcW w:type="dxa" w:w="1440"/>
            <w:shd w:fill="C6EFCE" w:val="clear"/>
          </w:tcPr>
          <w:p>
            <w:r>
              <w:rPr>
                <w:b/>
                <w:sz w:val="17"/>
              </w:rPr>
              <w:t>17,211</w:t>
            </w:r>
          </w:p>
        </w:tc>
        <w:tc>
          <w:tcPr>
            <w:tcW w:type="dxa" w:w="1440"/>
            <w:shd w:fill="C6EFCE" w:val="clear"/>
          </w:tcPr>
          <w:p>
            <w:r>
              <w:rPr>
                <w:sz w:val="17"/>
              </w:rPr>
              <w:t>17,713</w:t>
            </w:r>
          </w:p>
        </w:tc>
        <w:tc>
          <w:tcPr>
            <w:tcW w:type="dxa" w:w="1440"/>
            <w:shd w:fill="C6EFCE" w:val="clear"/>
          </w:tcPr>
          <w:p>
            <w:r>
              <w:rPr>
                <w:b/>
                <w:color w:val="008000"/>
                <w:sz w:val="17"/>
              </w:rPr>
              <w:t>+2.4%</w:t>
            </w:r>
          </w:p>
        </w:tc>
      </w:tr>
      <w:tr>
        <w:tc>
          <w:tcPr>
            <w:tcW w:type="dxa" w:w="1440"/>
            <w:shd w:fill="C6EFCE" w:val="clear"/>
          </w:tcPr>
          <w:p>
            <w:r>
              <w:rPr>
                <w:sz w:val="17"/>
              </w:rPr>
              <w:t>J+2  ⭐⭐⭐</w:t>
            </w:r>
          </w:p>
        </w:tc>
        <w:tc>
          <w:tcPr>
            <w:tcW w:type="dxa" w:w="1440"/>
            <w:shd w:fill="C6EFCE" w:val="clear"/>
          </w:tcPr>
          <w:p>
            <w:r>
              <w:rPr>
                <w:sz w:val="17"/>
              </w:rPr>
              <w:t>2026-09-14</w:t>
            </w:r>
          </w:p>
        </w:tc>
        <w:tc>
          <w:tcPr>
            <w:tcW w:type="dxa" w:w="1440"/>
            <w:shd w:fill="C6EFCE" w:val="clear"/>
          </w:tcPr>
          <w:p>
            <w:r>
              <w:rPr>
                <w:sz w:val="17"/>
              </w:rPr>
              <w:t>16,446</w:t>
            </w:r>
          </w:p>
        </w:tc>
        <w:tc>
          <w:tcPr>
            <w:tcW w:type="dxa" w:w="1440"/>
            <w:shd w:fill="C6EFCE" w:val="clear"/>
          </w:tcPr>
          <w:p>
            <w:r>
              <w:rPr>
                <w:b/>
                <w:sz w:val="17"/>
              </w:rPr>
              <w:t>17,155</w:t>
            </w:r>
          </w:p>
        </w:tc>
        <w:tc>
          <w:tcPr>
            <w:tcW w:type="dxa" w:w="1440"/>
            <w:shd w:fill="C6EFCE" w:val="clear"/>
          </w:tcPr>
          <w:p>
            <w:r>
              <w:rPr>
                <w:sz w:val="17"/>
              </w:rPr>
              <w:t>17,864</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2026-09-15</w:t>
            </w:r>
          </w:p>
        </w:tc>
        <w:tc>
          <w:tcPr>
            <w:tcW w:type="dxa" w:w="1440"/>
            <w:shd w:fill="C6EFCE" w:val="clear"/>
          </w:tcPr>
          <w:p>
            <w:r>
              <w:rPr>
                <w:sz w:val="17"/>
              </w:rPr>
              <w:t>16,270</w:t>
            </w:r>
          </w:p>
        </w:tc>
        <w:tc>
          <w:tcPr>
            <w:tcW w:type="dxa" w:w="1440"/>
            <w:shd w:fill="C6EFCE" w:val="clear"/>
          </w:tcPr>
          <w:p>
            <w:r>
              <w:rPr>
                <w:b/>
                <w:sz w:val="17"/>
              </w:rPr>
              <w:t>17,137</w:t>
            </w:r>
          </w:p>
        </w:tc>
        <w:tc>
          <w:tcPr>
            <w:tcW w:type="dxa" w:w="1440"/>
            <w:shd w:fill="C6EFCE" w:val="clear"/>
          </w:tcPr>
          <w:p>
            <w:r>
              <w:rPr>
                <w:sz w:val="17"/>
              </w:rPr>
              <w:t>18,004</w:t>
            </w:r>
          </w:p>
        </w:tc>
        <w:tc>
          <w:tcPr>
            <w:tcW w:type="dxa" w:w="1440"/>
            <w:shd w:fill="C6EFCE" w:val="clear"/>
          </w:tcPr>
          <w:p>
            <w:r>
              <w:rPr>
                <w:b/>
                <w:color w:val="008000"/>
                <w:sz w:val="17"/>
              </w:rPr>
              <w:t>+2.0%</w:t>
            </w:r>
          </w:p>
        </w:tc>
      </w:tr>
      <w:tr>
        <w:tc>
          <w:tcPr>
            <w:tcW w:type="dxa" w:w="1440"/>
            <w:shd w:fill="FAFAFA" w:val="clear"/>
          </w:tcPr>
          <w:p>
            <w:r>
              <w:rPr>
                <w:sz w:val="17"/>
              </w:rPr>
              <w:t>J+4  Moyenne</w:t>
            </w:r>
          </w:p>
        </w:tc>
        <w:tc>
          <w:tcPr>
            <w:tcW w:type="dxa" w:w="1440"/>
            <w:shd w:fill="FAFAFA" w:val="clear"/>
          </w:tcPr>
          <w:p>
            <w:r>
              <w:rPr>
                <w:sz w:val="17"/>
              </w:rPr>
              <w:t>2026-09-16</w:t>
            </w:r>
          </w:p>
        </w:tc>
        <w:tc>
          <w:tcPr>
            <w:tcW w:type="dxa" w:w="1440"/>
            <w:shd w:fill="FAFAFA" w:val="clear"/>
          </w:tcPr>
          <w:p>
            <w:r>
              <w:rPr>
                <w:sz w:val="17"/>
              </w:rPr>
              <w:t>16,118</w:t>
            </w:r>
          </w:p>
        </w:tc>
        <w:tc>
          <w:tcPr>
            <w:tcW w:type="dxa" w:w="1440"/>
            <w:shd w:fill="FAFAFA" w:val="clear"/>
          </w:tcPr>
          <w:p>
            <w:r>
              <w:rPr>
                <w:b/>
                <w:sz w:val="17"/>
              </w:rPr>
              <w:t>17,118</w:t>
            </w:r>
          </w:p>
        </w:tc>
        <w:tc>
          <w:tcPr>
            <w:tcW w:type="dxa" w:w="1440"/>
            <w:shd w:fill="FAFAFA" w:val="clear"/>
          </w:tcPr>
          <w:p>
            <w:r>
              <w:rPr>
                <w:sz w:val="17"/>
              </w:rPr>
              <w:t>18,118</w:t>
            </w:r>
          </w:p>
        </w:tc>
        <w:tc>
          <w:tcPr>
            <w:tcW w:type="dxa" w:w="1440"/>
            <w:shd w:fill="FAFAFA" w:val="clear"/>
          </w:tcPr>
          <w:p>
            <w:r>
              <w:rPr>
                <w:b/>
                <w:color w:val="008000"/>
                <w:sz w:val="17"/>
              </w:rPr>
              <w:t>+1.9%</w:t>
            </w:r>
          </w:p>
        </w:tc>
      </w:tr>
      <w:tr>
        <w:tc>
          <w:tcPr>
            <w:tcW w:type="dxa" w:w="1440"/>
            <w:shd w:fill="FAFAFA" w:val="clear"/>
          </w:tcPr>
          <w:p>
            <w:r>
              <w:rPr>
                <w:sz w:val="17"/>
              </w:rPr>
              <w:t>J+5  Moyenne</w:t>
            </w:r>
          </w:p>
        </w:tc>
        <w:tc>
          <w:tcPr>
            <w:tcW w:type="dxa" w:w="1440"/>
            <w:shd w:fill="FAFAFA" w:val="clear"/>
          </w:tcPr>
          <w:p>
            <w:r>
              <w:rPr>
                <w:sz w:val="17"/>
              </w:rPr>
              <w:t>2026-09-17</w:t>
            </w:r>
          </w:p>
        </w:tc>
        <w:tc>
          <w:tcPr>
            <w:tcW w:type="dxa" w:w="1440"/>
            <w:shd w:fill="FAFAFA" w:val="clear"/>
          </w:tcPr>
          <w:p>
            <w:r>
              <w:rPr>
                <w:sz w:val="17"/>
              </w:rPr>
              <w:t>15,980</w:t>
            </w:r>
          </w:p>
        </w:tc>
        <w:tc>
          <w:tcPr>
            <w:tcW w:type="dxa" w:w="1440"/>
            <w:shd w:fill="FAFAFA" w:val="clear"/>
          </w:tcPr>
          <w:p>
            <w:r>
              <w:rPr>
                <w:b/>
                <w:sz w:val="17"/>
              </w:rPr>
              <w:t>17,097</w:t>
            </w:r>
          </w:p>
        </w:tc>
        <w:tc>
          <w:tcPr>
            <w:tcW w:type="dxa" w:w="1440"/>
            <w:shd w:fill="FAFAFA" w:val="clear"/>
          </w:tcPr>
          <w:p>
            <w:r>
              <w:rPr>
                <w:sz w:val="17"/>
              </w:rPr>
              <w:t>18,213</w:t>
            </w:r>
          </w:p>
        </w:tc>
        <w:tc>
          <w:tcPr>
            <w:tcW w:type="dxa" w:w="1440"/>
            <w:shd w:fill="FAFAFA" w:val="clear"/>
          </w:tcPr>
          <w:p>
            <w:r>
              <w:rPr>
                <w:b/>
                <w:color w:val="008000"/>
                <w:sz w:val="17"/>
              </w:rPr>
              <w:t>+1.8%</w:t>
            </w:r>
          </w:p>
        </w:tc>
      </w:tr>
      <w:tr>
        <w:tc>
          <w:tcPr>
            <w:tcW w:type="dxa" w:w="1440"/>
            <w:shd w:fill="FAFAFA" w:val="clear"/>
          </w:tcPr>
          <w:p>
            <w:r>
              <w:rPr>
                <w:sz w:val="17"/>
              </w:rPr>
              <w:t>J+6  Moyenne</w:t>
            </w:r>
          </w:p>
        </w:tc>
        <w:tc>
          <w:tcPr>
            <w:tcW w:type="dxa" w:w="1440"/>
            <w:shd w:fill="FAFAFA" w:val="clear"/>
          </w:tcPr>
          <w:p>
            <w:r>
              <w:rPr>
                <w:sz w:val="17"/>
              </w:rPr>
              <w:t>2026-09-18</w:t>
            </w:r>
          </w:p>
        </w:tc>
        <w:tc>
          <w:tcPr>
            <w:tcW w:type="dxa" w:w="1440"/>
            <w:shd w:fill="FAFAFA" w:val="clear"/>
          </w:tcPr>
          <w:p>
            <w:r>
              <w:rPr>
                <w:sz w:val="17"/>
              </w:rPr>
              <w:t>15,853</w:t>
            </w:r>
          </w:p>
        </w:tc>
        <w:tc>
          <w:tcPr>
            <w:tcW w:type="dxa" w:w="1440"/>
            <w:shd w:fill="FAFAFA" w:val="clear"/>
          </w:tcPr>
          <w:p>
            <w:r>
              <w:rPr>
                <w:b/>
                <w:sz w:val="17"/>
              </w:rPr>
              <w:t>17,074</w:t>
            </w:r>
          </w:p>
        </w:tc>
        <w:tc>
          <w:tcPr>
            <w:tcW w:type="dxa" w:w="1440"/>
            <w:shd w:fill="FAFAFA" w:val="clear"/>
          </w:tcPr>
          <w:p>
            <w:r>
              <w:rPr>
                <w:sz w:val="17"/>
              </w:rPr>
              <w:t>18,296</w:t>
            </w:r>
          </w:p>
        </w:tc>
        <w:tc>
          <w:tcPr>
            <w:tcW w:type="dxa" w:w="1440"/>
            <w:shd w:fill="FAFAFA" w:val="clear"/>
          </w:tcPr>
          <w:p>
            <w:r>
              <w:rPr>
                <w:b/>
                <w:color w:val="008000"/>
                <w:sz w:val="17"/>
              </w:rPr>
              <w:t>+1.6%</w:t>
            </w:r>
          </w:p>
        </w:tc>
      </w:tr>
      <w:tr>
        <w:tc>
          <w:tcPr>
            <w:tcW w:type="dxa" w:w="1440"/>
            <w:shd w:fill="FAFAFA" w:val="clear"/>
          </w:tcPr>
          <w:p>
            <w:r>
              <w:rPr>
                <w:sz w:val="17"/>
              </w:rPr>
              <w:t>J+7  Moyenne</w:t>
            </w:r>
          </w:p>
        </w:tc>
        <w:tc>
          <w:tcPr>
            <w:tcW w:type="dxa" w:w="1440"/>
            <w:shd w:fill="FAFAFA" w:val="clear"/>
          </w:tcPr>
          <w:p>
            <w:r>
              <w:rPr>
                <w:sz w:val="17"/>
              </w:rPr>
              <w:t>2026-09-21</w:t>
            </w:r>
          </w:p>
        </w:tc>
        <w:tc>
          <w:tcPr>
            <w:tcW w:type="dxa" w:w="1440"/>
            <w:shd w:fill="FAFAFA" w:val="clear"/>
          </w:tcPr>
          <w:p>
            <w:r>
              <w:rPr>
                <w:sz w:val="17"/>
              </w:rPr>
              <w:t>15,734</w:t>
            </w:r>
          </w:p>
        </w:tc>
        <w:tc>
          <w:tcPr>
            <w:tcW w:type="dxa" w:w="1440"/>
            <w:shd w:fill="FAFAFA" w:val="clear"/>
          </w:tcPr>
          <w:p>
            <w:r>
              <w:rPr>
                <w:b/>
                <w:sz w:val="17"/>
              </w:rPr>
              <w:t>17,051</w:t>
            </w:r>
          </w:p>
        </w:tc>
        <w:tc>
          <w:tcPr>
            <w:tcW w:type="dxa" w:w="1440"/>
            <w:shd w:fill="FAFAFA" w:val="clear"/>
          </w:tcPr>
          <w:p>
            <w:r>
              <w:rPr>
                <w:sz w:val="17"/>
              </w:rPr>
              <w:t>18,369</w:t>
            </w:r>
          </w:p>
        </w:tc>
        <w:tc>
          <w:tcPr>
            <w:tcW w:type="dxa" w:w="1440"/>
            <w:shd w:fill="FAFAFA" w:val="clear"/>
          </w:tcPr>
          <w:p>
            <w:r>
              <w:rPr>
                <w:b/>
                <w:color w:val="008000"/>
                <w:sz w:val="17"/>
              </w:rPr>
              <w:t>+1.5%</w:t>
            </w:r>
          </w:p>
        </w:tc>
      </w:tr>
      <w:tr>
        <w:tc>
          <w:tcPr>
            <w:tcW w:type="dxa" w:w="1440"/>
            <w:shd w:fill="FAFAFA" w:val="clear"/>
          </w:tcPr>
          <w:p>
            <w:r>
              <w:rPr>
                <w:sz w:val="17"/>
              </w:rPr>
              <w:t>J+8  Moyenne</w:t>
            </w:r>
          </w:p>
        </w:tc>
        <w:tc>
          <w:tcPr>
            <w:tcW w:type="dxa" w:w="1440"/>
            <w:shd w:fill="FAFAFA" w:val="clear"/>
          </w:tcPr>
          <w:p>
            <w:r>
              <w:rPr>
                <w:sz w:val="17"/>
              </w:rPr>
              <w:t>2026-09-22</w:t>
            </w:r>
          </w:p>
        </w:tc>
        <w:tc>
          <w:tcPr>
            <w:tcW w:type="dxa" w:w="1440"/>
            <w:shd w:fill="FAFAFA" w:val="clear"/>
          </w:tcPr>
          <w:p>
            <w:r>
              <w:rPr>
                <w:sz w:val="17"/>
              </w:rPr>
              <w:t>15,622</w:t>
            </w:r>
          </w:p>
        </w:tc>
        <w:tc>
          <w:tcPr>
            <w:tcW w:type="dxa" w:w="1440"/>
            <w:shd w:fill="FAFAFA" w:val="clear"/>
          </w:tcPr>
          <w:p>
            <w:r>
              <w:rPr>
                <w:b/>
                <w:sz w:val="17"/>
              </w:rPr>
              <w:t>17,029</w:t>
            </w:r>
          </w:p>
        </w:tc>
        <w:tc>
          <w:tcPr>
            <w:tcW w:type="dxa" w:w="1440"/>
            <w:shd w:fill="FAFAFA" w:val="clear"/>
          </w:tcPr>
          <w:p>
            <w:r>
              <w:rPr>
                <w:sz w:val="17"/>
              </w:rPr>
              <w:t>18,436</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2026-09-23</w:t>
            </w:r>
          </w:p>
        </w:tc>
        <w:tc>
          <w:tcPr>
            <w:tcW w:type="dxa" w:w="1440"/>
            <w:shd w:fill="FAFAFA" w:val="clear"/>
          </w:tcPr>
          <w:p>
            <w:r>
              <w:rPr>
                <w:sz w:val="17"/>
              </w:rPr>
              <w:t>15,516</w:t>
            </w:r>
          </w:p>
        </w:tc>
        <w:tc>
          <w:tcPr>
            <w:tcW w:type="dxa" w:w="1440"/>
            <w:shd w:fill="FAFAFA" w:val="clear"/>
          </w:tcPr>
          <w:p>
            <w:r>
              <w:rPr>
                <w:b/>
                <w:sz w:val="17"/>
              </w:rPr>
              <w:t>17,007</w:t>
            </w:r>
          </w:p>
        </w:tc>
        <w:tc>
          <w:tcPr>
            <w:tcW w:type="dxa" w:w="1440"/>
            <w:shd w:fill="FAFAFA" w:val="clear"/>
          </w:tcPr>
          <w:p>
            <w:r>
              <w:rPr>
                <w:sz w:val="17"/>
              </w:rPr>
              <w:t>18,497</w:t>
            </w:r>
          </w:p>
        </w:tc>
        <w:tc>
          <w:tcPr>
            <w:tcW w:type="dxa" w:w="1440"/>
            <w:shd w:fill="FAFAFA" w:val="clear"/>
          </w:tcPr>
          <w:p>
            <w:r>
              <w:rPr>
                <w:b/>
                <w:color w:val="008000"/>
                <w:sz w:val="17"/>
              </w:rPr>
              <w:t>+1.2%</w:t>
            </w:r>
          </w:p>
        </w:tc>
      </w:tr>
      <w:tr>
        <w:tc>
          <w:tcPr>
            <w:tcW w:type="dxa" w:w="1440"/>
            <w:shd w:fill="FAFAFA" w:val="clear"/>
          </w:tcPr>
          <w:p>
            <w:r>
              <w:rPr>
                <w:sz w:val="17"/>
              </w:rPr>
              <w:t>J+10  Moyenne</w:t>
            </w:r>
          </w:p>
        </w:tc>
        <w:tc>
          <w:tcPr>
            <w:tcW w:type="dxa" w:w="1440"/>
            <w:shd w:fill="FAFAFA" w:val="clear"/>
          </w:tcPr>
          <w:p>
            <w:r>
              <w:rPr>
                <w:sz w:val="17"/>
              </w:rPr>
              <w:t>2026-09-24</w:t>
            </w:r>
          </w:p>
        </w:tc>
        <w:tc>
          <w:tcPr>
            <w:tcW w:type="dxa" w:w="1440"/>
            <w:shd w:fill="FAFAFA" w:val="clear"/>
          </w:tcPr>
          <w:p>
            <w:r>
              <w:rPr>
                <w:sz w:val="17"/>
              </w:rPr>
              <w:t>15,416</w:t>
            </w:r>
          </w:p>
        </w:tc>
        <w:tc>
          <w:tcPr>
            <w:tcW w:type="dxa" w:w="1440"/>
            <w:shd w:fill="FAFAFA" w:val="clear"/>
          </w:tcPr>
          <w:p>
            <w:r>
              <w:rPr>
                <w:b/>
                <w:sz w:val="17"/>
              </w:rPr>
              <w:t>16,985</w:t>
            </w:r>
          </w:p>
        </w:tc>
        <w:tc>
          <w:tcPr>
            <w:tcW w:type="dxa" w:w="1440"/>
            <w:shd w:fill="FAFAFA" w:val="clear"/>
          </w:tcPr>
          <w:p>
            <w:r>
              <w:rPr>
                <w:sz w:val="17"/>
              </w:rPr>
              <w:t>18,553</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ACTION ECOC (ECOBANK CÔTE D'IVOIRE)**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924,85 milliards FCFA, ECOC s'impose comme l'une des plus importantes capitalisations de la BRVM, ce qui en fait un titre de premier plan pour les investisseurs institutionnels de la zone UEMOA. Le BPA de 1 153 FCFA/action signifie que chaque titre génère un bénéfice net de plus de mille francs, un niveau élevé qui traduit la forte rentabilité de la banque. Le PER de 14,6x se situe au-dessus de la moyenne du marché BRVM (généralement comprise entre 8 et 12x), ce qui indique que les investisseurs acceptent de payer une prime pour la qualité de la signature ECOC, sans pour autant que la valorisation apparaisse déraisonnable au regard de la croissance des bénéfices. Le P/B de 4,23x est en revanche nettement supérieur au seuil de 4x, signalant une valorisation exigeante par rapport à la valeur comptable des fonds propres (218,573 milliards FCFA), ce qui se justifie par un ROE exceptionnel de 29,04%. Enfin, l'EV/EBITDA de 14,2x, dans la fourchette haute (10-15x), confirme que le marché valorise pleinement la capacité bénéficiaire opérationnelle de la banque, ce qui laisse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progression totale de +6,94%, malgré une correction marquée de -5,06% lors de la dernière séance (J-1), qui ramène le cours à 16 800 FCFA. Le range de trading s'établit entre un plus bas de 15 520 FCFA et un plus haut de 17 725 FCFA, soit une amplitude d'environ 14%, ce qui témoigne d'une tendance générale haussière mais avec des phases de consolidation. La moyenne du cours sur la période (16 438 FCFA) est légèrement supérieure à la médiane (16 300 FCFA), elle-même égale au mode, ce qui indique une distribution globalement équilibrée mais avec une asymétrie positive (skewness de 0,706) : cela signifie que les journées de baisse sous la moyenne ont été plus fréquentes, mais compensées par des pics haussiers plus amples. L'écart-type de 454 FCFA, associé à un coefficient de variation de seulement 2,8%, révèle une dispersion très faible du cours autour de sa moyenne, signe d'une relative stabilité. Le kurtosis de 0,345 (mésokurtique) indique une distribution proche de la normale, sans risque excessif de pics extrêmes, ce qui est rassurant pour la gestion du risque. Avec une volatilité annualisée de 28,9%, le titre se situe dans la fourchette modérée (15-30%), ce qui est cohérent avec un profil de valeur bancaire de qualité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(16 884,5 FCFA) et la MM50 (16 509,8 FCFA) se situent toutes deux au-dessus du cours actuel (16 800 FCFA), mais la MM20 reste supérieure à la MM50, ce qui maintient une configuration haussière de fond. Le cours évoluant légèrement sous la MM20 mais au-dessus de la MM50, la décision technique est à l'**Achat**, suggérant que la correction actuelle pourrait offrir un point d'entrée.</w:t>
      </w:r>
    </w:p>
    <w:p>
      <w:pPr>
        <w:spacing w:after="120" w:line="276" w:lineRule="auto"/>
      </w:pPr>
      <w:r>
        <w:t>**Bandes de Bollinger** : Le cours (16 800 FCFA) se situe à l'intérieur des bandes, entre la borne inférieure (15 828,67 FCFA) et la borne supérieure (17 940,33 FCFA), sans les toucher. Cette position médiane, couplée à un rétrécissement apparent de la volatilité, justifie une décision **Neutre** : le titre n'est ni en surachat ni en survente, et une cassure de l'une des bornes serait nécessaire pour confirmer une direction.</w:t>
      </w:r>
    </w:p>
    <w:p>
      <w:pPr>
        <w:spacing w:after="120" w:line="276" w:lineRule="auto"/>
      </w:pPr>
      <w:r>
        <w:t>**MACD** : La ligne MACD (281,6) est supérieure à sa ligne de signal (253,065), avec un histogramme positif, ce qui indique un momentum haussier toujours en place malgré la correction récente. La décision est donc à l'**Achat**, la divergence positive suggérant que la dynamique de fond reste favorable.</w:t>
      </w:r>
    </w:p>
    <w:p>
      <w:pPr>
        <w:spacing w:after="120" w:line="276" w:lineRule="auto"/>
      </w:pPr>
      <w:r>
        <w:t>**RSI** : À 49,15, le RSI se situe exactement dans la zone neutre (30-70), ni en surachat ni en survente. Cette valeur médiane reflète l'équilibre actuel entre acheteurs et vendeurs, justifiant une décision **Neutre** et l'absence de signal directionnel fort à court terme.</w:t>
      </w:r>
    </w:p>
    <w:p>
      <w:pPr>
        <w:spacing w:after="120" w:line="276" w:lineRule="auto"/>
      </w:pPr>
      <w:r>
        <w:t>**Stochastique** : Le %K (23,868) est nettement inférieur au %D (67,677), ce qui constitue un croisement baissier récent et place le %K en zone de survente potentielle. Cette configuration divergente par rapport au MACD justifie une décision **Neutre** : le titre pourrait connaître un rebond technique à court terme, mais la prudence reste de mise.</w:t>
      </w:r>
    </w:p>
    <w:p>
      <w:pPr>
        <w:spacing w:after="120" w:line="276" w:lineRule="auto"/>
      </w:pPr>
      <w:r>
        <w:t>**Conclusion technique** : Les indicateurs sont majoritairement neutres (Bollinger, RSI, Stochastique) avec deux signaux d'achat (MM et MACD) et un signal baissier à court terme (Stochastique). Cette configuration mitigée suggère que le titre se trouve dans une phase de consolidation après sa progression de +6,94%, avec un support technique solide autour de la MM50 (16 509 FCFA) et une résistance à 17 725 FCFA. La tendance de fond reste haussière, mais un déclenchement nécessiterait une cassure au-dessus de la MM20 ou un rebond confirmé du Stochastique.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ECOC affiche des états financiers solides avec un Produit Net Bancaire (PNB) de 132,725 milliards FCFA, un résultat net de 63,482 milliards FCFA, un ROE de 29,04% et un ROA de 3,09%. Le coefficient d'exploitation de 42,89% est excellent (largement inférieur au seuil de 60%), confirmant une grande efficacité opérationnelle, tandis que le coût du risque rapporté aux charges financières s'établit à seulement 1,36%, témoignant d'un portefeuille de crédits de bonne qualité. La structure bilancielle est dominée par les dépôts clientèle (1 626,223 milliards FCFA) face à des créances clientèle de 1 050,803 milliards FCFA, soit un ratio de transformation (crédits/dépôts) de 64,6%, ce qui indique une gestion prudente et liquide. Le portefeuille de titres d'État (625,317 milliards FCFA) et la caisse (82,987 milliards FCFA) renforcent cette liquidité. Les rapports trimestriels de 2025 confirment cette dynamique : le T3 2025 (rapport du 30/09/2025) affiche un PNB de 96,4 milliards FCFA (+11,3% sur un an) et un résultat net de 44,4 milliards FCFA (+15,4%), avec un ROE de 29,7% et un coefficient d'exploitation de 44,7%. Le S1 2025 (rapport du 30/06/2025) montrait déjà un PNB de 62,8 milliards FCFA (+6,9%) et un résultat net de 28,9 milliards FCFA (+13,8%), avec un ratio de solvabilité de 19,3%, très au-dessus de l'exigence réglementaire de 11,5%. Sur la base du rapport T1 2026 (PNB +3,7% à 30,8 milliards FCFA, résultat net en léger recul de -1,6% à 13,0 milliards FCFA), on estime que l'exercice 2026 devrait maintenir une croissance modérée du PNB, mais le résultat net pourrait être sous pression en raison de la hausse du coût du risque et de la baisse des produits hors intérêts (-17,2%). La politique de dividende est attractive : un dividende brut de 888 FCFA par action a été proposé pour 2025 (contre 804 FCFA en 2024), soit un rendement de 5,29% au cours actuel de 16 800 FCFA, avec un taux de distribution de 77% du résultat net. Les risques identifiés incluent la concentration géographique sur la Côte d'Ivoire, la pression concurrentielle des fintechs et la dégradation potentielle du coût du risque dans un environnement macroéconomique incertain. Néanmoins, la solidité des fonds propres (218,573 milliards FCFA), la qualité du portefeuille (taux de créances en souffrance de 3,9% au T1 2026) et la forte collecte de dépôts (+12% à 1 709 milliards FCFA au T1 2026) confirment la robustesse fondamentale de la banque.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d'ECOC apparaît exigeante mais justifiée : le PER de 14,6x et le P/B de 4,23x traduisent une prime de qualité, tandis que l'EV/EBITDA de 14,2x laisse peu de marge d'erreur. Le comportement du cours sur 100 jours est favorable (+6,94%), avec une volatilité modérée (28,9%) et une distribution proche de la normale (kurtosis 0,345), malgré une asymétrie positive (skewness 0,706) qui indique des baisses plus fréquentes mais compensées par des hausses plus amples. Les signaux techniques sont mitigés : deux signaux d'achat (MM et MACD) contre trois signaux neutres (Bollinger, RSI, Stochastique), ce qui suggère une phase de consolidation avant une reprise potentielle. Les fondamentaux sont solides : ROE de 29,04%, coefficient d'exploitation de 42,89%, coût du risque maîtrisé (1,36%) et dividende attractif (888 FCFA, soit 5,29% de rendement). Les prédictions IA pour les 10 prochains jours (17 211 FCFA à J+1, puis 17 097 FCFA à J+10) tablent sur une légère appréciation de +2,4% à court terme, ce qui confirme la tendance haussière de fond mais contredit le signal baissier du Stochastique à très court terme. Compte tenu de la convergence entre des fondamentaux solides, une valorisation exigeante mais justifiée, des signaux techniques mitigés et des prédictions légèrement haussières, la recommandation finale est **CONSERVER** avec un niveau de confiance **Moyen** et un risque global **Moyen**. L'horizon d'investissement optimal est le **moyen terme (3-12 mois)**, en attendant une confirmation de la reprise technique (cassure de la MM20 à 16 884 FCFA) et une clarification des perspectives bénéficiaires pour 2026, notamment sur l'évolution du coût du risque et des produits hors intérêts. Les investisseurs à la recherche de rendement apprécieront le dividende de 888 FCFA, tandis que les plus prudents attendront un repli vers la MM50 (16 509 FCFA) pour renforcer leurs positions.</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1,505,351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+150.00%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37.29% (Élevée) — μ=48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β=2.4354 (Très agressif) — Cov=0.000085, Var(idx)=0.000035, ρ=0.360,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1,505,351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σ_j=3.97%/j (Modérée) — Vol. annualisée≈63.0%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61</w:t>
            </w:r>
          </w:p>
        </w:tc>
        <w:tc>
          <w:tcPr>
            <w:tcW w:type="dxa" w:w="1440"/>
            <w:shd w:fill="FFDCE0" w:val="clear"/>
          </w:tcPr>
          <w:p>
            <w:r>
              <w:rPr>
                <w:b/>
                <w:sz w:val="17"/>
              </w:rPr>
              <w:t>65</w:t>
            </w:r>
          </w:p>
        </w:tc>
        <w:tc>
          <w:tcPr>
            <w:tcW w:type="dxa" w:w="1440"/>
            <w:shd w:fill="FFDCE0" w:val="clear"/>
          </w:tcPr>
          <w:p>
            <w:r>
              <w:rPr>
                <w:sz w:val="17"/>
              </w:rPr>
              <w:t>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55</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50</w:t>
            </w:r>
          </w:p>
        </w:tc>
        <w:tc>
          <w:tcPr>
            <w:tcW w:type="dxa" w:w="1440"/>
            <w:shd w:fill="FFDCE0" w:val="clear"/>
          </w:tcPr>
          <w:p>
            <w:r>
              <w:rPr>
                <w:b/>
                <w:sz w:val="17"/>
              </w:rPr>
              <w:t>55</w:t>
            </w:r>
          </w:p>
        </w:tc>
        <w:tc>
          <w:tcPr>
            <w:tcW w:type="dxa" w:w="1440"/>
            <w:shd w:fill="FFDCE0" w:val="clear"/>
          </w:tcPr>
          <w:p>
            <w:r>
              <w:rPr>
                <w:sz w:val="17"/>
              </w:rPr>
              <w:t>61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45</w:t>
            </w:r>
          </w:p>
        </w:tc>
        <w:tc>
          <w:tcPr>
            <w:tcW w:type="dxa" w:w="1440"/>
            <w:shd w:fill="FFDCE0" w:val="clear"/>
          </w:tcPr>
          <w:p>
            <w:r>
              <w:rPr>
                <w:b/>
                <w:sz w:val="17"/>
              </w:rPr>
              <w:t>51</w:t>
            </w:r>
          </w:p>
        </w:tc>
        <w:tc>
          <w:tcPr>
            <w:tcW w:type="dxa" w:w="1440"/>
            <w:shd w:fill="FFDCE0" w:val="clear"/>
          </w:tcPr>
          <w:p>
            <w:r>
              <w:rPr>
                <w:sz w:val="17"/>
              </w:rPr>
              <w:t>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41</w:t>
            </w:r>
          </w:p>
        </w:tc>
        <w:tc>
          <w:tcPr>
            <w:tcW w:type="dxa" w:w="1440"/>
            <w:shd w:fill="FFDCE0" w:val="clear"/>
          </w:tcPr>
          <w:p>
            <w:r>
              <w:rPr>
                <w:b/>
                <w:sz w:val="17"/>
              </w:rPr>
              <w:t>47</w:t>
            </w:r>
          </w:p>
        </w:tc>
        <w:tc>
          <w:tcPr>
            <w:tcW w:type="dxa" w:w="1440"/>
            <w:shd w:fill="FFDCE0" w:val="clear"/>
          </w:tcPr>
          <w:p>
            <w:r>
              <w:rPr>
                <w:sz w:val="17"/>
              </w:rPr>
              <w:t>54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38</w:t>
            </w:r>
          </w:p>
        </w:tc>
        <w:tc>
          <w:tcPr>
            <w:tcW w:type="dxa" w:w="1440"/>
            <w:shd w:fill="FFDCE0" w:val="clear"/>
          </w:tcPr>
          <w:p>
            <w:r>
              <w:rPr>
                <w:b/>
                <w:sz w:val="17"/>
              </w:rPr>
              <w:t>44</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34</w:t>
            </w:r>
          </w:p>
        </w:tc>
        <w:tc>
          <w:tcPr>
            <w:tcW w:type="dxa" w:w="1440"/>
            <w:shd w:fill="FFDCE0" w:val="clear"/>
          </w:tcPr>
          <w:p>
            <w:r>
              <w:rPr>
                <w:b/>
                <w:sz w:val="17"/>
              </w:rPr>
              <w:t>41</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31</w:t>
            </w:r>
          </w:p>
        </w:tc>
        <w:tc>
          <w:tcPr>
            <w:tcW w:type="dxa" w:w="1440"/>
            <w:shd w:fill="FFDCE0" w:val="clear"/>
          </w:tcPr>
          <w:p>
            <w:r>
              <w:rPr>
                <w:b/>
                <w:sz w:val="17"/>
              </w:rPr>
              <w:t>38</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29</w:t>
            </w:r>
          </w:p>
        </w:tc>
        <w:tc>
          <w:tcPr>
            <w:tcW w:type="dxa" w:w="1440"/>
            <w:shd w:fill="FFDCE0" w:val="clear"/>
          </w:tcPr>
          <w:p>
            <w:r>
              <w:rPr>
                <w:b/>
                <w:sz w:val="17"/>
              </w:rPr>
              <w:t>35</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26</w:t>
            </w:r>
          </w:p>
        </w:tc>
        <w:tc>
          <w:tcPr>
            <w:tcW w:type="dxa" w:w="1440"/>
            <w:shd w:fill="FFDCE0" w:val="clear"/>
          </w:tcPr>
          <w:p>
            <w:r>
              <w:rPr>
                <w:b/>
                <w:sz w:val="17"/>
              </w:rPr>
              <w:t>32</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ACTION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1 265,89 milliards FCFA, ETIT figure parmi les poids lourds de la cote BRVM, ce qui en fait un titre incontournable pour les investisseurs institutionnels régionaux. Le BPA de 19 FCFA/action signifie que chaque titre génère près de 19 FCFA de bénéfice net, un niveau qui, rapporté au cours actuel de 70 FCFA, donne un PER de seulement 3,7x — très en dessous de la moyenne BRVM (8-12x) et du secteur bancaire africain, ce qui traduit une sous-évaluation manifeste ou une forte défiance du marché. Le P/B de 0,79x (&lt; 1) indique que le marché valorise ETIT à 21% en dessous de sa valeur comptable, une anomalie potentiellement attractive pour un investisseur « value ». Enfin, l'EV/EBITDA de 5,1x, dans la fourchette raisonnable de 5-10x, confirme que la valeur d'entreprise reste contenue par rapport à la capacité opérationnelle de la banque, renforçant le diagnostic de sous-valorisation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+150,00%, passant d'un plus bas de 26 FCFA à un plus haut de 78 FCFA, avec un cours actuel de 70 FCFA et une variation J-1 nulle (+0,00%), signe d'une pause dans la dynamique haussière. Le range de trading (26-78 FCFA) traduit une tendance nettement haussière, mais le repli depuis le sommet de 78 FCFA suggère une prise de bénéfices. Les statistiques descriptives révèlent une moyenne de 48 FCFA supérieure à la médiane de 42 FCFA, indiquant une distribution légèrement tirée vers le haut par les récents pics ; le mode à 30 FCFA rappelle que le titre a longtemps stagné avant son envolée. L'écart-type de 18 FCFA (CV = 37,5%) témoigne d'une dispersion élevée, cohérente avec la volatilité annualisée de 63,0% — un niveau élevé (&gt;30%) qui classe ETIT parmi les titres les plus volatils de la BRVM. Le kurtosis de -1,805 (distribution platykurtique) indique une faible concentration des rendements et un risque de pics moins prononcé qu'une distribution normale, tandis que le skewness de +0,139 (quasi-symétrique) suggère un équilibre entre gains et pertes extrêmes, sans biais directionnel marqué.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(67,7 FCFA) et la MM50 (65,68 FCFA) se situent toutes deux sous le cours actuel (70 FCFA), confirmant une configuration haussière avec le prix au-dessus des deux moyennes. La MM20 &gt; MM50 indique un momentum positif de court terme, justifiant la décision technique d'**Achat**.</w:t>
      </w:r>
    </w:p>
    <w:p>
      <w:pPr>
        <w:spacing w:after="120" w:line="276" w:lineRule="auto"/>
      </w:pPr>
      <w:r>
        <w:t>**Bandes de Bollinger** : Le cours (70 FCFA) évolue dans la partie haute de la bande (borne supérieure à 71,599 FCFA, borne inférieure à 63,801 FCFA), sans franchissement de la borne supérieure, ce qui traduit une volatilité modérée et une pression acheteuse contenue. La décision est **Neutre**, le titre n'étant ni en surachat extrême ni en zone de survente.</w:t>
      </w:r>
    </w:p>
    <w:p>
      <w:pPr>
        <w:spacing w:after="120" w:line="276" w:lineRule="auto"/>
      </w:pPr>
      <w:r>
        <w:t>**MACD** : Le MACD (1,653) est légèrement supérieur à son signal (1,606), avec un histogramme positif mais étroit, indiquant un momentum haussier fragile mais réel. La décision d'**Achat** est justifiée par cette configuration positive, bien que la faible divergence appelle à la prudence.</w:t>
      </w:r>
    </w:p>
    <w:p>
      <w:pPr>
        <w:spacing w:after="120" w:line="276" w:lineRule="auto"/>
      </w:pPr>
      <w:r>
        <w:t>**RSI** : À 61,111, le RSI se situe en zone neutre (30-70), sans surachat (&gt;70) ni survente (&lt;30), ce qui laisse de la marge à la hausse mais n'offre pas de signal directionnel fort. La décision est **Neutre**.</w:t>
      </w:r>
    </w:p>
    <w:p>
      <w:pPr>
        <w:spacing w:after="120" w:line="276" w:lineRule="auto"/>
      </w:pPr>
      <w:r>
        <w:t>**Stochastique** : Le %K et le %D sont tous deux à 83,333, en zone de surachat (&gt;80), avec un croisement nul (pas de divergence). Cette configuration justifie la décision de **Vente** à court terme, signalant un essoufflement possible de la dynamique haussière.</w:t>
      </w:r>
    </w:p>
    <w:p>
      <w:pPr>
        <w:spacing w:after="120" w:line="276" w:lineRule="auto"/>
      </w:pPr>
      <w:r>
        <w:t>**Conclusion technique** : Les indicateurs sont mitigés — les moyennes mobiles et le MACD plaident pour un achat, tandis que le stochastique signale une vente et que le RSI/Bollinger restent neutres. Cette divergence suggère un titre en phase de consolidation après une forte hausse, avec un risque de correction à court terme mais une tendance de fond encore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ETIT affiche un Produit Net Bancaire (PNB) de 1 424,261 milliards FCFA, un résultat net de 345,523 milliards FCFA, un ROE de 21,62% (&gt;15%, excellent) et un ROA de 1,80%. Le coefficient d'exploitation de 27,35% (&lt;60%) témoigne d'une efficacité opérationnelle remarquable, tandis que le coût du risque (18,97% des charges financières) reste modéré. La structure financière montre une autonomie financière faible (8,30%) et un ratio d'endettement élevé (154,06%), typique du modèle bancaire, mais la solvabilité générale (109,06%) reste satisfaisante. Le ratio dépôts/crédits (14 120,139 / 6 570,385 = 2,15x) indique une surliquidité, avec des dépôts clientèle largement supérieurs aux créances, ce qui réduit le risque de transformation mais pèse sur la rentabilité des actifs (ROA faible).</w:t>
      </w:r>
    </w:p>
    <w:p>
      <w:pPr>
        <w:spacing w:after="120" w:line="276" w:lineRule="auto"/>
      </w:pPr>
      <w:r>
        <w:t>**Estimations basées sur les rapports trimestriels** : Le rapport S1 2026 (publié le 30 juin 2026, analysé le 30 juillet 2026) révèle un PNB de 721 318 millions FCFA (+15% vs S1 2025) et un résultat net de 166 682 millions FCFA (+6%), avec un coefficient d'exploitation amélioré à 48,4% et un BPA de 0,80 $EU (4,53 FCFA). Le rapport T1 2026 (publié en 2026) montre un PNB de 636,2 millions $EU (+23%) et un résultat net de 142,5 millions $EU (+16%), mais un coût du risque en hausse de 73%, signal d'alerte. Sur la base de ces tendances, on estime que l'exercice 2026 devrait afficher un PNB annuel d'environ 2 900 milliards FCFA (+15% vs 2025) et un résultat net d'environ 700 milliards FCFA (+6%), avec un BPA estimé à 38 FCFA/action. La recommandation source des rapports 2026 est **Acheter** (S1 2026) et **Conserver** (T1 2026), reflétant la confiance dans la croissance mais la prudence face au coût du risque.</w:t>
      </w:r>
    </w:p>
    <w:p>
      <w:pPr>
        <w:spacing w:after="120" w:line="276" w:lineRule="auto"/>
      </w:pPr>
      <w:r>
        <w:t>**Évolution temporelle** : Entre 2024 et 2025, le PNB a progressé de 1 268 à 1 424 milliards FCFA (+12,45%), et le résultat net de 299,7 à 345,5 milliards FCFA (+15,3%), confirmant une dynamique positive. Le ROE s'est maintenu au-dessus de 20%, et le coefficient d'exploitation s'est amélioré, passant de ~50% (2024) à 27,35% (2025), bien que cette amélioration spectaculaire mérite confirmation.</w:t>
      </w:r>
    </w:p>
    <w:p>
      <w:pPr>
        <w:spacing w:after="120" w:line="276" w:lineRule="auto"/>
      </w:pPr>
      <w:r>
        <w:t>**Conclusion fondamentale** : ETIT présente des fondamentaux solides (ROE élevé, PNB en croissance, efficacité opérationnelle), mais les risques de crédit (coût du risque en hausse) et la faible autonomie financière appellent à la vigilance. La sous-évaluation boursière (PER 3,7x, P/B 0,79x) contraste avec la qualité des résultats, offrant un potentiel de revalorisation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indique une sous-évaluation manifeste (PER 3,7x, P/B 0,79x, EV/EBITDA 5,1x), ce qui constitue un argument haussier majeur. Le comportement du cours (Partie 1) est haussier sur 100 jours (+150%) mais montre des signes de consolidation (variation J-1 nulle, kurtosis platykurtique, skewness symétrique), avec une volatilité élevée (63%) qui accroît le risque. Les signaux techniques (Partie 2) sont divergents : les moyennes mobiles et le MACD sont haussiers, mais le stochastique est en surachat (vente) et le RSI/Bollinger sont neutres, suggérant une correction à court terme. Les fondamentaux (Partie 3) sont solides (ROE 21,62%, PNB +15% au S1 2026, coefficient d'exploitation 48,4%), mais le coût du risque (+40% au S1 2026) et la faible autonomie financière (8,30%) tempèrent l'optimisme. Les prédictions IA (J+1 à J+10) anticipent une baisse marquée de 65 à 47 FCFA (-33% en 10 jours), ce qui contredit les signaux haussiers des moyennes mobiles et du MACD, mais s'aligne avec le signal de vente du stochastique et la prise de bénéfices observée.</w:t>
      </w:r>
    </w:p>
    <w:p>
      <w:pPr>
        <w:spacing w:after="120" w:line="276" w:lineRule="auto"/>
      </w:pPr>
      <w:r>
        <w:t>**Recommandation finale : CONSERVER** — La convergence entre la sous-évaluation fondamentale, la croissance du PNB et l'efficacité opérationnelle plaide pour une position haussière à moyen terme, mais la divergence des indicateurs techniques (stochastique en surachat, prédictions IA baissières) et les risques de crédit incitent à la prudence à court terme. Le niveau de confiance est **Moyen** (divergence technique vs fondamental), et le risque global est **Élevé** (volatilité 63%, coût du risque en hausse, prédictions baissières). L'horizon d'investissement optimal est **moyen terme (3-12 mois)**, en attendant la confirmation de la maîtrise du coût du risque et la stabilisation du cours après la correction anticipée. Un **ACHAT** serait justifié si le titre revient vers 50-55 FCFA (zone de support technique et de valeur fondamentale), offrant un point d'entrée plus attractif.</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3,947 titres</w:t>
            </w:r>
          </w:p>
        </w:tc>
        <w:tc>
          <w:tcPr>
            <w:tcW w:type="dxa" w:w="2268"/>
            <w:shd w:fill="FFF2CC" w:val="clear"/>
          </w:tcPr>
          <w:p>
            <w:r>
              <w:rPr>
                <w:b/>
                <w:color w:val="503200"/>
                <w:sz w:val="16"/>
              </w:rPr>
              <w:t xml:space="preserve">Cours actuel : </w:t>
            </w:r>
            <w:r>
              <w:rPr>
                <w:color w:val="000000"/>
                <w:sz w:val="17"/>
              </w:rPr>
              <w:t>2,100 FCFA</w:t>
            </w:r>
          </w:p>
          <w:p>
            <w:r>
              <w:rPr>
                <w:b/>
                <w:color w:val="503200"/>
                <w:sz w:val="16"/>
              </w:rPr>
              <w:t xml:space="preserve">Var. 100 jours : </w:t>
            </w:r>
            <w:r>
              <w:rPr>
                <w:b/>
                <w:color w:val="B40000"/>
                <w:sz w:val="17"/>
              </w:rPr>
              <w:t>-3.67%</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5.94% (Moyenne) — μ=2,137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β=0.4815 (Défensif) — Cov=0.000017, Var(idx)=0.000035, ρ=0.130,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2,038</w:t>
            </w:r>
          </w:p>
        </w:tc>
        <w:tc>
          <w:tcPr>
            <w:tcW w:type="dxa" w:w="1440"/>
            <w:shd w:fill="FAFAFA" w:val="clear"/>
          </w:tcPr>
          <w:p>
            <w:r>
              <w:rPr>
                <w:b/>
                <w:sz w:val="17"/>
              </w:rPr>
              <w:t>2,111</w:t>
            </w:r>
          </w:p>
        </w:tc>
        <w:tc>
          <w:tcPr>
            <w:tcW w:type="dxa" w:w="1440"/>
            <w:shd w:fill="FAFAFA" w:val="clear"/>
          </w:tcPr>
          <w:p>
            <w:r>
              <w:rPr>
                <w:sz w:val="17"/>
              </w:rPr>
              <w:t>2,185</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2026-09-14</w:t>
            </w:r>
          </w:p>
        </w:tc>
        <w:tc>
          <w:tcPr>
            <w:tcW w:type="dxa" w:w="1440"/>
            <w:shd w:fill="FAFAFA" w:val="clear"/>
          </w:tcPr>
          <w:p>
            <w:r>
              <w:rPr>
                <w:sz w:val="17"/>
              </w:rPr>
              <w:t>2,018</w:t>
            </w:r>
          </w:p>
        </w:tc>
        <w:tc>
          <w:tcPr>
            <w:tcW w:type="dxa" w:w="1440"/>
            <w:shd w:fill="FAFAFA" w:val="clear"/>
          </w:tcPr>
          <w:p>
            <w:r>
              <w:rPr>
                <w:b/>
                <w:sz w:val="17"/>
              </w:rPr>
              <w:t>2,122</w:t>
            </w:r>
          </w:p>
        </w:tc>
        <w:tc>
          <w:tcPr>
            <w:tcW w:type="dxa" w:w="1440"/>
            <w:shd w:fill="FAFAFA" w:val="clear"/>
          </w:tcPr>
          <w:p>
            <w:r>
              <w:rPr>
                <w:sz w:val="17"/>
              </w:rPr>
              <w:t>2,226</w:t>
            </w:r>
          </w:p>
        </w:tc>
        <w:tc>
          <w:tcPr>
            <w:tcW w:type="dxa" w:w="1440"/>
            <w:shd w:fill="FAFAFA" w:val="clear"/>
          </w:tcPr>
          <w:p>
            <w:r>
              <w:rPr>
                <w:b/>
                <w:color w:val="008000"/>
                <w:sz w:val="17"/>
              </w:rPr>
              <w:t>+1.0%</w:t>
            </w:r>
          </w:p>
        </w:tc>
      </w:tr>
      <w:tr>
        <w:tc>
          <w:tcPr>
            <w:tcW w:type="dxa" w:w="1440"/>
            <w:shd w:fill="FAFAFA" w:val="clear"/>
          </w:tcPr>
          <w:p>
            <w:r>
              <w:rPr>
                <w:sz w:val="17"/>
              </w:rPr>
              <w:t>J+3  Moyenne</w:t>
            </w:r>
          </w:p>
        </w:tc>
        <w:tc>
          <w:tcPr>
            <w:tcW w:type="dxa" w:w="1440"/>
            <w:shd w:fill="FAFAFA" w:val="clear"/>
          </w:tcPr>
          <w:p>
            <w:r>
              <w:rPr>
                <w:sz w:val="17"/>
              </w:rPr>
              <w:t>2026-09-15</w:t>
            </w:r>
          </w:p>
        </w:tc>
        <w:tc>
          <w:tcPr>
            <w:tcW w:type="dxa" w:w="1440"/>
            <w:shd w:fill="FAFAFA" w:val="clear"/>
          </w:tcPr>
          <w:p>
            <w:r>
              <w:rPr>
                <w:sz w:val="17"/>
              </w:rPr>
              <w:t>2,004</w:t>
            </w:r>
          </w:p>
        </w:tc>
        <w:tc>
          <w:tcPr>
            <w:tcW w:type="dxa" w:w="1440"/>
            <w:shd w:fill="FAFAFA" w:val="clear"/>
          </w:tcPr>
          <w:p>
            <w:r>
              <w:rPr>
                <w:b/>
                <w:sz w:val="17"/>
              </w:rPr>
              <w:t>2,132</w:t>
            </w:r>
          </w:p>
        </w:tc>
        <w:tc>
          <w:tcPr>
            <w:tcW w:type="dxa" w:w="1440"/>
            <w:shd w:fill="FAFAFA" w:val="clear"/>
          </w:tcPr>
          <w:p>
            <w:r>
              <w:rPr>
                <w:sz w:val="17"/>
              </w:rPr>
              <w:t>2,260</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1,993</w:t>
            </w:r>
          </w:p>
        </w:tc>
        <w:tc>
          <w:tcPr>
            <w:tcW w:type="dxa" w:w="1440"/>
            <w:shd w:fill="FAFAFA" w:val="clear"/>
          </w:tcPr>
          <w:p>
            <w:r>
              <w:rPr>
                <w:b/>
                <w:sz w:val="17"/>
              </w:rPr>
              <w:t>2,142</w:t>
            </w:r>
          </w:p>
        </w:tc>
        <w:tc>
          <w:tcPr>
            <w:tcW w:type="dxa" w:w="1440"/>
            <w:shd w:fill="FAFAFA" w:val="clear"/>
          </w:tcPr>
          <w:p>
            <w:r>
              <w:rPr>
                <w:sz w:val="17"/>
              </w:rPr>
              <w:t>2,290</w:t>
            </w:r>
          </w:p>
        </w:tc>
        <w:tc>
          <w:tcPr>
            <w:tcW w:type="dxa" w:w="1440"/>
            <w:shd w:fill="FAFAFA"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2026-09-17</w:t>
            </w:r>
          </w:p>
        </w:tc>
        <w:tc>
          <w:tcPr>
            <w:tcW w:type="dxa" w:w="1440"/>
            <w:shd w:fill="C6EFCE" w:val="clear"/>
          </w:tcPr>
          <w:p>
            <w:r>
              <w:rPr>
                <w:sz w:val="17"/>
              </w:rPr>
              <w:t>1,984</w:t>
            </w:r>
          </w:p>
        </w:tc>
        <w:tc>
          <w:tcPr>
            <w:tcW w:type="dxa" w:w="1440"/>
            <w:shd w:fill="C6EFCE" w:val="clear"/>
          </w:tcPr>
          <w:p>
            <w:r>
              <w:rPr>
                <w:b/>
                <w:sz w:val="17"/>
              </w:rPr>
              <w:t>2,151</w:t>
            </w:r>
          </w:p>
        </w:tc>
        <w:tc>
          <w:tcPr>
            <w:tcW w:type="dxa" w:w="1440"/>
            <w:shd w:fill="C6EFCE" w:val="clear"/>
          </w:tcPr>
          <w:p>
            <w:r>
              <w:rPr>
                <w:sz w:val="17"/>
              </w:rPr>
              <w:t>2,318</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2026-09-18</w:t>
            </w:r>
          </w:p>
        </w:tc>
        <w:tc>
          <w:tcPr>
            <w:tcW w:type="dxa" w:w="1440"/>
            <w:shd w:fill="C6EFCE" w:val="clear"/>
          </w:tcPr>
          <w:p>
            <w:r>
              <w:rPr>
                <w:sz w:val="17"/>
              </w:rPr>
              <w:t>1,977</w:t>
            </w:r>
          </w:p>
        </w:tc>
        <w:tc>
          <w:tcPr>
            <w:tcW w:type="dxa" w:w="1440"/>
            <w:shd w:fill="C6EFCE" w:val="clear"/>
          </w:tcPr>
          <w:p>
            <w:r>
              <w:rPr>
                <w:b/>
                <w:sz w:val="17"/>
              </w:rPr>
              <w:t>2,160</w:t>
            </w:r>
          </w:p>
        </w:tc>
        <w:tc>
          <w:tcPr>
            <w:tcW w:type="dxa" w:w="1440"/>
            <w:shd w:fill="C6EFCE" w:val="clear"/>
          </w:tcPr>
          <w:p>
            <w:r>
              <w:rPr>
                <w:sz w:val="17"/>
              </w:rPr>
              <w:t>2,344</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2026-09-21</w:t>
            </w:r>
          </w:p>
        </w:tc>
        <w:tc>
          <w:tcPr>
            <w:tcW w:type="dxa" w:w="1440"/>
            <w:shd w:fill="C6EFCE" w:val="clear"/>
          </w:tcPr>
          <w:p>
            <w:r>
              <w:rPr>
                <w:sz w:val="17"/>
              </w:rPr>
              <w:t>1,970</w:t>
            </w:r>
          </w:p>
        </w:tc>
        <w:tc>
          <w:tcPr>
            <w:tcW w:type="dxa" w:w="1440"/>
            <w:shd w:fill="C6EFCE" w:val="clear"/>
          </w:tcPr>
          <w:p>
            <w:r>
              <w:rPr>
                <w:b/>
                <w:sz w:val="17"/>
              </w:rPr>
              <w:t>2,170</w:t>
            </w:r>
          </w:p>
        </w:tc>
        <w:tc>
          <w:tcPr>
            <w:tcW w:type="dxa" w:w="1440"/>
            <w:shd w:fill="C6EFCE" w:val="clear"/>
          </w:tcPr>
          <w:p>
            <w:r>
              <w:rPr>
                <w:sz w:val="17"/>
              </w:rPr>
              <w:t>2,369</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2026-09-22</w:t>
            </w:r>
          </w:p>
        </w:tc>
        <w:tc>
          <w:tcPr>
            <w:tcW w:type="dxa" w:w="1440"/>
            <w:shd w:fill="C6EFCE" w:val="clear"/>
          </w:tcPr>
          <w:p>
            <w:r>
              <w:rPr>
                <w:sz w:val="17"/>
              </w:rPr>
              <w:t>1,965</w:t>
            </w:r>
          </w:p>
        </w:tc>
        <w:tc>
          <w:tcPr>
            <w:tcW w:type="dxa" w:w="1440"/>
            <w:shd w:fill="C6EFCE" w:val="clear"/>
          </w:tcPr>
          <w:p>
            <w:r>
              <w:rPr>
                <w:b/>
                <w:sz w:val="17"/>
              </w:rPr>
              <w:t>2,179</w:t>
            </w:r>
          </w:p>
        </w:tc>
        <w:tc>
          <w:tcPr>
            <w:tcW w:type="dxa" w:w="1440"/>
            <w:shd w:fill="C6EFCE" w:val="clear"/>
          </w:tcPr>
          <w:p>
            <w:r>
              <w:rPr>
                <w:sz w:val="17"/>
              </w:rPr>
              <w:t>2,393</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2026-09-23</w:t>
            </w:r>
          </w:p>
        </w:tc>
        <w:tc>
          <w:tcPr>
            <w:tcW w:type="dxa" w:w="1440"/>
            <w:shd w:fill="C6EFCE" w:val="clear"/>
          </w:tcPr>
          <w:p>
            <w:r>
              <w:rPr>
                <w:sz w:val="17"/>
              </w:rPr>
              <w:t>1,961</w:t>
            </w:r>
          </w:p>
        </w:tc>
        <w:tc>
          <w:tcPr>
            <w:tcW w:type="dxa" w:w="1440"/>
            <w:shd w:fill="C6EFCE" w:val="clear"/>
          </w:tcPr>
          <w:p>
            <w:r>
              <w:rPr>
                <w:b/>
                <w:sz w:val="17"/>
              </w:rPr>
              <w:t>2,188</w:t>
            </w:r>
          </w:p>
        </w:tc>
        <w:tc>
          <w:tcPr>
            <w:tcW w:type="dxa" w:w="1440"/>
            <w:shd w:fill="C6EFCE" w:val="clear"/>
          </w:tcPr>
          <w:p>
            <w:r>
              <w:rPr>
                <w:sz w:val="17"/>
              </w:rPr>
              <w:t>2,416</w:t>
            </w:r>
          </w:p>
        </w:tc>
        <w:tc>
          <w:tcPr>
            <w:tcW w:type="dxa" w:w="1440"/>
            <w:shd w:fill="C6EFCE" w:val="clear"/>
          </w:tcPr>
          <w:p>
            <w:r>
              <w:rPr>
                <w:b/>
                <w:color w:val="008000"/>
                <w:sz w:val="17"/>
              </w:rPr>
              <w:t>+4.2%</w:t>
            </w:r>
          </w:p>
        </w:tc>
      </w:tr>
      <w:tr>
        <w:tc>
          <w:tcPr>
            <w:tcW w:type="dxa" w:w="1440"/>
            <w:shd w:fill="C6EFCE" w:val="clear"/>
          </w:tcPr>
          <w:p>
            <w:r>
              <w:rPr>
                <w:sz w:val="17"/>
              </w:rPr>
              <w:t>J+10  ⭐</w:t>
            </w:r>
          </w:p>
        </w:tc>
        <w:tc>
          <w:tcPr>
            <w:tcW w:type="dxa" w:w="1440"/>
            <w:shd w:fill="C6EFCE" w:val="clear"/>
          </w:tcPr>
          <w:p>
            <w:r>
              <w:rPr>
                <w:sz w:val="17"/>
              </w:rPr>
              <w:t>2026-09-24</w:t>
            </w:r>
          </w:p>
        </w:tc>
        <w:tc>
          <w:tcPr>
            <w:tcW w:type="dxa" w:w="1440"/>
            <w:shd w:fill="C6EFCE" w:val="clear"/>
          </w:tcPr>
          <w:p>
            <w:r>
              <w:rPr>
                <w:sz w:val="17"/>
              </w:rPr>
              <w:t>1,957</w:t>
            </w:r>
          </w:p>
        </w:tc>
        <w:tc>
          <w:tcPr>
            <w:tcW w:type="dxa" w:w="1440"/>
            <w:shd w:fill="C6EFCE" w:val="clear"/>
          </w:tcPr>
          <w:p>
            <w:r>
              <w:rPr>
                <w:b/>
                <w:sz w:val="17"/>
              </w:rPr>
              <w:t>2,198</w:t>
            </w:r>
          </w:p>
        </w:tc>
        <w:tc>
          <w:tcPr>
            <w:tcW w:type="dxa" w:w="1440"/>
            <w:shd w:fill="C6EFCE" w:val="clear"/>
          </w:tcPr>
          <w:p>
            <w:r>
              <w:rPr>
                <w:sz w:val="17"/>
              </w:rPr>
              <w:t>2,439</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 RAPPORT D'ANALYSE FINANCIÈRE — FTSC (FILTISAC CI)</w:t>
        <w:br/>
        <w:t>**Bourse Régionale des Valeurs Mobilières (BRVM) — Secteur : Entreprise industrielle (emballages jute/polymères)**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29,62 Mds FCFA, FTSC se situe dans la catégorie des valeurs moyennes de la BRVM, ce qui la rend sensible aux mouvements de faible volume. Le BPA de 33 FCFA/action signifie que chaque titre génère théoriquement 33 FCFA de bénéfice net, un niveau modeste qui, rapporté au cours de 2 100 FCFA, aboutit à un PER de 63,6x — très largement supérieur à la moyenne du marché BRVM (~8-12x), signalant que les investisseurs paient une prime spéculative déconnectée des bénéfices actuels. Le P/B de 1,89x indique en revanche une valorisation raisonnable, le marché valorisant l'action à près du double de sa valeur comptable (capitaux propres de 15,7 Mds FCFA pour 2025), ce qui reste acceptable pour une entreprise industrielle. Enfin, l'EV/EBITDA de 37,6x est très exigeant (&gt;15x), traduisant une valeur d'entreprise (dette incluse) très supérieure à la capacité opérationnelle de génération de cash — un signal de prudence marqué, cohérent avec la chute du résultat net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-3,67%, avec une dernière séance (J-1) stable à +0,00%, le cours se maintenant à 2 100 FCFA. Le titre a évolué dans un range de 520 FCFA, entre un plus bas de 1 910 FCFA et un plus haut de 2 430 FCFA, soit une amplitude de trading de 27% qui témoigne d'une certaine nervosité malgré la stabilité récente. La tendance générale est baissière modérée, le cours actuel (2 100 FCFA) se situant sous sa moyenne (2 137 FCFA) et sa médiane (2 155 FCFA), ce qui confirme une légère pression vendeuse sur la période. Les statistiques descriptives révèlent une distribution quasi symétrique (skewness = 0,049) et proche de la normale (kurtosis = -0,865, mésokurtique), donc sans risque marqué de pics extrêmes — un profil rassurant. L'écart-type de 128 FCFA avec un coefficient de variation de 6,0% indique une dispersion modérée du cours autour de sa moyenne, tandis que la volatilité annualisée de 34,5% classe le titre dans la catégorie **élevée** (&gt;30%), ce qui implique un risque de prix significatif pour un investisseur averse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(2 146,75 FCFA) et la MM50 (2 059,0 FCFA) encadrent le cours actuel de 2 100 FCFA, la MM20 étant au-dessus du prix tandis que la MM50 reste en-dessous. Cette configuration (MM20 &gt; cours &gt; MM50) traduit un momentum court terme affaibli mais une structure de fond encore haussière, ce qui justifie la décision **Achat** — le croisement des moyennes restant favorable à moyen terme.</w:t>
      </w:r>
    </w:p>
    <w:p>
      <w:pPr>
        <w:spacing w:after="120" w:line="276" w:lineRule="auto"/>
      </w:pPr>
      <w:r>
        <w:t>**Bandes de Bollinger** : Le cours (2 100 FCFA) se situe dans la partie basse de la bande, entre la borne inférieure (2 084,74 FCFA) et la borne supérieure (2 208,76 FCFA), sans franchissement des extrêmes. Cette position neutre, avec un cours proche du milieu-bas de la bande, indique une absence de signal directionnel fort et justifie la décision **Neutre**, la volatilité restant contenue dans le canal.</w:t>
      </w:r>
    </w:p>
    <w:p>
      <w:pPr>
        <w:spacing w:after="120" w:line="276" w:lineRule="auto"/>
      </w:pPr>
      <w:r>
        <w:t>**MACD** : La valeur du MACD (10,018) est nettement inférieure à son signal (20,752), créant une divergence baissière qui traduit un essoufflement du momentum haussier. Cette configuration négative justifie la décision **Vente**, le croisement MACD sous sa ligne de signal annonçant une possible poursuite de la correction.</w:t>
      </w:r>
    </w:p>
    <w:p>
      <w:pPr>
        <w:spacing w:after="120" w:line="276" w:lineRule="auto"/>
      </w:pPr>
      <w:r>
        <w:t>**RSI** : À 35,714, le RSI se situe dans la zone neutre basse (30-70), sans atteindre la zone de survente (&lt;30) mais s'en rapprochant. Cette valeur indique une pression vendeuse modérée sans excès, justifiant la décision **Neutre** — le titre n'est ni survendu ni suracheté, laissant place à une possible stabilisation.</w:t>
      </w:r>
    </w:p>
    <w:p>
      <w:pPr>
        <w:spacing w:after="120" w:line="276" w:lineRule="auto"/>
      </w:pPr>
      <w:r>
        <w:t>**Stochastique** : Le %K et le %D sont tous deux à 11,111, en zone de survente profonde (&lt;20), signalant un épuisement probable de la pression baissière. Cette configuration justifie la décision **Achat**, un rebond technique étant statistiquement probable depuis ces niveaux extrêmes.</w:t>
      </w:r>
    </w:p>
    <w:p>
      <w:pPr>
        <w:spacing w:after="120" w:line="276" w:lineRule="auto"/>
      </w:pPr>
      <w:r>
        <w:t>**Conclusion technique** : Les indicateurs sont **divergents** — le MACD est baissier, les moyennes mobiles et le stochastique sont haussiers, tandis que le RSI et les Bollinger sont neutres. Cette absence de consensus traduit un marché indécis, avec un léger avantage aux signaux d'achat (MM, stochastique) mais une prudence justifiée par le momentum négatif du MACD. Le titre semble en phase de consolidation, avec un potentiel de rebond technique à court terme mais sans conviction directionnelle forte.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FILTISAC CI a réalisé un chiffre d'affaires de 32,109 Mds FCFA, en progression de 4,61% sur un an, mais son résultat net s'est effondré à 465,98 M FCFA (contre 18,6 Mds FCFA en 2024), soit une marge nette de seulement 1,45%. Cette chute spectaculaire s'explique par la disparition des produits exceptionnels de cession de filiales en 2024. Le ROE s'établit à 2,97% (très loin du seuil de 15% considéré comme excellent) et le ROA à 1,19%, confirmant une rentabilité très faible. Sur le plan de la structure financière, l'autonomie financière est saine à 40,11% (capitaux propres/total bilan), la solvabilité générale est assurée (166,98%) et la liquidité générale est bonne (158,64%). Cependant, la trésorerie nette est fortement négative à -11,53 Mds FCFA et le BFR s'élève à 11,53 Mds FCFA, avec des délais clients très élevés (213,72 jours) et une durée de stockage de 214,65 jours — signes d'un risque de trésorerie important. Le flux opérationnel est négatif (-1,826 Mds FCFA) et la capacité de remboursement de 11,49 années est préoccupante.</w:t>
      </w:r>
    </w:p>
    <w:p>
      <w:pPr>
        <w:spacing w:after="120" w:line="276" w:lineRule="auto"/>
      </w:pPr>
      <w:r>
        <w:t>**Estimations basées sur les rapports trimestriels** : Le rapport du **T1 2026** (publié en 2026) révèle un chiffre d'affaires de 8 901 M FCFA, en hausse de 55% sur un an, porté par la forte demande d'emballages cacao, avec un résultat d'exploitation redevenu positif à 75 M FCFA (contre -78 M FCFA au T1 2025) — une amélioration de 153 M FCFA. Toutefois, le résultat net reste déficitaire à -154 M FCFA (marge nette de -1,73%), bien qu'en amélioration de 14%. Le rapport du **T3 2025** (30/09/2025) confirmait déjà cette tendance : CA de 18 371 M FCFA sur 9 mois (-1%), résultat courant avant impôts de -216 M FCFA, avec un résultat d'exploitation déficitaire (-230 M FCFA) mais en amélioration de 875 M FCFA grâce au plan d'optimisation des charges. Le rapport annuel 2024 (31/12/2024) rappelle que le bénéfice exceptionnel de 18,6 Mds FCFA provenait de produits financiers non récurrents (6 170 M FCFA) et que la distribution intégrale du dividende (2 000,67 FCFA/action) a vidé les capitaux propres (passés de 43,4 à 15,7 Mds FCFA). **On estime donc que l'exercice 2026 devrait bénéficier d'un rebond du CA (+55% au T1) et d'une amélioration opérationnelle, mais la rentabilité nette restera fragile et dépendante de la campagne cacaoyère 2025/2026**, principal facteur de risque identifié par la direction.</w:t>
      </w:r>
    </w:p>
    <w:p>
      <w:pPr>
        <w:spacing w:after="120" w:line="276" w:lineRule="auto"/>
      </w:pPr>
      <w:r>
        <w:t>**Recommandation fondamentale** : La situation est **mitigée** — la dynamique commerciale est positive (CA +55% au T1 2026, demande cacao soutenue) et l'optimisation opérationnelle porte ses fruits, mais la rentabilité nette reste négative, la trésorerie est dégradée et les délais d'exploitation sont excessifs. Le titre présente un profil de **redressement spéculatif** à haut risque, avec une solidité financière fragile (ROE 2,97%, trésorerie nette -11,5 Mds FCFA) mais des perspectives d'amélioration à moyen terme si la campagne cacao 2025/2026 tient ses promesses.</w:t>
      </w:r>
    </w:p>
    <w:p>
      <w:pPr>
        <w:spacing w:after="120" w:line="276" w:lineRule="auto"/>
      </w:pPr>
      <w:r>
        <w:t>---</w:t>
      </w:r>
    </w:p>
    <w:p>
      <w:pPr>
        <w:spacing w:after="120" w:line="276" w:lineRule="auto"/>
      </w:pPr>
      <w:r>
        <w:t>## PARTIE 4 : CONCLUSION D'INVESTISSEMENT</w:t>
      </w:r>
    </w:p>
    <w:p>
      <w:pPr>
        <w:spacing w:after="120" w:line="276" w:lineRule="auto"/>
      </w:pPr>
      <w:r>
        <w:t>La valorisation (Partie 0) est **très tendue** : un PER de 63,6x et un EV/EBITDA de 37,6x traduisent une surévaluation manifeste par rapport aux bénéfices actuels, bien que le P/B de 1,89x reste raisonnable. Le comportement du cours (Partie 1) est **préoccupant** : tendance baissière modérée (-3,67%), volatilité élevée (34,5%) et cours sous ses moyennes, malgré une distribution symétrique sans risque de pics extrêmes. Les signaux techniques (Partie 2) sont **divergents** : le stochastique en survente et les MM haussières plaident pour un rebond, mais le MACD baissier et le RSI neutre-bas incitent à la prudence. Les fondamentaux (Partie 3) révèlent une **fragilité persistante** : résultat net 2025 effondré (465,98 M FCFA), ROE de 2,97%, trésorerie nette négative (-11,53 Mds FCFA), compensés par un rebond du CA au T1 2026 (+55%) et une amélioration opérationnelle. Les **prédictions IA** (J+1 à J+10) anticipent une trajectoire haussière modérée (2 111 → 2 151 FCFA, soit +2,4% sur 5 jours), ce qui **confirme** le potentiel de rebond technique suggéré par le stochastique et les MM, mais **contredit** le MACD baissier et la valorisation tendue.</w:t>
      </w:r>
    </w:p>
    <w:p>
      <w:pPr>
        <w:spacing w:after="120" w:line="276" w:lineRule="auto"/>
      </w:pPr>
      <w:r>
        <w:t>**Recommandation finale : CONSERVER** — Justification : la convergence entre le rebond opérationnel (T1 2026), les signaux techniques d'achat (stochastique, MM) et les prédictions IA haussières soutient un potentiel de court terme, mais la surévaluation (PER 63,6x), la fragilité de la trésorerie et la dépendance à la campagne cacao imposent une grande prudence. **Niveau de confiance : Moyen** (signaux divergents). **Niveau de risque global : Élevé** (volatilité 34,5%, trésorerie négative, rentabilité faible). **Horizon d'investissement optimal : Moyen terme (3-12 mois)**, le temps de vérifier la concrétisation du redressement opérationnel et l'amélioration de la rentabilité nette sur l'exercice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79.00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4,357 titres</w:t>
            </w:r>
          </w:p>
        </w:tc>
        <w:tc>
          <w:tcPr>
            <w:tcW w:type="dxa" w:w="2268"/>
            <w:shd w:fill="FFF2CC" w:val="clear"/>
          </w:tcPr>
          <w:p>
            <w:r>
              <w:rPr>
                <w:b/>
                <w:color w:val="503200"/>
                <w:sz w:val="16"/>
              </w:rPr>
              <w:t xml:space="preserve">Cours actuel : </w:t>
            </w:r>
            <w:r>
              <w:rPr>
                <w:color w:val="000000"/>
                <w:sz w:val="17"/>
              </w:rPr>
              <w:t>3,950 FCFA</w:t>
            </w:r>
          </w:p>
          <w:p>
            <w:r>
              <w:rPr>
                <w:b/>
                <w:color w:val="503200"/>
                <w:sz w:val="16"/>
              </w:rPr>
              <w:t xml:space="preserve">Var. 100 jours : </w:t>
            </w:r>
            <w:r>
              <w:rPr>
                <w:b/>
                <w:color w:val="007800"/>
                <w:sz w:val="17"/>
              </w:rPr>
              <w:t>+2.33%</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12.5/100 → Faible</w:t>
      </w:r>
    </w:p>
    <w:p>
      <w:pPr>
        <w:spacing w:before="40" w:after="80"/>
      </w:pPr>
      <w:r>
        <w:rPr>
          <w:rFonts w:ascii="Courier New" w:hAnsi="Courier New"/>
          <w:color w:val="006400"/>
          <w:sz w:val="18"/>
        </w:rPr>
        <w:t>██░░░░░░░░░░░░░░░░░░  12.5/100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μ=4,066 FCFA, σ=195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β=-0.1354 (Contre-cyclique) — Cov=-0.000005, Var(idx)=0.000035, ρ=-0.034,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3,858</w:t>
            </w:r>
          </w:p>
        </w:tc>
        <w:tc>
          <w:tcPr>
            <w:tcW w:type="dxa" w:w="1440"/>
            <w:shd w:fill="FAFAFA" w:val="clear"/>
          </w:tcPr>
          <w:p>
            <w:r>
              <w:rPr>
                <w:b/>
                <w:sz w:val="17"/>
              </w:rPr>
              <w:t>4,026</w:t>
            </w:r>
          </w:p>
        </w:tc>
        <w:tc>
          <w:tcPr>
            <w:tcW w:type="dxa" w:w="1440"/>
            <w:shd w:fill="FAFAFA" w:val="clear"/>
          </w:tcPr>
          <w:p>
            <w:r>
              <w:rPr>
                <w:sz w:val="17"/>
              </w:rPr>
              <w:t>4,193</w:t>
            </w:r>
          </w:p>
        </w:tc>
        <w:tc>
          <w:tcPr>
            <w:tcW w:type="dxa" w:w="1440"/>
            <w:shd w:fill="FAFAFA" w:val="clear"/>
          </w:tcPr>
          <w:p>
            <w:r>
              <w:rPr>
                <w:b/>
                <w:color w:val="008000"/>
                <w:sz w:val="17"/>
              </w:rPr>
              <w:t>+1.9%</w:t>
            </w:r>
          </w:p>
        </w:tc>
      </w:tr>
      <w:tr>
        <w:tc>
          <w:tcPr>
            <w:tcW w:type="dxa" w:w="1440"/>
            <w:shd w:fill="C6EFCE" w:val="clear"/>
          </w:tcPr>
          <w:p>
            <w:r>
              <w:rPr>
                <w:sz w:val="17"/>
              </w:rPr>
              <w:t>J+2  Moyenne</w:t>
            </w:r>
          </w:p>
        </w:tc>
        <w:tc>
          <w:tcPr>
            <w:tcW w:type="dxa" w:w="1440"/>
            <w:shd w:fill="C6EFCE" w:val="clear"/>
          </w:tcPr>
          <w:p>
            <w:r>
              <w:rPr>
                <w:sz w:val="17"/>
              </w:rPr>
              <w:t>2026-09-14</w:t>
            </w:r>
          </w:p>
        </w:tc>
        <w:tc>
          <w:tcPr>
            <w:tcW w:type="dxa" w:w="1440"/>
            <w:shd w:fill="C6EFCE" w:val="clear"/>
          </w:tcPr>
          <w:p>
            <w:r>
              <w:rPr>
                <w:sz w:val="17"/>
              </w:rPr>
              <w:t>3,797</w:t>
            </w:r>
          </w:p>
        </w:tc>
        <w:tc>
          <w:tcPr>
            <w:tcW w:type="dxa" w:w="1440"/>
            <w:shd w:fill="C6EFCE" w:val="clear"/>
          </w:tcPr>
          <w:p>
            <w:r>
              <w:rPr>
                <w:b/>
                <w:sz w:val="17"/>
              </w:rPr>
              <w:t>4,034</w:t>
            </w:r>
          </w:p>
        </w:tc>
        <w:tc>
          <w:tcPr>
            <w:tcW w:type="dxa" w:w="1440"/>
            <w:shd w:fill="C6EFCE" w:val="clear"/>
          </w:tcPr>
          <w:p>
            <w:r>
              <w:rPr>
                <w:sz w:val="17"/>
              </w:rPr>
              <w:t>4,272</w:t>
            </w:r>
          </w:p>
        </w:tc>
        <w:tc>
          <w:tcPr>
            <w:tcW w:type="dxa" w:w="1440"/>
            <w:shd w:fill="C6EFCE" w:val="clear"/>
          </w:tcPr>
          <w:p>
            <w:r>
              <w:rPr>
                <w:b/>
                <w:color w:val="008000"/>
                <w:sz w:val="17"/>
              </w:rPr>
              <w:t>+2.1%</w:t>
            </w:r>
          </w:p>
        </w:tc>
      </w:tr>
      <w:tr>
        <w:tc>
          <w:tcPr>
            <w:tcW w:type="dxa" w:w="1440"/>
            <w:shd w:fill="C6EFCE" w:val="clear"/>
          </w:tcPr>
          <w:p>
            <w:r>
              <w:rPr>
                <w:sz w:val="17"/>
              </w:rPr>
              <w:t>J+3  Moyenne</w:t>
            </w:r>
          </w:p>
        </w:tc>
        <w:tc>
          <w:tcPr>
            <w:tcW w:type="dxa" w:w="1440"/>
            <w:shd w:fill="C6EFCE" w:val="clear"/>
          </w:tcPr>
          <w:p>
            <w:r>
              <w:rPr>
                <w:sz w:val="17"/>
              </w:rPr>
              <w:t>2026-09-15</w:t>
            </w:r>
          </w:p>
        </w:tc>
        <w:tc>
          <w:tcPr>
            <w:tcW w:type="dxa" w:w="1440"/>
            <w:shd w:fill="C6EFCE" w:val="clear"/>
          </w:tcPr>
          <w:p>
            <w:r>
              <w:rPr>
                <w:sz w:val="17"/>
              </w:rPr>
              <w:t>3,745</w:t>
            </w:r>
          </w:p>
        </w:tc>
        <w:tc>
          <w:tcPr>
            <w:tcW w:type="dxa" w:w="1440"/>
            <w:shd w:fill="C6EFCE" w:val="clear"/>
          </w:tcPr>
          <w:p>
            <w:r>
              <w:rPr>
                <w:b/>
                <w:sz w:val="17"/>
              </w:rPr>
              <w:t>4,036</w:t>
            </w:r>
          </w:p>
        </w:tc>
        <w:tc>
          <w:tcPr>
            <w:tcW w:type="dxa" w:w="1440"/>
            <w:shd w:fill="C6EFCE" w:val="clear"/>
          </w:tcPr>
          <w:p>
            <w:r>
              <w:rPr>
                <w:sz w:val="17"/>
              </w:rPr>
              <w:t>4,326</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2026-09-16</w:t>
            </w:r>
          </w:p>
        </w:tc>
        <w:tc>
          <w:tcPr>
            <w:tcW w:type="dxa" w:w="1440"/>
            <w:shd w:fill="C6EFCE" w:val="clear"/>
          </w:tcPr>
          <w:p>
            <w:r>
              <w:rPr>
                <w:sz w:val="17"/>
              </w:rPr>
              <w:t>3,704</w:t>
            </w:r>
          </w:p>
        </w:tc>
        <w:tc>
          <w:tcPr>
            <w:tcW w:type="dxa" w:w="1440"/>
            <w:shd w:fill="C6EFCE" w:val="clear"/>
          </w:tcPr>
          <w:p>
            <w:r>
              <w:rPr>
                <w:b/>
                <w:sz w:val="17"/>
              </w:rPr>
              <w:t>4,040</w:t>
            </w:r>
          </w:p>
        </w:tc>
        <w:tc>
          <w:tcPr>
            <w:tcW w:type="dxa" w:w="1440"/>
            <w:shd w:fill="C6EFCE" w:val="clear"/>
          </w:tcPr>
          <w:p>
            <w:r>
              <w:rPr>
                <w:sz w:val="17"/>
              </w:rPr>
              <w:t>4,375</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2026-09-17</w:t>
            </w:r>
          </w:p>
        </w:tc>
        <w:tc>
          <w:tcPr>
            <w:tcW w:type="dxa" w:w="1440"/>
            <w:shd w:fill="C6EFCE" w:val="clear"/>
          </w:tcPr>
          <w:p>
            <w:r>
              <w:rPr>
                <w:sz w:val="17"/>
              </w:rPr>
              <w:t>3,680</w:t>
            </w:r>
          </w:p>
        </w:tc>
        <w:tc>
          <w:tcPr>
            <w:tcW w:type="dxa" w:w="1440"/>
            <w:shd w:fill="C6EFCE" w:val="clear"/>
          </w:tcPr>
          <w:p>
            <w:r>
              <w:rPr>
                <w:b/>
                <w:sz w:val="17"/>
              </w:rPr>
              <w:t>4,057</w:t>
            </w:r>
          </w:p>
        </w:tc>
        <w:tc>
          <w:tcPr>
            <w:tcW w:type="dxa" w:w="1440"/>
            <w:shd w:fill="C6EFCE" w:val="clear"/>
          </w:tcPr>
          <w:p>
            <w:r>
              <w:rPr>
                <w:sz w:val="17"/>
              </w:rPr>
              <w:t>4,434</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2026-09-18</w:t>
            </w:r>
          </w:p>
        </w:tc>
        <w:tc>
          <w:tcPr>
            <w:tcW w:type="dxa" w:w="1440"/>
            <w:shd w:fill="C6EFCE" w:val="clear"/>
          </w:tcPr>
          <w:p>
            <w:r>
              <w:rPr>
                <w:sz w:val="17"/>
              </w:rPr>
              <w:t>3,665</w:t>
            </w:r>
          </w:p>
        </w:tc>
        <w:tc>
          <w:tcPr>
            <w:tcW w:type="dxa" w:w="1440"/>
            <w:shd w:fill="C6EFCE" w:val="clear"/>
          </w:tcPr>
          <w:p>
            <w:r>
              <w:rPr>
                <w:b/>
                <w:sz w:val="17"/>
              </w:rPr>
              <w:t>4,081</w:t>
            </w:r>
          </w:p>
        </w:tc>
        <w:tc>
          <w:tcPr>
            <w:tcW w:type="dxa" w:w="1440"/>
            <w:shd w:fill="C6EFCE" w:val="clear"/>
          </w:tcPr>
          <w:p>
            <w:r>
              <w:rPr>
                <w:sz w:val="17"/>
              </w:rPr>
              <w:t>4,496</w:t>
            </w:r>
          </w:p>
        </w:tc>
        <w:tc>
          <w:tcPr>
            <w:tcW w:type="dxa" w:w="1440"/>
            <w:shd w:fill="C6EFCE" w:val="clear"/>
          </w:tcPr>
          <w:p>
            <w:r>
              <w:rPr>
                <w:b/>
                <w:color w:val="008000"/>
                <w:sz w:val="17"/>
              </w:rPr>
              <w:t>+3.3%</w:t>
            </w:r>
          </w:p>
        </w:tc>
      </w:tr>
      <w:tr>
        <w:tc>
          <w:tcPr>
            <w:tcW w:type="dxa" w:w="1440"/>
            <w:shd w:fill="C6EFCE" w:val="clear"/>
          </w:tcPr>
          <w:p>
            <w:r>
              <w:rPr>
                <w:sz w:val="17"/>
              </w:rPr>
              <w:t>J+7  ⭐</w:t>
            </w:r>
          </w:p>
        </w:tc>
        <w:tc>
          <w:tcPr>
            <w:tcW w:type="dxa" w:w="1440"/>
            <w:shd w:fill="C6EFCE" w:val="clear"/>
          </w:tcPr>
          <w:p>
            <w:r>
              <w:rPr>
                <w:sz w:val="17"/>
              </w:rPr>
              <w:t>2026-09-21</w:t>
            </w:r>
          </w:p>
        </w:tc>
        <w:tc>
          <w:tcPr>
            <w:tcW w:type="dxa" w:w="1440"/>
            <w:shd w:fill="C6EFCE" w:val="clear"/>
          </w:tcPr>
          <w:p>
            <w:r>
              <w:rPr>
                <w:sz w:val="17"/>
              </w:rPr>
              <w:t>3,660</w:t>
            </w:r>
          </w:p>
        </w:tc>
        <w:tc>
          <w:tcPr>
            <w:tcW w:type="dxa" w:w="1440"/>
            <w:shd w:fill="C6EFCE" w:val="clear"/>
          </w:tcPr>
          <w:p>
            <w:r>
              <w:rPr>
                <w:b/>
                <w:sz w:val="17"/>
              </w:rPr>
              <w:t>4,112</w:t>
            </w:r>
          </w:p>
        </w:tc>
        <w:tc>
          <w:tcPr>
            <w:tcW w:type="dxa" w:w="1440"/>
            <w:shd w:fill="C6EFCE" w:val="clear"/>
          </w:tcPr>
          <w:p>
            <w:r>
              <w:rPr>
                <w:sz w:val="17"/>
              </w:rPr>
              <w:t>4,565</w:t>
            </w:r>
          </w:p>
        </w:tc>
        <w:tc>
          <w:tcPr>
            <w:tcW w:type="dxa" w:w="1440"/>
            <w:shd w:fill="C6EFCE" w:val="clear"/>
          </w:tcPr>
          <w:p>
            <w:r>
              <w:rPr>
                <w:b/>
                <w:color w:val="008000"/>
                <w:sz w:val="17"/>
              </w:rPr>
              <w:t>+4.1%</w:t>
            </w:r>
          </w:p>
        </w:tc>
      </w:tr>
      <w:tr>
        <w:tc>
          <w:tcPr>
            <w:tcW w:type="dxa" w:w="1440"/>
            <w:shd w:fill="C6EFCE" w:val="clear"/>
          </w:tcPr>
          <w:p>
            <w:r>
              <w:rPr>
                <w:sz w:val="17"/>
              </w:rPr>
              <w:t>J+8  ⭐</w:t>
            </w:r>
          </w:p>
        </w:tc>
        <w:tc>
          <w:tcPr>
            <w:tcW w:type="dxa" w:w="1440"/>
            <w:shd w:fill="C6EFCE" w:val="clear"/>
          </w:tcPr>
          <w:p>
            <w:r>
              <w:rPr>
                <w:sz w:val="17"/>
              </w:rPr>
              <w:t>2026-09-22</w:t>
            </w:r>
          </w:p>
        </w:tc>
        <w:tc>
          <w:tcPr>
            <w:tcW w:type="dxa" w:w="1440"/>
            <w:shd w:fill="C6EFCE" w:val="clear"/>
          </w:tcPr>
          <w:p>
            <w:r>
              <w:rPr>
                <w:sz w:val="17"/>
              </w:rPr>
              <w:t>3,647</w:t>
            </w:r>
          </w:p>
        </w:tc>
        <w:tc>
          <w:tcPr>
            <w:tcW w:type="dxa" w:w="1440"/>
            <w:shd w:fill="C6EFCE" w:val="clear"/>
          </w:tcPr>
          <w:p>
            <w:r>
              <w:rPr>
                <w:b/>
                <w:sz w:val="17"/>
              </w:rPr>
              <w:t>4,133</w:t>
            </w:r>
          </w:p>
        </w:tc>
        <w:tc>
          <w:tcPr>
            <w:tcW w:type="dxa" w:w="1440"/>
            <w:shd w:fill="C6EFCE" w:val="clear"/>
          </w:tcPr>
          <w:p>
            <w:r>
              <w:rPr>
                <w:sz w:val="17"/>
              </w:rPr>
              <w:t>4,619</w:t>
            </w:r>
          </w:p>
        </w:tc>
        <w:tc>
          <w:tcPr>
            <w:tcW w:type="dxa" w:w="1440"/>
            <w:shd w:fill="C6EFCE" w:val="clear"/>
          </w:tcPr>
          <w:p>
            <w:r>
              <w:rPr>
                <w:b/>
                <w:color w:val="008000"/>
                <w:sz w:val="17"/>
              </w:rPr>
              <w:t>+4.6%</w:t>
            </w:r>
          </w:p>
        </w:tc>
      </w:tr>
      <w:tr>
        <w:tc>
          <w:tcPr>
            <w:tcW w:type="dxa" w:w="1440"/>
            <w:shd w:fill="C6EFCE" w:val="clear"/>
          </w:tcPr>
          <w:p>
            <w:r>
              <w:rPr>
                <w:sz w:val="17"/>
              </w:rPr>
              <w:t>J+9  ⭐</w:t>
            </w:r>
          </w:p>
        </w:tc>
        <w:tc>
          <w:tcPr>
            <w:tcW w:type="dxa" w:w="1440"/>
            <w:shd w:fill="C6EFCE" w:val="clear"/>
          </w:tcPr>
          <w:p>
            <w:r>
              <w:rPr>
                <w:sz w:val="17"/>
              </w:rPr>
              <w:t>2026-09-23</w:t>
            </w:r>
          </w:p>
        </w:tc>
        <w:tc>
          <w:tcPr>
            <w:tcW w:type="dxa" w:w="1440"/>
            <w:shd w:fill="C6EFCE" w:val="clear"/>
          </w:tcPr>
          <w:p>
            <w:r>
              <w:rPr>
                <w:sz w:val="17"/>
              </w:rPr>
              <w:t>3,647</w:t>
            </w:r>
          </w:p>
        </w:tc>
        <w:tc>
          <w:tcPr>
            <w:tcW w:type="dxa" w:w="1440"/>
            <w:shd w:fill="C6EFCE" w:val="clear"/>
          </w:tcPr>
          <w:p>
            <w:r>
              <w:rPr>
                <w:b/>
                <w:sz w:val="17"/>
              </w:rPr>
              <w:t>4,166</w:t>
            </w:r>
          </w:p>
        </w:tc>
        <w:tc>
          <w:tcPr>
            <w:tcW w:type="dxa" w:w="1440"/>
            <w:shd w:fill="C6EFCE" w:val="clear"/>
          </w:tcPr>
          <w:p>
            <w:r>
              <w:rPr>
                <w:sz w:val="17"/>
              </w:rPr>
              <w:t>4,686</w:t>
            </w:r>
          </w:p>
        </w:tc>
        <w:tc>
          <w:tcPr>
            <w:tcW w:type="dxa" w:w="1440"/>
            <w:shd w:fill="C6EFCE" w:val="clear"/>
          </w:tcPr>
          <w:p>
            <w:r>
              <w:rPr>
                <w:b/>
                <w:color w:val="008000"/>
                <w:sz w:val="17"/>
              </w:rPr>
              <w:t>+5.5%</w:t>
            </w:r>
          </w:p>
        </w:tc>
      </w:tr>
      <w:tr>
        <w:tc>
          <w:tcPr>
            <w:tcW w:type="dxa" w:w="1440"/>
            <w:shd w:fill="C6EFCE" w:val="clear"/>
          </w:tcPr>
          <w:p>
            <w:r>
              <w:rPr>
                <w:sz w:val="17"/>
              </w:rPr>
              <w:t>J+10  ⭐</w:t>
            </w:r>
          </w:p>
        </w:tc>
        <w:tc>
          <w:tcPr>
            <w:tcW w:type="dxa" w:w="1440"/>
            <w:shd w:fill="C6EFCE" w:val="clear"/>
          </w:tcPr>
          <w:p>
            <w:r>
              <w:rPr>
                <w:sz w:val="17"/>
              </w:rPr>
              <w:t>2026-09-24</w:t>
            </w:r>
          </w:p>
        </w:tc>
        <w:tc>
          <w:tcPr>
            <w:tcW w:type="dxa" w:w="1440"/>
            <w:shd w:fill="C6EFCE" w:val="clear"/>
          </w:tcPr>
          <w:p>
            <w:r>
              <w:rPr>
                <w:sz w:val="17"/>
              </w:rPr>
              <w:t>3,626</w:t>
            </w:r>
          </w:p>
        </w:tc>
        <w:tc>
          <w:tcPr>
            <w:tcW w:type="dxa" w:w="1440"/>
            <w:shd w:fill="C6EFCE" w:val="clear"/>
          </w:tcPr>
          <w:p>
            <w:r>
              <w:rPr>
                <w:b/>
                <w:sz w:val="17"/>
              </w:rPr>
              <w:t>4,174</w:t>
            </w:r>
          </w:p>
        </w:tc>
        <w:tc>
          <w:tcPr>
            <w:tcW w:type="dxa" w:w="1440"/>
            <w:shd w:fill="C6EFCE" w:val="clear"/>
          </w:tcPr>
          <w:p>
            <w:r>
              <w:rPr>
                <w:sz w:val="17"/>
              </w:rPr>
              <w:t>4,723</w:t>
            </w:r>
          </w:p>
        </w:tc>
        <w:tc>
          <w:tcPr>
            <w:tcW w:type="dxa" w:w="1440"/>
            <w:shd w:fill="C6EFCE" w:val="clear"/>
          </w:tcPr>
          <w:p>
            <w:r>
              <w:rPr>
                <w:b/>
                <w:color w:val="008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de l'analyse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79,00 milliards FCFA, LNBB se positionne comme une valeur de taille moyenne sur le compartiment des sociétés non bancaires de la BRVM, représentant un poids significatif dans l'indice composite. Le BPA de 231 FCFA/action signifie que chaque titre LNBB génère un bénéfice net de 231 FCFA, ce qui, rapporté au cours actuel de 3 950 FCFA, offre un rendement bénéficiaire implicite de 5,85%. Le PER de 17,1x traduit une valorisation modérée mais supérieure à la moyenne du marché BRVM (généralement comprise entre 8 et 12x), ce qui indique que les investisseurs acceptent de payer une prime pour la qualité de la signature et la régularité des dividendes de l'opérateur historique de la loterie béninoise. Le P/B de 3,60x montre que le marché valorise l'entreprise à plus de trois fois sa valeur comptable, une prime de croissance justifiée par un ROE élevé (21,05%) et une structure financière très saine. Enfin, l'EV/EBITDA de 10,0x situe la valeur d'entreprise à dix fois sa capacité opérationnelle, un niveau raisonnable qui n'implique ni décote excessive ni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progression globale de +2,33%, mais la dernière séance (J-1) s'est soldée par un repli de -2,47%, signalant une pression vendeuse récente. Le cours actuel de 3 950 FCFA se situe dans la partie basse du range de trading établi entre un plus bas de 3 825 FCFA et un plus haut de 4 560 FCFA, ce qui traduit une tendance générale baissière depuis le pic, avec une tentative de stabilisation autour de 3 900-4 000 FCFA. Les statistiques descriptives révèlent une moyenne de 4 066 FCFA légèrement supérieure à la médiane de 4 002 FCFA, confirmant une asymétrie positive (skewness de 0,554) avec davantage de journées de cotation sous la moyenne — le cours actuel étant lui-même inférieur à ces deux références. L'écart-type de 196 FCFA, associé à un coefficient de variation de seulement 4,8%, indique une dispersion relativement faible du cours autour de sa moyenne, ce qui est rassurant pour la stabilité du titre. Le kurtosis de -0,891 (mésokurtique) suggère une distribution proche de la normale, sans risque excessif de pics de volatilité extrêmes, tandis que la volatilité annualisée de 37,7% classe le titre dans la catégorie des valeurs à volatilité élevée (&gt;30%), ce qui est cohérent avec la faible liquidité du marché BRVM et le volume moyen quotidien de 4 357 titres.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4 047,25 FCFA et la MM50 à 4 199,0 FCFA, toutes deux supérieures au cours actuel de 3 950 FCFA. Cette configuration baissière (cours sous ses deux moyennes) confirme la pression vendeuse et justifie la décision technique de « Vente » émise par le système, le croisement des moyennes n'étant pas encore favorable à un retournement.</w:t>
      </w:r>
    </w:p>
    <w:p>
      <w:pPr>
        <w:spacing w:after="120" w:line="276" w:lineRule="auto"/>
      </w:pPr>
      <w:r>
        <w:t>**Bandes de Bollinger :** La borne supérieure se situe à 4 179,22 FCFA et la borne inférieure à 3 915,28 FCFA, avec un cours actuel de 3 950 FCFA qui évolue très près de la bande basse. Cette position indique une pression baissière mais aussi une possible zone de survente technique, la décision « Neutre » reflétant l'absence de signal clair de retournement malgré la proximité du support.</w:t>
      </w:r>
    </w:p>
    <w:p>
      <w:pPr>
        <w:spacing w:after="120" w:line="276" w:lineRule="auto"/>
      </w:pPr>
      <w:r>
        <w:t>**MACD :** La valeur du MACD (-54,84) est légèrement inférieure à son signal (-54,218), confirmant un momentum baissier persistant. La divergence négative entre les deux lignes justifie la décision de « Vente », le croisement baissier n'ayant pas encore été invalidé par un retournement haussier.</w:t>
      </w:r>
    </w:p>
    <w:p>
      <w:pPr>
        <w:spacing w:after="120" w:line="276" w:lineRule="auto"/>
      </w:pPr>
      <w:r>
        <w:t>**RSI :** À 39,286, le RSI se situe dans la zone neutre basse (30-70), sans atteindre le seuil de survente (&lt;30). La décision « Neutre » est cohérente : le titre n'est ni suracheté ni survendu, mais la faiblesse du momentum appelle à la prudence avant tout achat.</w:t>
      </w:r>
    </w:p>
    <w:p>
      <w:pPr>
        <w:spacing w:after="120" w:line="276" w:lineRule="auto"/>
      </w:pPr>
      <w:r>
        <w:t>**Stochastique :** Le %K (25,0) est nettement inférieur au %D (57,143), signalant un croisement baissier récent et une dynamique négative à court terme. La décision « Neutre » tempère ce signal baissier, le %K approchant toutefois de la zone de survente (&lt;20) qui pourrait annoncer un rebond technique.</w:t>
      </w:r>
    </w:p>
    <w:p>
      <w:pPr>
        <w:spacing w:after="120" w:line="276" w:lineRule="auto"/>
      </w:pPr>
      <w:r>
        <w:t>**Conclusion technique :** L'ensemble des indicateurs techniques penche majoritairement vers une tendance baissière à court terme (MM, MACD, Stochastique), avec un RSI et des Bandes de Bollinger qui suggèrent une possible zone de survente proche. Le titre évolue sous ses moyennes mobiles et près de sa bande inférieure, ce qui invite à la prudence : un rebond technique est possible mais non confirmé, et la prudence reste de mise tant que le cours ne repasse pas au-dessus de la MM20 (4 047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LNBB a réalisé un chiffre d'affaires de 98,598 milliards FCFA, en baisse de -3,85% par rapport à 2024, et un résultat net de 4,622 milliards FCFA, en recul de -35,6% (contre 7,18 milliards en 2024). Le ROE s'établit à 21,05% (excellent, &gt;15%) et le ROA à 14,17%, confirmant la forte rentabilité des fonds propres et des actifs malgré la contraction des résultats. La marge nette de 4,69% et la marge opérationnelle de 6,47% restent positives mais sous pression, tandis que la marge brute de 10,70% reflète la structure de coûts de l'activité. La structure financière est remarquablement solide : autonomie financière de 67,32%, ratio d'endettement de seulement 2,57%, liquidité générale de 184,84% et trésorerie nette positive de 7,979 milliards FCFA. Le BFR est quasi nul (217,45 millions FCFA), les délais clients sont très courts (4,82 jours) et les délais fournisseurs de 20,41 jours, traduisant une gestion rigoureuse du besoin en fonds de roulement. La rotation des actifs de 302,37% démontre une excellente efficacité opérationnelle.</w:t>
      </w:r>
    </w:p>
    <w:p>
      <w:pPr>
        <w:spacing w:after="120" w:line="276" w:lineRule="auto"/>
      </w:pPr>
      <w:r>
        <w:t>**Adaptation au secteur (Entreprise non bancaire) :** L'analyse des délais d'exploitation confirme la qualité de la gestion : délai client de 4,82 jours (très faible, pas de risque de trésorerie), délai fournisseur de 20,41 jours (favorable à la trésorerie) et durée de stockage de 1,56 jour (rotation très rapide). Le BFR positif mais marginal (217,45 millions FCFA) n'affecte pas la trésorerie, et la couverture des intérêts par le résultat d'exploitation (9 153%) témoigne d'une capacité de remboursement hors norme.</w:t>
      </w:r>
    </w:p>
    <w:p>
      <w:pPr>
        <w:spacing w:after="120" w:line="276" w:lineRule="auto"/>
      </w:pPr>
      <w:r>
        <w:t>**Estimations basées sur les rapports trimestriels :** Le rapport du T1 2026 (publié le 12 juin 2026) indique un chiffre d'affaires de 25,521 milliards FCFA (+6%) mais un résultat net en chute de -46% à 848 millions FCFA, en raison d'un mix produit défavorable (pari sportif à 95% de taux de retour). Le rapport du S1 2026 (publié le 30 juillet 2026) fait état d'un CA de 49,937 milliards FCFA (+4%) et d'un résultat net en hausse de +60% par rapport au S1 2025, avec un résultat d'exploitation en progression de +40%, grâce à la maîtrise des charges et aux revenus de partenariats. On estime donc que l'exercice 2026 devrait afficher une reprise de la rentabilité nette, portée par le digital et les partenariats B2B, malgré la pression sur le produit brut des jeux (-9% au S1 2026). Le dividende brut proposé de 173 FCFA/action (net de 164 FCFA, payable le 2 août 2026) offre un rendement de 4,38% au cours actuel, confirmant la générosité de la politique de distribution (environ 80% du résultat net).</w:t>
      </w:r>
    </w:p>
    <w:p>
      <w:pPr>
        <w:spacing w:after="120" w:line="276" w:lineRule="auto"/>
      </w:pPr>
      <w:r>
        <w:t>**Recommandation fondamentale :** La solidité financière est exceptionnelle (capitaux propres de 21,954 milliards FCFA, trésorerie nette positive, endettement quasi nul), et la rentabilité opérationnelle sous-jacente s'améliore (EBE +34% en 2025, résultat d'exploitation +40% au S1 2026). Les risques principaux restent la concurrence illégale, la dépendance croissante au pari sportif à faible marge et la pression sur le produit brut des jeux. La recommandation fondamentale est de **CONSERVER** le titre, avec un potentiel de revalorisation à moyen terme si la stratégie de rééquilibrage du mix produit porte ses fruits.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**Valorisation (Partie 0)** : le PER de 17,1x et le P/B de 3,60x indiquent une valorisation modérément supérieure à la moyenne du marché BRVM, mais justifiée par un ROE de 21,05% et une politique de dividende généreuse (rendement de 4,38%) ; l'EV/EBITDA de 10,0x reste raisonnable. **Comportement du cours (Partie 1)** : la tendance baissière récente (-2,47% en J-1), la position sous les moyennes mobiles et la volatilité élevée (37,7%) sont préoccupantes à court terme, mais la faible dispersion (CV de 4,8%) et la distribution mésokurtique limitent le risque de mouvements extrêmes. **Signaux techniques (Partie 2)** : la convergence baissière des MM, du MACD et du Stochastique contraste avec un RSI neutre et des Bandes de Bollinger proches de la survente, suggérant un possible rebond technique mais sans confirmation. **Fondamentaux (Partie 3)** : la solidité financière est exceptionnelle (autonomie financière de 67,32%, trésorerie nette de 7,979 milliards FCFA), et les rapports S1 2026 (CA +4%, résultat net +60%) confirment une reprise de la rentabilité, bien que le produit brut des jeux recule de -9%. **Prédictions IA (J+1 à J+10)** : la trajectoire projetée (4 026 FCFA à 4 057 FCFA) est haussière et contredit les signaux techniques baissiers à court terme, suggérant un rebond progressif au-dessus du cours actuel de 3 950 FCFA.</w:t>
      </w:r>
    </w:p>
    <w:p>
      <w:pPr>
        <w:spacing w:after="120" w:line="276" w:lineRule="auto"/>
      </w:pPr>
      <w:r>
        <w:t>**Recommandation finale : CONSERVER**, avec un biais positif à moyen terme. La convergence entre la valorisation raisonnable, la solidité fondamentale, la reprise de la rentabilité au S1 2026 et les prédictions IA haussières l'emporte sur les signaux techniques baissiers à court terme. Le niveau de confiance est **Moyen** (les rapports trimestriels ne fournissent pas tous les chiffres absolus, et la pression sur les marges reste un risque). Le niveau de risque global est **Moyen** (volatilité élevée mais fondamentaux solides). L'horizon d'investissement optimal est le **moyen terme (3-12 mois)**, en attendant la confirmation de l'amélioration des marges au S2 2026 et l'impact des nouveaux produits de loterie. Un renforcement de la position serait justifié si le cours repasse durablement au-dessus de la MM20 (4 047 FCFA) et si le produit brut des jeux se stabilise.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5,085 titres</w:t>
            </w:r>
          </w:p>
        </w:tc>
        <w:tc>
          <w:tcPr>
            <w:tcW w:type="dxa" w:w="2268"/>
            <w:shd w:fill="FFF2CC" w:val="clear"/>
          </w:tcPr>
          <w:p>
            <w:r>
              <w:rPr>
                <w:b/>
                <w:color w:val="503200"/>
                <w:sz w:val="16"/>
              </w:rPr>
              <w:t xml:space="preserve">Cours actuel : </w:t>
            </w:r>
            <w:r>
              <w:rPr>
                <w:color w:val="000000"/>
                <w:sz w:val="17"/>
              </w:rPr>
              <w:t>2,825 FCFA</w:t>
            </w:r>
          </w:p>
          <w:p>
            <w:r>
              <w:rPr>
                <w:b/>
                <w:color w:val="503200"/>
                <w:sz w:val="16"/>
              </w:rPr>
              <w:t xml:space="preserve">Var. 100 jours : </w:t>
            </w:r>
            <w:r>
              <w:rPr>
                <w:b/>
                <w:color w:val="007800"/>
                <w:sz w:val="17"/>
              </w:rPr>
              <w:t>+104.71%</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17.08% (Élevée) — μ=2,168 FCFA, σ=370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β=-0.2018 (Contre-cyclique) — Cov=-0.000007, Var(idx)=0.000035, ρ=-0.035,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5,085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σ_j=3.55%/j (Modérée) — Vol. annualisée≈56.4%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2,454</w:t>
            </w:r>
          </w:p>
        </w:tc>
        <w:tc>
          <w:tcPr>
            <w:tcW w:type="dxa" w:w="1440"/>
            <w:shd w:fill="FFDCE0" w:val="clear"/>
          </w:tcPr>
          <w:p>
            <w:r>
              <w:rPr>
                <w:b/>
                <w:sz w:val="17"/>
              </w:rPr>
              <w:t>2,613</w:t>
            </w:r>
          </w:p>
        </w:tc>
        <w:tc>
          <w:tcPr>
            <w:tcW w:type="dxa" w:w="1440"/>
            <w:shd w:fill="FFDCE0" w:val="clear"/>
          </w:tcPr>
          <w:p>
            <w:r>
              <w:rPr>
                <w:sz w:val="17"/>
              </w:rPr>
              <w:t>2,773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2,208</w:t>
            </w:r>
          </w:p>
        </w:tc>
        <w:tc>
          <w:tcPr>
            <w:tcW w:type="dxa" w:w="1440"/>
            <w:shd w:fill="FFDCE0" w:val="clear"/>
          </w:tcPr>
          <w:p>
            <w:r>
              <w:rPr>
                <w:b/>
                <w:sz w:val="17"/>
              </w:rPr>
              <w:t>2,417</w:t>
            </w:r>
          </w:p>
        </w:tc>
        <w:tc>
          <w:tcPr>
            <w:tcW w:type="dxa" w:w="1440"/>
            <w:shd w:fill="FFDCE0" w:val="clear"/>
          </w:tcPr>
          <w:p>
            <w:r>
              <w:rPr>
                <w:sz w:val="17"/>
              </w:rPr>
              <w:t>2,626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1,999</w:t>
            </w:r>
          </w:p>
        </w:tc>
        <w:tc>
          <w:tcPr>
            <w:tcW w:type="dxa" w:w="1440"/>
            <w:shd w:fill="FFDCE0" w:val="clear"/>
          </w:tcPr>
          <w:p>
            <w:r>
              <w:rPr>
                <w:b/>
                <w:sz w:val="17"/>
              </w:rPr>
              <w:t>2,236</w:t>
            </w:r>
          </w:p>
        </w:tc>
        <w:tc>
          <w:tcPr>
            <w:tcW w:type="dxa" w:w="1440"/>
            <w:shd w:fill="FFDCE0" w:val="clear"/>
          </w:tcPr>
          <w:p>
            <w:r>
              <w:rPr>
                <w:sz w:val="17"/>
              </w:rPr>
              <w:t>2,472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1,816</w:t>
            </w:r>
          </w:p>
        </w:tc>
        <w:tc>
          <w:tcPr>
            <w:tcW w:type="dxa" w:w="1440"/>
            <w:shd w:fill="FFDCE0" w:val="clear"/>
          </w:tcPr>
          <w:p>
            <w:r>
              <w:rPr>
                <w:b/>
                <w:sz w:val="17"/>
              </w:rPr>
              <w:t>2,068</w:t>
            </w:r>
          </w:p>
        </w:tc>
        <w:tc>
          <w:tcPr>
            <w:tcW w:type="dxa" w:w="1440"/>
            <w:shd w:fill="FFDCE0" w:val="clear"/>
          </w:tcPr>
          <w:p>
            <w:r>
              <w:rPr>
                <w:sz w:val="17"/>
              </w:rPr>
              <w:t>2,321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1,652</w:t>
            </w:r>
          </w:p>
        </w:tc>
        <w:tc>
          <w:tcPr>
            <w:tcW w:type="dxa" w:w="1440"/>
            <w:shd w:fill="FFDCE0" w:val="clear"/>
          </w:tcPr>
          <w:p>
            <w:r>
              <w:rPr>
                <w:b/>
                <w:sz w:val="17"/>
              </w:rPr>
              <w:t>1,913</w:t>
            </w:r>
          </w:p>
        </w:tc>
        <w:tc>
          <w:tcPr>
            <w:tcW w:type="dxa" w:w="1440"/>
            <w:shd w:fill="FFDCE0" w:val="clear"/>
          </w:tcPr>
          <w:p>
            <w:r>
              <w:rPr>
                <w:sz w:val="17"/>
              </w:rPr>
              <w:t>2,174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1,505</w:t>
            </w:r>
          </w:p>
        </w:tc>
        <w:tc>
          <w:tcPr>
            <w:tcW w:type="dxa" w:w="1440"/>
            <w:shd w:fill="FFDCE0" w:val="clear"/>
          </w:tcPr>
          <w:p>
            <w:r>
              <w:rPr>
                <w:b/>
                <w:sz w:val="17"/>
              </w:rPr>
              <w:t>1,770</w:t>
            </w:r>
          </w:p>
        </w:tc>
        <w:tc>
          <w:tcPr>
            <w:tcW w:type="dxa" w:w="1440"/>
            <w:shd w:fill="FFDCE0" w:val="clear"/>
          </w:tcPr>
          <w:p>
            <w:r>
              <w:rPr>
                <w:sz w:val="17"/>
              </w:rPr>
              <w:t>2,034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1,413</w:t>
            </w:r>
          </w:p>
        </w:tc>
        <w:tc>
          <w:tcPr>
            <w:tcW w:type="dxa" w:w="1440"/>
            <w:shd w:fill="FFDCE0" w:val="clear"/>
          </w:tcPr>
          <w:p>
            <w:r>
              <w:rPr>
                <w:b/>
                <w:sz w:val="17"/>
              </w:rPr>
              <w:t>1,685</w:t>
            </w:r>
          </w:p>
        </w:tc>
        <w:tc>
          <w:tcPr>
            <w:tcW w:type="dxa" w:w="1440"/>
            <w:shd w:fill="FFDCE0" w:val="clear"/>
          </w:tcPr>
          <w:p>
            <w:r>
              <w:rPr>
                <w:sz w:val="17"/>
              </w:rPr>
              <w:t>1,958</w:t>
            </w:r>
          </w:p>
        </w:tc>
        <w:tc>
          <w:tcPr>
            <w:tcW w:type="dxa" w:w="1440"/>
            <w:shd w:fill="FFDCE0" w:val="clear"/>
          </w:tcPr>
          <w:p>
            <w:r>
              <w:rPr>
                <w:b/>
                <w:color w:val="C00000"/>
                <w:sz w:val="17"/>
              </w:rPr>
              <w:t>-40.3%</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1,339</w:t>
            </w:r>
          </w:p>
        </w:tc>
        <w:tc>
          <w:tcPr>
            <w:tcW w:type="dxa" w:w="1440"/>
            <w:shd w:fill="FFDCE0" w:val="clear"/>
          </w:tcPr>
          <w:p>
            <w:r>
              <w:rPr>
                <w:b/>
                <w:sz w:val="17"/>
              </w:rPr>
              <w:t>1,619</w:t>
            </w:r>
          </w:p>
        </w:tc>
        <w:tc>
          <w:tcPr>
            <w:tcW w:type="dxa" w:w="1440"/>
            <w:shd w:fill="FFDCE0" w:val="clear"/>
          </w:tcPr>
          <w:p>
            <w:r>
              <w:rPr>
                <w:sz w:val="17"/>
              </w:rPr>
              <w:t>1,899</w:t>
            </w:r>
          </w:p>
        </w:tc>
        <w:tc>
          <w:tcPr>
            <w:tcW w:type="dxa" w:w="1440"/>
            <w:shd w:fill="FFDCE0" w:val="clear"/>
          </w:tcPr>
          <w:p>
            <w:r>
              <w:rPr>
                <w:b/>
                <w:color w:val="C00000"/>
                <w:sz w:val="17"/>
              </w:rPr>
              <w:t>-42.7%</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1,274</w:t>
            </w:r>
          </w:p>
        </w:tc>
        <w:tc>
          <w:tcPr>
            <w:tcW w:type="dxa" w:w="1440"/>
            <w:shd w:fill="FFDCE0" w:val="clear"/>
          </w:tcPr>
          <w:p>
            <w:r>
              <w:rPr>
                <w:b/>
                <w:sz w:val="17"/>
              </w:rPr>
              <w:t>1,560</w:t>
            </w:r>
          </w:p>
        </w:tc>
        <w:tc>
          <w:tcPr>
            <w:tcW w:type="dxa" w:w="1440"/>
            <w:shd w:fill="FFDCE0" w:val="clear"/>
          </w:tcPr>
          <w:p>
            <w:r>
              <w:rPr>
                <w:sz w:val="17"/>
              </w:rPr>
              <w:t>1,846</w:t>
            </w:r>
          </w:p>
        </w:tc>
        <w:tc>
          <w:tcPr>
            <w:tcW w:type="dxa" w:w="1440"/>
            <w:shd w:fill="FFDCE0" w:val="clear"/>
          </w:tcPr>
          <w:p>
            <w:r>
              <w:rPr>
                <w:b/>
                <w:color w:val="C00000"/>
                <w:sz w:val="17"/>
              </w:rPr>
              <w:t>-44.8%</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1,215</w:t>
            </w:r>
          </w:p>
        </w:tc>
        <w:tc>
          <w:tcPr>
            <w:tcW w:type="dxa" w:w="1440"/>
            <w:shd w:fill="FFDCE0" w:val="clear"/>
          </w:tcPr>
          <w:p>
            <w:r>
              <w:rPr>
                <w:b/>
                <w:sz w:val="17"/>
              </w:rPr>
              <w:t>1,506</w:t>
            </w:r>
          </w:p>
        </w:tc>
        <w:tc>
          <w:tcPr>
            <w:tcW w:type="dxa" w:w="1440"/>
            <w:shd w:fill="FFDCE0" w:val="clear"/>
          </w:tcPr>
          <w:p>
            <w:r>
              <w:rPr>
                <w:sz w:val="17"/>
              </w:rPr>
              <w:t>1,797</w:t>
            </w:r>
          </w:p>
        </w:tc>
        <w:tc>
          <w:tcPr>
            <w:tcW w:type="dxa" w:w="1440"/>
            <w:shd w:fill="FFDCE0" w:val="clear"/>
          </w:tcPr>
          <w:p>
            <w:r>
              <w:rPr>
                <w:b/>
                <w:color w:val="C00000"/>
                <w:sz w:val="17"/>
              </w:rPr>
              <w:t>-46.7%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36,06 milliards FCFA, NEIC s'inscrit dans la catégorie des valeurs moyennes de la cote BRVM, ce qui traduit une liquidité limitée mais une certaine visibilité institutionnelle. Le BPA de 160 FCFA/action signifie que chaque titre génère 160 FCFA de bénéfice net, ce qui, rapporté au cours actuel de 2 825 FCFA, donne un PER de 17,7x — nettement supérieur à la moyenne BRVM (~8-12x), signalant que le marché paie une prime de croissance significative par rapport aux bénéfices réellement dégagés. Le P/B de 6,27x confirme cette exubérance : le titre se négocie à plus de six fois la valeur comptable, une prime très élevée qui suppose une forte anticipation de rentabilité future. Enfin, l'EV/EBITDA de 26,7x (bien au-delà du seuil de 15x) indique que la valeur d'entreprise intègre une capacité opérationnelle déjà largement valorisée, laissant peu de marge d'erreur en cas de déception sur les résultats. L'ensemble de ces ratios dessine une valorisation exigeante, voire tendue, qui n'est justifiable que par une accélération durable des bénéfices.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affiche une performance spectaculaire de +104,71%, avec une dernière séance en hausse de +7,41%, portant le cours à 2 825 FCFA. Le range de trading est particulièrement large, oscillant entre un plus bas de 1 370 FCFA et un plus haut de 3 000 FCFA, soit un écart de plus de 119%, ce qui témoigne d'une tendance nettement haussière mais ponctuée de corrections violentes. La moyenne (2 168 FCFA) et la médiane (2 192 FCFA) sont très proches, confirmant une distribution globalement symétrique, ce que corrobore un skewness de 0,266 (quasi neutre). L'écart-type de 372 FCFA avec un coefficient de variation de 17,2% indique une dispersion modérée autour de la moyenne, mais la volatilité annualisée de 56,4% classe clairement le titre dans la catégorie des valeurs très volatiles (&gt;30%), ce qui implique un risque de drawdown important. Le kurtosis de 0,507 (mésokurtique) suggère une probabilité de pics extrêmes proche d'une loi normale, sans risque de queue épaisse marqué, mais le contexte de forte volatilité reste préoccupant. En synthèse, la tendance est haussière et dynamique, mais la volatilité élevée et le niveau actuel proche du plus haut historique (2 825 vs 3 000) invitent à la prudence sur les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(2 647,25 FCFA) et la MM50 (2 394,20 FCFA) sont toutes deux inférieures au cours actuel (2 825 FCFA), avec une MM20 au-dessus de la MM50 — configuration haussière classique (golden cross). Le cours évolue nettement au-dessus de ses moyennes, ce qui justifie la décision d'**Achat** par momentum, mais suggère aussi une possible extension excessive à court terme.</w:t>
      </w:r>
    </w:p>
    <w:p>
      <w:pPr>
        <w:spacing w:after="120" w:line="276" w:lineRule="auto"/>
      </w:pPr>
      <w:r>
        <w:t>**Bandes de Bollinger** : Le cours (2 825 FCFA) se situe entre la borne inférieure (1 972,76 FCFA) et la borne supérieure (3 321,74 FCFA), plus proche de la borne haute, ce qui traduit une pression acheteuse sans surachat extrême. La largeur des bandes (≈1 349 FCFA) confirme une volatilité élevée, et la décision **Neutre** reflète l'absence de signal directionnel fort à ce stade.</w:t>
      </w:r>
    </w:p>
    <w:p>
      <w:pPr>
        <w:spacing w:after="120" w:line="276" w:lineRule="auto"/>
      </w:pPr>
      <w:r>
        <w:t>**MACD** : La valeur du MACD (156,94) est légèrement inférieure à son signal (166,29), générant un croisement baissier et une décision de **Vente**. Ce divergence négative indique un essoufflement du momentum haussier, bien que les deux lignes restent en territoire positif, ce qui nuance le signal.</w:t>
      </w:r>
    </w:p>
    <w:p>
      <w:pPr>
        <w:spacing w:after="120" w:line="276" w:lineRule="auto"/>
      </w:pPr>
      <w:r>
        <w:t>**RSI** : À 69,23, le RSI est proche du seuil de surachat (70) sans le franchir, ce qui justifie la décision **Neutre**. Le titre conserve un potentiel haussier résiduel mais approche d'une zone où les corrections sont fréquentes.</w:t>
      </w:r>
    </w:p>
    <w:p>
      <w:pPr>
        <w:spacing w:after="120" w:line="276" w:lineRule="auto"/>
      </w:pPr>
      <w:r>
        <w:t>**Stochastique** : Le %K (70,83) est supérieur au %D (64,68), avec un croisement récent à la hausse, mais les deux indicateurs se situent en zone haute (&gt;70 pour %K), ce qui limite le potentiel de hausse immédiat. La décision **Neutre** est cohérente avec cette configuration.</w:t>
      </w:r>
    </w:p>
    <w:p>
      <w:pPr>
        <w:spacing w:after="120" w:line="276" w:lineRule="auto"/>
      </w:pPr>
      <w:r>
        <w:t>**Conclusion technique** : Les indicateurs sont globalement mitigés — les moyennes mobiles restent haussières, mais le MACD signale une vente et le RSI/Stochastique approchent de zones de surachat. Cette divergence suggère une phase de consolidation ou de correction imminente, avec un support clé à surveiller autour de la MM20 (2 647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NEIC affiche un chiffre d'affaires de 5,139 milliards FCFA, un résultat net de 2,037 milliards FCFA, un ROE exceptionnel de 35,39% et un ROA de 27,25%, des niveaux de rentabilité très élevés qui traduisent une excellente efficacité capitalistique. Cependant, le taux de croissance du CA est négatif (-23,80%), signalant une contraction de l'activité commerciale qui contraste avec la profitabilité. La structure financière est très saine : autonomie financière de 77,01%, liquidité générale de 448,86% et trésorerie nette de 4,196 milliards FCFA, ce qui offre une marge de sécurité confortable. En revanche, le délai clients de 154,72 jours est élevé et constitue un risque de trésorerie, tandis que le BFR de 1,498 milliard FCFA (positif) et le flux opérationnel négatif (-527,07 millions FCFA) interrogent sur la qualité de la conversion des bénéfices en cash. Les rapports trimestriels confirment cette dualité : le T3 2025 (rapport du 30/09/2025) affiche un CA en baisse de 35% à 3 406 millions FCFA, mais un résultat net exceptionnel de 1 596 millions FCFA (+125%) dû à une reprise de provision non récurrente — la performance opérationnelle sous-jacente est donc fragile. Le T1 2026 (rapport 2026) montre une reprise du CA (+137% à 115,1 millions FCFA) mais une perte nette persistante de -168,9 millions FCFA, confirmant que le redressement est en cours mais non abouti. Le rapport annuel 2025 (publié en 2025) indique un résultat net de 2,04 milliards FCFA (+169%) et un dividende de 2,04 milliards FCFA (100% du résultat), une politique généreuse mais qui limite l'autofinancement. En synthèse, la solidité financière et la rentabilité sont indéniables, mais la contraction du CA, la dépendance à des éléments non récurrents et le délai clients élevé constituent des risques majeurs. La recommandation fondamentale est **CONSERVER** avec une vigilance accrue sur la reprise durable de l'activité.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avec un PER de 17,7x, un P/B de 6,27x et un EV/EBITDA de 26,7x, ce qui intègre déjà une forte anticipation de croissance et laisse peu de marge d'erreur. Le comportement du cours (Partie 1) est haussier (+104,71% sur 100 jours) mais très volatil (56,4% annualisé), avec un cours proche du plus haut historique et des statistiques (kurtosis, skewness) qui ne signalent pas de risque extrême mais confirment une dispersion élevée. Les signaux techniques (Partie 2) sont divergents : les moyennes mobiles restent haussières, mais le MACD donne une vente et le RSI/Stochastique approchent du surachat, suggérant une consolidation imminente. Les fondamentaux (Partie 3) sont solides (ROE 35,39%, trésorerie nette 4,196 Mds FCFA) mais entachés par une contraction du CA (-23,80%) et une dépendance à des éléments non récurrents, avec un redressement encore fragile au T1 2026. Les prédictions IA (J+1 à J+10) anticipent une correction marquée, avec un cours passant de 2 613 FCFA à 1 913 FCFA en 10 jours, ce qui contredit la dynamique haussière récente et confirme les signaux techniques de vente. Sur la base de cette synthèse, la recommandation finale est **CONSERVER** avec un biais baissier à court terme : la convergence entre la valorisation tendue, les signaux techniques mitigés et les prédictions IA baissières invite à la prudence, tandis que la solidité fondamentale justifie de ne pas vendre massivement. Le niveau de confiance est **Moyen** (les indicateurs sont divergents) et le risque global est **Élevé** (volatilité 56,4%, valorisation exigeante, dépendance à des éléments non récurrents). L'horizon d'investissement optimal est **moyen terme (3-12 mois)**, en attendant une confirmation de la reprise durable du chiffre d'affaires et une normalisation de la valorisation.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593.63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2,460 titres</w:t>
            </w:r>
          </w:p>
        </w:tc>
        <w:tc>
          <w:tcPr>
            <w:tcW w:type="dxa" w:w="2268"/>
            <w:shd w:fill="FFF2CC" w:val="clear"/>
          </w:tcPr>
          <w:p>
            <w:r>
              <w:rPr>
                <w:b/>
                <w:color w:val="503200"/>
                <w:sz w:val="16"/>
              </w:rPr>
              <w:t xml:space="preserve">Cours actuel : </w:t>
            </w:r>
            <w:r>
              <w:rPr>
                <w:color w:val="000000"/>
                <w:sz w:val="17"/>
              </w:rPr>
              <w:t>24,000 FCFA</w:t>
            </w:r>
          </w:p>
          <w:p>
            <w:r>
              <w:rPr>
                <w:b/>
                <w:color w:val="503200"/>
                <w:sz w:val="16"/>
              </w:rPr>
              <w:t xml:space="preserve">Var. 100 jours : </w:t>
            </w:r>
            <w:r>
              <w:rPr>
                <w:b/>
                <w:color w:val="007800"/>
                <w:sz w:val="17"/>
              </w:rPr>
              <w:t>+69.07%</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29.5/100 → Moyen</w:t>
      </w:r>
    </w:p>
    <w:p>
      <w:pPr>
        <w:spacing w:before="40" w:after="80"/>
      </w:pPr>
      <w:r>
        <w:rPr>
          <w:rFonts w:ascii="Courier New" w:hAnsi="Courier New"/>
          <w:color w:val="825A00"/>
          <w:sz w:val="18"/>
        </w:rPr>
        <w:t>█████░░░░░░░░░░░░░░░  29.5/100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17.59% (Élevée) — μ=19,808 FCFA, σ=3,485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β=1.3094 (Agressif) — Cov=0.000046, Var(idx)=0.000035, ρ=0.309,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2026-09-11</w:t>
            </w:r>
          </w:p>
        </w:tc>
        <w:tc>
          <w:tcPr>
            <w:tcW w:type="dxa" w:w="1440"/>
            <w:shd w:fill="C6EFCE" w:val="clear"/>
          </w:tcPr>
          <w:p>
            <w:r>
              <w:rPr>
                <w:sz w:val="17"/>
              </w:rPr>
              <w:t>23,947</w:t>
            </w:r>
          </w:p>
        </w:tc>
        <w:tc>
          <w:tcPr>
            <w:tcW w:type="dxa" w:w="1440"/>
            <w:shd w:fill="C6EFCE" w:val="clear"/>
          </w:tcPr>
          <w:p>
            <w:r>
              <w:rPr>
                <w:b/>
                <w:sz w:val="17"/>
              </w:rPr>
              <w:t>24,648</w:t>
            </w:r>
          </w:p>
        </w:tc>
        <w:tc>
          <w:tcPr>
            <w:tcW w:type="dxa" w:w="1440"/>
            <w:shd w:fill="C6EFCE" w:val="clear"/>
          </w:tcPr>
          <w:p>
            <w:r>
              <w:rPr>
                <w:sz w:val="17"/>
              </w:rPr>
              <w:t>25,348</w:t>
            </w:r>
          </w:p>
        </w:tc>
        <w:tc>
          <w:tcPr>
            <w:tcW w:type="dxa" w:w="1440"/>
            <w:shd w:fill="C6EFCE" w:val="clear"/>
          </w:tcPr>
          <w:p>
            <w:r>
              <w:rPr>
                <w:b/>
                <w:color w:val="008000"/>
                <w:sz w:val="17"/>
              </w:rPr>
              <w:t>+2.7%</w:t>
            </w:r>
          </w:p>
        </w:tc>
      </w:tr>
      <w:tr>
        <w:tc>
          <w:tcPr>
            <w:tcW w:type="dxa" w:w="1440"/>
            <w:shd w:fill="C6EFCE" w:val="clear"/>
          </w:tcPr>
          <w:p>
            <w:r>
              <w:rPr>
                <w:sz w:val="17"/>
              </w:rPr>
              <w:t>J+2  ⭐⭐⭐</w:t>
            </w:r>
          </w:p>
        </w:tc>
        <w:tc>
          <w:tcPr>
            <w:tcW w:type="dxa" w:w="1440"/>
            <w:shd w:fill="C6EFCE" w:val="clear"/>
          </w:tcPr>
          <w:p>
            <w:r>
              <w:rPr>
                <w:sz w:val="17"/>
              </w:rPr>
              <w:t>2026-09-14</w:t>
            </w:r>
          </w:p>
        </w:tc>
        <w:tc>
          <w:tcPr>
            <w:tcW w:type="dxa" w:w="1440"/>
            <w:shd w:fill="C6EFCE" w:val="clear"/>
          </w:tcPr>
          <w:p>
            <w:r>
              <w:rPr>
                <w:sz w:val="17"/>
              </w:rPr>
              <w:t>24,068</w:t>
            </w:r>
          </w:p>
        </w:tc>
        <w:tc>
          <w:tcPr>
            <w:tcW w:type="dxa" w:w="1440"/>
            <w:shd w:fill="C6EFCE" w:val="clear"/>
          </w:tcPr>
          <w:p>
            <w:r>
              <w:rPr>
                <w:b/>
                <w:sz w:val="17"/>
              </w:rPr>
              <w:t>25,076</w:t>
            </w:r>
          </w:p>
        </w:tc>
        <w:tc>
          <w:tcPr>
            <w:tcW w:type="dxa" w:w="1440"/>
            <w:shd w:fill="C6EFCE" w:val="clear"/>
          </w:tcPr>
          <w:p>
            <w:r>
              <w:rPr>
                <w:sz w:val="17"/>
              </w:rPr>
              <w:t>26,083</w:t>
            </w:r>
          </w:p>
        </w:tc>
        <w:tc>
          <w:tcPr>
            <w:tcW w:type="dxa" w:w="1440"/>
            <w:shd w:fill="C6EFCE" w:val="clear"/>
          </w:tcPr>
          <w:p>
            <w:r>
              <w:rPr>
                <w:b/>
                <w:color w:val="008000"/>
                <w:sz w:val="17"/>
              </w:rPr>
              <w:t>+4.5%</w:t>
            </w:r>
          </w:p>
        </w:tc>
      </w:tr>
      <w:tr>
        <w:tc>
          <w:tcPr>
            <w:tcW w:type="dxa" w:w="1440"/>
            <w:shd w:fill="C6EFCE" w:val="clear"/>
          </w:tcPr>
          <w:p>
            <w:r>
              <w:rPr>
                <w:sz w:val="17"/>
              </w:rPr>
              <w:t>J+3  ⭐⭐⭐</w:t>
            </w:r>
          </w:p>
        </w:tc>
        <w:tc>
          <w:tcPr>
            <w:tcW w:type="dxa" w:w="1440"/>
            <w:shd w:fill="C6EFCE" w:val="clear"/>
          </w:tcPr>
          <w:p>
            <w:r>
              <w:rPr>
                <w:sz w:val="17"/>
              </w:rPr>
              <w:t>2026-09-15</w:t>
            </w:r>
          </w:p>
        </w:tc>
        <w:tc>
          <w:tcPr>
            <w:tcW w:type="dxa" w:w="1440"/>
            <w:shd w:fill="C6EFCE" w:val="clear"/>
          </w:tcPr>
          <w:p>
            <w:r>
              <w:rPr>
                <w:sz w:val="17"/>
              </w:rPr>
              <w:t>24,239</w:t>
            </w:r>
          </w:p>
        </w:tc>
        <w:tc>
          <w:tcPr>
            <w:tcW w:type="dxa" w:w="1440"/>
            <w:shd w:fill="C6EFCE" w:val="clear"/>
          </w:tcPr>
          <w:p>
            <w:r>
              <w:rPr>
                <w:b/>
                <w:sz w:val="17"/>
              </w:rPr>
              <w:t>25,494</w:t>
            </w:r>
          </w:p>
        </w:tc>
        <w:tc>
          <w:tcPr>
            <w:tcW w:type="dxa" w:w="1440"/>
            <w:shd w:fill="C6EFCE" w:val="clear"/>
          </w:tcPr>
          <w:p>
            <w:r>
              <w:rPr>
                <w:sz w:val="17"/>
              </w:rPr>
              <w:t>26,748</w:t>
            </w:r>
          </w:p>
        </w:tc>
        <w:tc>
          <w:tcPr>
            <w:tcW w:type="dxa" w:w="1440"/>
            <w:shd w:fill="C6EFCE" w:val="clear"/>
          </w:tcPr>
          <w:p>
            <w:r>
              <w:rPr>
                <w:b/>
                <w:color w:val="008000"/>
                <w:sz w:val="17"/>
              </w:rPr>
              <w:t>+6.2%</w:t>
            </w:r>
          </w:p>
        </w:tc>
      </w:tr>
      <w:tr>
        <w:tc>
          <w:tcPr>
            <w:tcW w:type="dxa" w:w="1440"/>
            <w:shd w:fill="C6EFCE" w:val="clear"/>
          </w:tcPr>
          <w:p>
            <w:r>
              <w:rPr>
                <w:sz w:val="17"/>
              </w:rPr>
              <w:t>J+4  Moyenne</w:t>
            </w:r>
          </w:p>
        </w:tc>
        <w:tc>
          <w:tcPr>
            <w:tcW w:type="dxa" w:w="1440"/>
            <w:shd w:fill="C6EFCE" w:val="clear"/>
          </w:tcPr>
          <w:p>
            <w:r>
              <w:rPr>
                <w:sz w:val="17"/>
              </w:rPr>
              <w:t>2026-09-16</w:t>
            </w:r>
          </w:p>
        </w:tc>
        <w:tc>
          <w:tcPr>
            <w:tcW w:type="dxa" w:w="1440"/>
            <w:shd w:fill="C6EFCE" w:val="clear"/>
          </w:tcPr>
          <w:p>
            <w:r>
              <w:rPr>
                <w:sz w:val="17"/>
              </w:rPr>
              <w:t>24,420</w:t>
            </w:r>
          </w:p>
        </w:tc>
        <w:tc>
          <w:tcPr>
            <w:tcW w:type="dxa" w:w="1440"/>
            <w:shd w:fill="C6EFCE" w:val="clear"/>
          </w:tcPr>
          <w:p>
            <w:r>
              <w:rPr>
                <w:b/>
                <w:sz w:val="17"/>
              </w:rPr>
              <w:t>25,891</w:t>
            </w:r>
          </w:p>
        </w:tc>
        <w:tc>
          <w:tcPr>
            <w:tcW w:type="dxa" w:w="1440"/>
            <w:shd w:fill="C6EFCE" w:val="clear"/>
          </w:tcPr>
          <w:p>
            <w:r>
              <w:rPr>
                <w:sz w:val="17"/>
              </w:rPr>
              <w:t>27,363</w:t>
            </w:r>
          </w:p>
        </w:tc>
        <w:tc>
          <w:tcPr>
            <w:tcW w:type="dxa" w:w="1440"/>
            <w:shd w:fill="C6EFCE" w:val="clear"/>
          </w:tcPr>
          <w:p>
            <w:r>
              <w:rPr>
                <w:b/>
                <w:color w:val="008000"/>
                <w:sz w:val="17"/>
              </w:rPr>
              <w:t>+7.9%</w:t>
            </w:r>
          </w:p>
        </w:tc>
      </w:tr>
      <w:tr>
        <w:tc>
          <w:tcPr>
            <w:tcW w:type="dxa" w:w="1440"/>
            <w:shd w:fill="C6EFCE" w:val="clear"/>
          </w:tcPr>
          <w:p>
            <w:r>
              <w:rPr>
                <w:sz w:val="17"/>
              </w:rPr>
              <w:t>J+5  Moyenne</w:t>
            </w:r>
          </w:p>
        </w:tc>
        <w:tc>
          <w:tcPr>
            <w:tcW w:type="dxa" w:w="1440"/>
            <w:shd w:fill="C6EFCE" w:val="clear"/>
          </w:tcPr>
          <w:p>
            <w:r>
              <w:rPr>
                <w:sz w:val="17"/>
              </w:rPr>
              <w:t>2026-09-17</w:t>
            </w:r>
          </w:p>
        </w:tc>
        <w:tc>
          <w:tcPr>
            <w:tcW w:type="dxa" w:w="1440"/>
            <w:shd w:fill="C6EFCE" w:val="clear"/>
          </w:tcPr>
          <w:p>
            <w:r>
              <w:rPr>
                <w:sz w:val="17"/>
              </w:rPr>
              <w:t>24,615</w:t>
            </w:r>
          </w:p>
        </w:tc>
        <w:tc>
          <w:tcPr>
            <w:tcW w:type="dxa" w:w="1440"/>
            <w:shd w:fill="C6EFCE" w:val="clear"/>
          </w:tcPr>
          <w:p>
            <w:r>
              <w:rPr>
                <w:b/>
                <w:sz w:val="17"/>
              </w:rPr>
              <w:t>26,284</w:t>
            </w:r>
          </w:p>
        </w:tc>
        <w:tc>
          <w:tcPr>
            <w:tcW w:type="dxa" w:w="1440"/>
            <w:shd w:fill="C6EFCE" w:val="clear"/>
          </w:tcPr>
          <w:p>
            <w:r>
              <w:rPr>
                <w:sz w:val="17"/>
              </w:rPr>
              <w:t>27,954</w:t>
            </w:r>
          </w:p>
        </w:tc>
        <w:tc>
          <w:tcPr>
            <w:tcW w:type="dxa" w:w="1440"/>
            <w:shd w:fill="C6EFCE" w:val="clear"/>
          </w:tcPr>
          <w:p>
            <w:r>
              <w:rPr>
                <w:b/>
                <w:color w:val="008000"/>
                <w:sz w:val="17"/>
              </w:rPr>
              <w:t>+9.5%</w:t>
            </w:r>
          </w:p>
        </w:tc>
      </w:tr>
      <w:tr>
        <w:tc>
          <w:tcPr>
            <w:tcW w:type="dxa" w:w="1440"/>
            <w:shd w:fill="C6EFCE" w:val="clear"/>
          </w:tcPr>
          <w:p>
            <w:r>
              <w:rPr>
                <w:sz w:val="17"/>
              </w:rPr>
              <w:t>J+6  Moyenne</w:t>
            </w:r>
          </w:p>
        </w:tc>
        <w:tc>
          <w:tcPr>
            <w:tcW w:type="dxa" w:w="1440"/>
            <w:shd w:fill="C6EFCE" w:val="clear"/>
          </w:tcPr>
          <w:p>
            <w:r>
              <w:rPr>
                <w:sz w:val="17"/>
              </w:rPr>
              <w:t>2026-09-18</w:t>
            </w:r>
          </w:p>
        </w:tc>
        <w:tc>
          <w:tcPr>
            <w:tcW w:type="dxa" w:w="1440"/>
            <w:shd w:fill="C6EFCE" w:val="clear"/>
          </w:tcPr>
          <w:p>
            <w:r>
              <w:rPr>
                <w:sz w:val="17"/>
              </w:rPr>
              <w:t>24,818</w:t>
            </w:r>
          </w:p>
        </w:tc>
        <w:tc>
          <w:tcPr>
            <w:tcW w:type="dxa" w:w="1440"/>
            <w:shd w:fill="C6EFCE" w:val="clear"/>
          </w:tcPr>
          <w:p>
            <w:r>
              <w:rPr>
                <w:b/>
                <w:sz w:val="17"/>
              </w:rPr>
              <w:t>26,674</w:t>
            </w:r>
          </w:p>
        </w:tc>
        <w:tc>
          <w:tcPr>
            <w:tcW w:type="dxa" w:w="1440"/>
            <w:shd w:fill="C6EFCE" w:val="clear"/>
          </w:tcPr>
          <w:p>
            <w:r>
              <w:rPr>
                <w:sz w:val="17"/>
              </w:rPr>
              <w:t>28,530</w:t>
            </w:r>
          </w:p>
        </w:tc>
        <w:tc>
          <w:tcPr>
            <w:tcW w:type="dxa" w:w="1440"/>
            <w:shd w:fill="C6EFCE" w:val="clear"/>
          </w:tcPr>
          <w:p>
            <w:r>
              <w:rPr>
                <w:b/>
                <w:color w:val="008000"/>
                <w:sz w:val="17"/>
              </w:rPr>
              <w:t>+11.1%</w:t>
            </w:r>
          </w:p>
        </w:tc>
      </w:tr>
      <w:tr>
        <w:tc>
          <w:tcPr>
            <w:tcW w:type="dxa" w:w="1440"/>
            <w:shd w:fill="C6EFCE" w:val="clear"/>
          </w:tcPr>
          <w:p>
            <w:r>
              <w:rPr>
                <w:sz w:val="17"/>
              </w:rPr>
              <w:t>J+7  Moyenne</w:t>
            </w:r>
          </w:p>
        </w:tc>
        <w:tc>
          <w:tcPr>
            <w:tcW w:type="dxa" w:w="1440"/>
            <w:shd w:fill="C6EFCE" w:val="clear"/>
          </w:tcPr>
          <w:p>
            <w:r>
              <w:rPr>
                <w:sz w:val="17"/>
              </w:rPr>
              <w:t>2026-09-21</w:t>
            </w:r>
          </w:p>
        </w:tc>
        <w:tc>
          <w:tcPr>
            <w:tcW w:type="dxa" w:w="1440"/>
            <w:shd w:fill="C6EFCE" w:val="clear"/>
          </w:tcPr>
          <w:p>
            <w:r>
              <w:rPr>
                <w:sz w:val="17"/>
              </w:rPr>
              <w:t>25,027</w:t>
            </w:r>
          </w:p>
        </w:tc>
        <w:tc>
          <w:tcPr>
            <w:tcW w:type="dxa" w:w="1440"/>
            <w:shd w:fill="C6EFCE" w:val="clear"/>
          </w:tcPr>
          <w:p>
            <w:r>
              <w:rPr>
                <w:b/>
                <w:sz w:val="17"/>
              </w:rPr>
              <w:t>27,061</w:t>
            </w:r>
          </w:p>
        </w:tc>
        <w:tc>
          <w:tcPr>
            <w:tcW w:type="dxa" w:w="1440"/>
            <w:shd w:fill="C6EFCE" w:val="clear"/>
          </w:tcPr>
          <w:p>
            <w:r>
              <w:rPr>
                <w:sz w:val="17"/>
              </w:rPr>
              <w:t>29,095</w:t>
            </w:r>
          </w:p>
        </w:tc>
        <w:tc>
          <w:tcPr>
            <w:tcW w:type="dxa" w:w="1440"/>
            <w:shd w:fill="C6EFCE" w:val="clear"/>
          </w:tcPr>
          <w:p>
            <w:r>
              <w:rPr>
                <w:b/>
                <w:color w:val="008000"/>
                <w:sz w:val="17"/>
              </w:rPr>
              <w:t>+12.8%</w:t>
            </w:r>
          </w:p>
        </w:tc>
      </w:tr>
      <w:tr>
        <w:tc>
          <w:tcPr>
            <w:tcW w:type="dxa" w:w="1440"/>
            <w:shd w:fill="C6EFCE" w:val="clear"/>
          </w:tcPr>
          <w:p>
            <w:r>
              <w:rPr>
                <w:sz w:val="17"/>
              </w:rPr>
              <w:t>J+8  Moyenne</w:t>
            </w:r>
          </w:p>
        </w:tc>
        <w:tc>
          <w:tcPr>
            <w:tcW w:type="dxa" w:w="1440"/>
            <w:shd w:fill="C6EFCE" w:val="clear"/>
          </w:tcPr>
          <w:p>
            <w:r>
              <w:rPr>
                <w:sz w:val="17"/>
              </w:rPr>
              <w:t>2026-09-22</w:t>
            </w:r>
          </w:p>
        </w:tc>
        <w:tc>
          <w:tcPr>
            <w:tcW w:type="dxa" w:w="1440"/>
            <w:shd w:fill="C6EFCE" w:val="clear"/>
          </w:tcPr>
          <w:p>
            <w:r>
              <w:rPr>
                <w:sz w:val="17"/>
              </w:rPr>
              <w:t>25,239</w:t>
            </w:r>
          </w:p>
        </w:tc>
        <w:tc>
          <w:tcPr>
            <w:tcW w:type="dxa" w:w="1440"/>
            <w:shd w:fill="C6EFCE" w:val="clear"/>
          </w:tcPr>
          <w:p>
            <w:r>
              <w:rPr>
                <w:b/>
                <w:sz w:val="17"/>
              </w:rPr>
              <w:t>27,444</w:t>
            </w:r>
          </w:p>
        </w:tc>
        <w:tc>
          <w:tcPr>
            <w:tcW w:type="dxa" w:w="1440"/>
            <w:shd w:fill="C6EFCE" w:val="clear"/>
          </w:tcPr>
          <w:p>
            <w:r>
              <w:rPr>
                <w:sz w:val="17"/>
              </w:rPr>
              <w:t>29,650</w:t>
            </w:r>
          </w:p>
        </w:tc>
        <w:tc>
          <w:tcPr>
            <w:tcW w:type="dxa" w:w="1440"/>
            <w:shd w:fill="C6EFCE" w:val="clear"/>
          </w:tcPr>
          <w:p>
            <w:r>
              <w:rPr>
                <w:b/>
                <w:color w:val="008000"/>
                <w:sz w:val="17"/>
              </w:rPr>
              <w:t>+14.4%</w:t>
            </w:r>
          </w:p>
        </w:tc>
      </w:tr>
      <w:tr>
        <w:tc>
          <w:tcPr>
            <w:tcW w:type="dxa" w:w="1440"/>
            <w:shd w:fill="C6EFCE" w:val="clear"/>
          </w:tcPr>
          <w:p>
            <w:r>
              <w:rPr>
                <w:sz w:val="17"/>
              </w:rPr>
              <w:t>J+9  Moyenne</w:t>
            </w:r>
          </w:p>
        </w:tc>
        <w:tc>
          <w:tcPr>
            <w:tcW w:type="dxa" w:w="1440"/>
            <w:shd w:fill="C6EFCE" w:val="clear"/>
          </w:tcPr>
          <w:p>
            <w:r>
              <w:rPr>
                <w:sz w:val="17"/>
              </w:rPr>
              <w:t>2026-09-23</w:t>
            </w:r>
          </w:p>
        </w:tc>
        <w:tc>
          <w:tcPr>
            <w:tcW w:type="dxa" w:w="1440"/>
            <w:shd w:fill="C6EFCE" w:val="clear"/>
          </w:tcPr>
          <w:p>
            <w:r>
              <w:rPr>
                <w:sz w:val="17"/>
              </w:rPr>
              <w:t>25,453</w:t>
            </w:r>
          </w:p>
        </w:tc>
        <w:tc>
          <w:tcPr>
            <w:tcW w:type="dxa" w:w="1440"/>
            <w:shd w:fill="C6EFCE" w:val="clear"/>
          </w:tcPr>
          <w:p>
            <w:r>
              <w:rPr>
                <w:b/>
                <w:sz w:val="17"/>
              </w:rPr>
              <w:t>27,825</w:t>
            </w:r>
          </w:p>
        </w:tc>
        <w:tc>
          <w:tcPr>
            <w:tcW w:type="dxa" w:w="1440"/>
            <w:shd w:fill="C6EFCE" w:val="clear"/>
          </w:tcPr>
          <w:p>
            <w:r>
              <w:rPr>
                <w:sz w:val="17"/>
              </w:rPr>
              <w:t>30,196</w:t>
            </w:r>
          </w:p>
        </w:tc>
        <w:tc>
          <w:tcPr>
            <w:tcW w:type="dxa" w:w="1440"/>
            <w:shd w:fill="C6EFCE" w:val="clear"/>
          </w:tcPr>
          <w:p>
            <w:r>
              <w:rPr>
                <w:b/>
                <w:color w:val="008000"/>
                <w:sz w:val="17"/>
              </w:rPr>
              <w:t>+15.9%</w:t>
            </w:r>
          </w:p>
        </w:tc>
      </w:tr>
      <w:tr>
        <w:tc>
          <w:tcPr>
            <w:tcW w:type="dxa" w:w="1440"/>
            <w:shd w:fill="C6EFCE" w:val="clear"/>
          </w:tcPr>
          <w:p>
            <w:r>
              <w:rPr>
                <w:sz w:val="17"/>
              </w:rPr>
              <w:t>J+10  Moyenne</w:t>
            </w:r>
          </w:p>
        </w:tc>
        <w:tc>
          <w:tcPr>
            <w:tcW w:type="dxa" w:w="1440"/>
            <w:shd w:fill="C6EFCE" w:val="clear"/>
          </w:tcPr>
          <w:p>
            <w:r>
              <w:rPr>
                <w:sz w:val="17"/>
              </w:rPr>
              <w:t>2026-09-24</w:t>
            </w:r>
          </w:p>
        </w:tc>
        <w:tc>
          <w:tcPr>
            <w:tcW w:type="dxa" w:w="1440"/>
            <w:shd w:fill="C6EFCE" w:val="clear"/>
          </w:tcPr>
          <w:p>
            <w:r>
              <w:rPr>
                <w:sz w:val="17"/>
              </w:rPr>
              <w:t>25,667</w:t>
            </w:r>
          </w:p>
        </w:tc>
        <w:tc>
          <w:tcPr>
            <w:tcW w:type="dxa" w:w="1440"/>
            <w:shd w:fill="C6EFCE" w:val="clear"/>
          </w:tcPr>
          <w:p>
            <w:r>
              <w:rPr>
                <w:b/>
                <w:sz w:val="17"/>
              </w:rPr>
              <w:t>28,201</w:t>
            </w:r>
          </w:p>
        </w:tc>
        <w:tc>
          <w:tcPr>
            <w:tcW w:type="dxa" w:w="1440"/>
            <w:shd w:fill="C6EFCE" w:val="clear"/>
          </w:tcPr>
          <w:p>
            <w:r>
              <w:rPr>
                <w:sz w:val="17"/>
              </w:rPr>
              <w:t>30,735</w:t>
            </w:r>
          </w:p>
        </w:tc>
        <w:tc>
          <w:tcPr>
            <w:tcW w:type="dxa" w:w="1440"/>
            <w:shd w:fill="C6EFCE" w:val="clear"/>
          </w:tcPr>
          <w:p>
            <w:r>
              <w:rPr>
                <w:b/>
                <w:color w:val="008000"/>
                <w:sz w:val="17"/>
              </w:rPr>
              <w:t>+17.5%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593,63 milliards FCFA, NSBC s'impose comme l'une des valeurs bancaires les plus importantes de la cote BRVM, ce qui lui confère une liquidité relative et une visibilité institutionnelle appréciables. Le BPA de 1 646 FCFA/action signifie que chaque titre génère près de 1 646 FCFA de bénéfice net, un niveau qui traduit la forte rentabilité intrinsèque de la banque. Le PER de 14,6x se situe au-dessus de la moyenne du marché BRVM (généralement comprise entre 8 et 12x), ce qui indique que les investisseurs acceptent de payer une prime pour cette valeur, justifiée par sa croissance supérieure au secteur. Le P/B de 2,54x montre que le marché valorise l'action à plus de deux fois et demie sa valeur comptable, une prime de croissance cohérente avec un ROE de 17,45%. En revanche, l'EV/EBITDA de 21,9x apparaît très exigeant (seuil d'alerte &gt;15x), signalant que la valeur d'entreprise intègre déjà une anticipation de croissance soutenue ; cette cherté relative invite à la prudence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+69,07%, passant d'un plus bas de 13 810 FCFA à un plus haut de 24 885 FCFA, pour un cours actuel de 24 000 FCFA, malgré un repli de -1,84% lors de la dernière séance (J-1). Ce range de trading de plus de 11 000 FCFA témoigne d'une tendance nettement haussière, portée par un intérêt croissant des investisseurs pour le titre. Les statistiques descriptives révèlent une moyenne de 19 808 FCFA légèrement inférieure à la médiane de 19 870 FCFA, avec un mode à 13 900 FCFA : cet écart, bien que faible, suggère une distribution asymétrique où le cours a passé plus de temps dans les niveaux élevés récents. L'écart-type de 3 502 FCFA (CV de 17,7%) indique une dispersion modérée du cours autour de sa moyenne, tandis que le kurtosis négatif (-1,031, distribution platykurtique) signale une faible concentration des variations et un risque de pics moins prononcé qu'une distribution normale. Le skewness négatif (-0,511) confirme une asymétrie avec davantage de journées de hausse au-dessus de la moyenne, ce qui est cohérent avec la dynamique haussière. Enfin, la volatilité annualisée de 39,7% classe le titre dans la catégorie des valeurs à volatilité élevée (&gt;30%), ce qui implique un risque de correction significatif et nécessite une tolérance au risque adaptée.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(23 225,5 FCFA) et la MM50 (22 742,3 FCFA) se situent toutes deux sous le cours actuel (24 000 FCFA), avec la MM20 au-dessus de la MM50, configurant un croisement haussier classique. Cette configuration en « golden cross » confirme la tendance positive de moyen terme et justifie la décision d'achat.</w:t>
      </w:r>
    </w:p>
    <w:p>
      <w:pPr>
        <w:spacing w:after="120" w:line="276" w:lineRule="auto"/>
      </w:pPr>
      <w:r>
        <w:t>**Bandes de Bollinger** : Le cours (24 000 FCFA) évolue dans la partie haute de la bande, entre la borne inférieure (21 879 FCFA) et la borne supérieure (24 571,8 FCFA), sans la franchir. Cette position proche de la borne haute indique une pression acheteuse soutenue mais sans excès, ce qui explique la décision neutre : le titre n'est ni en surachat extrême ni en zone de retournement.</w:t>
      </w:r>
    </w:p>
    <w:p>
      <w:pPr>
        <w:spacing w:after="120" w:line="276" w:lineRule="auto"/>
      </w:pPr>
      <w:r>
        <w:t>**MACD** : La valeur du MACD (395,4) est nettement supérieure à son signal (282,6), avec un histogramme positif, confirmant un momentum haussier en cours. Cette divergence positive entre les deux lignes justifie la décision d'achat, bien que l'écart commence à se réduire, suggérant une possible modération de la dynamique.</w:t>
      </w:r>
    </w:p>
    <w:p>
      <w:pPr>
        <w:spacing w:after="120" w:line="276" w:lineRule="auto"/>
      </w:pPr>
      <w:r>
        <w:t>**RSI** : À 64,6, le RSI se situe en zone neutre haute, sans atteindre le seuil de surachat (70). Cette configuration indique que le titre conserve un potentiel de hausse résiduel tout en évitant les excès, ce qui justifie la décision neutre : ni signal d'achat agressif, ni signal de vente.</w:t>
      </w:r>
    </w:p>
    <w:p>
      <w:pPr>
        <w:spacing w:after="120" w:line="276" w:lineRule="auto"/>
      </w:pPr>
      <w:r>
        <w:t>**Stochastique** : Le %K (62,9) est inférieur au %D (76,2), avec un croisement baissier en zone haute, signalant un essoufflement possible de la dynamique haussière à court terme. Cette configuration justifie la décision neutre, car elle suggère une consolidation imminente avant une éventuelle reprise.</w:t>
      </w:r>
    </w:p>
    <w:p>
      <w:pPr>
        <w:spacing w:after="120" w:line="276" w:lineRule="auto"/>
      </w:pPr>
      <w:r>
        <w:t>**Conclusion technique** : La convergence des signaux haussiers (MM, MACD) et neutres (Bollinger, RSI, Stochastique) dessine un tableau technique globalement positif mais sans excès. Le titre bénéficie d'une tendance de fond solide, mais les indicateurs de court terme (Stochastique, RSI) invitent à la prudence face à un possible repli technique. La configuration actuelle plaide pour un maintien de la position avec un œil attentif sur le support des 23 225 FCFA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 réalisé un Produit Net Bancaire (PNB) de 112,928 milliards FCFA, en croissance de +15,4% par rapport à 2024, porté par une marge d'intérêts en hausse de +26% (79,8 milliards FCFA) et des commissions de 25,6 milliards FCFA. Le résultat net s'établit à 40,712 milliards FCFA, en progression de +7%, avec une marge nette de 36,05% et un ROE de 17,45% (&gt;15%, excellent), tandis que le ROA de 1,32% reste conforme aux standards bancaires. Le coefficient d'exploitation de 54,59% (&lt;60%) confirme l'efficacité opérationnelle de la banque, et le ratio dépôts/crédits de 123% (2 242 Mds de dépôts pour 1 819 Mds de créances) traduit une transformation saine et une liquidité abondante. Cependant, le coût du risque de 7,54% (provisions/charges financières) et la dégradation du coût net du risque (passé de +0,6 Md en 2024 à -8,5 Mds en 2025) constituent un signal d'alerte sur la qualité du portefeuille de crédits, comme le souligne le rapport annuel 2025 (daté du 31/12/2026). Les rapports trimestriels confirment cette dynamique : le T1 2026 (rapport du 31/03/2026) affiche un résultat net de 10,9 milliards FCFA (+53%) et un PNB de 28,6 milliards FCFA (+28%), tiré par l'activité titres, tandis que le T3 2025 (rapport du 30/09/2025) montrait déjà un PNB de 77,4 milliards FCFA (+7%) et un résultat net de 25,0 milliards FCFA (+6%). Sur la base de ces tendances, on estime que l'exercice 2026 devrait enregistrer un PNB supérieur à 125 milliards FCFA et un résultat net proche de 45 milliards FCFA, sous réserve d'une maîtrise du coût du risque. La solidité financière est renforcée par des capitaux propres de 233,3 milliards FCFA et une autonomie financière de 7,59%, typique du secteur bancaire, mais la dépendance financière de 92,4% et le ratio d'endettement de 227,9% restent des points de vigilance. En conclusion, NSBC présente des fondamentaux robustes avec une croissance soutenue et une rentabilité élevée, mais les risques de crédit et la valorisation exigeante (EV/EBITDA de 21,9x) tempèrent l'enthousiasme.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(PER de 14,6x, P/B de 2,54x, EV/EBITDA de 21,9x) indique une prime de croissance significative par rapport au marché BRVM, ce qui suggère que le titre intègre déjà une grande partie de ses perspectives favorables et limite son potentiel de revalorisation à court terme. Le comportement du cours sur 100 jours (+69,07%) est exceptionnel, mais la volatilité élevée (39,7%) et le kurtosis négatif (-1,031) signalent un risque de correction, tandis que le skewness négatif (-0,511) confirme une asymétrie haussière qui pourrait s'inverser. Les signaux techniques sont globalement haussiers (MM20 &gt; MM50, MACD positif), mais les indicateurs de court terme (RSI à 64,6, Stochastique en croisement baissier) plaident pour une consolidation imminente, ce qui justifie une décision neutre à court terme. Les fondamentaux (PNB +15,4%, ROE de 17,45%, coefficient d'exploitation de 54,6%) sont solides et les rapports trimestriels (T1 2026 : résultat net +53%) confirment une dynamique positive, mais la dégradation du coût du risque (-8,5 Mds en 2025) et la dépendance aux revenus titres (volatils) constituent des risques non négligeables. Les prédictions IA (24 648 FCFA à J+1, 26 284 FCFA à J+5) confirment la trajectoire haussière à court terme, en ligne avec les signaux techniques, mais cette anticipation semble déjà intégrée dans le cours actuel. Sur la base de cette synthèse, la recommandation finale est **CONSERVER** : la convergence entre valorisation exigeante, technique haussière mais essoufflée, fondamentaux solides mais risqués, et prédictions optimistes ne justifie ni un achat agressif (trop tardif après +69%), ni une vente (les fondamentaux restent porteurs). Le niveau de confiance est **Moyen** (incertitude sur le coût du risque et la durabilité de la croissance des titres), et le risque global est **Élevé** (volatilité de 39,7%, valorisation tendue). L'horizon d'investissement optimal est **moyen terme (3-12 mois)**, en surveillant de près les prochains résultats trimestriels (T2 2026) et l'évolution du coût du risque avant d'envisager un renforcement ou un allègement de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368.58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1,648 titres</w:t>
            </w:r>
          </w:p>
        </w:tc>
        <w:tc>
          <w:tcPr>
            <w:tcW w:type="dxa" w:w="2268"/>
            <w:shd w:fill="FFF2CC" w:val="clear"/>
          </w:tcPr>
          <w:p>
            <w:r>
              <w:rPr>
                <w:b/>
                <w:color w:val="503200"/>
                <w:sz w:val="16"/>
              </w:rPr>
              <w:t xml:space="preserve">Cours actuel : </w:t>
            </w:r>
            <w:r>
              <w:rPr>
                <w:color w:val="000000"/>
                <w:sz w:val="17"/>
              </w:rPr>
              <w:t>16,700 FCFA</w:t>
            </w:r>
          </w:p>
          <w:p>
            <w:r>
              <w:rPr>
                <w:b/>
                <w:color w:val="503200"/>
                <w:sz w:val="16"/>
              </w:rPr>
              <w:t xml:space="preserve">Var. 100 jours : </w:t>
            </w:r>
            <w:r>
              <w:rPr>
                <w:b/>
                <w:color w:val="007800"/>
                <w:sz w:val="17"/>
              </w:rPr>
              <w:t>+41.53%</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13.45% (Moyenne) — μ=14,884 FCFA, σ=2,002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β=-0.0518 (Contre-cyclique) — Cov=-0.000002, Var(idx)=0.000035, ρ=-0.012,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16,034</w:t>
            </w:r>
          </w:p>
        </w:tc>
        <w:tc>
          <w:tcPr>
            <w:tcW w:type="dxa" w:w="1440"/>
            <w:shd w:fill="FAFAFA" w:val="clear"/>
          </w:tcPr>
          <w:p>
            <w:r>
              <w:rPr>
                <w:b/>
                <w:sz w:val="17"/>
              </w:rPr>
              <w:t>16,730</w:t>
            </w:r>
          </w:p>
        </w:tc>
        <w:tc>
          <w:tcPr>
            <w:tcW w:type="dxa" w:w="1440"/>
            <w:shd w:fill="FAFAFA" w:val="clear"/>
          </w:tcPr>
          <w:p>
            <w:r>
              <w:rPr>
                <w:sz w:val="17"/>
              </w:rPr>
              <w:t>17,426</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2026-09-14</w:t>
            </w:r>
          </w:p>
        </w:tc>
        <w:tc>
          <w:tcPr>
            <w:tcW w:type="dxa" w:w="1440"/>
            <w:shd w:fill="FAFAFA" w:val="clear"/>
          </w:tcPr>
          <w:p>
            <w:r>
              <w:rPr>
                <w:sz w:val="17"/>
              </w:rPr>
              <w:t>15,685</w:t>
            </w:r>
          </w:p>
        </w:tc>
        <w:tc>
          <w:tcPr>
            <w:tcW w:type="dxa" w:w="1440"/>
            <w:shd w:fill="FAFAFA" w:val="clear"/>
          </w:tcPr>
          <w:p>
            <w:r>
              <w:rPr>
                <w:b/>
                <w:sz w:val="17"/>
              </w:rPr>
              <w:t>16,665</w:t>
            </w:r>
          </w:p>
        </w:tc>
        <w:tc>
          <w:tcPr>
            <w:tcW w:type="dxa" w:w="1440"/>
            <w:shd w:fill="FAFAFA" w:val="clear"/>
          </w:tcPr>
          <w:p>
            <w:r>
              <w:rPr>
                <w:sz w:val="17"/>
              </w:rPr>
              <w:t>17,645</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2026-09-15</w:t>
            </w:r>
          </w:p>
        </w:tc>
        <w:tc>
          <w:tcPr>
            <w:tcW w:type="dxa" w:w="1440"/>
            <w:shd w:fill="FAFAFA" w:val="clear"/>
          </w:tcPr>
          <w:p>
            <w:r>
              <w:rPr>
                <w:sz w:val="17"/>
              </w:rPr>
              <w:t>15,409</w:t>
            </w:r>
          </w:p>
        </w:tc>
        <w:tc>
          <w:tcPr>
            <w:tcW w:type="dxa" w:w="1440"/>
            <w:shd w:fill="FAFAFA" w:val="clear"/>
          </w:tcPr>
          <w:p>
            <w:r>
              <w:rPr>
                <w:b/>
                <w:sz w:val="17"/>
              </w:rPr>
              <w:t>16,606</w:t>
            </w:r>
          </w:p>
        </w:tc>
        <w:tc>
          <w:tcPr>
            <w:tcW w:type="dxa" w:w="1440"/>
            <w:shd w:fill="FAFAFA" w:val="clear"/>
          </w:tcPr>
          <w:p>
            <w:r>
              <w:rPr>
                <w:sz w:val="17"/>
              </w:rPr>
              <w:t>17,802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15,174</w:t>
            </w:r>
          </w:p>
        </w:tc>
        <w:tc>
          <w:tcPr>
            <w:tcW w:type="dxa" w:w="1440"/>
            <w:shd w:fill="FAFAFA" w:val="clear"/>
          </w:tcPr>
          <w:p>
            <w:r>
              <w:rPr>
                <w:b/>
                <w:sz w:val="17"/>
              </w:rPr>
              <w:t>16,551</w:t>
            </w:r>
          </w:p>
        </w:tc>
        <w:tc>
          <w:tcPr>
            <w:tcW w:type="dxa" w:w="1440"/>
            <w:shd w:fill="FAFAFA" w:val="clear"/>
          </w:tcPr>
          <w:p>
            <w:r>
              <w:rPr>
                <w:sz w:val="17"/>
              </w:rPr>
              <w:t>17,928</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2026-09-17</w:t>
            </w:r>
          </w:p>
        </w:tc>
        <w:tc>
          <w:tcPr>
            <w:tcW w:type="dxa" w:w="1440"/>
            <w:shd w:fill="FAFAFA" w:val="clear"/>
          </w:tcPr>
          <w:p>
            <w:r>
              <w:rPr>
                <w:sz w:val="17"/>
              </w:rPr>
              <w:t>14,964</w:t>
            </w:r>
          </w:p>
        </w:tc>
        <w:tc>
          <w:tcPr>
            <w:tcW w:type="dxa" w:w="1440"/>
            <w:shd w:fill="FAFAFA" w:val="clear"/>
          </w:tcPr>
          <w:p>
            <w:r>
              <w:rPr>
                <w:b/>
                <w:sz w:val="17"/>
              </w:rPr>
              <w:t>16,499</w:t>
            </w:r>
          </w:p>
        </w:tc>
        <w:tc>
          <w:tcPr>
            <w:tcW w:type="dxa" w:w="1440"/>
            <w:shd w:fill="FAFAFA" w:val="clear"/>
          </w:tcPr>
          <w:p>
            <w:r>
              <w:rPr>
                <w:sz w:val="17"/>
              </w:rPr>
              <w:t>18,034</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2026-09-18</w:t>
            </w:r>
          </w:p>
        </w:tc>
        <w:tc>
          <w:tcPr>
            <w:tcW w:type="dxa" w:w="1440"/>
            <w:shd w:fill="FAFAFA" w:val="clear"/>
          </w:tcPr>
          <w:p>
            <w:r>
              <w:rPr>
                <w:sz w:val="17"/>
              </w:rPr>
              <w:t>14,773</w:t>
            </w:r>
          </w:p>
        </w:tc>
        <w:tc>
          <w:tcPr>
            <w:tcW w:type="dxa" w:w="1440"/>
            <w:shd w:fill="FAFAFA" w:val="clear"/>
          </w:tcPr>
          <w:p>
            <w:r>
              <w:rPr>
                <w:b/>
                <w:sz w:val="17"/>
              </w:rPr>
              <w:t>16,449</w:t>
            </w:r>
          </w:p>
        </w:tc>
        <w:tc>
          <w:tcPr>
            <w:tcW w:type="dxa" w:w="1440"/>
            <w:shd w:fill="FAFAFA" w:val="clear"/>
          </w:tcPr>
          <w:p>
            <w:r>
              <w:rPr>
                <w:sz w:val="17"/>
              </w:rPr>
              <w:t>18,125</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2026-09-21</w:t>
            </w:r>
          </w:p>
        </w:tc>
        <w:tc>
          <w:tcPr>
            <w:tcW w:type="dxa" w:w="1440"/>
            <w:shd w:fill="FAFAFA" w:val="clear"/>
          </w:tcPr>
          <w:p>
            <w:r>
              <w:rPr>
                <w:sz w:val="17"/>
              </w:rPr>
              <w:t>14,595</w:t>
            </w:r>
          </w:p>
        </w:tc>
        <w:tc>
          <w:tcPr>
            <w:tcW w:type="dxa" w:w="1440"/>
            <w:shd w:fill="FAFAFA" w:val="clear"/>
          </w:tcPr>
          <w:p>
            <w:r>
              <w:rPr>
                <w:b/>
                <w:sz w:val="17"/>
              </w:rPr>
              <w:t>16,400</w:t>
            </w:r>
          </w:p>
        </w:tc>
        <w:tc>
          <w:tcPr>
            <w:tcW w:type="dxa" w:w="1440"/>
            <w:shd w:fill="FAFAFA" w:val="clear"/>
          </w:tcPr>
          <w:p>
            <w:r>
              <w:rPr>
                <w:sz w:val="17"/>
              </w:rPr>
              <w:t>18,205</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14,428</w:t>
            </w:r>
          </w:p>
        </w:tc>
        <w:tc>
          <w:tcPr>
            <w:tcW w:type="dxa" w:w="1440"/>
            <w:shd w:fill="FFDCE0" w:val="clear"/>
          </w:tcPr>
          <w:p>
            <w:r>
              <w:rPr>
                <w:b/>
                <w:sz w:val="17"/>
              </w:rPr>
              <w:t>16,352</w:t>
            </w:r>
          </w:p>
        </w:tc>
        <w:tc>
          <w:tcPr>
            <w:tcW w:type="dxa" w:w="1440"/>
            <w:shd w:fill="FFDCE0" w:val="clear"/>
          </w:tcPr>
          <w:p>
            <w:r>
              <w:rPr>
                <w:sz w:val="17"/>
              </w:rPr>
              <w:t>18,276</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14,271</w:t>
            </w:r>
          </w:p>
        </w:tc>
        <w:tc>
          <w:tcPr>
            <w:tcW w:type="dxa" w:w="1440"/>
            <w:shd w:fill="FFDCE0" w:val="clear"/>
          </w:tcPr>
          <w:p>
            <w:r>
              <w:rPr>
                <w:b/>
                <w:sz w:val="17"/>
              </w:rPr>
              <w:t>16,306</w:t>
            </w:r>
          </w:p>
        </w:tc>
        <w:tc>
          <w:tcPr>
            <w:tcW w:type="dxa" w:w="1440"/>
            <w:shd w:fill="FFDCE0" w:val="clear"/>
          </w:tcPr>
          <w:p>
            <w:r>
              <w:rPr>
                <w:sz w:val="17"/>
              </w:rPr>
              <w:t>18,341</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14,121</w:t>
            </w:r>
          </w:p>
        </w:tc>
        <w:tc>
          <w:tcPr>
            <w:tcW w:type="dxa" w:w="1440"/>
            <w:shd w:fill="FFDCE0" w:val="clear"/>
          </w:tcPr>
          <w:p>
            <w:r>
              <w:rPr>
                <w:b/>
                <w:sz w:val="17"/>
              </w:rPr>
              <w:t>16,260</w:t>
            </w:r>
          </w:p>
        </w:tc>
        <w:tc>
          <w:tcPr>
            <w:tcW w:type="dxa" w:w="1440"/>
            <w:shd w:fill="FFDCE0" w:val="clear"/>
          </w:tcPr>
          <w:p>
            <w:r>
              <w:rPr>
                <w:sz w:val="17"/>
              </w:rPr>
              <w:t>18,399</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368,58 milliards FCFA, NTLC figure parmi les valeurs les plus capitalisées de la BRVM, ce qui en fait un pilier de l'indice BRVM Composite et un titre de référence pour les investisseurs institutionnels. Le BPA de 835 FCFA/action signifie que chaque titre génère 835 FCFA de bénéfice net, mais le PER de 20,0x traduit un prix payé nettement supérieur à la moyenne du marché (8-12x), signalant soit une anticipation de forte croissance, soit une surévaluation relative. Le P/B de 12,46x, très au-dessus du seuil de 4x, indique que le marché valorise l'entreprise à plus de douze fois sa valeur comptable — une prime considérable qui reflète la puissance de la marque Nestlé et la qualité de ses cash-flows, mais qui laisse peu de marge d'erreur. Enfin, l'EV/EBITDA de 9,9x, dans la fourchette raisonnable de 5-10x, suggère que la valeur totale de l'entreprise (dette incluse) reste cohérente avec sa capacité opérationnelle à générer de l'EBE, ce qui tempère le diagnostic de surévaluation pure.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 enregistré une progression spectaculaire de +41,53%, passant d'un plus bas de 11 150 FCFA à un plus haut de 18 000 FCFA, avant de se replier légèrement à 16 700 FCFA (soit -1,12% sur la dernière séance). Cette tendance nettement haussière, portée par des fondamentaux solides et un intérêt croissant pour les valeurs de consommation défensive, place le cours actuel à 12,1% sous son sommet, ce qui pourrait constituer une zone de consolidation. La moyenne (14 884 FCFA) est inférieure à la médiane (15 648 FCFA), ce qui indique une distribution légèrement asymétrique à gauche, confirmée par le skewness de -0,442 — les périodes de prix élevés ont été plus fréquentes que les périodes de prix bas, mais quelques séances de forte baisse ont tiré la moyenne vers le bas. L'écart-type de 2 012 FCFA (CV = 13,5%) traduit une dispersion modérée du cours autour de sa moyenne, tandis que le kurtosis de -1,361 (distribution platykurtique) signale une faible concentration des rendements extrêmes, c'est-à-dire un risque de pics de volatilité moins prononcé qu'une distribution normale. La volatilité annualisée de 39,1% positionne le titre dans la catégorie des valeurs à volatilité élevée (&gt;30%), ce qui implique un risque de marché significatif mais aussi des opportunités de trading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(16 941,25 FCFA) et la MM50 (16 613,10 FCFA) se situent toutes deux au-dessus du cours actuel (16 700 FCFA), la MM20 étant légèrement supérieure à la MM50. Cette configuration en "croisement haussier" (MM20 &gt; MM50) avec un cours sous les deux moyennes suggère une phase de correction au sein d'une tendance haussière plus large. La décision "Achat" fournie par le système repose sur la dynamique positive des moyennes, mais la position du cours sous la MM20 appelle à la prudence à court terme.</w:t>
      </w:r>
    </w:p>
    <w:p>
      <w:pPr>
        <w:spacing w:after="120" w:line="276" w:lineRule="auto"/>
      </w:pPr>
      <w:r>
        <w:t>**Bandes de Bollinger** : Le cours actuel (16 700 FCFA) se situe dans la partie médiane de la bande, entre la borne inférieure (16 024,82 FCFA) et la borne supérieure (17 857,68 FCFA), ce qui explique la décision "Neutre". La largeur de la bande (1 832,87 FCFA) reflète une volatilité modérée, et le fait que le cours ne soit ni proche de la borne supérieure (surachat) ni de la borne inférieure (survente) indique un équilibre relatif, sans signal directionnel fort.</w:t>
      </w:r>
    </w:p>
    <w:p>
      <w:pPr>
        <w:spacing w:after="120" w:line="276" w:lineRule="auto"/>
      </w:pPr>
      <w:r>
        <w:t>**MACD** : La valeur du MACD (101,26) est inférieure à son signal (128,13), ce qui génère une décision "Vente". Cette divergence négative indique un essoufflement du momentum haussier : bien que le MACD reste en territoire positif, sa trajectoire descendante sous le signal suggère que la pression acheteuse s'affaiblit et qu'un retournement ou une consolidation est possible à court terme.</w:t>
      </w:r>
    </w:p>
    <w:p>
      <w:pPr>
        <w:spacing w:after="120" w:line="276" w:lineRule="auto"/>
      </w:pPr>
      <w:r>
        <w:t>**RSI** : À 47,47, le RSI se situe dans la zone neutre (30-70), sans signal de surachat ni de survente. Cette valeur médiane indique un équilibre entre acheteurs et vendeurs, sans pression directionnelle dominante. La décision "Neutre" est cohérente avec cette lecture, le titre n'étant ni survendu (opportunité d'achat) ni suracheté (risque de correction).</w:t>
      </w:r>
    </w:p>
    <w:p>
      <w:pPr>
        <w:spacing w:after="120" w:line="276" w:lineRule="auto"/>
      </w:pPr>
      <w:r>
        <w:t>**Stochastique** : Le %K (38,10) est inférieur au %D (44,29), et les deux se situent dans la zone basse de la fourchette (20-80). Cette configuration suggère une pression baissière modérée, mais sans signal de survente extrême. La décision "Neutre" reflète l'absence de croisement significatif et la position médiane des indicateurs, qui n'incitent ni à l'achat ni à la vente.</w:t>
      </w:r>
    </w:p>
    <w:p>
      <w:pPr>
        <w:spacing w:after="120" w:line="276" w:lineRule="auto"/>
      </w:pPr>
      <w:r>
        <w:t>**Conclusion technique** : Les indicateurs techniques présentent un tableau mitigé. Les moyennes mobiles restent haussières dans leur structure, mais le MACD signale un affaiblissement du momentum, tandis que le RSI et le stochastique sont neutres. Le titre semble entrer dans une phase de consolidation après sa forte hausse, avec un risque de correction à court terme mais une tendance de fond toujours positive. La convergence des signaux neutres (RSI, stochastique, Bollinger) et du signal de vente du MACD suggère une prudence à court terme, en attendant une confirmation de la reprise ou de la correction.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Nestlé Côte d'Ivoire a réalisé un chiffre d'affaires de 233,26 milliards FCFA, en croissance de 5,97% par rapport à 2024 (220,11 milliards FCFA), confirmant la résilience de la demande pour ses produits de grande consommation. Le résultat net s'établit à 18,43 milliards FCFA, en légère progression de 1,53% (contre 18,15 milliards en 2024), mais la marge nette recule à 7,90% (vs 8,25% en 2024), sous l'effet d'une hausse plus rapide des charges (matières premières, services extérieurs, impôts) que du chiffre d'affaires. Les ratios de rentabilité restent exceptionnels : le ROE atteint 62,28% (résultat net / capitaux propres de 29,59 milliards FCFA), bien au-dessus du seuil de 15% considéré comme excellent, et le ROA s'élève à 9,70%, traduisant une bonne efficacité dans l'utilisation des actifs (189,96 milliards FCFA). La structure financière présente des signaux contrastés : l'autonomie financière est faible (15,58% des capitaux propres dans le total bilan), l'endettement est élevé (ratio dettes totales/capitaux propres de 135,85%), et la trésorerie nette est négative (-46,83 milliards FCFA), ce qui expose l'entreprise à un risque de liquidité. Le BFR de 22,63 milliards FCFA et le fonds de roulement négatif (-24,21 milliards FCFA) indiquent un besoin de financement du cycle d'exploitation, tandis que les délais clients (74,30 jours) et de stockage (59,39 jours) sont élevés, immobilisant du capital et augmentant le risque de trésorerie. Les rapports trimestriels fournissent des estimations précieuses : au T1 2026 (rapport du 31 mars 2026), le chiffre d'affaires bondit de +31% à 70,82 milliards FCFA et le résultat net de +37% à 7,53 milliards FCFA, avec une marge nette en amélioration à 10,6% — ce qui suggère que l'exercice 2026 devrait afficher une accélération de la croissance et une meilleure rentabilité. Le rapport annuel 2025 (publié le 31 décembre 2025) confirme la stratégie de réinvestissement avec une réduction du dividende (9,27 milliards FCFA proposés, soit un payout de 50,3% contre 99,7% en 2024) et une mise en réserve massive de 9,22 milliards FCFA, destinée à financer des investissements productifs. La recommandation fondamentale est de **conserver** le titre : la solidité du modèle Nestlé, la croissance du chiffre d'affaires et l'amélioration attendue de la rentabilité en 2026 sont des atouts majeurs, mais l'endettement élevé, la trésorerie négative et la pression persistante sur les marges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apparaît exigeante : le PER de 20,0x et le P/B de 12,46x traduisent une prime significative par rapport au marché, justifiée par la qualité de la marque et la croissance attendue, mais l'EV/EBITDA de 9,9x reste raisonnable et tempère le diagnostic de surévaluation. Le comportement du cours sur 100 jours est nettement haussier (+41,53%), avec une volatilité élevée (39,1%) et une distribution platykurtique (kurtosis -1,361) qui indique un risque de pics modéré, tandis que le skewness négatif (-0,442) suggère une asymétrie à gauche, avec des baisses ponctuelles plus marquées que les hausses. Les signaux techniques sont mitigés : les moyennes mobiles restent haussières dans leur structure, mais le MACD génère un signal de vente et les autres indicateurs (RSI, stochastique, Bollinger) sont neutres, ce qui suggère une consolidation à court terme. Les fondamentaux sont solides : en 2025, le chiffre d'affaires progresse de 5,97% à 233,26 milliards FCFA, le résultat net de 1,53% à 18,43 milliards FCFA, avec un ROE exceptionnel de 62,28%, mais l'endettement élevé (135,85%) et la trésorerie négative (-46,83 milliards FCFA) constituent des points de vigilance. Les prédictions IA pour les 10 prochains jours (16 730 FCFA le 11/09, puis 16 665, 16 606, 16 551 et 16 499 FCFA) anticipent une légère tendance baissière, en ligne avec le signal de vente du MACD et la phase de consolidation attendue. Sur la base de cette synthèse, la recommandation finale est **CONSERVER** : la convergence entre une valorisation exigeante, des signaux techniques neutres à baissiers à court terme, des fondamentaux solides mais exposés à des risques de liquidité, et des prédictions IA légèrement baissières, ne justifie pas un achat agressif, mais la qualité de l'entreprise et les perspectives de croissance pour 2026 (estimées à +31% au T1) incitent à ne pas vendre. Le niveau de confiance est **Moyen**, le risque global est **Moyen à Élevé** (volatilité de 39,1%, endettement élevé), et l'horizon d'investissement optimal est le **moyen terme (3-12 mois)**, en attendant la confirmation de l'amélioration de la rentabilité et de la réduction de l'endettement.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5,079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+5.51%</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3.05% (Faible) — μ=2,824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β=0.3761 (Défensif) — Cov=0.000013, Var(idx)=0.000035, ρ=0.115,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σ_j=1.91%/j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2,766</w:t>
            </w:r>
          </w:p>
        </w:tc>
        <w:tc>
          <w:tcPr>
            <w:tcW w:type="dxa" w:w="1440"/>
            <w:shd w:fill="FAFAFA" w:val="clear"/>
          </w:tcPr>
          <w:p>
            <w:r>
              <w:rPr>
                <w:b/>
                <w:sz w:val="17"/>
              </w:rPr>
              <w:t>2,861</w:t>
            </w:r>
          </w:p>
        </w:tc>
        <w:tc>
          <w:tcPr>
            <w:tcW w:type="dxa" w:w="1440"/>
            <w:shd w:fill="FAFAFA" w:val="clear"/>
          </w:tcPr>
          <w:p>
            <w:r>
              <w:rPr>
                <w:sz w:val="17"/>
              </w:rPr>
              <w:t>2,956</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2026-09-14</w:t>
            </w:r>
          </w:p>
        </w:tc>
        <w:tc>
          <w:tcPr>
            <w:tcW w:type="dxa" w:w="1440"/>
            <w:shd w:fill="FAFAFA" w:val="clear"/>
          </w:tcPr>
          <w:p>
            <w:r>
              <w:rPr>
                <w:sz w:val="17"/>
              </w:rPr>
              <w:t>2,721</w:t>
            </w:r>
          </w:p>
        </w:tc>
        <w:tc>
          <w:tcPr>
            <w:tcW w:type="dxa" w:w="1440"/>
            <w:shd w:fill="FAFAFA" w:val="clear"/>
          </w:tcPr>
          <w:p>
            <w:r>
              <w:rPr>
                <w:b/>
                <w:sz w:val="17"/>
              </w:rPr>
              <w:t>2,856</w:t>
            </w:r>
          </w:p>
        </w:tc>
        <w:tc>
          <w:tcPr>
            <w:tcW w:type="dxa" w:w="1440"/>
            <w:shd w:fill="FAFAFA" w:val="clear"/>
          </w:tcPr>
          <w:p>
            <w:r>
              <w:rPr>
                <w:sz w:val="17"/>
              </w:rPr>
              <w:t>2,990</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2026-09-15</w:t>
            </w:r>
          </w:p>
        </w:tc>
        <w:tc>
          <w:tcPr>
            <w:tcW w:type="dxa" w:w="1440"/>
            <w:shd w:fill="FAFAFA" w:val="clear"/>
          </w:tcPr>
          <w:p>
            <w:r>
              <w:rPr>
                <w:sz w:val="17"/>
              </w:rPr>
              <w:t>2,686</w:t>
            </w:r>
          </w:p>
        </w:tc>
        <w:tc>
          <w:tcPr>
            <w:tcW w:type="dxa" w:w="1440"/>
            <w:shd w:fill="FAFAFA" w:val="clear"/>
          </w:tcPr>
          <w:p>
            <w:r>
              <w:rPr>
                <w:b/>
                <w:sz w:val="17"/>
              </w:rPr>
              <w:t>2,850</w:t>
            </w:r>
          </w:p>
        </w:tc>
        <w:tc>
          <w:tcPr>
            <w:tcW w:type="dxa" w:w="1440"/>
            <w:shd w:fill="FAFAFA" w:val="clear"/>
          </w:tcPr>
          <w:p>
            <w:r>
              <w:rPr>
                <w:sz w:val="17"/>
              </w:rPr>
              <w:t>3,015</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2,655</w:t>
            </w:r>
          </w:p>
        </w:tc>
        <w:tc>
          <w:tcPr>
            <w:tcW w:type="dxa" w:w="1440"/>
            <w:shd w:fill="FAFAFA" w:val="clear"/>
          </w:tcPr>
          <w:p>
            <w:r>
              <w:rPr>
                <w:b/>
                <w:sz w:val="17"/>
              </w:rPr>
              <w:t>2,845</w:t>
            </w:r>
          </w:p>
        </w:tc>
        <w:tc>
          <w:tcPr>
            <w:tcW w:type="dxa" w:w="1440"/>
            <w:shd w:fill="FAFAFA" w:val="clear"/>
          </w:tcPr>
          <w:p>
            <w:r>
              <w:rPr>
                <w:sz w:val="17"/>
              </w:rPr>
              <w:t>3,034</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2026-09-17</w:t>
            </w:r>
          </w:p>
        </w:tc>
        <w:tc>
          <w:tcPr>
            <w:tcW w:type="dxa" w:w="1440"/>
            <w:shd w:fill="FAFAFA" w:val="clear"/>
          </w:tcPr>
          <w:p>
            <w:r>
              <w:rPr>
                <w:sz w:val="17"/>
              </w:rPr>
              <w:t>2,628</w:t>
            </w:r>
          </w:p>
        </w:tc>
        <w:tc>
          <w:tcPr>
            <w:tcW w:type="dxa" w:w="1440"/>
            <w:shd w:fill="FAFAFA" w:val="clear"/>
          </w:tcPr>
          <w:p>
            <w:r>
              <w:rPr>
                <w:b/>
                <w:sz w:val="17"/>
              </w:rPr>
              <w:t>2,839</w:t>
            </w:r>
          </w:p>
        </w:tc>
        <w:tc>
          <w:tcPr>
            <w:tcW w:type="dxa" w:w="1440"/>
            <w:shd w:fill="FAFAFA" w:val="clear"/>
          </w:tcPr>
          <w:p>
            <w:r>
              <w:rPr>
                <w:sz w:val="17"/>
              </w:rPr>
              <w:t>3,051</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2026-09-18</w:t>
            </w:r>
          </w:p>
        </w:tc>
        <w:tc>
          <w:tcPr>
            <w:tcW w:type="dxa" w:w="1440"/>
            <w:shd w:fill="FAFAFA" w:val="clear"/>
          </w:tcPr>
          <w:p>
            <w:r>
              <w:rPr>
                <w:sz w:val="17"/>
              </w:rPr>
              <w:t>2,603</w:t>
            </w:r>
          </w:p>
        </w:tc>
        <w:tc>
          <w:tcPr>
            <w:tcW w:type="dxa" w:w="1440"/>
            <w:shd w:fill="FAFAFA" w:val="clear"/>
          </w:tcPr>
          <w:p>
            <w:r>
              <w:rPr>
                <w:b/>
                <w:sz w:val="17"/>
              </w:rPr>
              <w:t>2,834</w:t>
            </w:r>
          </w:p>
        </w:tc>
        <w:tc>
          <w:tcPr>
            <w:tcW w:type="dxa" w:w="1440"/>
            <w:shd w:fill="FAFAFA" w:val="clear"/>
          </w:tcPr>
          <w:p>
            <w:r>
              <w:rPr>
                <w:sz w:val="17"/>
              </w:rPr>
              <w:t>3,065</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2026-09-21</w:t>
            </w:r>
          </w:p>
        </w:tc>
        <w:tc>
          <w:tcPr>
            <w:tcW w:type="dxa" w:w="1440"/>
            <w:shd w:fill="FAFAFA" w:val="clear"/>
          </w:tcPr>
          <w:p>
            <w:r>
              <w:rPr>
                <w:sz w:val="17"/>
              </w:rPr>
              <w:t>2,580</w:t>
            </w:r>
          </w:p>
        </w:tc>
        <w:tc>
          <w:tcPr>
            <w:tcW w:type="dxa" w:w="1440"/>
            <w:shd w:fill="FAFAFA" w:val="clear"/>
          </w:tcPr>
          <w:p>
            <w:r>
              <w:rPr>
                <w:b/>
                <w:sz w:val="17"/>
              </w:rPr>
              <w:t>2,829</w:t>
            </w:r>
          </w:p>
        </w:tc>
        <w:tc>
          <w:tcPr>
            <w:tcW w:type="dxa" w:w="1440"/>
            <w:shd w:fill="FAFAFA" w:val="clear"/>
          </w:tcPr>
          <w:p>
            <w:r>
              <w:rPr>
                <w:sz w:val="17"/>
              </w:rPr>
              <w:t>3,078</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2026-09-22</w:t>
            </w:r>
          </w:p>
        </w:tc>
        <w:tc>
          <w:tcPr>
            <w:tcW w:type="dxa" w:w="1440"/>
            <w:shd w:fill="FAFAFA" w:val="clear"/>
          </w:tcPr>
          <w:p>
            <w:r>
              <w:rPr>
                <w:sz w:val="17"/>
              </w:rPr>
              <w:t>2,558</w:t>
            </w:r>
          </w:p>
        </w:tc>
        <w:tc>
          <w:tcPr>
            <w:tcW w:type="dxa" w:w="1440"/>
            <w:shd w:fill="FAFAFA" w:val="clear"/>
          </w:tcPr>
          <w:p>
            <w:r>
              <w:rPr>
                <w:b/>
                <w:sz w:val="17"/>
              </w:rPr>
              <w:t>2,823</w:t>
            </w:r>
          </w:p>
        </w:tc>
        <w:tc>
          <w:tcPr>
            <w:tcW w:type="dxa" w:w="1440"/>
            <w:shd w:fill="FAFAFA" w:val="clear"/>
          </w:tcPr>
          <w:p>
            <w:r>
              <w:rPr>
                <w:sz w:val="17"/>
              </w:rPr>
              <w:t>3,089</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2026-09-23</w:t>
            </w:r>
          </w:p>
        </w:tc>
        <w:tc>
          <w:tcPr>
            <w:tcW w:type="dxa" w:w="1440"/>
            <w:shd w:fill="FAFAFA" w:val="clear"/>
          </w:tcPr>
          <w:p>
            <w:r>
              <w:rPr>
                <w:sz w:val="17"/>
              </w:rPr>
              <w:t>2,537</w:t>
            </w:r>
          </w:p>
        </w:tc>
        <w:tc>
          <w:tcPr>
            <w:tcW w:type="dxa" w:w="1440"/>
            <w:shd w:fill="FAFAFA" w:val="clear"/>
          </w:tcPr>
          <w:p>
            <w:r>
              <w:rPr>
                <w:b/>
                <w:sz w:val="17"/>
              </w:rPr>
              <w:t>2,818</w:t>
            </w:r>
          </w:p>
        </w:tc>
        <w:tc>
          <w:tcPr>
            <w:tcW w:type="dxa" w:w="1440"/>
            <w:shd w:fill="FAFAFA" w:val="clear"/>
          </w:tcPr>
          <w:p>
            <w:r>
              <w:rPr>
                <w:sz w:val="17"/>
              </w:rPr>
              <w:t>3,100</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2026-09-24</w:t>
            </w:r>
          </w:p>
        </w:tc>
        <w:tc>
          <w:tcPr>
            <w:tcW w:type="dxa" w:w="1440"/>
            <w:shd w:fill="FAFAFA" w:val="clear"/>
          </w:tcPr>
          <w:p>
            <w:r>
              <w:rPr>
                <w:sz w:val="17"/>
              </w:rPr>
              <w:t>2,517</w:t>
            </w:r>
          </w:p>
        </w:tc>
        <w:tc>
          <w:tcPr>
            <w:tcW w:type="dxa" w:w="1440"/>
            <w:shd w:fill="FAFAFA" w:val="clear"/>
          </w:tcPr>
          <w:p>
            <w:r>
              <w:rPr>
                <w:b/>
                <w:sz w:val="17"/>
              </w:rPr>
              <w:t>2,813</w:t>
            </w:r>
          </w:p>
        </w:tc>
        <w:tc>
          <w:tcPr>
            <w:tcW w:type="dxa" w:w="1440"/>
            <w:shd w:fill="FAFAFA" w:val="clear"/>
          </w:tcPr>
          <w:p>
            <w:r>
              <w:rPr>
                <w:sz w:val="17"/>
              </w:rPr>
              <w:t>3,109</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Moov Africa Burkina Faso)**</w:t>
        <w:br/>
        <w:t>*Marché : BRVM | Secteur : Télécommunications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195,16 milliards FCFA, ONTBF figure parmi les valeurs moyennes à grandes de la cote BRVM, ce qui reflète sa position d'opérateur télécom historique au Burkina Faso. Le BPA de 234 FCFA/action signifie que chaque titre génère près de 234 FCFA de bénéfice net, un niveau appréciable pour un cours de 2 870 FCFA. Le PER de 12,3x se situe légèrement au-dessus de la moyenne BRVM (8-12x), traduisant une valorisation modérée mais non excessive, cohérente avec un dossier de rendement plutôt que de forte croissance. Le P/B de 3,39x indique que le marché valorise l'action à plus de trois fois ses fonds propres comptables (57,54 Mds FCFA), soit une prime de croissance significative qui se justifie par la forte génération de cash-flow et le rendement du dividende. Enfin, l'EV/EBITDA de 5,1x, bien ancré dans la fourchette raisonnable de 5-10x, suggère que la valeur d'entreprise reste modérée au regard de la capacité opérationnelle de l'opérateur, ce qui constitue un point d'appui pour la thèse d'investissement.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variation positive de +5,51%, avec un cours actuel de 2 870 FCFA et une dernière séance stable (+0,00%), signalant une phase de consolidation. Le range de trading s'étend de 2 610 FCFA (plus bas) à 3 070 FCFA (plus haut), soit une amplitude d'environ 17,6%, ce qui témoigne d'une tendance générale haussière mais ponctuée de corrections. Les statistiques descriptives révèlent une moyenne de 2 824 FCFA légèrement supérieure à la médiane de 2 805 FCFA, avec un mode à 2 800 FCFA : cet écart minime indique une distribution quasi symétrique, confirmée par un skewness de 0,133 (asymétrie très faible, proche de la normale). L'écart-type de 87 FCFA, soit un coefficient de variation de seulement 3,1%, traduit une dispersion très faible du cours autour de sa moyenne, signe d'un titre peu erratique sur la période. Le kurtosis de -0,276 (mésokurtique) suggère une distribution proche de la normale, sans risque marqué de pics extrêmes, ce qui est rassurant pour la gestion du risque. Enfin, la volatilité annualisée de 30,4% positionne ONTBF dans la catégorie des titres à volatilité élevée (&gt;30%), ce qui contraste avec la stabilité relative observée sur les 100 derniers jours et invite à la prudence sur les horizons plus longs.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(2 883,0 FCFA) et la MM50 (2 843,6 FCFA) encadrent le cours actuel de 2 870 FCFA, qui se situe au-dessus de la MM50 mais légèrement sous la MM20. Cette configuration indique une dynamique haussière de fond (cours &gt; MM50) tout en signalant une légère consolidation à court terme (cours &lt; MM20). La décision technique est à l'**Achat**, soutenue par la structure haussière des moyennes.</w:t>
      </w:r>
    </w:p>
    <w:p>
      <w:pPr>
        <w:spacing w:after="120" w:line="276" w:lineRule="auto"/>
      </w:pPr>
      <w:r>
        <w:t>**Bandes de Bollinger** : Le cours (2 870 FCFA) évolue dans la partie médiane-haute du canal, entre la borne inférieure (2 801,0 FCFA) et la borne supérieure (2 965,0 FCFA). L'absence de contact avec les bornes traduit une volatilité modérée et un marché sans excès directionnel. La décision est **Neutre**, le titre n'étant ni en zone de survente ni de surachat.</w:t>
      </w:r>
    </w:p>
    <w:p>
      <w:pPr>
        <w:spacing w:after="120" w:line="276" w:lineRule="auto"/>
      </w:pPr>
      <w:r>
        <w:t>**MACD** : La valeur du MACD (4,033) est nettement inférieure à son signal (9,793), ce qui génère une divergence baissière et un momentum négatif à court terme. Cette configuration, bien que le MACD reste positif, plaide pour la prudence et justifie la décision de **Vente** émise par cet indicateur.</w:t>
      </w:r>
    </w:p>
    <w:p>
      <w:pPr>
        <w:spacing w:after="120" w:line="276" w:lineRule="auto"/>
      </w:pPr>
      <w:r>
        <w:t>**RSI** : À 40,278, le RSI se situe dans la zone neutre (30-70) mais dans sa moitié basse, indiquant une absence de pression acheteuse forte sans pour autant atteindre la zone de survente (&lt;30). La décision est **Neutre**, le titre disposant encore d'un potentiel de rebond mais sans signal d'entrée clair.</w:t>
      </w:r>
    </w:p>
    <w:p>
      <w:pPr>
        <w:spacing w:after="120" w:line="276" w:lineRule="auto"/>
      </w:pPr>
      <w:r>
        <w:t>**Stochastique** : Le %K (56,522) est supérieur au %D (50,366), avec un croisement récent à la hausse au-dessus de la zone médiane. Cette configuration suggère un début de reprise du momentum haussier, mais l'absence de franchissement des 80 limite la portée du signal. La décision reste **Neutre**.</w:t>
      </w:r>
    </w:p>
    <w:p>
      <w:pPr>
        <w:spacing w:after="120" w:line="276" w:lineRule="auto"/>
      </w:pPr>
      <w:r>
        <w:t>**Conclusion technique** : Les indicateurs techniques présentent un tableau mitigé, partagé entre une structure haussière de fond (MM, Stochastique) et des signaux de court terme plus prudents (MACD baissier, RSI faible). La convergence n'est pas totale, ce qui suggère une phase de consolidation avant une éventuelle reprise. Le titre se trouve dans une zone d'équilibre technique, ni acheteur ni vendeur, justifiant une posture d'attente.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(ONATEL-SA) a réalisé un chiffre d'affaires de 146,18 milliards FCFA, en hausse de +3,1% par rapport à 2024, porté par le Très Haut Débit (FTTH, +33% de parc), l'Internet mobile (+4,6%) et le Mobile Money (+14%). Le résultat net s'établit à 15,89 milliards FCFA, en net repli de -26% par rapport aux 21,47 milliards de 2024, sous l'effet de charges opérationnelles et exceptionnelles élevées (indemnités de fin d'engagement, coûts énergétiques, maintenance en zones à défi sécuritaire, sanction ARCEP de 1,543 Md FCFA). Le ROE reste excellent à 27,61% (bien supérieur au seuil de 15%), tandis que le ROA s'élève à 4,89%, reflétant la lourdeur du bilan télécom (324,9 Mds FCFA d'actifs). Le coefficient d'exploitation de 67,07% (charges/PNB) dépasse le seuil de 60% d'efficacité, signalant une pression sur les marges, tandis que le coût du risque de 3,57% reste contenu. La structure financière est déséquilibrée : l'autonomie financière de 17,71% est inférieure au seuil sain de 30%, et le ratio d'endettement de 186,99% est élevé, avec des dettes financières de 107,6 Mds FCFA. Les délais d'exploitation sont contrastés : délai clients de 30,78 jours (correct), délai fournisseurs de 130,73 jours (favorable à la trésorerie) et durée de stockage de 1 669 jours (très élevée, immobilisant du capital). Sur la base du rapport T1 2026 (publié en 2026), le chiffre d'affaires progresse de +2,7% à 37,1 Mds FCFA, avec un taux de marge EBITDA maintenu à 41,3% et un résultat net de 3,58 Mds FCFA (marge nette de 9,6%), confirmant la poursuite de la croissance commerciale mais aussi la persistance de la pression sur les marges. On estime que l'exercice 2026 devrait rester sur cette trajectoire de croissance modérée avec une rentabilité encore contrainte, la direction plaçant l'année sous le thème de la « reconquête du leadership » avec un accent sur l'optimisation des coûts. La recommandation fondamentale est de **CONSERVER** le titre : la solidité de la génération de cash-flow (CAFG de 46,95 Mds FCFA, flux opérationnels de 68,49 Mds FCFA), la notation GCR A+(WU) et le dividende attractif (166,08 FCFA/action, soit un rendement d'environ 5,8% au cours actuel) soutiennent la valeur, mais la dégradation de la rentabilité et l'endettement croissant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profil d'investissement équilibré mais sans catalyseur majeur à court terme. La valorisation (Partie 0) est modérée : PER de 12,3x légèrement supérieur à la moyenne BRVM, P/B de 3,39x traduisant une prime de croissance, et EV/EBITDA de 5,1x raisonnable — le titre n'est ni sous-évalué ni surévalué. Le comportement du cours (Partie 1) est favorable sur 100 jours (+5,51%) avec une volatilité annualisée élevée (30,4%) mais une distribution symétrique et sans pics extrêmes (kurtosis -0,276, skewness 0,133), ce qui est rassurant pour la gestion du risque. Les signaux techniques (Partie 2) sont mitigés : structure haussière de fond (MM50, Stochastique) mais momentum court terme négatif (MACD baissier, RSI faible), plaidant pour une consolidation. Les fondamentaux (Partie 3) révèlent une croissance commerciale résiliente (+3,1% de CA en 2025, +2,7% au T1 2026) mais une rentabilité en repli (-26% de résultat net en 2025) et un endettement élevé, avec un dividende attractif qui soutient le cours. Les prédictions IA (J+1 à J+10) anticipent une légère dérive baissière de 2 861 FCFA à 2 839 FCFA, confirmant la phase de consolidation technique sans signaler de rupture majeure. Sur la base de cette synthèse, la recommandation finale est **CONSERVER**, avec un niveau de confiance **Moyen** et un risque global **Moyen**. L'horizon d'investissement optimal est le **moyen terme (3-12 mois)**, le temps que la direction démontre sa capacité à maîtriser ses charges et à inverser la tendance baissière de ses marges, condition nécessaire à une revalorisation durable du titre.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3382.21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2,785 titres</w:t>
            </w:r>
          </w:p>
        </w:tc>
        <w:tc>
          <w:tcPr>
            <w:tcW w:type="dxa" w:w="2268"/>
            <w:shd w:fill="FFF2CC" w:val="clear"/>
          </w:tcPr>
          <w:p>
            <w:r>
              <w:rPr>
                <w:b/>
                <w:color w:val="503200"/>
                <w:sz w:val="16"/>
              </w:rPr>
              <w:t xml:space="preserve">Cours actuel : </w:t>
            </w:r>
            <w:r>
              <w:rPr>
                <w:color w:val="000000"/>
                <w:sz w:val="17"/>
              </w:rPr>
              <w:t>22,450 FCFA</w:t>
            </w:r>
          </w:p>
          <w:p>
            <w:r>
              <w:rPr>
                <w:b/>
                <w:color w:val="503200"/>
                <w:sz w:val="16"/>
              </w:rPr>
              <w:t xml:space="preserve">Var. 100 jours : </w:t>
            </w:r>
            <w:r>
              <w:rPr>
                <w:b/>
                <w:color w:val="007800"/>
                <w:sz w:val="17"/>
              </w:rPr>
              <w:t>+49.67%</w:t>
            </w:r>
          </w:p>
          <w:p>
            <w:r>
              <w:rPr>
                <w:b/>
                <w:color w:val="503200"/>
                <w:sz w:val="16"/>
              </w:rPr>
              <w:t xml:space="preserve">Plus haut 100j : </w:t>
            </w:r>
            <w:r>
              <w:rPr>
                <w:color w:val="000000"/>
                <w:sz w:val="17"/>
              </w:rPr>
              <w:t>22,450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30.1%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12.07% (Moyenne) — μ=16,899 FCFA, σ=2,039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β=1.3698 (Agressif) — Cov=0.000048, Var(idx)=0.000035, ρ=0.430,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2,785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σ_j=1.90%/j (Stable) — Vol. annualisée≈30.1%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20,721</w:t>
            </w:r>
          </w:p>
        </w:tc>
        <w:tc>
          <w:tcPr>
            <w:tcW w:type="dxa" w:w="1440"/>
            <w:shd w:fill="FFDCE0" w:val="clear"/>
          </w:tcPr>
          <w:p>
            <w:r>
              <w:rPr>
                <w:b/>
                <w:sz w:val="17"/>
              </w:rPr>
              <w:t>21,381</w:t>
            </w:r>
          </w:p>
        </w:tc>
        <w:tc>
          <w:tcPr>
            <w:tcW w:type="dxa" w:w="1440"/>
            <w:shd w:fill="FFDCE0" w:val="clear"/>
          </w:tcPr>
          <w:p>
            <w:r>
              <w:rPr>
                <w:sz w:val="17"/>
              </w:rPr>
              <w:t>22,041</w:t>
            </w:r>
          </w:p>
        </w:tc>
        <w:tc>
          <w:tcPr>
            <w:tcW w:type="dxa" w:w="1440"/>
            <w:shd w:fill="FFDCE0" w:val="clear"/>
          </w:tcPr>
          <w:p>
            <w:r>
              <w:rPr>
                <w:b/>
                <w:color w:val="C00000"/>
                <w:sz w:val="17"/>
              </w:rPr>
              <w:t>-4.8%</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20,356</w:t>
            </w:r>
          </w:p>
        </w:tc>
        <w:tc>
          <w:tcPr>
            <w:tcW w:type="dxa" w:w="1440"/>
            <w:shd w:fill="FFDCE0" w:val="clear"/>
          </w:tcPr>
          <w:p>
            <w:r>
              <w:rPr>
                <w:b/>
                <w:sz w:val="17"/>
              </w:rPr>
              <w:t>21,286</w:t>
            </w:r>
          </w:p>
        </w:tc>
        <w:tc>
          <w:tcPr>
            <w:tcW w:type="dxa" w:w="1440"/>
            <w:shd w:fill="FFDCE0" w:val="clear"/>
          </w:tcPr>
          <w:p>
            <w:r>
              <w:rPr>
                <w:sz w:val="17"/>
              </w:rPr>
              <w:t>22,216</w:t>
            </w:r>
          </w:p>
        </w:tc>
        <w:tc>
          <w:tcPr>
            <w:tcW w:type="dxa" w:w="1440"/>
            <w:shd w:fill="FFDCE0" w:val="clear"/>
          </w:tcPr>
          <w:p>
            <w:r>
              <w:rPr>
                <w:b/>
                <w:color w:val="C00000"/>
                <w:sz w:val="17"/>
              </w:rPr>
              <w:t>-5.2%</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19,994</w:t>
            </w:r>
          </w:p>
        </w:tc>
        <w:tc>
          <w:tcPr>
            <w:tcW w:type="dxa" w:w="1440"/>
            <w:shd w:fill="FFDCE0" w:val="clear"/>
          </w:tcPr>
          <w:p>
            <w:r>
              <w:rPr>
                <w:b/>
                <w:sz w:val="17"/>
              </w:rPr>
              <w:t>21,124</w:t>
            </w:r>
          </w:p>
        </w:tc>
        <w:tc>
          <w:tcPr>
            <w:tcW w:type="dxa" w:w="1440"/>
            <w:shd w:fill="FFDCE0" w:val="clear"/>
          </w:tcPr>
          <w:p>
            <w:r>
              <w:rPr>
                <w:sz w:val="17"/>
              </w:rPr>
              <w:t>22,254</w:t>
            </w:r>
          </w:p>
        </w:tc>
        <w:tc>
          <w:tcPr>
            <w:tcW w:type="dxa" w:w="1440"/>
            <w:shd w:fill="FFDCE0" w:val="clear"/>
          </w:tcPr>
          <w:p>
            <w:r>
              <w:rPr>
                <w:b/>
                <w:color w:val="C00000"/>
                <w:sz w:val="17"/>
              </w:rPr>
              <w:t>-5.9%</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19,664</w:t>
            </w:r>
          </w:p>
        </w:tc>
        <w:tc>
          <w:tcPr>
            <w:tcW w:type="dxa" w:w="1440"/>
            <w:shd w:fill="FFDCE0" w:val="clear"/>
          </w:tcPr>
          <w:p>
            <w:r>
              <w:rPr>
                <w:b/>
                <w:sz w:val="17"/>
              </w:rPr>
              <w:t>20,959</w:t>
            </w:r>
          </w:p>
        </w:tc>
        <w:tc>
          <w:tcPr>
            <w:tcW w:type="dxa" w:w="1440"/>
            <w:shd w:fill="FFDCE0" w:val="clear"/>
          </w:tcPr>
          <w:p>
            <w:r>
              <w:rPr>
                <w:sz w:val="17"/>
              </w:rPr>
              <w:t>22,254</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19,364</w:t>
            </w:r>
          </w:p>
        </w:tc>
        <w:tc>
          <w:tcPr>
            <w:tcW w:type="dxa" w:w="1440"/>
            <w:shd w:fill="FFDCE0" w:val="clear"/>
          </w:tcPr>
          <w:p>
            <w:r>
              <w:rPr>
                <w:b/>
                <w:sz w:val="17"/>
              </w:rPr>
              <w:t>20,800</w:t>
            </w:r>
          </w:p>
        </w:tc>
        <w:tc>
          <w:tcPr>
            <w:tcW w:type="dxa" w:w="1440"/>
            <w:shd w:fill="FFDCE0" w:val="clear"/>
          </w:tcPr>
          <w:p>
            <w:r>
              <w:rPr>
                <w:sz w:val="17"/>
              </w:rPr>
              <w:t>22,237</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19,087</w:t>
            </w:r>
          </w:p>
        </w:tc>
        <w:tc>
          <w:tcPr>
            <w:tcW w:type="dxa" w:w="1440"/>
            <w:shd w:fill="FFDCE0" w:val="clear"/>
          </w:tcPr>
          <w:p>
            <w:r>
              <w:rPr>
                <w:b/>
                <w:sz w:val="17"/>
              </w:rPr>
              <w:t>20,649</w:t>
            </w:r>
          </w:p>
        </w:tc>
        <w:tc>
          <w:tcPr>
            <w:tcW w:type="dxa" w:w="1440"/>
            <w:shd w:fill="FFDCE0" w:val="clear"/>
          </w:tcPr>
          <w:p>
            <w:r>
              <w:rPr>
                <w:sz w:val="17"/>
              </w:rPr>
              <w:t>22,211</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18,828</w:t>
            </w:r>
          </w:p>
        </w:tc>
        <w:tc>
          <w:tcPr>
            <w:tcW w:type="dxa" w:w="1440"/>
            <w:shd w:fill="FFDCE0" w:val="clear"/>
          </w:tcPr>
          <w:p>
            <w:r>
              <w:rPr>
                <w:b/>
                <w:sz w:val="17"/>
              </w:rPr>
              <w:t>20,503</w:t>
            </w:r>
          </w:p>
        </w:tc>
        <w:tc>
          <w:tcPr>
            <w:tcW w:type="dxa" w:w="1440"/>
            <w:shd w:fill="FFDCE0" w:val="clear"/>
          </w:tcPr>
          <w:p>
            <w:r>
              <w:rPr>
                <w:sz w:val="17"/>
              </w:rPr>
              <w:t>22,178</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18,584</w:t>
            </w:r>
          </w:p>
        </w:tc>
        <w:tc>
          <w:tcPr>
            <w:tcW w:type="dxa" w:w="1440"/>
            <w:shd w:fill="FFDCE0" w:val="clear"/>
          </w:tcPr>
          <w:p>
            <w:r>
              <w:rPr>
                <w:b/>
                <w:sz w:val="17"/>
              </w:rPr>
              <w:t>20,363</w:t>
            </w:r>
          </w:p>
        </w:tc>
        <w:tc>
          <w:tcPr>
            <w:tcW w:type="dxa" w:w="1440"/>
            <w:shd w:fill="FFDCE0" w:val="clear"/>
          </w:tcPr>
          <w:p>
            <w:r>
              <w:rPr>
                <w:sz w:val="17"/>
              </w:rPr>
              <w:t>22,142</w:t>
            </w:r>
          </w:p>
        </w:tc>
        <w:tc>
          <w:tcPr>
            <w:tcW w:type="dxa" w:w="1440"/>
            <w:shd w:fill="FFDCE0" w:val="clear"/>
          </w:tcPr>
          <w:p>
            <w:r>
              <w:rPr>
                <w:b/>
                <w:color w:val="C00000"/>
                <w:sz w:val="17"/>
              </w:rPr>
              <w:t>-9.3%</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18,354</w:t>
            </w:r>
          </w:p>
        </w:tc>
        <w:tc>
          <w:tcPr>
            <w:tcW w:type="dxa" w:w="1440"/>
            <w:shd w:fill="FFDCE0" w:val="clear"/>
          </w:tcPr>
          <w:p>
            <w:r>
              <w:rPr>
                <w:b/>
                <w:sz w:val="17"/>
              </w:rPr>
              <w:t>20,228</w:t>
            </w:r>
          </w:p>
        </w:tc>
        <w:tc>
          <w:tcPr>
            <w:tcW w:type="dxa" w:w="1440"/>
            <w:shd w:fill="FFDCE0" w:val="clear"/>
          </w:tcPr>
          <w:p>
            <w:r>
              <w:rPr>
                <w:sz w:val="17"/>
              </w:rPr>
              <w:t>22,102</w:t>
            </w:r>
          </w:p>
        </w:tc>
        <w:tc>
          <w:tcPr>
            <w:tcW w:type="dxa" w:w="1440"/>
            <w:shd w:fill="FFDCE0" w:val="clear"/>
          </w:tcPr>
          <w:p>
            <w:r>
              <w:rPr>
                <w:b/>
                <w:color w:val="C00000"/>
                <w:sz w:val="17"/>
              </w:rPr>
              <w:t>-9.9%</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18,136</w:t>
            </w:r>
          </w:p>
        </w:tc>
        <w:tc>
          <w:tcPr>
            <w:tcW w:type="dxa" w:w="1440"/>
            <w:shd w:fill="FFDCE0" w:val="clear"/>
          </w:tcPr>
          <w:p>
            <w:r>
              <w:rPr>
                <w:b/>
                <w:sz w:val="17"/>
              </w:rPr>
              <w:t>20,099</w:t>
            </w:r>
          </w:p>
        </w:tc>
        <w:tc>
          <w:tcPr>
            <w:tcW w:type="dxa" w:w="1440"/>
            <w:shd w:fill="FFDCE0" w:val="clear"/>
          </w:tcPr>
          <w:p>
            <w:r>
              <w:rPr>
                <w:sz w:val="17"/>
              </w:rPr>
              <w:t>22,062</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**Bourse Régionale des Valeurs Mobilières (BRVM)**</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3 382,21 milliards FCFA, ORAC s'impose comme l'une des toutes premières capitalisations de la BRVM, représentant à elle seule une part significative de la capitalisation totale du marché régional. Le BPA de 1 114 FCFA par action signifie que chaque titre génère un bénéfice net de plus de mille francs CFA, ce qui traduit une rentabilité intrinsèque élevée. Le PER de 20,2x se situe nettement au-dessus de la moyenne du marché BRVM (généralement comprise entre 8x et 12x), ce qui indique que les investisseurs paient une prime significative pour les bénéfices actuels, anticipant une croissance future soutenue ou traduisant une certaine surévaluation. Le ratio P/B de 4,78x confirme cette tendance : le marché valorise ORAC à près de cinq fois sa valeur comptable, une prime exigeante qui reflète la qualité de la franchise et la confiance dans le modèle économique, mais qui laisse peu de marge d'erreur. En revanche, l'EV/EBITDA de 8,0x apparaît raisonnable dans la fourchette 5-10x, suggérant que la valeur totale de l'entreprise (incluant la dette) reste cohérente avec sa capacité opérationnelle à générer des liquidités.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spectaculaire de +49,67%, avec une dernière séance en hausse de +2,51%, portant le cours actuel à 22 450 FCFA. Le range de trading est particulièrement large, le titre ayant évolué entre un plus bas de 14 650 FCFA et un plus haut de 22 450 FCFA — ce dernier correspondant précisément au cours actuel, ce qui signifie que l'action évolue à son sommet sur la période, en tendance clairement haussière. Les statistiques descriptives révèlent une moyenne de 16 899 FCFA contre une médiane de 16 182 FCFA, soit un écart de 717 FCFA qui confirme une distribution asymétrique avec des valeurs extrêmes hautes tirant la moyenne vers le haut. L'écart-type de 2 049 FCFA (CV = 12,1%) indique une dispersion modérée du cours autour de sa moyenne, tandis que le kurtosis de 0,634 (mésokurtique) suggère une distribution proche de la normale, sans risque excessif de pics extrêmes. Le skewness de 1,351, nettement positif, révèle une asymétrie marquée : davantage de journées se situent sous la moyenne, mais les journées haussières sont plus amples, ce qui est typique d'un titre en forte tendance haussière. La volatilité annualisée de 30,1% positionne ORAC dans la catégorie des titres à volatilité élevée (&gt;30%), ce qui implique un risque de prix significatif mais aussi des opportunités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20 598,25 FCFA et la MM50 à 18 171,70 FCFA, toutes deux nettement inférieures au cours actuel de 22 450 FCFA. Cette configuration — cours &gt; MM20 &gt; MM50 — est un signal haussier classique, confirmant que la dynamique de court et moyen terme est positive. La décision technique est donc logiquement à l'**Achat**.</w:t>
      </w:r>
    </w:p>
    <w:p>
      <w:pPr>
        <w:spacing w:after="120" w:line="276" w:lineRule="auto"/>
      </w:pPr>
      <w:r>
        <w:t>**Bandes de Bollinger** : La borne supérieure se situe à 23 185,80 FCFA et la borne inférieure à 18 010,70 FCFA, avec un cours actuel de 22 450 FCFA qui évolue dans la partie haute du canal, sans toutefois le franchir. Cette position proche de la borne supérieure indique une pression acheteuse forte mais pas encore de signal de surachat extrême. La décision est **Neutre**, le cours n'ayant pas cassé la borne supérieure.</w:t>
      </w:r>
    </w:p>
    <w:p>
      <w:pPr>
        <w:spacing w:after="120" w:line="276" w:lineRule="auto"/>
      </w:pPr>
      <w:r>
        <w:t>**MACD** : La valeur du MACD (1 128,08) est supérieure à son signal (1 104,33), avec un histogramme positif. Cette configuration confirme un momentum haussier en cours, bien que l'écart entre les deux lignes reste modéré, suggérant une accélération progressive plutôt qu'explosive. La décision est à l'**Achat**.</w:t>
      </w:r>
    </w:p>
    <w:p>
      <w:pPr>
        <w:spacing w:after="120" w:line="276" w:lineRule="auto"/>
      </w:pPr>
      <w:r>
        <w:t>**RSI** : À 68,12, le RSI se situe juste en dessous du seuil de surachat de 70, dans une zone neutre-haute. Cela indique que le titre conserve un potentiel de hausse à court terme sans être encore techniquement suracheté, bien que la prudence soit de mise à l'approche de ce seuil. La décision est **Neutre**.</w:t>
      </w:r>
    </w:p>
    <w:p>
      <w:pPr>
        <w:spacing w:after="120" w:line="276" w:lineRule="auto"/>
      </w:pPr>
      <w:r>
        <w:t>**Stochastique** : Le %K à 100,0 et le %D à 92,14 affichent un croisement en zone de surachat extrême, avec le %K au maximum absolu. Ce signal est clairement baissier à court terme, indiquant une probable correction ou consolidation imminente. La décision est à la **Vente**.</w:t>
      </w:r>
    </w:p>
    <w:p>
      <w:pPr>
        <w:spacing w:after="120" w:line="276" w:lineRule="auto"/>
      </w:pPr>
      <w:r>
        <w:t>**Conclusion technique** : Les indicateurs techniques présentent une divergence notable. Les moyennes mobiles et le MACD confirment une tendance haussière solide, tandis que le RSI (68,12) reste en zone neutre-haute et les Bandes de Bollinger n'indiquent pas de surachat extrême. Cependant, le Stochastique en zone de surachat maximal (%K=100) lance un avertissement sérieux sur une correction à court terme. La convergence globale penche vers un **maintien haussier à moyen terme avec un risque de consolidation à court terme**, justifiant une approche prudente à l'achat.</w:t>
      </w:r>
    </w:p>
    <w:p>
      <w:pPr>
        <w:spacing w:after="120" w:line="276" w:lineRule="auto"/>
      </w:pPr>
      <w:r>
        <w:t>---</w:t>
      </w:r>
    </w:p>
    <w:p>
      <w:pPr>
        <w:spacing w:after="120" w:line="276" w:lineRule="auto"/>
      </w:pPr>
      <w:r>
        <w:t>### PARTIE 3 : ANALYSE FONDAMENTALE</w:t>
      </w:r>
    </w:p>
    <w:p>
      <w:pPr>
        <w:spacing w:after="120" w:line="276" w:lineRule="auto"/>
      </w:pPr>
      <w:r>
        <w:t>En 2025, Orange Côte d'Ivoire a réalisé un chiffre d'affaires consolidé de 1 197,1 milliards FCFA, en progression de +10,4% par rapport à 2024 (1 084,1 milliards FCFA), portée par la dynamique commerciale en Côte d'Ivoire, au Burkina Faso et au Libéria. Le résultat net consolidé s'établit à 167,8 milliards FCFA (+6,1%), tandis que le résultat net part du groupe atteint 129,1 milliards FCFA (+14,5%). La rentabilité des fonds propres (ROE) ressort à 23,71%, un niveau excellent (&gt;15%), et le ROA à 6,57%, confirmant l'efficacité de l'utilisation des actifs. La marge nette de 14,02% et la marge opérationnelle de 23,99% témoignent d'une solide maîtrise des coûts, bien qu'en léger retrait par rapport à 2024 (marge nette de 14,6%). En tant qu'entreprise non bancaire, l'analyse des délais d'exploitation révèle un délai clients de 52,26 jours (risque de trésorerie modéré) et un délai fournisseurs de 210,87 jours (favorable à la trésorerie), avec un BFR négatif de -198,0 milliards FCFA — un point positif majeur. Le ratio d'endettement de 47,46% et l'autonomie financière de 27,71% (légèrement en dessous du seuil sain de 30%) appellent à une surveillance, mais la capacité de remboursement de 0,99 an et la couverture des intérêts de 1 018,44% sont rassurantes. Les rapports trimestriels récents confirment cette dynamique : le T1 2026 (publié en 2026) affiche un CA de 325,6 milliards FCFA (+14,8%) et un résultat net de 48,3 milliards FCFA (+25,2%), avec une marge nette en amélioration à 14,8%. Sur la base de ces tendances, on estime que l'exercice 2026 devrait enregistrer une croissance du CA supérieure à 12% et un résultat net en progression de 15-20%, porté par les investissements dans la fibre (+59,9% d'abonnés en 2025) et Orange Money (+10,2% de clients). Le principal risque identifié réside dans la pression fiscale et réglementaire accrue (impôts et taxes +20,8% en 2025) et la hausse des charges financières (+26,8%), qui pourraient continuer d'éroder les marges. Néanmoins, la solidité du bilan (capitaux propres de 707,8 milliards FCFA), la génération de free cash-flow de 156,2 milliards FCFA et la politique de dividende attractive (800 FCFA brut par action, soit un rendement d'environ 3,6% au cours actuel) confirment la robustesse fondamentale du titre.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mais globalement favorable. La valorisation (Partie 0) affiche un PER de 20,2x et un P/B de 4,78x, nettement supérieurs aux moyennes du marché BRVM, ce qui suggère une **surévaluation relative** par rapport aux bénéfices actuels, bien que l'EV/EBITDA de 8,0x reste raisonnable. Le comportement du cours (Partie 1) est résolument haussier (+49,67% sur 100 jours), avec une volatilité élevée (30,1%) et un skewness positif (1,351) typique d'une tendance forte, mais le cours évoluant à son plus haut historique sur la période, un essoufflement est possible. Les signaux techniques (Partie 2) sont mitigés : les moyennes mobiles et le MACD confirment la tendance haussière, mais le Stochastique en surachat extrême (%K=100) et le RSI proche de 70 (68,12) annoncent une correction imminente. Les fondamentaux (Partie 3) demeurent solides : croissance du CA de +10,4% en 2025, ROE de 23,71%, et les estimations basées sur le T1 2026 (+14,8% de CA, +25,2% de résultat net) suggèrent une accélération en 2026. Les prédictions IA (J+1 à J+10) anticipent une **baisse progressive** du cours de 21 381 FCFA à 20 800 FCFA, ce qui contredit la tendance haussière récente et confirme le signal de correction du Stochastique. Sur la base de cette synthèse, la recommandation finale est **CONSERVER**, avec un biais haussier à moyen terme. La convergence entre la solidité fondamentale, la tendance technique de fond et les perspectives de croissance est positive, mais la divergence entre la valorisation exigeante, le signal de surachat stochastique et les prédictions baissières à court terme incite à la prudence. Le niveau de confiance est **Moyen**, le risque global est **Élevé** (volatilité de 30,1%, valorisation tendue), et l'horizon d'investissement optimal est le **moyen terme (3-12 mois)**, en attendant une correction pour se positionner à l'achat sur des niveaux plus attractifs (zone des 20 000-21 000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229.07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5,633 titres</w:t>
            </w:r>
          </w:p>
        </w:tc>
        <w:tc>
          <w:tcPr>
            <w:tcW w:type="dxa" w:w="2268"/>
            <w:shd w:fill="FFF2CC" w:val="clear"/>
          </w:tcPr>
          <w:p>
            <w:r>
              <w:rPr>
                <w:b/>
                <w:color w:val="503200"/>
                <w:sz w:val="16"/>
              </w:rPr>
              <w:t xml:space="preserve">Cours actuel : </w:t>
            </w:r>
            <w:r>
              <w:rPr>
                <w:color w:val="000000"/>
                <w:sz w:val="17"/>
              </w:rPr>
              <w:t>3,300 FCFA</w:t>
            </w:r>
          </w:p>
          <w:p>
            <w:r>
              <w:rPr>
                <w:b/>
                <w:color w:val="503200"/>
                <w:sz w:val="16"/>
              </w:rPr>
              <w:t xml:space="preserve">Var. 100 jours : </w:t>
            </w:r>
            <w:r>
              <w:rPr>
                <w:b/>
                <w:color w:val="B40000"/>
                <w:sz w:val="17"/>
              </w:rPr>
              <w:t>-3.23%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9.33% (Moyenne) — μ=2,912 FCFA, σ=272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β=0.2340 (Défensif) — Cov=0.000008, Var(idx)=0.000035, ρ=0.050,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3,191</w:t>
            </w:r>
          </w:p>
        </w:tc>
        <w:tc>
          <w:tcPr>
            <w:tcW w:type="dxa" w:w="1440"/>
            <w:shd w:fill="FAFAFA" w:val="clear"/>
          </w:tcPr>
          <w:p>
            <w:r>
              <w:rPr>
                <w:b/>
                <w:sz w:val="17"/>
              </w:rPr>
              <w:t>3,301</w:t>
            </w:r>
          </w:p>
        </w:tc>
        <w:tc>
          <w:tcPr>
            <w:tcW w:type="dxa" w:w="1440"/>
            <w:shd w:fill="FAFAFA" w:val="clear"/>
          </w:tcPr>
          <w:p>
            <w:r>
              <w:rPr>
                <w:sz w:val="17"/>
              </w:rPr>
              <w:t>3,411</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2026-09-14</w:t>
            </w:r>
          </w:p>
        </w:tc>
        <w:tc>
          <w:tcPr>
            <w:tcW w:type="dxa" w:w="1440"/>
            <w:shd w:fill="FAFAFA" w:val="clear"/>
          </w:tcPr>
          <w:p>
            <w:r>
              <w:rPr>
                <w:sz w:val="17"/>
              </w:rPr>
              <w:t>3,140</w:t>
            </w:r>
          </w:p>
        </w:tc>
        <w:tc>
          <w:tcPr>
            <w:tcW w:type="dxa" w:w="1440"/>
            <w:shd w:fill="FAFAFA" w:val="clear"/>
          </w:tcPr>
          <w:p>
            <w:r>
              <w:rPr>
                <w:b/>
                <w:sz w:val="17"/>
              </w:rPr>
              <w:t>3,295</w:t>
            </w:r>
          </w:p>
        </w:tc>
        <w:tc>
          <w:tcPr>
            <w:tcW w:type="dxa" w:w="1440"/>
            <w:shd w:fill="FAFAFA" w:val="clear"/>
          </w:tcPr>
          <w:p>
            <w:r>
              <w:rPr>
                <w:sz w:val="17"/>
              </w:rPr>
              <w:t>3,450</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2026-09-15</w:t>
            </w:r>
          </w:p>
        </w:tc>
        <w:tc>
          <w:tcPr>
            <w:tcW w:type="dxa" w:w="1440"/>
            <w:shd w:fill="FAFAFA" w:val="clear"/>
          </w:tcPr>
          <w:p>
            <w:r>
              <w:rPr>
                <w:sz w:val="17"/>
              </w:rPr>
              <w:t>3,102</w:t>
            </w:r>
          </w:p>
        </w:tc>
        <w:tc>
          <w:tcPr>
            <w:tcW w:type="dxa" w:w="1440"/>
            <w:shd w:fill="FAFAFA" w:val="clear"/>
          </w:tcPr>
          <w:p>
            <w:r>
              <w:rPr>
                <w:b/>
                <w:sz w:val="17"/>
              </w:rPr>
              <w:t>3,291</w:t>
            </w:r>
          </w:p>
        </w:tc>
        <w:tc>
          <w:tcPr>
            <w:tcW w:type="dxa" w:w="1440"/>
            <w:shd w:fill="FAFAFA" w:val="clear"/>
          </w:tcPr>
          <w:p>
            <w:r>
              <w:rPr>
                <w:sz w:val="17"/>
              </w:rPr>
              <w:t>3,481</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3,069</w:t>
            </w:r>
          </w:p>
        </w:tc>
        <w:tc>
          <w:tcPr>
            <w:tcW w:type="dxa" w:w="1440"/>
            <w:shd w:fill="FAFAFA" w:val="clear"/>
          </w:tcPr>
          <w:p>
            <w:r>
              <w:rPr>
                <w:b/>
                <w:sz w:val="17"/>
              </w:rPr>
              <w:t>3,288</w:t>
            </w:r>
          </w:p>
        </w:tc>
        <w:tc>
          <w:tcPr>
            <w:tcW w:type="dxa" w:w="1440"/>
            <w:shd w:fill="FAFAFA" w:val="clear"/>
          </w:tcPr>
          <w:p>
            <w:r>
              <w:rPr>
                <w:sz w:val="17"/>
              </w:rPr>
              <w:t>3,506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2026-09-17</w:t>
            </w:r>
          </w:p>
        </w:tc>
        <w:tc>
          <w:tcPr>
            <w:tcW w:type="dxa" w:w="1440"/>
            <w:shd w:fill="FAFAFA" w:val="clear"/>
          </w:tcPr>
          <w:p>
            <w:r>
              <w:rPr>
                <w:sz w:val="17"/>
              </w:rPr>
              <w:t>3,040</w:t>
            </w:r>
          </w:p>
        </w:tc>
        <w:tc>
          <w:tcPr>
            <w:tcW w:type="dxa" w:w="1440"/>
            <w:shd w:fill="FAFAFA" w:val="clear"/>
          </w:tcPr>
          <w:p>
            <w:r>
              <w:rPr>
                <w:b/>
                <w:sz w:val="17"/>
              </w:rPr>
              <w:t>3,284</w:t>
            </w:r>
          </w:p>
        </w:tc>
        <w:tc>
          <w:tcPr>
            <w:tcW w:type="dxa" w:w="1440"/>
            <w:shd w:fill="FAFAFA" w:val="clear"/>
          </w:tcPr>
          <w:p>
            <w:r>
              <w:rPr>
                <w:sz w:val="17"/>
              </w:rPr>
              <w:t>3,528</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2026-09-18</w:t>
            </w:r>
          </w:p>
        </w:tc>
        <w:tc>
          <w:tcPr>
            <w:tcW w:type="dxa" w:w="1440"/>
            <w:shd w:fill="FAFAFA" w:val="clear"/>
          </w:tcPr>
          <w:p>
            <w:r>
              <w:rPr>
                <w:sz w:val="17"/>
              </w:rPr>
              <w:t>3,014</w:t>
            </w:r>
          </w:p>
        </w:tc>
        <w:tc>
          <w:tcPr>
            <w:tcW w:type="dxa" w:w="1440"/>
            <w:shd w:fill="FAFAFA" w:val="clear"/>
          </w:tcPr>
          <w:p>
            <w:r>
              <w:rPr>
                <w:b/>
                <w:sz w:val="17"/>
              </w:rPr>
              <w:t>3,281</w:t>
            </w:r>
          </w:p>
        </w:tc>
        <w:tc>
          <w:tcPr>
            <w:tcW w:type="dxa" w:w="1440"/>
            <w:shd w:fill="FAFAFA" w:val="clear"/>
          </w:tcPr>
          <w:p>
            <w:r>
              <w:rPr>
                <w:sz w:val="17"/>
              </w:rPr>
              <w:t>3,548</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2026-09-21</w:t>
            </w:r>
          </w:p>
        </w:tc>
        <w:tc>
          <w:tcPr>
            <w:tcW w:type="dxa" w:w="1440"/>
            <w:shd w:fill="FAFAFA" w:val="clear"/>
          </w:tcPr>
          <w:p>
            <w:r>
              <w:rPr>
                <w:sz w:val="17"/>
              </w:rPr>
              <w:t>2,989</w:t>
            </w:r>
          </w:p>
        </w:tc>
        <w:tc>
          <w:tcPr>
            <w:tcW w:type="dxa" w:w="1440"/>
            <w:shd w:fill="FAFAFA" w:val="clear"/>
          </w:tcPr>
          <w:p>
            <w:r>
              <w:rPr>
                <w:b/>
                <w:sz w:val="17"/>
              </w:rPr>
              <w:t>3,278</w:t>
            </w:r>
          </w:p>
        </w:tc>
        <w:tc>
          <w:tcPr>
            <w:tcW w:type="dxa" w:w="1440"/>
            <w:shd w:fill="FAFAFA" w:val="clear"/>
          </w:tcPr>
          <w:p>
            <w:r>
              <w:rPr>
                <w:sz w:val="17"/>
              </w:rPr>
              <w:t>3,566</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2026-09-22</w:t>
            </w:r>
          </w:p>
        </w:tc>
        <w:tc>
          <w:tcPr>
            <w:tcW w:type="dxa" w:w="1440"/>
            <w:shd w:fill="FAFAFA" w:val="clear"/>
          </w:tcPr>
          <w:p>
            <w:r>
              <w:rPr>
                <w:sz w:val="17"/>
              </w:rPr>
              <w:t>2,966</w:t>
            </w:r>
          </w:p>
        </w:tc>
        <w:tc>
          <w:tcPr>
            <w:tcW w:type="dxa" w:w="1440"/>
            <w:shd w:fill="FAFAFA" w:val="clear"/>
          </w:tcPr>
          <w:p>
            <w:r>
              <w:rPr>
                <w:b/>
                <w:sz w:val="17"/>
              </w:rPr>
              <w:t>3,274</w:t>
            </w:r>
          </w:p>
        </w:tc>
        <w:tc>
          <w:tcPr>
            <w:tcW w:type="dxa" w:w="1440"/>
            <w:shd w:fill="FAFAFA" w:val="clear"/>
          </w:tcPr>
          <w:p>
            <w:r>
              <w:rPr>
                <w:sz w:val="17"/>
              </w:rPr>
              <w:t>3,582</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2026-09-23</w:t>
            </w:r>
          </w:p>
        </w:tc>
        <w:tc>
          <w:tcPr>
            <w:tcW w:type="dxa" w:w="1440"/>
            <w:shd w:fill="FAFAFA" w:val="clear"/>
          </w:tcPr>
          <w:p>
            <w:r>
              <w:rPr>
                <w:sz w:val="17"/>
              </w:rPr>
              <w:t>2,945</w:t>
            </w:r>
          </w:p>
        </w:tc>
        <w:tc>
          <w:tcPr>
            <w:tcW w:type="dxa" w:w="1440"/>
            <w:shd w:fill="FAFAFA" w:val="clear"/>
          </w:tcPr>
          <w:p>
            <w:r>
              <w:rPr>
                <w:b/>
                <w:sz w:val="17"/>
              </w:rPr>
              <w:t>3,271</w:t>
            </w:r>
          </w:p>
        </w:tc>
        <w:tc>
          <w:tcPr>
            <w:tcW w:type="dxa" w:w="1440"/>
            <w:shd w:fill="FAFAFA" w:val="clear"/>
          </w:tcPr>
          <w:p>
            <w:r>
              <w:rPr>
                <w:sz w:val="17"/>
              </w:rPr>
              <w:t>3,597</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2026-09-24</w:t>
            </w:r>
          </w:p>
        </w:tc>
        <w:tc>
          <w:tcPr>
            <w:tcW w:type="dxa" w:w="1440"/>
            <w:shd w:fill="FAFAFA" w:val="clear"/>
          </w:tcPr>
          <w:p>
            <w:r>
              <w:rPr>
                <w:sz w:val="17"/>
              </w:rPr>
              <w:t>2,924</w:t>
            </w:r>
          </w:p>
        </w:tc>
        <w:tc>
          <w:tcPr>
            <w:tcW w:type="dxa" w:w="1440"/>
            <w:shd w:fill="FAFAFA" w:val="clear"/>
          </w:tcPr>
          <w:p>
            <w:r>
              <w:rPr>
                <w:b/>
                <w:sz w:val="17"/>
              </w:rPr>
              <w:t>3,268</w:t>
            </w:r>
          </w:p>
        </w:tc>
        <w:tc>
          <w:tcPr>
            <w:tcW w:type="dxa" w:w="1440"/>
            <w:shd w:fill="FAFAFA" w:val="clear"/>
          </w:tcPr>
          <w:p>
            <w:r>
              <w:rPr>
                <w:sz w:val="17"/>
              </w:rPr>
              <w:t>3,611</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229,07 milliards FCFA, ORGT s'impose comme l'une des valeurs bancaires de référence de la cote BRVM, reflétant la taille systémique du groupe Orabank dans l'UEMOA. Le BPA de 312 FCFA/action signifie que chaque titre génère un bénéfice net de 312 FCFA, ce qui, rapporté au cours actuel de 3 300 FCFA, donne un PER de 10,6x — un niveau modéré et parfaitement dans la moyenne du marché BRVM (8-12x), traduisant une valorisation raisonnable sans prime excessive. Le P/B de 2,02x indique que le marché valorise la banque à environ deux fois sa valeur comptable, une prime de croissance justifiée par la restauration récente de la rentabilité (ROE de 19,1%) mais qui reste mesurée pour le secteur. En revanche, l'EV/EBITDA de 20,3x apparaît très exigeant (&gt;15x), signalant que la valeur d'entreprise intègre déjà une bonne part du redressement opérationnel ; ce ratio doit toutefois être interprété avec prudence pour une banque, où la notion d'EBITDA est moins pertinente que le PNB et le coût du risque.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affiche une variation totale de -3,23%, avec une séance J-1 stable à +0,00%, le cours se maintenant à 3 300 FCFA. Le range de trading est particulièrement large, avec un plus haut à 3 475 FCFA et un plus bas à 2 435 FCFA, soit une amplitude de plus de 1 000 FCFA qui témoigne d'une forte dispersion des échanges. La tendance générale reste haussière sur le fond — le cours actuel (3 300 FCFA) évolue nettement au-dessus de la moyenne (2 912 FCFA) et de la médiane (2 780 FCFA) — mais marque une consolidation après le pic récent. L'écart entre moyenne et médiane (132 FCFA) ainsi que le skewness positif de 0,308 indiquent une distribution légèrement asymétrique à droite, avec quelques séances de forte hausse tirant la moyenne vers le haut, bien que l'interprétation fournie qualifie la distribution de symétrique. Le kurtosis de -1,306 (platykurtique) signale une distribution aplatie, donc un risque de pics extrêmes plus faible qu'une loi normale, ce qui est rassurant pour la gestion du risque. L'écart-type de 273 FCFA (CV de 9,4%) traduit une dispersion modérée autour de la moyenne, mais la volatilité annualisée de 43,8% classe le titre dans la catégorie des valeurs à volatilité élevée (&gt;30%), ce qui implique une prime de risque significative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3 190 FCFA et la MM50 à 2 976,2 FCFA, toutes deux inférieures au cours actuel de 3 300 FCFA, ce qui place le titre en configuration haussière avec un alignement MM20 &gt; MM50 caractéristique d'un momentum positif. Le signal technique est donc logiquement à l'**Achat**, le cours évoluant au-dessus de ses deux références mobiles.</w:t>
      </w:r>
    </w:p>
    <w:p>
      <w:pPr>
        <w:spacing w:after="120" w:line="276" w:lineRule="auto"/>
      </w:pPr>
      <w:r>
        <w:t>**Bandes de Bollinger** : La borne supérieure se situe à 3 405,8 FCFA et la borne inférieure à 2 974,2 FCFA, encadrant le cours actuel de 3 300 FCFA qui évolue dans la partie haute du canal sans le franchir. La décision est **Neutre**, le titre n'étant ni en situation de surachat extrême ni de survente, avec une volatilité contenue dans les bandes.</w:t>
      </w:r>
    </w:p>
    <w:p>
      <w:pPr>
        <w:spacing w:after="120" w:line="276" w:lineRule="auto"/>
      </w:pPr>
      <w:r>
        <w:t>**MACD** : La valeur du MACD (96,127) dépasse son signal (92,143), générant un croisement haussier et un momentum positif confirmé. La décision est à l'**Achat**, la divergence positive entre les deux lignes soutenant la dynamique récente du cours.</w:t>
      </w:r>
    </w:p>
    <w:p>
      <w:pPr>
        <w:spacing w:after="120" w:line="276" w:lineRule="auto"/>
      </w:pPr>
      <w:r>
        <w:t>**RSI** : À 61,765, le RSI se situe en zone neutre-haute (30-70), sans atteindre le seuil de surachat de 70. La décision est **Neutre**, le titre conservant un potentiel de hausse résiduel mais approchant progressivement d'une zone de vigilance.</w:t>
      </w:r>
    </w:p>
    <w:p>
      <w:pPr>
        <w:spacing w:after="120" w:line="276" w:lineRule="auto"/>
      </w:pPr>
      <w:r>
        <w:t>**Stochastique** : Le %K (63,636) est inférieur au %D (75,22), configuration baissière signalant un essoufflement du momentum à court terme, bien que les deux lignes restent en territoire neutre. La décision est **Neutre**, avec un risque de consolidation à court terme.</w:t>
      </w:r>
    </w:p>
    <w:p>
      <w:pPr>
        <w:spacing w:after="120" w:line="276" w:lineRule="auto"/>
      </w:pPr>
      <w:r>
        <w:t>**Conclusion technique** : Les indicateurs sont majoritairement haussiers (MM et MACD à l'achat) mais tempérés par des signaux neutres (Bollinger, RSI, Stochastique) qui suggèrent une consolidation après la récente progression. La convergence MM/MACD soutient une tendance positive de fond, mais le croisement baissier du stochastique invite à la prudence sur le court terme, avec un support clé à surveiller autour de 3 190 FCFA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ORGT a réalisé un Produit Net Bancaire (équivalent du chiffre d'affaires pour une banque) de 186,609 milliards FCFA, en recul de -4,52% par rapport aux 195,436 milliards de 2024, sous l'effet d'une contraction volontaire du portefeuille de crédits (-12%) et d'une baisse des commissions nettes. Malgré cette pression sur les revenus, le résultat net consolidé s'établit à 21,643 milliards FCFA, marquant un redressement spectaculaire après la perte de -44,363 milliards enregistrée en 2024, grâce à une réduction drastique de 90% du coût net du risque (de -69,056 à -6,971 milliards FCFA) et à une baisse de 12% des frais généraux. Les ratios de rentabilité confirment cette amélioration : le ROE atteint 19,13% (&gt;15% = excellent) et la marge nette s'élève à 11,60%, tandis que le coefficient d'exploitation de 42,85% (&lt;60%) témoigne d'une banque efficace et bien gérée. La structure bilancielle reste solide avec des dépôts clientèle de 3 088,698 milliards FCFA (en hausse de 5%) couvrant largement les créances clientèle de 1 523,765 milliards FCFA, et des capitaux propres renforcés à 113,165 milliards FCFA (+17%). Toutefois, le ratio d'autonomie financière de 2,82% et le ratio d'endettement de 444,94% rappellent la forte dépendance aux dépôts et refinancements, caractéristique du modèle bancaire mais à surveiller. Sur la base du rapport T1 2026 (publié en 2026), le PNB recule encore de 2% à 50,124 milliards FCFA mais le résultat net progresse de 37% à 6,555 milliards FCFA, avec des dépôts en hausse de 14% à 3 343 milliards FCFA — on estime donc que l'exercice 2026 devrait confirmer la consolidation du redressement, avec un résultat net annualisé potentiellement supérieur à 25 milliards FCFA si la dynamique se maintient. Le principal risque réside dans la dépendance à la baisse du coût du risque et dans l'absence de dividende (0 FCFA proposé pour 2025), le résultat de la holding étant affecté au renforcement des fonds propres. La recommandation fondamentale est de **CONSERVER**, le redressement étant solide mais la dynamique commerciale (PNB en baisse) devant encore être confirmée.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d'ORGT apparaît raisonnable avec un PER de 10,6x dans la moyenne du marché BRVM et un P/B de 2,02x justifié par un ROE de 19,1%, bien que l'EV/EBITDA de 20,3x signale une certaine exigence. Le comportement du cours sur 100 jours montre une tendance haussière de fond (cours à 3 300 FCFA au-dessus des moyennes) mais une consolidation récente (-3,23%), avec une volatilité élevée (43,8%) et une distribution platykurtique (kurtosis -1,306) limitant le risque de pics extrêmes. Les signaux techniques sont mitigés : les moyennes mobiles et le MACD sont haussiers, mais le RSI (61,8) et le stochastique (%K &lt; %D) suggèrent un essoufflement à court terme, plaidant pour une consolidation. Les fondamentaux sont nettement améliorés — retour à un bénéfice net de 21,6 milliards FCFA en 2025, ROE de 19,1%, coefficient d'exploitation de 42,9% — mais le recul du PNB (-4,5%) et l'absence de dividende tempèrent l'enthousiasme. Les prédictions IA (J+1 à J+10) anticipent une légère dérive baissière de 3 301 à 3 284 FCFA, confirmant la thèse d'une consolidation technique sans rupture de tendance. Sur la base de cette synthèse, la recommandation finale est **CONSERVER** : la convergence entre valorisation raisonnable, technique haussière de fond et fondamentaux en redressement soutient le titre, mais la divergence entre la baisse du PNB et la hausse du résultat net (tirée par le coût du risque) ainsi que la prédiction baissière à court terme invitent à la prudence. Le niveau de confiance est **Moyen**, le risque global **Élevé** (volatilité de 43,8%, dépendance au risque crédit), et l'horizon d'investissement optimal est le **moyen terme (3-12 mois)**, le temps de voir se confirmer la reprise du PNB et la pérennité du redressement opérationnel.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3,752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+2.47%</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μ=8,534 FCFA, σ=571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β=-0.2895 (Contre-cyclique) — Cov=-0.000010, Var(idx)=0.000035, ρ=-0.073,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8,161</w:t>
            </w:r>
          </w:p>
        </w:tc>
        <w:tc>
          <w:tcPr>
            <w:tcW w:type="dxa" w:w="1440"/>
            <w:shd w:fill="FAFAFA" w:val="clear"/>
          </w:tcPr>
          <w:p>
            <w:r>
              <w:rPr>
                <w:b/>
                <w:sz w:val="17"/>
              </w:rPr>
              <w:t>8,448</w:t>
            </w:r>
          </w:p>
        </w:tc>
        <w:tc>
          <w:tcPr>
            <w:tcW w:type="dxa" w:w="1440"/>
            <w:shd w:fill="FAFAFA" w:val="clear"/>
          </w:tcPr>
          <w:p>
            <w:r>
              <w:rPr>
                <w:sz w:val="17"/>
              </w:rPr>
              <w:t>8,734</w:t>
            </w:r>
          </w:p>
        </w:tc>
        <w:tc>
          <w:tcPr>
            <w:tcW w:type="dxa" w:w="1440"/>
            <w:shd w:fill="FAFAFA" w:val="clear"/>
          </w:tcPr>
          <w:p>
            <w:r>
              <w:rPr>
                <w:b/>
                <w:color w:val="008000"/>
                <w:sz w:val="17"/>
              </w:rPr>
              <w:t>+1.8%</w:t>
            </w:r>
          </w:p>
        </w:tc>
      </w:tr>
      <w:tr>
        <w:tc>
          <w:tcPr>
            <w:tcW w:type="dxa" w:w="1440"/>
            <w:shd w:fill="FAFAFA" w:val="clear"/>
          </w:tcPr>
          <w:p>
            <w:r>
              <w:rPr>
                <w:sz w:val="17"/>
              </w:rPr>
              <w:t>J+2  Moyenne</w:t>
            </w:r>
          </w:p>
        </w:tc>
        <w:tc>
          <w:tcPr>
            <w:tcW w:type="dxa" w:w="1440"/>
            <w:shd w:fill="FAFAFA" w:val="clear"/>
          </w:tcPr>
          <w:p>
            <w:r>
              <w:rPr>
                <w:sz w:val="17"/>
              </w:rPr>
              <w:t>2026-09-14</w:t>
            </w:r>
          </w:p>
        </w:tc>
        <w:tc>
          <w:tcPr>
            <w:tcW w:type="dxa" w:w="1440"/>
            <w:shd w:fill="FAFAFA" w:val="clear"/>
          </w:tcPr>
          <w:p>
            <w:r>
              <w:rPr>
                <w:sz w:val="17"/>
              </w:rPr>
              <w:t>8,048</w:t>
            </w:r>
          </w:p>
        </w:tc>
        <w:tc>
          <w:tcPr>
            <w:tcW w:type="dxa" w:w="1440"/>
            <w:shd w:fill="FAFAFA" w:val="clear"/>
          </w:tcPr>
          <w:p>
            <w:r>
              <w:rPr>
                <w:b/>
                <w:sz w:val="17"/>
              </w:rPr>
              <w:t>8,454</w:t>
            </w:r>
          </w:p>
        </w:tc>
        <w:tc>
          <w:tcPr>
            <w:tcW w:type="dxa" w:w="1440"/>
            <w:shd w:fill="FAFAFA" w:val="clear"/>
          </w:tcPr>
          <w:p>
            <w:r>
              <w:rPr>
                <w:sz w:val="17"/>
              </w:rPr>
              <w:t>8,859</w:t>
            </w:r>
          </w:p>
        </w:tc>
        <w:tc>
          <w:tcPr>
            <w:tcW w:type="dxa" w:w="1440"/>
            <w:shd w:fill="FAFAFA" w:val="clear"/>
          </w:tcPr>
          <w:p>
            <w:r>
              <w:rPr>
                <w:b/>
                <w:color w:val="008000"/>
                <w:sz w:val="17"/>
              </w:rPr>
              <w:t>+1.9%</w:t>
            </w:r>
          </w:p>
        </w:tc>
      </w:tr>
      <w:tr>
        <w:tc>
          <w:tcPr>
            <w:tcW w:type="dxa" w:w="1440"/>
            <w:shd w:fill="C6EFCE" w:val="clear"/>
          </w:tcPr>
          <w:p>
            <w:r>
              <w:rPr>
                <w:sz w:val="17"/>
              </w:rPr>
              <w:t>J+3  Moyenne</w:t>
            </w:r>
          </w:p>
        </w:tc>
        <w:tc>
          <w:tcPr>
            <w:tcW w:type="dxa" w:w="1440"/>
            <w:shd w:fill="C6EFCE" w:val="clear"/>
          </w:tcPr>
          <w:p>
            <w:r>
              <w:rPr>
                <w:sz w:val="17"/>
              </w:rPr>
              <w:t>2026-09-15</w:t>
            </w:r>
          </w:p>
        </w:tc>
        <w:tc>
          <w:tcPr>
            <w:tcW w:type="dxa" w:w="1440"/>
            <w:shd w:fill="C6EFCE" w:val="clear"/>
          </w:tcPr>
          <w:p>
            <w:r>
              <w:rPr>
                <w:sz w:val="17"/>
              </w:rPr>
              <w:t>7,983</w:t>
            </w:r>
          </w:p>
        </w:tc>
        <w:tc>
          <w:tcPr>
            <w:tcW w:type="dxa" w:w="1440"/>
            <w:shd w:fill="C6EFCE" w:val="clear"/>
          </w:tcPr>
          <w:p>
            <w:r>
              <w:rPr>
                <w:b/>
                <w:sz w:val="17"/>
              </w:rPr>
              <w:t>8,481</w:t>
            </w:r>
          </w:p>
        </w:tc>
        <w:tc>
          <w:tcPr>
            <w:tcW w:type="dxa" w:w="1440"/>
            <w:shd w:fill="C6EFCE" w:val="clear"/>
          </w:tcPr>
          <w:p>
            <w:r>
              <w:rPr>
                <w:sz w:val="17"/>
              </w:rPr>
              <w:t>8,980</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2026-09-16</w:t>
            </w:r>
          </w:p>
        </w:tc>
        <w:tc>
          <w:tcPr>
            <w:tcW w:type="dxa" w:w="1440"/>
            <w:shd w:fill="C6EFCE" w:val="clear"/>
          </w:tcPr>
          <w:p>
            <w:r>
              <w:rPr>
                <w:sz w:val="17"/>
              </w:rPr>
              <w:t>7,931</w:t>
            </w:r>
          </w:p>
        </w:tc>
        <w:tc>
          <w:tcPr>
            <w:tcW w:type="dxa" w:w="1440"/>
            <w:shd w:fill="C6EFCE" w:val="clear"/>
          </w:tcPr>
          <w:p>
            <w:r>
              <w:rPr>
                <w:b/>
                <w:sz w:val="17"/>
              </w:rPr>
              <w:t>8,509</w:t>
            </w:r>
          </w:p>
        </w:tc>
        <w:tc>
          <w:tcPr>
            <w:tcW w:type="dxa" w:w="1440"/>
            <w:shd w:fill="C6EFCE" w:val="clear"/>
          </w:tcPr>
          <w:p>
            <w:r>
              <w:rPr>
                <w:sz w:val="17"/>
              </w:rPr>
              <w:t>9,087</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2026-09-17</w:t>
            </w:r>
          </w:p>
        </w:tc>
        <w:tc>
          <w:tcPr>
            <w:tcW w:type="dxa" w:w="1440"/>
            <w:shd w:fill="C6EFCE" w:val="clear"/>
          </w:tcPr>
          <w:p>
            <w:r>
              <w:rPr>
                <w:sz w:val="17"/>
              </w:rPr>
              <w:t>7,888</w:t>
            </w:r>
          </w:p>
        </w:tc>
        <w:tc>
          <w:tcPr>
            <w:tcW w:type="dxa" w:w="1440"/>
            <w:shd w:fill="C6EFCE" w:val="clear"/>
          </w:tcPr>
          <w:p>
            <w:r>
              <w:rPr>
                <w:b/>
                <w:sz w:val="17"/>
              </w:rPr>
              <w:t>8,536</w:t>
            </w:r>
          </w:p>
        </w:tc>
        <w:tc>
          <w:tcPr>
            <w:tcW w:type="dxa" w:w="1440"/>
            <w:shd w:fill="C6EFCE" w:val="clear"/>
          </w:tcPr>
          <w:p>
            <w:r>
              <w:rPr>
                <w:sz w:val="17"/>
              </w:rPr>
              <w:t>9,184</w:t>
            </w:r>
          </w:p>
        </w:tc>
        <w:tc>
          <w:tcPr>
            <w:tcW w:type="dxa" w:w="1440"/>
            <w:shd w:fill="C6EFCE" w:val="clear"/>
          </w:tcPr>
          <w:p>
            <w:r>
              <w:rPr>
                <w:b/>
                <w:color w:val="008000"/>
                <w:sz w:val="17"/>
              </w:rPr>
              <w:t>+2.8%</w:t>
            </w:r>
          </w:p>
        </w:tc>
      </w:tr>
      <w:tr>
        <w:tc>
          <w:tcPr>
            <w:tcW w:type="dxa" w:w="1440"/>
            <w:shd w:fill="C6EFCE" w:val="clear"/>
          </w:tcPr>
          <w:p>
            <w:r>
              <w:rPr>
                <w:sz w:val="17"/>
              </w:rPr>
              <w:t>J+6  ⭐</w:t>
            </w:r>
          </w:p>
        </w:tc>
        <w:tc>
          <w:tcPr>
            <w:tcW w:type="dxa" w:w="1440"/>
            <w:shd w:fill="C6EFCE" w:val="clear"/>
          </w:tcPr>
          <w:p>
            <w:r>
              <w:rPr>
                <w:sz w:val="17"/>
              </w:rPr>
              <w:t>2026-09-18</w:t>
            </w:r>
          </w:p>
        </w:tc>
        <w:tc>
          <w:tcPr>
            <w:tcW w:type="dxa" w:w="1440"/>
            <w:shd w:fill="C6EFCE" w:val="clear"/>
          </w:tcPr>
          <w:p>
            <w:r>
              <w:rPr>
                <w:sz w:val="17"/>
              </w:rPr>
              <w:t>7,851</w:t>
            </w:r>
          </w:p>
        </w:tc>
        <w:tc>
          <w:tcPr>
            <w:tcW w:type="dxa" w:w="1440"/>
            <w:shd w:fill="C6EFCE" w:val="clear"/>
          </w:tcPr>
          <w:p>
            <w:r>
              <w:rPr>
                <w:b/>
                <w:sz w:val="17"/>
              </w:rPr>
              <w:t>8,563</w:t>
            </w:r>
          </w:p>
        </w:tc>
        <w:tc>
          <w:tcPr>
            <w:tcW w:type="dxa" w:w="1440"/>
            <w:shd w:fill="C6EFCE" w:val="clear"/>
          </w:tcPr>
          <w:p>
            <w:r>
              <w:rPr>
                <w:sz w:val="17"/>
              </w:rPr>
              <w:t>9,275</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2026-09-21</w:t>
            </w:r>
          </w:p>
        </w:tc>
        <w:tc>
          <w:tcPr>
            <w:tcW w:type="dxa" w:w="1440"/>
            <w:shd w:fill="C6EFCE" w:val="clear"/>
          </w:tcPr>
          <w:p>
            <w:r>
              <w:rPr>
                <w:sz w:val="17"/>
              </w:rPr>
              <w:t>7,818</w:t>
            </w:r>
          </w:p>
        </w:tc>
        <w:tc>
          <w:tcPr>
            <w:tcW w:type="dxa" w:w="1440"/>
            <w:shd w:fill="C6EFCE" w:val="clear"/>
          </w:tcPr>
          <w:p>
            <w:r>
              <w:rPr>
                <w:b/>
                <w:sz w:val="17"/>
              </w:rPr>
              <w:t>8,590</w:t>
            </w:r>
          </w:p>
        </w:tc>
        <w:tc>
          <w:tcPr>
            <w:tcW w:type="dxa" w:w="1440"/>
            <w:shd w:fill="C6EFCE" w:val="clear"/>
          </w:tcPr>
          <w:p>
            <w:r>
              <w:rPr>
                <w:sz w:val="17"/>
              </w:rPr>
              <w:t>9,361</w:t>
            </w:r>
          </w:p>
        </w:tc>
        <w:tc>
          <w:tcPr>
            <w:tcW w:type="dxa" w:w="1440"/>
            <w:shd w:fill="C6EFCE" w:val="clear"/>
          </w:tcPr>
          <w:p>
            <w:r>
              <w:rPr>
                <w:b/>
                <w:color w:val="008000"/>
                <w:sz w:val="17"/>
              </w:rPr>
              <w:t>+3.5%</w:t>
            </w:r>
          </w:p>
        </w:tc>
      </w:tr>
      <w:tr>
        <w:tc>
          <w:tcPr>
            <w:tcW w:type="dxa" w:w="1440"/>
            <w:shd w:fill="C6EFCE" w:val="clear"/>
          </w:tcPr>
          <w:p>
            <w:r>
              <w:rPr>
                <w:sz w:val="17"/>
              </w:rPr>
              <w:t>J+8  ⭐</w:t>
            </w:r>
          </w:p>
        </w:tc>
        <w:tc>
          <w:tcPr>
            <w:tcW w:type="dxa" w:w="1440"/>
            <w:shd w:fill="C6EFCE" w:val="clear"/>
          </w:tcPr>
          <w:p>
            <w:r>
              <w:rPr>
                <w:sz w:val="17"/>
              </w:rPr>
              <w:t>2026-09-22</w:t>
            </w:r>
          </w:p>
        </w:tc>
        <w:tc>
          <w:tcPr>
            <w:tcW w:type="dxa" w:w="1440"/>
            <w:shd w:fill="C6EFCE" w:val="clear"/>
          </w:tcPr>
          <w:p>
            <w:r>
              <w:rPr>
                <w:sz w:val="17"/>
              </w:rPr>
              <w:t>7,790</w:t>
            </w:r>
          </w:p>
        </w:tc>
        <w:tc>
          <w:tcPr>
            <w:tcW w:type="dxa" w:w="1440"/>
            <w:shd w:fill="C6EFCE" w:val="clear"/>
          </w:tcPr>
          <w:p>
            <w:r>
              <w:rPr>
                <w:b/>
                <w:sz w:val="17"/>
              </w:rPr>
              <w:t>8,617</w:t>
            </w:r>
          </w:p>
        </w:tc>
        <w:tc>
          <w:tcPr>
            <w:tcW w:type="dxa" w:w="1440"/>
            <w:shd w:fill="C6EFCE" w:val="clear"/>
          </w:tcPr>
          <w:p>
            <w:r>
              <w:rPr>
                <w:sz w:val="17"/>
              </w:rPr>
              <w:t>9,444</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2026-09-23</w:t>
            </w:r>
          </w:p>
        </w:tc>
        <w:tc>
          <w:tcPr>
            <w:tcW w:type="dxa" w:w="1440"/>
            <w:shd w:fill="C6EFCE" w:val="clear"/>
          </w:tcPr>
          <w:p>
            <w:r>
              <w:rPr>
                <w:sz w:val="17"/>
              </w:rPr>
              <w:t>7,764</w:t>
            </w:r>
          </w:p>
        </w:tc>
        <w:tc>
          <w:tcPr>
            <w:tcW w:type="dxa" w:w="1440"/>
            <w:shd w:fill="C6EFCE" w:val="clear"/>
          </w:tcPr>
          <w:p>
            <w:r>
              <w:rPr>
                <w:b/>
                <w:sz w:val="17"/>
              </w:rPr>
              <w:t>8,644</w:t>
            </w:r>
          </w:p>
        </w:tc>
        <w:tc>
          <w:tcPr>
            <w:tcW w:type="dxa" w:w="1440"/>
            <w:shd w:fill="C6EFCE" w:val="clear"/>
          </w:tcPr>
          <w:p>
            <w:r>
              <w:rPr>
                <w:sz w:val="17"/>
              </w:rPr>
              <w:t>9,524</w:t>
            </w:r>
          </w:p>
        </w:tc>
        <w:tc>
          <w:tcPr>
            <w:tcW w:type="dxa" w:w="1440"/>
            <w:shd w:fill="C6EFCE" w:val="clear"/>
          </w:tcPr>
          <w:p>
            <w:r>
              <w:rPr>
                <w:b/>
                <w:color w:val="008000"/>
                <w:sz w:val="17"/>
              </w:rPr>
              <w:t>+4.1%</w:t>
            </w:r>
          </w:p>
        </w:tc>
      </w:tr>
      <w:tr>
        <w:tc>
          <w:tcPr>
            <w:tcW w:type="dxa" w:w="1440"/>
            <w:shd w:fill="C6EFCE" w:val="clear"/>
          </w:tcPr>
          <w:p>
            <w:r>
              <w:rPr>
                <w:sz w:val="17"/>
              </w:rPr>
              <w:t>J+10  ⭐</w:t>
            </w:r>
          </w:p>
        </w:tc>
        <w:tc>
          <w:tcPr>
            <w:tcW w:type="dxa" w:w="1440"/>
            <w:shd w:fill="C6EFCE" w:val="clear"/>
          </w:tcPr>
          <w:p>
            <w:r>
              <w:rPr>
                <w:sz w:val="17"/>
              </w:rPr>
              <w:t>2026-09-24</w:t>
            </w:r>
          </w:p>
        </w:tc>
        <w:tc>
          <w:tcPr>
            <w:tcW w:type="dxa" w:w="1440"/>
            <w:shd w:fill="C6EFCE" w:val="clear"/>
          </w:tcPr>
          <w:p>
            <w:r>
              <w:rPr>
                <w:sz w:val="17"/>
              </w:rPr>
              <w:t>7,741</w:t>
            </w:r>
          </w:p>
        </w:tc>
        <w:tc>
          <w:tcPr>
            <w:tcW w:type="dxa" w:w="1440"/>
            <w:shd w:fill="C6EFCE" w:val="clear"/>
          </w:tcPr>
          <w:p>
            <w:r>
              <w:rPr>
                <w:b/>
                <w:sz w:val="17"/>
              </w:rPr>
              <w:t>8,672</w:t>
            </w:r>
          </w:p>
        </w:tc>
        <w:tc>
          <w:tcPr>
            <w:tcW w:type="dxa" w:w="1440"/>
            <w:shd w:fill="C6EFCE" w:val="clear"/>
          </w:tcPr>
          <w:p>
            <w:r>
              <w:rPr>
                <w:sz w:val="17"/>
              </w:rPr>
              <w:t>9,602</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128,31 milliards FCFA, PALC se positionne comme une valeur de premier plan du compartiment agro-industriel de la BRVM, offrant une liquidité et une visibilité appréciables aux investisseurs institutionnels régionaux. Le BPA de 1 003 FCFA/action signifie que chaque titre génère un peu plus de mille francs de bénéfice net, ce qui, rapporté au cours actuel de 8 300 FCFA, donne un PER de 8,3x — soit un niveau modéré, légèrement inférieur à la moyenne historique du marché BRVM (8-12x), suggérant que le titre n'est pas surpayé par rapport à ses bénéfices. Le ratio P/B de 0,90x est particulièrement intéressant : il indique que le marché valorise PALC en dessous de sa valeur comptable (capitaux propres de 142,6 milliards FCFA pour une capitalisation de 128,3 milliards), ce qui constitue historiquement un signal d'opportunité potentielle, sous réserve que la qualité des actifs soit confirmée. Enfin, l'EV/EBITDA de 4,0x, très inférieur au seuil de 5x généralement considéré comme « bon marché », traduit une valorisation attractive de la capacité opérationnelle de l'entreprise, d'autant plus remarquable que sa structure d'endettement est quasi nulle (dettes financières de seulement 796,6 millions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variation globale légèrement positive de +2,47%, mais la dernière séance (J-1) s'est soldée par un repli de -1,78%, signalant une pression vendeuse de court terme. Le cours actuel de 8 300 FCFA se situe dans la partie basse du range de trading établi entre un plus bas de 7 000 FCFA et un plus haut de 9 640 FCFA, ce qui représente une amplitude de 37,7% — traduisant une tendance générale haussière sur la période mais avec une correction récente marquée. Les statistiques descriptives révèlent une moyenne de 8 534 FCFA légèrement supérieure à la médiane de 8 690 FCFA, avec un mode à 7 800 FCFA ; l'écart entre moyenne et médiane, bien que modeste, suggère une légère asymétrie vers les valeurs basses, confirmée par le skewness de -0,353 (distribution quasi-symétrique mais étirée vers le bas). L'écart-type de 574 FCFA, correspondant à un coefficient de variation de 6,7%, indique une dispersion modérée du cours autour de sa moyenne, tandis que le kurtosis de -0,554 (mésokurtique) signifie que la distribution est proche de la normale, sans risque excessif de pics extrêmes — un profil rassurant pour la gestion du risque. La volatilité annualisée de 37,2% classe toutefois PALC dans la catégorie des titres à volatilité élevée (&gt;30%), ce qui implique une prime de risque significative et justifie une approche prudente en matière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9 141,25 FCFA et la MM50 à 8 950,0 FCFA, toutes deux nettement supérieures au cours actuel de 8 300 FCFA. Cette configuration — prix sous les deux moyennes — traduit une pression baissière de court et moyen terme, bien que la décision algorithmique affichée soit « Achat », probablement en anticipation d'un rebond technique après la correction. La convergence des deux moyennes (écart de seulement 191 FCFA) suggère une phase de consolidation en cours.</w:t>
      </w:r>
    </w:p>
    <w:p>
      <w:pPr>
        <w:spacing w:after="120" w:line="276" w:lineRule="auto"/>
      </w:pPr>
      <w:r>
        <w:t>**Bandes de Bollinger** : La borne supérieure se situe à 9 917,62 FCFA et la borne inférieure à 8 364,88 FCFA, avec un cours actuel de 8 300 FCFA qui évolue légèrement sous la borne inférieure — situation techniquement inhabituelle qui signale une survente extrême et une possible exagération baissière. La largeur des bandes (1 552,73 FCFA) reflète une volatilité élevée, et la décision « Achat » s'explique par le caractère statistiquement improbable d'une poursuite durable de la baisse sous la borne inférieure.</w:t>
      </w:r>
    </w:p>
    <w:p>
      <w:pPr>
        <w:spacing w:after="120" w:line="276" w:lineRule="auto"/>
      </w:pPr>
      <w:r>
        <w:t>**MACD** : La valeur du MACD est de -122,605 contre un signal à 10,271, générant une divergence négative marquée (écart de -132,876) qui confirme un momentum baissier prononcé. La décision « Vente » de cet indicateur contredit les autres signaux techniques et traduit la force de la pression vendeuse récente ; un croisement haussier du MACD au-dessus de sa ligne de signal serait nécessaire pour valider un retournement.</w:t>
      </w:r>
    </w:p>
    <w:p>
      <w:pPr>
        <w:spacing w:after="120" w:line="276" w:lineRule="auto"/>
      </w:pPr>
      <w:r>
        <w:t>**RSI** : À 20,996, le RSI se situe très en dessous du seuil de survente de 30, ce qui constitue un signal d'achat technique classique — le titre est statistiquement survendu et une correction haussière est probable à court terme. Cette lecture est cohérente avec la position du cours sous la borne inférieure de Bollinger et renforce l'hypothèse d'un rebond imminent.</w:t>
      </w:r>
    </w:p>
    <w:p>
      <w:pPr>
        <w:spacing w:after="120" w:line="276" w:lineRule="auto"/>
      </w:pPr>
      <w:r>
        <w:t>**Stochastique** : Les valeurs %K et %D sont toutes deux à 0,0, ce qui représente le niveau de survente maximal possible — situation extrême qui précède historiquement des retournements haussiers. La décision « Achat » est ici pleinement justifiée par l'épuisement de la pression vendeuse, bien qu'un croisement haussier du %K au-dessus du %D soit attendu pour confirmer le signal.</w:t>
      </w:r>
    </w:p>
    <w:p>
      <w:pPr>
        <w:spacing w:after="120" w:line="276" w:lineRule="auto"/>
      </w:pPr>
      <w:r>
        <w:t>**Conclusion technique** : Les indicateurs présentent une divergence notable : les oscillateurs (RSI à 21, Stochastique à 0) et les Bandes de Bollinger signalent une survente extrême propice à un rebond technique, tandis que le MACD et la position sous les moyennes mobiles confirment la force de la tendance baissière actuelle. Cette configuration contradictoire est typique des phases de capitulation, où le potentiel de rebond est élevé mais le risque de poursuite de la baisse demeure. Une confirmation par un croisement haussier du MACD et une remontée du RSI au-dessus de 30 serait nécessaire pour valider un retournement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de l'exercice 2025 (données structurées officielles) révèlent une entreprise agro-industrielle solide mais confrontée à une compression de ses marges : le chiffre d'affaires s'établit à 197,63 milliards FCFA, en croissance de +14,78% sur un an, tandis que le résultat net atteint 15,51 milliards FCFA, en léger recul de -2,2% par rapport aux 15,9 milliards de 2024. La rentabilité des fonds propres (ROE) ressort à 10,87%, un niveau correct mais inférieur au seuil d'excellence de 15%, et la rentabilité des actifs (ROA) à 7,79%, reflétant une rotation des actifs de 99,25% — l'entreprise génère donc près d'un franc de chiffre d'affaires par franc d'actif, ce qui est satisfaisant pour le secteur. La structure financière est remarquablement saine : l'autonomie financière de 71,64% (capitaux propres de 142,64 milliards FCFA pour un total bilan de 199,12 milliards) et un ratio d'endettement de seulement 0,56% témoignent d'une quasi-absence de levier financier, avec une capacité de remboursement de 0,03 an et une couverture des intérêts de 1 415,66%. Le point de vigilance majeur réside dans le besoin en fonds de roulement (BFR) de 44,62 milliards FCFA, largement financé par des créances clients représentant 142,58 jours de chiffre d'affaires — un délai élevé qui constitue un risque de trésorerie, comme en témoigne la trésorerie nette négative de -4,56 milliards FCFA. Les rapports trimestriels confirment cette dynamique contrastée : le T1 2025 (publié le 31/03/2025) affichait un chiffre d'affaires de 67,5 milliards FCFA (+32%) et un résultat net de 11,6 milliards (+65%), tandis que le S1 2025 (publié le 30/06/2025) montrait un CA de 134,8 milliards (+25%) et un résultat net de 22,9 milliards (+37%). Cependant, le rapport du T3 2025 (publié le 30/09/2025) révèle un ralentissement brutal : le résultat net cumulé à fin septembre s'élève à 18,0 milliards FCFA, en hausse de seulement +11%, impliquant un résultat net négatif de -4,9 milliards au T3 — la marge nette chutant de 17,0% au S1 à 10,7% sur 9 mois. Plus préoccupant encore, le rapport du T1 2026 (publié en 2026) fait état d'un effondrement : le chiffre d'affaires recule de -27% à 49,4 milliards FCFA et le résultat net chute de -86% à 1,6 milliard FCFA, la direction évoquant un « décalage temporel des ventes » plutôt qu'un problème structurel. Le rapport annuel 2025 (publié le 25/03/2026) confirme la pression sur les coûts (charges de personnel +4,0%, services extérieurs +30,3%) et propose un dividende en baisse de -19% à 502 FCFA/action (rendement de 6,0% au cours actuel), avec un taux de distribution de 50,2%. En synthèse, PALC présente une solidité bilancielle exceptionnelle et une valorisation attractive, mais fait face à une dégradation opérationnelle préoccupante qui nécessite une surveillance rapprochée des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à moyen terme. Sur le plan de la **valorisation**, les ratios PER (8,3x), P/B (0,90x) et EV/EBITDA (4,0x) indiquent une sous-évaluation manifeste du titre par rapport à ses fondamentaux et à la moyenne du marché BRVM. Le **comportement du cours** sur 100 jours montre une tendance haussière de fond (+2,47%) malgré une correction récente, avec une volatilité élevée (37,2%) mais une distribution proche de la normale (kurtosis -0,554, skewness -0,353) qui ne signale pas de risque extrême. Les **signaux techniques** sont contradictoires : les oscillateurs (RSI à 21, Stochastique à 0) et les Bandes de Bollinger crient à la survente extrême et anticipent un rebond, tandis que le MACD (-122,6) et la position sous les moyennes mobiles confirment la pression baissière actuelle — cette divergence est caractéristique des points de retournement potentiels. Les **fondamentaux** demeurent solides (autonomie financière de 71,6%, endettement quasi nul, ROE de 10,9%) mais sont entachés par la dégradation opérationnelle récente : après un T3 2025 décevant (marge nette de 10,7% sur 9 mois), le T1 2026 a enregistré un effondrement du résultat net de -86%, que la direction attribue à un décalage temporel des ventes — hypothèse qui reste à confirmer. Les **prédictions IA** (8 448 FCFA à J+1, 8 536 FCFA à J+10) anticipent une légère reprise de +2,8% sur 10 jours, cohérente avec le scénario de rebond technique suggéré par le RSI et le Stochastique. Sur la base de cette analyse, la recommandation est **CONSERVER** avec un biais haussier, le niveau de confiance étant **Moyen** en raison de la contradiction entre signaux techniques et fondamentaux à court terme, et le niveau de risque global **Moyen** (volatilité élevée mais structure financière solide). L'horizon d'investissement optimal est le **moyen terme (3-12 mois)**, le temps que la situation opérationnelle se clarifie et que les stocks constitués soient écoulés à l'export, comme l'anticipe la direction — un passage à l'achat franc serait justifié si le T2 2026 confirme le redressement des ventes et des marges, tandis qu'une vente serait recommandée si la dégradation du chiffre d'affaires se poursuivait au-delà du premier semestre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875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B40000"/>
                <w:sz w:val="17"/>
              </w:rPr>
              <w:t>-11.91%</w:t>
            </w:r>
          </w:p>
          <w:p>
            <w:r>
              <w:rPr>
                <w:b/>
                <w:color w:val="503200"/>
                <w:sz w:val="16"/>
              </w:rPr>
              <w:t xml:space="preserve">Plus haut 100j : </w:t>
            </w:r>
            <w:r>
              <w:rPr>
                <w:color w:val="000000"/>
                <w:sz w:val="17"/>
              </w:rPr>
              <w:t>4,995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6.98% (Moyenne) — μ=4,397 FCFA, σ=307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β=-0.2552 (Contre-cyclique) — Cov=-0.000009, Var(idx)=0.000035, ρ=-0.061,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875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4,279</w:t>
            </w:r>
          </w:p>
        </w:tc>
        <w:tc>
          <w:tcPr>
            <w:tcW w:type="dxa" w:w="1440"/>
            <w:shd w:fill="FAFAFA" w:val="clear"/>
          </w:tcPr>
          <w:p>
            <w:r>
              <w:rPr>
                <w:b/>
                <w:sz w:val="17"/>
              </w:rPr>
              <w:t>4,374</w:t>
            </w:r>
          </w:p>
        </w:tc>
        <w:tc>
          <w:tcPr>
            <w:tcW w:type="dxa" w:w="1440"/>
            <w:shd w:fill="FAFAFA" w:val="clear"/>
          </w:tcPr>
          <w:p>
            <w:r>
              <w:rPr>
                <w:sz w:val="17"/>
              </w:rPr>
              <w:t>4,468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2026-09-14</w:t>
            </w:r>
          </w:p>
        </w:tc>
        <w:tc>
          <w:tcPr>
            <w:tcW w:type="dxa" w:w="1440"/>
            <w:shd w:fill="FAFAFA" w:val="clear"/>
          </w:tcPr>
          <w:p>
            <w:r>
              <w:rPr>
                <w:sz w:val="17"/>
              </w:rPr>
              <w:t>4,219</w:t>
            </w:r>
          </w:p>
        </w:tc>
        <w:tc>
          <w:tcPr>
            <w:tcW w:type="dxa" w:w="1440"/>
            <w:shd w:fill="FAFAFA" w:val="clear"/>
          </w:tcPr>
          <w:p>
            <w:r>
              <w:rPr>
                <w:b/>
                <w:sz w:val="17"/>
              </w:rPr>
              <w:t>4,353</w:t>
            </w:r>
          </w:p>
        </w:tc>
        <w:tc>
          <w:tcPr>
            <w:tcW w:type="dxa" w:w="1440"/>
            <w:shd w:fill="FAFAFA" w:val="clear"/>
          </w:tcPr>
          <w:p>
            <w:r>
              <w:rPr>
                <w:sz w:val="17"/>
              </w:rPr>
              <w:t>4,486</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2026-09-15</w:t>
            </w:r>
          </w:p>
        </w:tc>
        <w:tc>
          <w:tcPr>
            <w:tcW w:type="dxa" w:w="1440"/>
            <w:shd w:fill="FAFAFA" w:val="clear"/>
          </w:tcPr>
          <w:p>
            <w:r>
              <w:rPr>
                <w:sz w:val="17"/>
              </w:rPr>
              <w:t>4,169</w:t>
            </w:r>
          </w:p>
        </w:tc>
        <w:tc>
          <w:tcPr>
            <w:tcW w:type="dxa" w:w="1440"/>
            <w:shd w:fill="FAFAFA" w:val="clear"/>
          </w:tcPr>
          <w:p>
            <w:r>
              <w:rPr>
                <w:b/>
                <w:sz w:val="17"/>
              </w:rPr>
              <w:t>4,332</w:t>
            </w:r>
          </w:p>
        </w:tc>
        <w:tc>
          <w:tcPr>
            <w:tcW w:type="dxa" w:w="1440"/>
            <w:shd w:fill="FAFAFA" w:val="clear"/>
          </w:tcPr>
          <w:p>
            <w:r>
              <w:rPr>
                <w:sz w:val="17"/>
              </w:rPr>
              <w:t>4,494</w:t>
            </w:r>
          </w:p>
        </w:tc>
        <w:tc>
          <w:tcPr>
            <w:tcW w:type="dxa" w:w="1440"/>
            <w:shd w:fill="FAFAFA" w:val="clear"/>
          </w:tcPr>
          <w:p>
            <w:r>
              <w:rPr>
                <w:b/>
                <w:color w:val="C00000"/>
                <w:sz w:val="17"/>
              </w:rPr>
              <w:t>-1.6%</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4,125</w:t>
            </w:r>
          </w:p>
        </w:tc>
        <w:tc>
          <w:tcPr>
            <w:tcW w:type="dxa" w:w="1440"/>
            <w:shd w:fill="FFDCE0" w:val="clear"/>
          </w:tcPr>
          <w:p>
            <w:r>
              <w:rPr>
                <w:b/>
                <w:sz w:val="17"/>
              </w:rPr>
              <w:t>4,311</w:t>
            </w:r>
          </w:p>
        </w:tc>
        <w:tc>
          <w:tcPr>
            <w:tcW w:type="dxa" w:w="1440"/>
            <w:shd w:fill="FFDCE0" w:val="clear"/>
          </w:tcPr>
          <w:p>
            <w:r>
              <w:rPr>
                <w:sz w:val="17"/>
              </w:rPr>
              <w:t>4,498</w:t>
            </w:r>
          </w:p>
        </w:tc>
        <w:tc>
          <w:tcPr>
            <w:tcW w:type="dxa" w:w="1440"/>
            <w:shd w:fill="FFDCE0"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4,084</w:t>
            </w:r>
          </w:p>
        </w:tc>
        <w:tc>
          <w:tcPr>
            <w:tcW w:type="dxa" w:w="1440"/>
            <w:shd w:fill="FFDCE0" w:val="clear"/>
          </w:tcPr>
          <w:p>
            <w:r>
              <w:rPr>
                <w:b/>
                <w:sz w:val="17"/>
              </w:rPr>
              <w:t>4,292</w:t>
            </w:r>
          </w:p>
        </w:tc>
        <w:tc>
          <w:tcPr>
            <w:tcW w:type="dxa" w:w="1440"/>
            <w:shd w:fill="FFDCE0" w:val="clear"/>
          </w:tcPr>
          <w:p>
            <w:r>
              <w:rPr>
                <w:sz w:val="17"/>
              </w:rPr>
              <w:t>4,500</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4,046</w:t>
            </w:r>
          </w:p>
        </w:tc>
        <w:tc>
          <w:tcPr>
            <w:tcW w:type="dxa" w:w="1440"/>
            <w:shd w:fill="FFDCE0" w:val="clear"/>
          </w:tcPr>
          <w:p>
            <w:r>
              <w:rPr>
                <w:b/>
                <w:sz w:val="17"/>
              </w:rPr>
              <w:t>4,273</w:t>
            </w:r>
          </w:p>
        </w:tc>
        <w:tc>
          <w:tcPr>
            <w:tcW w:type="dxa" w:w="1440"/>
            <w:shd w:fill="FFDCE0" w:val="clear"/>
          </w:tcPr>
          <w:p>
            <w:r>
              <w:rPr>
                <w:sz w:val="17"/>
              </w:rPr>
              <w:t>4,499</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4,010</w:t>
            </w:r>
          </w:p>
        </w:tc>
        <w:tc>
          <w:tcPr>
            <w:tcW w:type="dxa" w:w="1440"/>
            <w:shd w:fill="FFDCE0" w:val="clear"/>
          </w:tcPr>
          <w:p>
            <w:r>
              <w:rPr>
                <w:b/>
                <w:sz w:val="17"/>
              </w:rPr>
              <w:t>4,254</w:t>
            </w:r>
          </w:p>
        </w:tc>
        <w:tc>
          <w:tcPr>
            <w:tcW w:type="dxa" w:w="1440"/>
            <w:shd w:fill="FFDCE0" w:val="clear"/>
          </w:tcPr>
          <w:p>
            <w:r>
              <w:rPr>
                <w:sz w:val="17"/>
              </w:rPr>
              <w:t>4,497</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3,976</w:t>
            </w:r>
          </w:p>
        </w:tc>
        <w:tc>
          <w:tcPr>
            <w:tcW w:type="dxa" w:w="1440"/>
            <w:shd w:fill="FFDCE0" w:val="clear"/>
          </w:tcPr>
          <w:p>
            <w:r>
              <w:rPr>
                <w:b/>
                <w:sz w:val="17"/>
              </w:rPr>
              <w:t>4,235</w:t>
            </w:r>
          </w:p>
        </w:tc>
        <w:tc>
          <w:tcPr>
            <w:tcW w:type="dxa" w:w="1440"/>
            <w:shd w:fill="FFDCE0" w:val="clear"/>
          </w:tcPr>
          <w:p>
            <w:r>
              <w:rPr>
                <w:sz w:val="17"/>
              </w:rPr>
              <w:t>4,494</w:t>
            </w:r>
          </w:p>
        </w:tc>
        <w:tc>
          <w:tcPr>
            <w:tcW w:type="dxa" w:w="1440"/>
            <w:shd w:fill="FFDCE0" w:val="clear"/>
          </w:tcPr>
          <w:p>
            <w:r>
              <w:rPr>
                <w:b/>
                <w:color w:val="C00000"/>
                <w:sz w:val="17"/>
              </w:rPr>
              <w:t>-3.7%</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3,943</w:t>
            </w:r>
          </w:p>
        </w:tc>
        <w:tc>
          <w:tcPr>
            <w:tcW w:type="dxa" w:w="1440"/>
            <w:shd w:fill="FFDCE0" w:val="clear"/>
          </w:tcPr>
          <w:p>
            <w:r>
              <w:rPr>
                <w:b/>
                <w:sz w:val="17"/>
              </w:rPr>
              <w:t>4,217</w:t>
            </w:r>
          </w:p>
        </w:tc>
        <w:tc>
          <w:tcPr>
            <w:tcW w:type="dxa" w:w="1440"/>
            <w:shd w:fill="FFDCE0" w:val="clear"/>
          </w:tcPr>
          <w:p>
            <w:r>
              <w:rPr>
                <w:sz w:val="17"/>
              </w:rPr>
              <w:t>4,491</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3,912</w:t>
            </w:r>
          </w:p>
        </w:tc>
        <w:tc>
          <w:tcPr>
            <w:tcW w:type="dxa" w:w="1440"/>
            <w:shd w:fill="FFDCE0" w:val="clear"/>
          </w:tcPr>
          <w:p>
            <w:r>
              <w:rPr>
                <w:b/>
                <w:sz w:val="17"/>
              </w:rPr>
              <w:t>4,199</w:t>
            </w:r>
          </w:p>
        </w:tc>
        <w:tc>
          <w:tcPr>
            <w:tcW w:type="dxa" w:w="1440"/>
            <w:shd w:fill="FFDCE0" w:val="clear"/>
          </w:tcPr>
          <w:p>
            <w:r>
              <w:rPr>
                <w:sz w:val="17"/>
              </w:rPr>
              <w:t>4,487</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45,06 milliards FCFA, PRSC se positionne comme une valeur de taille intermédiaire sur le compartiment des sociétés non financières de la BRVM, représentant un poids modeste dans un marché où les mastodontes télécoms et bancaires dominent. Le BPA de 231 FCFA/action signifie que chaque titre génère un bénéfice net de 231 FCFA, ce qui, rapporté au cours actuel de 4 400 FCFA, aboutit à un PER de 19,0x — nettement supérieur à la moyenne du marché BRVM (généralement comprise entre 8 et 12x), ce qui traduit une prime de valorisation significative que les investisseurs accordent à la société. Le P/B de 3,91x confirme cette lecture : le marché valorise PRSC à près de quatre fois sa valeur comptable (capitaux propres de 11,531 Mds FCFA), une prime de croissance qui se justifie uniquement si la rentabilité future reste soutenue. Enfin, l'EV/EBITDA de 9,7x, dans la fourchette raisonnable de 5-10x, suggère que la valeur d'entreprise reste cohérente avec la capacité opérationnelle de génération de cash, bien que le PER élevé constitue le principal signal d'alerte sur le plan de la valorisation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variation totale de -11,91%, avec une dernière séance (J-1) stable à +0,00%, le cours se maintenant à 4 400 FCFA. Le range de trading s'est établi entre un plus haut de 4 995 FCFA et un plus bas de 3 620 FCFA, soit un écart de 1 375 FCFA (38% du cours actuel), reflétant une tendance générale baissière avec une reprise partielle depuis le plancher. La moyenne (4 397 FCFA) et la médiane (4 470 FCFA) sont proches mais la médiane supérieure à la moyenne indique une légère asymétrie négative, confirmée par le skewness de -0,965 qui signale davantage de journées de cotation au-dessus de la moyenne avec quelques chutes marquées tirant la moyenne vers le bas. L'écart-type de 308 FCFA (CV = 7,0%) traduit une dispersion modérée du cours autour de sa moyenne, tandis que le kurtosis de 0,705 (mésokurtique) indique une distribution proche de la normale, sans risque excessif de pics extrêmes. La volatilité annualisée de 39,0% classe PRSC dans la catégorie des titres à volatilité élevée (&gt;30%), ce qui implique un risque de fluctuation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(4 448,5 FCFA) et la MM50 (4 469,1 FCFA) se situent toutes deux au-dessus du cours actuel (4 400 FCFA), avec la MM20 légèrement sous la MM50, configuration baissière caractéristique d'un croisement « death cross » déjà effectué. Le cours évoluant sous ses deux moyennes mobiles, la pression vendeuse domine et justifie la décision technique de **Vente**.</w:t>
      </w:r>
    </w:p>
    <w:p>
      <w:pPr>
        <w:spacing w:after="120" w:line="276" w:lineRule="auto"/>
      </w:pPr>
      <w:r>
        <w:t>**Bandes de Bollinger** : Le cours (4 400 FCFA) se situe dans la moitié inférieure de la bande, entre la borne inférieure (4 332,465 FCFA) et la borne supérieure (4 564,535 FCFA), sans toucher les extrêmes. Cette position médiane, couplée à un resserrement relatif des bandes, traduit une phase de consolidation sans direction claire, justifiant la décision **Neutre**.</w:t>
      </w:r>
    </w:p>
    <w:p>
      <w:pPr>
        <w:spacing w:after="120" w:line="276" w:lineRule="auto"/>
      </w:pPr>
      <w:r>
        <w:t>**MACD** : La valeur du MACD (-18,88) est inférieure à son signal (-13,541), avec un histogramme négatif qui s'accentue, confirmant un momentum baissier persistant. La divergence négative entre les deux lignes indique que la pression vendeuse reste active, justifiant la décision **Vente**.</w:t>
      </w:r>
    </w:p>
    <w:p>
      <w:pPr>
        <w:spacing w:after="120" w:line="276" w:lineRule="auto"/>
      </w:pPr>
      <w:r>
        <w:t>**RSI** : À 44,094, le RSI se situe en zone neutre (30-70), sans signal de survente (&lt;30) ni de surachat (&gt;70). Cette position médiane indique un équilibre relatif entre acheteurs et vendeurs, sans force directionnelle marquée, justifiant la décision **Neutre**.</w:t>
      </w:r>
    </w:p>
    <w:p>
      <w:pPr>
        <w:spacing w:after="120" w:line="276" w:lineRule="auto"/>
      </w:pPr>
      <w:r>
        <w:t>**Stochastique** : Le %K (25,0) est nettement inférieur au %D (40,833), avec un croisement baissier en zone de survente naissante. Cette configuration suggère que la pression baissière pourrait s'atténuer à court terme, mais l'absence de retournement confirmé maintient la décision **Neutre**.</w:t>
      </w:r>
    </w:p>
    <w:p>
      <w:pPr>
        <w:spacing w:after="120" w:line="276" w:lineRule="auto"/>
      </w:pPr>
      <w:r>
        <w:t>**Conclusion technique** : La convergence des signaux baissiers (MM, MACD) et neutres (Bollinger, RSI, Stochastique) dessine un tableau technique globalement défavorable, avec un cours sous ses moyennes mobiles et un momentum négatif. Le titre se trouve dans une phase de consolidation baissière, sans signal de retournement imminent, ce qui invite à la prudence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TRACTAFRIC MOTORS CÔTE D'IVOIRE (PRSC) affiche un chiffre d'affaires de 81,127 milliards FCFA, en croissance de 8,64% sur un an, portée par la dynamique du marché automobile ivoirien. Le résultat net s'établit à 2,367 milliards FCFA, stable par rapport à 2024 (2,35 Mds FCFA), avec une marge nette de 2,92% — faible mais en légère amélioration. Le ROE de 20,53% est excellent (&gt;15%), témoignant d'une bonne rentabilité des fonds propres, tandis que le ROA de 4,95% reste modeste, reflétant l'intensité capitalistique du modèle de distribution. Sur le plan bilanciel, les capitaux propres se renforcent à 11,531 Mds FCFA, mais l'autonomie financière (24,10%) reste inférieure au seuil sain de 30%, et le ratio d'endettement (314,86%) est élevé. Les délais d'exploitation révèlent des points de vigilance : délai clients de 46 jours (risque de trésorerie modéré), délai fournisseurs de 102,65 jours (favorable à la trésorerie) et durée de stockage de 150,51 jours (immobilisation de capital importante). Le BFR de 11,267 Mds FCFA et la trésorerie nette négative (-4,092 Mds FCFA) constituent des points de fragilité. Les rapports trimestriels (S1 2025, analysé le 15/03/2026) indiquent un CA semestriel de 39,968 Mds FCFA (+15,1%) et un résultat net de 1,436 Md FCFA (×28 vs S1 2024), avec une marge nette de 3,6% — laissant présager une année 2025 solide, confirmée par les états financiers annuels. Le rapport annuel 2025 (analysé le 06/09/2026) confirme la croissance du CA (+9,5%) et un dividende de 209 FCFA/action (rendement ~4,75% au cours actuel), avec une mise en paiement prévue avant le 30 septembre 2026. La recommandation fondamentale est **CONSERVER** : la société présente une solidité financière correcte, une croissance commerciale avérée et un dividende attractif, mais la faiblesse de la marge nette, l'endettement élevé et la trésorerie négative limitent le potentiel d'appréciation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pour PRSC. Sur le plan de la **valorisation (Partie 0)**, le PER de 19,0x est nettement supérieur à la moyenne du marché BRVM (8-12x), suggérant une surévaluation relative, bien que le P/B de 3,91x et l'EV/EBITDA de 9,7x restent dans des fourchettes acceptables. Le **comportement du cours (Partie 1)** est préoccupant : tendance baissière (-11,91% sur 100 jours), volatilité élevée (39,0%) et skewness négatif (-0,965) indiquant une pression vendeuse persistante. Les **signaux techniques (Partie 2)** sont majoritairement baissiers (MM, MACD) ou neutres (Bollinger, RSI, Stochastique), sans convergence haussière. Les **fondamentaux (Partie 3)** révèlent une société solide mais avec des fragilités : croissance du CA (+8,64%), ROE excellent (20,53%), mais marge nette faible (2,92%), endettement élevé (314,86%) et trésorerie négative (-4,092 Mds FCFA). Les **prédictions IA (J+1 à J+10)** anticipent une poursuite de la baisse (4 374 → 4 292 FCFA), confirmant la tendance baissière actuelle. Compte tenu de la divergence entre une valorisation tendue, des signaux techniques baissiers, des fondamentaux corrects mais fragiles et des prédictions négatives, la recommandation finale est **CONSERVER** avec un niveau de confiance **Moyen** et un risque global **Élevé**. L'horizon d'investissement optimal est le **moyen terme (3-12 mois)**, en attendant une clarification de la tendance technique et une amélioration des marges, avec un point d'entrée plus favorable envisageable autour de 4 200-4 300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44.58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8,673 titres</w:t>
            </w:r>
          </w:p>
        </w:tc>
        <w:tc>
          <w:tcPr>
            <w:tcW w:type="dxa" w:w="2268"/>
            <w:shd w:fill="FFF2CC" w:val="clear"/>
          </w:tcPr>
          <w:p>
            <w:r>
              <w:rPr>
                <w:b/>
                <w:color w:val="503200"/>
                <w:sz w:val="16"/>
              </w:rPr>
              <w:t xml:space="preserve">Cours actuel : </w:t>
            </w:r>
            <w:r>
              <w:rPr>
                <w:color w:val="000000"/>
                <w:sz w:val="17"/>
              </w:rPr>
              <w:t>5,490 FCFA</w:t>
            </w:r>
          </w:p>
          <w:p>
            <w:r>
              <w:rPr>
                <w:b/>
                <w:color w:val="503200"/>
                <w:sz w:val="16"/>
              </w:rPr>
              <w:t xml:space="preserve">Var. 100 jours : </w:t>
            </w:r>
            <w:r>
              <w:rPr>
                <w:b/>
                <w:color w:val="B40000"/>
                <w:sz w:val="17"/>
              </w:rPr>
              <w:t>-6.31%</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17.75% (Élevée) — μ=4,618 FCFA, σ=820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β=0.0170 (Défensif) — Cov=0.000001, Var(idx)=0.000035, ρ=0.002,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8,673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σ_j=5.16%/j (Instable) — Vol. annualisée≈81.9%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4,734</w:t>
            </w:r>
          </w:p>
        </w:tc>
        <w:tc>
          <w:tcPr>
            <w:tcW w:type="dxa" w:w="1440"/>
            <w:shd w:fill="FFDCE0" w:val="clear"/>
          </w:tcPr>
          <w:p>
            <w:r>
              <w:rPr>
                <w:b/>
                <w:sz w:val="17"/>
              </w:rPr>
              <w:t>5,078</w:t>
            </w:r>
          </w:p>
        </w:tc>
        <w:tc>
          <w:tcPr>
            <w:tcW w:type="dxa" w:w="1440"/>
            <w:shd w:fill="FFDCE0" w:val="clear"/>
          </w:tcPr>
          <w:p>
            <w:r>
              <w:rPr>
                <w:sz w:val="17"/>
              </w:rPr>
              <w:t>5,422</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4,247</w:t>
            </w:r>
          </w:p>
        </w:tc>
        <w:tc>
          <w:tcPr>
            <w:tcW w:type="dxa" w:w="1440"/>
            <w:shd w:fill="FFDCE0" w:val="clear"/>
          </w:tcPr>
          <w:p>
            <w:r>
              <w:rPr>
                <w:b/>
                <w:sz w:val="17"/>
              </w:rPr>
              <w:t>4,697</w:t>
            </w:r>
          </w:p>
        </w:tc>
        <w:tc>
          <w:tcPr>
            <w:tcW w:type="dxa" w:w="1440"/>
            <w:shd w:fill="FFDCE0" w:val="clear"/>
          </w:tcPr>
          <w:p>
            <w:r>
              <w:rPr>
                <w:sz w:val="17"/>
              </w:rPr>
              <w:t>5,147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3,835</w:t>
            </w:r>
          </w:p>
        </w:tc>
        <w:tc>
          <w:tcPr>
            <w:tcW w:type="dxa" w:w="1440"/>
            <w:shd w:fill="FFDCE0" w:val="clear"/>
          </w:tcPr>
          <w:p>
            <w:r>
              <w:rPr>
                <w:b/>
                <w:sz w:val="17"/>
              </w:rPr>
              <w:t>4,345</w:t>
            </w:r>
          </w:p>
        </w:tc>
        <w:tc>
          <w:tcPr>
            <w:tcW w:type="dxa" w:w="1440"/>
            <w:shd w:fill="FFDCE0" w:val="clear"/>
          </w:tcPr>
          <w:p>
            <w:r>
              <w:rPr>
                <w:sz w:val="17"/>
              </w:rPr>
              <w:t>4,855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3,475</w:t>
            </w:r>
          </w:p>
        </w:tc>
        <w:tc>
          <w:tcPr>
            <w:tcW w:type="dxa" w:w="1440"/>
            <w:shd w:fill="FFDCE0" w:val="clear"/>
          </w:tcPr>
          <w:p>
            <w:r>
              <w:rPr>
                <w:b/>
                <w:sz w:val="17"/>
              </w:rPr>
              <w:t>4,019</w:t>
            </w:r>
          </w:p>
        </w:tc>
        <w:tc>
          <w:tcPr>
            <w:tcW w:type="dxa" w:w="1440"/>
            <w:shd w:fill="FFDCE0" w:val="clear"/>
          </w:tcPr>
          <w:p>
            <w:r>
              <w:rPr>
                <w:sz w:val="17"/>
              </w:rPr>
              <w:t>4,564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3,155</w:t>
            </w:r>
          </w:p>
        </w:tc>
        <w:tc>
          <w:tcPr>
            <w:tcW w:type="dxa" w:w="1440"/>
            <w:shd w:fill="FFDCE0" w:val="clear"/>
          </w:tcPr>
          <w:p>
            <w:r>
              <w:rPr>
                <w:b/>
                <w:sz w:val="17"/>
              </w:rPr>
              <w:t>3,718</w:t>
            </w:r>
          </w:p>
        </w:tc>
        <w:tc>
          <w:tcPr>
            <w:tcW w:type="dxa" w:w="1440"/>
            <w:shd w:fill="FFDCE0" w:val="clear"/>
          </w:tcPr>
          <w:p>
            <w:r>
              <w:rPr>
                <w:sz w:val="17"/>
              </w:rPr>
              <w:t>4,281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2,868</w:t>
            </w:r>
          </w:p>
        </w:tc>
        <w:tc>
          <w:tcPr>
            <w:tcW w:type="dxa" w:w="1440"/>
            <w:shd w:fill="FFDCE0" w:val="clear"/>
          </w:tcPr>
          <w:p>
            <w:r>
              <w:rPr>
                <w:b/>
                <w:sz w:val="17"/>
              </w:rPr>
              <w:t>3,439</w:t>
            </w:r>
          </w:p>
        </w:tc>
        <w:tc>
          <w:tcPr>
            <w:tcW w:type="dxa" w:w="1440"/>
            <w:shd w:fill="FFDCE0" w:val="clear"/>
          </w:tcPr>
          <w:p>
            <w:r>
              <w:rPr>
                <w:sz w:val="17"/>
              </w:rPr>
              <w:t>4,010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2,611</w:t>
            </w:r>
          </w:p>
        </w:tc>
        <w:tc>
          <w:tcPr>
            <w:tcW w:type="dxa" w:w="1440"/>
            <w:shd w:fill="FFDCE0" w:val="clear"/>
          </w:tcPr>
          <w:p>
            <w:r>
              <w:rPr>
                <w:b/>
                <w:sz w:val="17"/>
              </w:rPr>
              <w:t>3,181</w:t>
            </w:r>
          </w:p>
        </w:tc>
        <w:tc>
          <w:tcPr>
            <w:tcW w:type="dxa" w:w="1440"/>
            <w:shd w:fill="FFDCE0" w:val="clear"/>
          </w:tcPr>
          <w:p>
            <w:r>
              <w:rPr>
                <w:sz w:val="17"/>
              </w:rPr>
              <w:t>3,751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2,379</w:t>
            </w:r>
          </w:p>
        </w:tc>
        <w:tc>
          <w:tcPr>
            <w:tcW w:type="dxa" w:w="1440"/>
            <w:shd w:fill="FFDCE0" w:val="clear"/>
          </w:tcPr>
          <w:p>
            <w:r>
              <w:rPr>
                <w:b/>
                <w:sz w:val="17"/>
              </w:rPr>
              <w:t>2,942</w:t>
            </w:r>
          </w:p>
        </w:tc>
        <w:tc>
          <w:tcPr>
            <w:tcW w:type="dxa" w:w="1440"/>
            <w:shd w:fill="FFDCE0" w:val="clear"/>
          </w:tcPr>
          <w:p>
            <w:r>
              <w:rPr>
                <w:sz w:val="17"/>
              </w:rPr>
              <w:t>3,506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2,169</w:t>
            </w:r>
          </w:p>
        </w:tc>
        <w:tc>
          <w:tcPr>
            <w:tcW w:type="dxa" w:w="1440"/>
            <w:shd w:fill="FFDCE0" w:val="clear"/>
          </w:tcPr>
          <w:p>
            <w:r>
              <w:rPr>
                <w:b/>
                <w:sz w:val="17"/>
              </w:rPr>
              <w:t>2,722</w:t>
            </w:r>
          </w:p>
        </w:tc>
        <w:tc>
          <w:tcPr>
            <w:tcW w:type="dxa" w:w="1440"/>
            <w:shd w:fill="FFDCE0" w:val="clear"/>
          </w:tcPr>
          <w:p>
            <w:r>
              <w:rPr>
                <w:sz w:val="17"/>
              </w:rPr>
              <w:t>3,275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1,978</w:t>
            </w:r>
          </w:p>
        </w:tc>
        <w:tc>
          <w:tcPr>
            <w:tcW w:type="dxa" w:w="1440"/>
            <w:shd w:fill="FFDCE0" w:val="clear"/>
          </w:tcPr>
          <w:p>
            <w:r>
              <w:rPr>
                <w:b/>
                <w:sz w:val="17"/>
              </w:rPr>
              <w:t>2,518</w:t>
            </w:r>
          </w:p>
        </w:tc>
        <w:tc>
          <w:tcPr>
            <w:tcW w:type="dxa" w:w="1440"/>
            <w:shd w:fill="FFDCE0" w:val="clear"/>
          </w:tcPr>
          <w:p>
            <w:r>
              <w:rPr>
                <w:sz w:val="17"/>
              </w:rPr>
              <w:t>3,057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44,58 milliards FCFA, SAFC se situe dans la catégorie des valeurs moyennes de la cote BRVM, loin des grandes capitalisations bancaires régionales. Le BPA de 86 FCFA/action indique ce que chaque titre rapporte en bénéfice net, mais le PER de 63,6x traduit une valorisation extrêmement tendue : les investisseurs paient plus de 63 fois les bénéfices 2025, alors que la moyenne BRVM se situe entre 8x et 12x — un écart qui signale soit une anticipation de forte croissance, soit une surévaluation manifeste. Le P/B de 7,54x confirme cette prime excessive : le marché valorise la société à plus de 7 fois ses fonds propres comptables (5,916 Mds FCFA), un niveau bien supérieur au seuil de 4x généralement considéré comme exigeant. Enfin, l'EV/EBITDA de 80,0x, très au-delà du seuil de 15x, indique que la valeur d'entreprise (incluant la dette) est déconnectée de la capacité opérationnelle actuelle, ce qui invite à une grande prudence malgré l'amélioration récente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-6,31%, mais la dernière séance (J-1) enregistre un bond spectaculaire de +5,98%, portant le cours à 5 490 FCFA. Le range de trading est très large, avec un plus haut à 6 200 FCFA et un plus bas à 3 340 FCFA, soit une amplitude de près de 86% — signe d'une forte nervosité du marché sur ce titre. La tendance générale est baissière sur la période, mais le rebond récent suggère une tentative de retournement, possiblement liée à l'annonce de l'augmentation de capital et aux bons résultats semestriels 2026. Les statistiques descriptives révèlent une moyenne de 4 618 FCFA supérieure à la médiane de 4 505 FCFA, indiquant une légère asymétrie positive (skewness de 0,338, distribution quasi symétrique) avec quelques pics haussiers. L'écart-type de 824 FCFA (CV de 17,8%) traduit une dispersion modérée du cours autour de sa moyenne, tandis que le kurtosis de -1,153 (distribution platykurtique) signale une faible concentration des valeurs extrêmes — le risque de pics violents est donc limité. Avec une volatilité annualisée de 81,9%, le titre se classe dans la catégorie des valeurs à volatilité élevée (&gt;30%), ce qui implique un risque important pour les investisseurs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(5 776,25 FCFA) et la MM50 (5 128,30 FCFA) encadrent le cours actuel (5 490 FCFA), qui se situe entre les deux. La MM20 est supérieure à la MM50, configuration haussière classique, et le cours étant au-dessus de la MM50, la décision technique est à l'**Achat**. Toutefois, le cours reste sous la MM20, ce qui tempère le signal.</w:t>
      </w:r>
    </w:p>
    <w:p>
      <w:pPr>
        <w:spacing w:after="120" w:line="276" w:lineRule="auto"/>
      </w:pPr>
      <w:r>
        <w:t>**Bandes de Bollinger** : Les bornes supérieure (6 235,25 FCFA) et inférieure (5 317,25 FCFA) encadrent le cours actuel (5 490 FCFA), qui évolue dans la partie basse de la bande. La largeur des bandes reflète une volatilité élevée, et la position du cours près de la borne inférieure suggère un potentiel de rebond technique. La décision est **Neutre**, le marché attendant une confirmation directionnelle.</w:t>
      </w:r>
    </w:p>
    <w:p>
      <w:pPr>
        <w:spacing w:after="120" w:line="276" w:lineRule="auto"/>
      </w:pPr>
      <w:r>
        <w:t>**MACD** : La valeur du MACD (139,483) est inférieure à son signal (238,301), générant une divergence baissière. Le momentum est négatif, bien que le MACD reste en territoire positif. La décision est à la **Vente**, signalant un essoufflement de la dynamique haussière à court terme.</w:t>
      </w:r>
    </w:p>
    <w:p>
      <w:pPr>
        <w:spacing w:after="120" w:line="276" w:lineRule="auto"/>
      </w:pPr>
      <w:r>
        <w:t>**RSI** : À 45,749, le RSI se situe dans la zone neutre (30-70), sans signal de surachat ni de survente. Le titre n'est ni surévalué ni sous-évalué techniquement, et la décision est **Neutre**, en attente d'un catalyseur.</w:t>
      </w:r>
    </w:p>
    <w:p>
      <w:pPr>
        <w:spacing w:after="120" w:line="276" w:lineRule="auto"/>
      </w:pPr>
      <w:r>
        <w:t>**Stochastique** : Le %K (30,392) est supérieur au %D (10,131), avec un croisement récent en zone basse (proche de la survente). Ce croisement haussier est un signal d'achat potentiel, mais la décision reste **Neutre** car les deux courbes évoluent encore en territoire faible.</w:t>
      </w:r>
    </w:p>
    <w:p>
      <w:pPr>
        <w:spacing w:after="120" w:line="276" w:lineRule="auto"/>
      </w:pPr>
      <w:r>
        <w:t>**Conclusion technique** : Les indicateurs sont mitigés — les moyennes mobiles donnent un signal d'achat, le MACD un signal de vente, et les autres oscillateurs sont neutres. Le titre se trouve dans une zone de consolidation avec une légère pression baissière à court terme, mais le rebond récent et le croisement stochastique suggèrent qu'un retournement haussier est possible si le cours franchit la MM20 (5 776 FCFA). La prudence reste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affiche un Produit Net Bancaire (PNB) de 5 735 M FCFA, en hausse de 44,1% par rapport à 2024 (3 980 M FCFA), porté par la croissance des intérêts (+14,4%) et des commissions (+81%). Le résultat net s'établit à 701 M FCFA, contre une perte de 165 M FCFA en 2024, marquant un retournement spectaculaire après huit années de déficit. Le ROE ressort à 11,85% (contre négatif en 2024) et le ROA à 0,88%, des niveaux corrects mais perfectibles. Le coefficient d'exploitation de 77,63% reste élevé (norme &lt;60% pour une banque efficace), et le coût du risque (6,57% des charges financières) demeure significatif, bien qu'en amélioration. La structure financière est fragile : l'autonomie financière n'est que de 7,44% (norme &gt;30%), et le ratio d'endettement atteint 856%, traduisant une dépendance massive aux dettes interbancaires (35 747 M FCFA) et à la clientèle (9 112 M FCFA).</w:t>
      </w:r>
    </w:p>
    <w:p>
      <w:pPr>
        <w:spacing w:after="120" w:line="276" w:lineRule="auto"/>
      </w:pPr>
      <w:r>
        <w:t>**Estimations basées sur les rapports trimestriels** : Le rapport du T1 2026 (publié le 12 mai 2026) indique un PNB de 1 395 M FCFA (+29%) et un résultat net de 151 M FCFA (+1 062%), avec un coût du risque en baisse de 75%. Le rapport du S1 2026 (publié le 4 septembre 2026) confirme cette dynamique : PNB de 2 907 M FCFA (+37%) et résultat net de 731 M FCFA (+231%), avec une reprise nette sur coût du risque de 261 M FCFA. Sur cette base, on peut estimer que l'exercice 2026 devrait afficher un PNB supérieur à 6 Mds FCFA et un résultat net proche de 1,2-1,5 Md FCFA, confirmant la trajectoire de redressement. Le ratio CET1 s'améliore à 11,49% (S1 2026) et le ratio de solvabilité globale à 12,93%, respectant les normes BCEAO.</w:t>
      </w:r>
    </w:p>
    <w:p>
      <w:pPr>
        <w:spacing w:after="120" w:line="276" w:lineRule="auto"/>
      </w:pPr>
      <w:r>
        <w:t>**Recommandation fondamentale** : La société est en pleine transformation sous l'impulsion de CREDAF Group (entré au capital en avril 2025), avec des résultats opérationnels en forte amélioration. Cependant, les risques persistent : dépendance aux dettes interbancaires, capitaux propres encore modestes (6 647 M FCFA au S1 2026), report à nouveau négatif (-4 123 M FCFA en 2025), et absence de dividende. La solidité financière reste fragile, mais la dynamique est positive. **À CONSERVER** pour les investisseurs patients, avec une surveillance accrue des prochains trimestres.</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**surévaluée** : PER de 63,6x, P/B de 7,54x et EV/EBITDA de 80,0x sont très au-dessus des normes du marché, ce qui intègre déjà une anticipation de forte croissance. Le comportement du cours (Partie 1) est **préoccupant** à court terme : variation négative sur 100 jours (-6,31%), volatilité élevée (81,9%), mais le rebond de +5,98% en J-1 et la distribution platykurtique (faible risque de pics) offrent un certain réconfort. Les signaux techniques (Partie 2) sont **mitigés** : les moyennes mobiles donnent un signal d'achat, mais le MACD est baissier et les oscillateurs sont neutres, sans convergence claire. Les fondamentaux (Partie 3) sont **en amélioration** : retour à la rentabilité en 2025 (701 M FCFA), confirmé par les rapports T1 2026 (+1 062% de résultat net) et S1 2026 (+231%), avec un renforcement des fonds propres et des ratios prudentiels. Les prédictions IA (J+1 à J+10) anticipent une **baisse significative** du cours, de 5 078 FCFA à 3 718 FCFA, ce qui contredit les signaux techniques haussiers et suggère une correction à court terme.</w:t>
      </w:r>
    </w:p>
    <w:p>
      <w:pPr>
        <w:spacing w:after="120" w:line="276" w:lineRule="auto"/>
      </w:pPr>
      <w:r>
        <w:t>**Recommandation finale : CONSERVER** — La convergence entre la valorisation excessive, la technique mitigée et les prédictions baissières à court terme incite à la prudence, mais la dynamique fondamentale positive (redressement opérationnel, amélioration du coût du risque, soutien de CREDAF Group) justifie de ne pas vendre. Le niveau de confiance est **Moyen**, car les signaux sont contradictoires. Le risque global est **Élevé** (volatilité, endettement, dépendance interbancaire). L'horizon d'investissement optimal est le **moyen terme (3-12 mois)**, en attendant la confirmation de la rentabilité durable et l'apurement du report à nouveau négatif. Un passage à l'ACHAT serait justifié si le cours se stabilise au-dessus de 5 500 FCFA et si les résultats annuels 2026 confirment les estimations.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65.66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10,791 titres</w:t>
            </w:r>
          </w:p>
        </w:tc>
        <w:tc>
          <w:tcPr>
            <w:tcW w:type="dxa" w:w="2268"/>
            <w:shd w:fill="FFF2CC" w:val="clear"/>
          </w:tcPr>
          <w:p>
            <w:r>
              <w:rPr>
                <w:b/>
                <w:color w:val="503200"/>
                <w:sz w:val="16"/>
              </w:rPr>
              <w:t xml:space="preserve">Cours actuel : </w:t>
            </w:r>
            <w:r>
              <w:rPr>
                <w:color w:val="000000"/>
                <w:sz w:val="17"/>
              </w:rPr>
              <w:t>3,350 FCFA</w:t>
            </w:r>
          </w:p>
          <w:p>
            <w:r>
              <w:rPr>
                <w:b/>
                <w:color w:val="503200"/>
                <w:sz w:val="16"/>
              </w:rPr>
              <w:t xml:space="preserve">Var. 100 jours : </w:t>
            </w:r>
            <w:r>
              <w:rPr>
                <w:b/>
                <w:color w:val="007800"/>
                <w:sz w:val="17"/>
              </w:rPr>
              <w:t>+63.41%</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19.15% (Élevée) — μ=3,066 FCFA, σ=587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β=0.3509 (Défensif) — Cov=0.000012, Var(idx)=0.000035, ρ=0.061,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10,791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2,980</w:t>
            </w:r>
          </w:p>
        </w:tc>
        <w:tc>
          <w:tcPr>
            <w:tcW w:type="dxa" w:w="1440"/>
            <w:shd w:fill="FFDCE0" w:val="clear"/>
          </w:tcPr>
          <w:p>
            <w:r>
              <w:rPr>
                <w:b/>
                <w:sz w:val="17"/>
              </w:rPr>
              <w:t>3,099</w:t>
            </w:r>
          </w:p>
        </w:tc>
        <w:tc>
          <w:tcPr>
            <w:tcW w:type="dxa" w:w="1440"/>
            <w:shd w:fill="FFDCE0" w:val="clear"/>
          </w:tcPr>
          <w:p>
            <w:r>
              <w:rPr>
                <w:sz w:val="17"/>
              </w:rPr>
              <w:t>3,217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2,711</w:t>
            </w:r>
          </w:p>
        </w:tc>
        <w:tc>
          <w:tcPr>
            <w:tcW w:type="dxa" w:w="1440"/>
            <w:shd w:fill="FFDCE0" w:val="clear"/>
          </w:tcPr>
          <w:p>
            <w:r>
              <w:rPr>
                <w:b/>
                <w:sz w:val="17"/>
              </w:rPr>
              <w:t>2,866</w:t>
            </w:r>
          </w:p>
        </w:tc>
        <w:tc>
          <w:tcPr>
            <w:tcW w:type="dxa" w:w="1440"/>
            <w:shd w:fill="FFDCE0" w:val="clear"/>
          </w:tcPr>
          <w:p>
            <w:r>
              <w:rPr>
                <w:sz w:val="17"/>
              </w:rPr>
              <w:t>3,022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2,475</w:t>
            </w:r>
          </w:p>
        </w:tc>
        <w:tc>
          <w:tcPr>
            <w:tcW w:type="dxa" w:w="1440"/>
            <w:shd w:fill="FFDCE0" w:val="clear"/>
          </w:tcPr>
          <w:p>
            <w:r>
              <w:rPr>
                <w:b/>
                <w:sz w:val="17"/>
              </w:rPr>
              <w:t>2,651</w:t>
            </w:r>
          </w:p>
        </w:tc>
        <w:tc>
          <w:tcPr>
            <w:tcW w:type="dxa" w:w="1440"/>
            <w:shd w:fill="FFDCE0" w:val="clear"/>
          </w:tcPr>
          <w:p>
            <w:r>
              <w:rPr>
                <w:sz w:val="17"/>
              </w:rPr>
              <w:t>2,827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2,265</w:t>
            </w:r>
          </w:p>
        </w:tc>
        <w:tc>
          <w:tcPr>
            <w:tcW w:type="dxa" w:w="1440"/>
            <w:shd w:fill="FFDCE0" w:val="clear"/>
          </w:tcPr>
          <w:p>
            <w:r>
              <w:rPr>
                <w:b/>
                <w:sz w:val="17"/>
              </w:rPr>
              <w:t>2,453</w:t>
            </w:r>
          </w:p>
        </w:tc>
        <w:tc>
          <w:tcPr>
            <w:tcW w:type="dxa" w:w="1440"/>
            <w:shd w:fill="FFDCE0" w:val="clear"/>
          </w:tcPr>
          <w:p>
            <w:r>
              <w:rPr>
                <w:sz w:val="17"/>
              </w:rPr>
              <w:t>2,640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2,074</w:t>
            </w:r>
          </w:p>
        </w:tc>
        <w:tc>
          <w:tcPr>
            <w:tcW w:type="dxa" w:w="1440"/>
            <w:shd w:fill="FFDCE0" w:val="clear"/>
          </w:tcPr>
          <w:p>
            <w:r>
              <w:rPr>
                <w:b/>
                <w:sz w:val="17"/>
              </w:rPr>
              <w:t>2,269</w:t>
            </w:r>
          </w:p>
        </w:tc>
        <w:tc>
          <w:tcPr>
            <w:tcW w:type="dxa" w:w="1440"/>
            <w:shd w:fill="FFDCE0" w:val="clear"/>
          </w:tcPr>
          <w:p>
            <w:r>
              <w:rPr>
                <w:sz w:val="17"/>
              </w:rPr>
              <w:t>2,463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1,902</w:t>
            </w:r>
          </w:p>
        </w:tc>
        <w:tc>
          <w:tcPr>
            <w:tcW w:type="dxa" w:w="1440"/>
            <w:shd w:fill="FFDCE0" w:val="clear"/>
          </w:tcPr>
          <w:p>
            <w:r>
              <w:rPr>
                <w:b/>
                <w:sz w:val="17"/>
              </w:rPr>
              <w:t>2,098</w:t>
            </w:r>
          </w:p>
        </w:tc>
        <w:tc>
          <w:tcPr>
            <w:tcW w:type="dxa" w:w="1440"/>
            <w:shd w:fill="FFDCE0" w:val="clear"/>
          </w:tcPr>
          <w:p>
            <w:r>
              <w:rPr>
                <w:sz w:val="17"/>
              </w:rPr>
              <w:t>2,295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1,744</w:t>
            </w:r>
          </w:p>
        </w:tc>
        <w:tc>
          <w:tcPr>
            <w:tcW w:type="dxa" w:w="1440"/>
            <w:shd w:fill="FFDCE0" w:val="clear"/>
          </w:tcPr>
          <w:p>
            <w:r>
              <w:rPr>
                <w:b/>
                <w:sz w:val="17"/>
              </w:rPr>
              <w:t>1,941</w:t>
            </w:r>
          </w:p>
        </w:tc>
        <w:tc>
          <w:tcPr>
            <w:tcW w:type="dxa" w:w="1440"/>
            <w:shd w:fill="FFDCE0" w:val="clear"/>
          </w:tcPr>
          <w:p>
            <w:r>
              <w:rPr>
                <w:sz w:val="17"/>
              </w:rPr>
              <w:t>2,138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1,601</w:t>
            </w:r>
          </w:p>
        </w:tc>
        <w:tc>
          <w:tcPr>
            <w:tcW w:type="dxa" w:w="1440"/>
            <w:shd w:fill="FFDCE0" w:val="clear"/>
          </w:tcPr>
          <w:p>
            <w:r>
              <w:rPr>
                <w:b/>
                <w:sz w:val="17"/>
              </w:rPr>
              <w:t>1,795</w:t>
            </w:r>
          </w:p>
        </w:tc>
        <w:tc>
          <w:tcPr>
            <w:tcW w:type="dxa" w:w="1440"/>
            <w:shd w:fill="FFDCE0" w:val="clear"/>
          </w:tcPr>
          <w:p>
            <w:r>
              <w:rPr>
                <w:sz w:val="17"/>
              </w:rPr>
              <w:t>1,990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1,470</w:t>
            </w:r>
          </w:p>
        </w:tc>
        <w:tc>
          <w:tcPr>
            <w:tcW w:type="dxa" w:w="1440"/>
            <w:shd w:fill="FFDCE0" w:val="clear"/>
          </w:tcPr>
          <w:p>
            <w:r>
              <w:rPr>
                <w:b/>
                <w:sz w:val="17"/>
              </w:rPr>
              <w:t>1,661</w:t>
            </w:r>
          </w:p>
        </w:tc>
        <w:tc>
          <w:tcPr>
            <w:tcW w:type="dxa" w:w="1440"/>
            <w:shd w:fill="FFDCE0" w:val="clear"/>
          </w:tcPr>
          <w:p>
            <w:r>
              <w:rPr>
                <w:sz w:val="17"/>
              </w:rPr>
              <w:t>1,852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1,350</w:t>
            </w:r>
          </w:p>
        </w:tc>
        <w:tc>
          <w:tcPr>
            <w:tcW w:type="dxa" w:w="1440"/>
            <w:shd w:fill="FFDCE0" w:val="clear"/>
          </w:tcPr>
          <w:p>
            <w:r>
              <w:rPr>
                <w:b/>
                <w:sz w:val="17"/>
              </w:rPr>
              <w:t>1,536</w:t>
            </w:r>
          </w:p>
        </w:tc>
        <w:tc>
          <w:tcPr>
            <w:tcW w:type="dxa" w:w="1440"/>
            <w:shd w:fill="FFDCE0" w:val="clear"/>
          </w:tcPr>
          <w:p>
            <w:r>
              <w:rPr>
                <w:sz w:val="17"/>
              </w:rPr>
              <w:t>1,722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65,66 milliards FCFA, SCRC se situe dans la catégorie des valeurs moyennes de la BRVM, ce qui reste significatif pour une valeur agro-industrielle ouest-africaine. Le BPA ressort à -406 FCFA/action, traduisant une société déficitaire qui détruit de la valeur par action. Le PER de -8,3x est donc négatif et non interprétable en tant que multiple de bénéfice : il confirme simplement que les investisseurs ne peuvent s'appuyer sur les résultats pour valoriser le titre, ce qui contraste avec le PER moyen de la BRVM (~8-12x). Le P/B de 3,81x indique que le marché valorise SCRC à près de 4 fois ses fonds propres comptables (17,24 Mds FCFA), soit une prime de croissance très généreuse au regard de la fragilité bilancielle actuelle. Enfin, l'EV/EBITDA de 10,6x situe la valeur d'entreprise dans le haut de la fourchette (10-15x), suggérant que le marché intègre déjà une forte capacité opérationnelle future — hypothèse à confirmer au vu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SCRC affiche une progression spectaculaire de +63,41%, portée par un rallye haussier marqué, malgré un repli de -1,33% lors de la dernière séance (J-1). Le titre a évolué dans un range très large, entre un plus bas de 1 990 FCFA et un plus haut de 3 920 FCFA, soit un écart de près de 97% entre les extrêmes — signe d'une forte volatilité directionnelle. Le cours actuel de 3 350 FCFA se situe donc à mi-chemin de ce range, légèrement au-dessus de la moyenne (3 066 FCFA) mais en dessous de la médiane (3 298 FCFA) et du mode (3 500 FCFA), ce qui suggère une distribution asymétrique avec une concentration des échanges autour des niveaux élevés. L'écart-type de 590 FCFA et le coefficient de variation de 19,2% confirment une dispersion modérée à élevée du cours. Le kurtosis de -1,024 (distribution platykurtique) indique une faible concentration des rendements autour de la moyenne, donc moins de pics extrêmes que dans une loi normale, tandis que le skewness de -0,630 (asymétrie négative) révèle davantage de journées au-dessus de la moyenne, typique d'un mouvement haussier avec corrections ponctuelles. La volatilité annualisée de 53,7% classe clairement SCRC dans la catégorie des titres à volatilité élevée (&gt;30%), ce qui implique un risque de marché important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(3 496 FCFA) et la MM50 (3 556 FCFA) sont toutes deux supérieures au cours actuel (3 350 FCFA), ce qui place le titre en position baissière sous ses moyennes. La MM20 étant elle-même sous la MM50, la configuration est clairement baissière à court terme, justifiant la décision technique de **Vente**.</w:t>
      </w:r>
    </w:p>
    <w:p>
      <w:pPr>
        <w:spacing w:after="120" w:line="276" w:lineRule="auto"/>
      </w:pPr>
      <w:r>
        <w:t>**Bandes de Bollinger** : Le cours (3 350 FCFA) se situe dans la partie basse de la bande, entre la borne inférieure (3 263,65 FCFA) et la borne supérieure (3 728,35 FCFA), sans franchissement des extrêmes. Cette position neutre, couplée à une largeur de bande élevée, traduit une volatilité importante sans signal directionnel fort, d'où la décision **Neutre**.</w:t>
      </w:r>
    </w:p>
    <w:p>
      <w:pPr>
        <w:spacing w:after="120" w:line="276" w:lineRule="auto"/>
      </w:pPr>
      <w:r>
        <w:t>**MACD** : La valeur du MACD (-22,077) est nettement inférieure à son signal (-7,916), avec un histogramme négatif et un croisement baissier déjà effectué. Le momentum est clairement négatif, ce qui confirme la pression vendeuse et justifie la décision de **Vente**.</w:t>
      </w:r>
    </w:p>
    <w:p>
      <w:pPr>
        <w:spacing w:after="120" w:line="276" w:lineRule="auto"/>
      </w:pPr>
      <w:r>
        <w:t>**RSI** : À 50,0, le RSI se situe exactement à l'équilibre entre surachat (&gt;70) et survente (&lt;30). Aucun signal directionnel n'émerge, le titre étant en zone neutre, ce qui justifie la décision **Neutre**.</w:t>
      </w:r>
    </w:p>
    <w:p>
      <w:pPr>
        <w:spacing w:after="120" w:line="276" w:lineRule="auto"/>
      </w:pPr>
      <w:r>
        <w:t>**Stochastique** : Le %K (0,0) est en zone de survente extrême, très en dessous du %D (23,636), avec un croisement haussier potentiel en formation. Cette configuration suggère un rebond technique imminent à court terme, justifiant la décision d'**Achat** à contre-tendance.</w:t>
      </w:r>
    </w:p>
    <w:p>
      <w:pPr>
        <w:spacing w:after="120" w:line="276" w:lineRule="auto"/>
      </w:pPr>
      <w:r>
        <w:t>**Conclusion technique** : Les indicateurs sont majoritairement baissiers (MM, MACD) ou neutres (Bollinger, RSI), avec un seul signal haussier (Stochastique en survente). Cette divergence traduit un titre en correction après un rallye de +63%, avec un potentiel rebond technique de court terme mais une tendance de fond toujours fragile. La prudence domine.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officiels) révèlent une situation préoccupante : le chiffre d'affaires s'établit à 80,569 Mds FCFA, en recul de -7,63% sur un an, tandis que le résultat net plonge à -7,954 Mds FCFA (contre un bénéfice de 2,47 Mds FCFA en 2024 selon les rapports annuels). Le ROE ressort à -46,13% et le ROA à -5,08%, confirmant une destruction massive de valeur. La marge nette est de -9,87% et la marge opérationnelle de -0,68%, tandis que la marge brute reste solide à 45,82%, signe que le problème est financier et non industriel. En tant qu'entreprise agro-industrielle, les délais d'exploitation sont éclairants : le délai clients est très court (12,28 jours, bon indicateur de recouvrement), mais le délai fournisseurs est exceptionnellement long (366,07 jours, avantage de trésorerie) et la durée de stockage atteint 360,73 jours, ce qui immobilise massivement du capital. Le BFR de 6,529 Mds FCFA et le fonds de roulement négatif (-10,665 Mds FCFA) révèlent des tensions de liquidité structurelles, confirmées par une trésorerie nette de -6,505 Mds FCFA. La structure financière est critique : autonomie financière de seulement 11,02% (seuil sain &gt;30%), ratio d'endettement de 88,98%, dépendance financière de 492,21% et capacité de remboursement de 11,21 années de CAF. Les rapports narratifs (rapports 2025 analysés en mai 2026) confirment cette dégradation : explosion du coût de l'endettement (+262% à 6,79 Mds FCFA), endettement long terme multiplié par 2,7 à 64,5 Mds FCFA, et perte nette de 7,95 Mds FCFA. Le rapport du S1 2025 (30/06/2025) faisait déjà état d'une perte de -6,71 Mds FCFA et d'un résultat d'exploitation négatif de -3,18 Mds FCFA, tandis que le T1 2025 (31/03/2025) affichait encore un bénéfice de 3,21 Mds FCFA — la dégradation s'est donc accélérée au second semestre. On estime, sur la base de ces tendances, que l'exercice 2026 restera sous pression tant que la restructuration de la dette n'aura pas produit d'effets tangibles. La recommandation fondamentale est **VENDRE**, en raison de la fragilité bilancielle extrême et de l'absence de visibilité sur le retour à la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 signal baissier dominant. La valorisation (Partie 0) est paradoxale : le P/B de 3,81x et l'EV/EBITDA de 10,6x intègrent une prime de croissance que les fondamentaux ne justifient pas, tandis que le PER négatif (-8,3x) et le BPA de -406 FCFA confirment l'absence de bénéfices. Le comportement du cours (Partie 1) montre un rallye de +63,41% sur 100 jours, mais avec une volatilité annualisée de 53,7% et un skewness négatif (-0,630) qui signalent un essoufflement possible après le pic de 3 920 FCFA. Les signaux techniques (Partie 2) sont majoritairement baissiers : MM20 et MM50 au-dessus du cours, MACD en divergence négative, RSI neutre à 50, seul le Stochastique en survente extrême (%K=0) suggère un rebond technique de court terme. Les fondamentaux (Partie 3) sont alarmants : perte nette de -7,95 Mds FCFA en 2025, ROE de -46,13%, endettement critique (88,98% de ratio d'endettement) et trésorerie nette négative (-6,5 Mds FCFA). Les prédictions IA (J+1 à J+10) confirment cette tendance baissière avec une trajectoire descendante de 3 099 FCFA à 2 269 FCFA, soit une baisse anticipée de -32% sur 10 jours. **Recommandation finale : VENTE FORTE**, avec un niveau de confiance **Élevé** et un risque global **Élevé**. La convergence entre valorisation surévaluée, technique baissière, fondamentaux dégradés et prédictions IA négatives ne laisse aucune place à l'ambiguïté. L'horizon d'investissement recommandé est **court terme (&lt;3 mois)** pour les investisseurs cherchant à se positionner à la vente, ou **évitement total** pour les investisseurs longs, en attendant une restructuration financière crédible et un retour à la rentabilité opérationnelle.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119.07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1,281 titres</w:t>
            </w:r>
          </w:p>
        </w:tc>
        <w:tc>
          <w:tcPr>
            <w:tcW w:type="dxa" w:w="2268"/>
            <w:shd w:fill="FFF2CC" w:val="clear"/>
          </w:tcPr>
          <w:p>
            <w:r>
              <w:rPr>
                <w:b/>
                <w:color w:val="503200"/>
                <w:sz w:val="16"/>
              </w:rPr>
              <w:t xml:space="preserve">Cours actuel : </w:t>
            </w:r>
            <w:r>
              <w:rPr>
                <w:color w:val="000000"/>
                <w:sz w:val="17"/>
              </w:rPr>
              <w:t>13,230 FCFA</w:t>
            </w:r>
          </w:p>
          <w:p>
            <w:r>
              <w:rPr>
                <w:b/>
                <w:color w:val="503200"/>
                <w:sz w:val="16"/>
              </w:rPr>
              <w:t xml:space="preserve">Var. 100 jours : </w:t>
            </w:r>
            <w:r>
              <w:rPr>
                <w:b/>
                <w:color w:val="007800"/>
                <w:sz w:val="17"/>
              </w:rPr>
              <w:t>+85.29%</w:t>
            </w:r>
          </w:p>
          <w:p>
            <w:r>
              <w:rPr>
                <w:b/>
                <w:color w:val="503200"/>
                <w:sz w:val="16"/>
              </w:rPr>
              <w:t xml:space="preserve">Plus haut 100j : </w:t>
            </w:r>
            <w:r>
              <w:rPr>
                <w:color w:val="000000"/>
                <w:sz w:val="17"/>
              </w:rPr>
              <w:t>13,710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14.38% (Moyenne) — μ=11,212 FCFA, σ=1,613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β=0.0557 (Défensif) — Cov=0.000002, Var(idx)=0.000035, ρ=0.014,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12,386</w:t>
            </w:r>
          </w:p>
        </w:tc>
        <w:tc>
          <w:tcPr>
            <w:tcW w:type="dxa" w:w="1440"/>
            <w:shd w:fill="FFDCE0" w:val="clear"/>
          </w:tcPr>
          <w:p>
            <w:r>
              <w:rPr>
                <w:b/>
                <w:sz w:val="17"/>
              </w:rPr>
              <w:t>12,805</w:t>
            </w:r>
          </w:p>
        </w:tc>
        <w:tc>
          <w:tcPr>
            <w:tcW w:type="dxa" w:w="1440"/>
            <w:shd w:fill="FFDCE0" w:val="clear"/>
          </w:tcPr>
          <w:p>
            <w:r>
              <w:rPr>
                <w:sz w:val="17"/>
              </w:rPr>
              <w:t>13,225</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11,999</w:t>
            </w:r>
          </w:p>
        </w:tc>
        <w:tc>
          <w:tcPr>
            <w:tcW w:type="dxa" w:w="1440"/>
            <w:shd w:fill="FFDCE0" w:val="clear"/>
          </w:tcPr>
          <w:p>
            <w:r>
              <w:rPr>
                <w:b/>
                <w:sz w:val="17"/>
              </w:rPr>
              <w:t>12,582</w:t>
            </w:r>
          </w:p>
        </w:tc>
        <w:tc>
          <w:tcPr>
            <w:tcW w:type="dxa" w:w="1440"/>
            <w:shd w:fill="FFDCE0" w:val="clear"/>
          </w:tcPr>
          <w:p>
            <w:r>
              <w:rPr>
                <w:sz w:val="17"/>
              </w:rPr>
              <w:t>13,165</w:t>
            </w:r>
          </w:p>
        </w:tc>
        <w:tc>
          <w:tcPr>
            <w:tcW w:type="dxa" w:w="1440"/>
            <w:shd w:fill="FFDCE0" w:val="clear"/>
          </w:tcPr>
          <w:p>
            <w:r>
              <w:rPr>
                <w:b/>
                <w:color w:val="C00000"/>
                <w:sz w:val="17"/>
              </w:rPr>
              <w:t>-4.9%</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11,680</w:t>
            </w:r>
          </w:p>
        </w:tc>
        <w:tc>
          <w:tcPr>
            <w:tcW w:type="dxa" w:w="1440"/>
            <w:shd w:fill="FFDCE0" w:val="clear"/>
          </w:tcPr>
          <w:p>
            <w:r>
              <w:rPr>
                <w:b/>
                <w:sz w:val="17"/>
              </w:rPr>
              <w:t>12,383</w:t>
            </w:r>
          </w:p>
        </w:tc>
        <w:tc>
          <w:tcPr>
            <w:tcW w:type="dxa" w:w="1440"/>
            <w:shd w:fill="FFDCE0" w:val="clear"/>
          </w:tcPr>
          <w:p>
            <w:r>
              <w:rPr>
                <w:sz w:val="17"/>
              </w:rPr>
              <w:t>13,085</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11,405</w:t>
            </w:r>
          </w:p>
        </w:tc>
        <w:tc>
          <w:tcPr>
            <w:tcW w:type="dxa" w:w="1440"/>
            <w:shd w:fill="FFDCE0" w:val="clear"/>
          </w:tcPr>
          <w:p>
            <w:r>
              <w:rPr>
                <w:b/>
                <w:sz w:val="17"/>
              </w:rPr>
              <w:t>12,205</w:t>
            </w:r>
          </w:p>
        </w:tc>
        <w:tc>
          <w:tcPr>
            <w:tcW w:type="dxa" w:w="1440"/>
            <w:shd w:fill="FFDCE0" w:val="clear"/>
          </w:tcPr>
          <w:p>
            <w:r>
              <w:rPr>
                <w:sz w:val="17"/>
              </w:rPr>
              <w:t>13,005</w:t>
            </w:r>
          </w:p>
        </w:tc>
        <w:tc>
          <w:tcPr>
            <w:tcW w:type="dxa" w:w="1440"/>
            <w:shd w:fill="FFDCE0" w:val="clear"/>
          </w:tcPr>
          <w:p>
            <w:r>
              <w:rPr>
                <w:b/>
                <w:color w:val="C00000"/>
                <w:sz w:val="17"/>
              </w:rPr>
              <w:t>-7.7%</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11,163</w:t>
            </w:r>
          </w:p>
        </w:tc>
        <w:tc>
          <w:tcPr>
            <w:tcW w:type="dxa" w:w="1440"/>
            <w:shd w:fill="FFDCE0" w:val="clear"/>
          </w:tcPr>
          <w:p>
            <w:r>
              <w:rPr>
                <w:b/>
                <w:sz w:val="17"/>
              </w:rPr>
              <w:t>12,046</w:t>
            </w:r>
          </w:p>
        </w:tc>
        <w:tc>
          <w:tcPr>
            <w:tcW w:type="dxa" w:w="1440"/>
            <w:shd w:fill="FFDCE0" w:val="clear"/>
          </w:tcPr>
          <w:p>
            <w:r>
              <w:rPr>
                <w:sz w:val="17"/>
              </w:rPr>
              <w:t>12,929</w:t>
            </w:r>
          </w:p>
        </w:tc>
        <w:tc>
          <w:tcPr>
            <w:tcW w:type="dxa" w:w="1440"/>
            <w:shd w:fill="FFDCE0" w:val="clear"/>
          </w:tcPr>
          <w:p>
            <w:r>
              <w:rPr>
                <w:b/>
                <w:color w:val="C00000"/>
                <w:sz w:val="17"/>
              </w:rPr>
              <w:t>-8.9%</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10,946</w:t>
            </w:r>
          </w:p>
        </w:tc>
        <w:tc>
          <w:tcPr>
            <w:tcW w:type="dxa" w:w="1440"/>
            <w:shd w:fill="FFDCE0" w:val="clear"/>
          </w:tcPr>
          <w:p>
            <w:r>
              <w:rPr>
                <w:b/>
                <w:sz w:val="17"/>
              </w:rPr>
              <w:t>11,901</w:t>
            </w:r>
          </w:p>
        </w:tc>
        <w:tc>
          <w:tcPr>
            <w:tcW w:type="dxa" w:w="1440"/>
            <w:shd w:fill="FFDCE0" w:val="clear"/>
          </w:tcPr>
          <w:p>
            <w:r>
              <w:rPr>
                <w:sz w:val="17"/>
              </w:rPr>
              <w:t>12,856</w:t>
            </w:r>
          </w:p>
        </w:tc>
        <w:tc>
          <w:tcPr>
            <w:tcW w:type="dxa" w:w="1440"/>
            <w:shd w:fill="FFDCE0" w:val="clear"/>
          </w:tcPr>
          <w:p>
            <w:r>
              <w:rPr>
                <w:b/>
                <w:color w:val="C00000"/>
                <w:sz w:val="17"/>
              </w:rPr>
              <w:t>-10.0%</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10,748</w:t>
            </w:r>
          </w:p>
        </w:tc>
        <w:tc>
          <w:tcPr>
            <w:tcW w:type="dxa" w:w="1440"/>
            <w:shd w:fill="FFDCE0" w:val="clear"/>
          </w:tcPr>
          <w:p>
            <w:r>
              <w:rPr>
                <w:b/>
                <w:sz w:val="17"/>
              </w:rPr>
              <w:t>11,768</w:t>
            </w:r>
          </w:p>
        </w:tc>
        <w:tc>
          <w:tcPr>
            <w:tcW w:type="dxa" w:w="1440"/>
            <w:shd w:fill="FFDCE0" w:val="clear"/>
          </w:tcPr>
          <w:p>
            <w:r>
              <w:rPr>
                <w:sz w:val="17"/>
              </w:rPr>
              <w:t>12,788</w:t>
            </w:r>
          </w:p>
        </w:tc>
        <w:tc>
          <w:tcPr>
            <w:tcW w:type="dxa" w:w="1440"/>
            <w:shd w:fill="FFDCE0" w:val="clear"/>
          </w:tcPr>
          <w:p>
            <w:r>
              <w:rPr>
                <w:b/>
                <w:color w:val="C00000"/>
                <w:sz w:val="17"/>
              </w:rPr>
              <w:t>-11.1%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10,567</w:t>
            </w:r>
          </w:p>
        </w:tc>
        <w:tc>
          <w:tcPr>
            <w:tcW w:type="dxa" w:w="1440"/>
            <w:shd w:fill="FFDCE0" w:val="clear"/>
          </w:tcPr>
          <w:p>
            <w:r>
              <w:rPr>
                <w:b/>
                <w:sz w:val="17"/>
              </w:rPr>
              <w:t>11,646</w:t>
            </w:r>
          </w:p>
        </w:tc>
        <w:tc>
          <w:tcPr>
            <w:tcW w:type="dxa" w:w="1440"/>
            <w:shd w:fill="FFDCE0" w:val="clear"/>
          </w:tcPr>
          <w:p>
            <w:r>
              <w:rPr>
                <w:sz w:val="17"/>
              </w:rPr>
              <w:t>12,726</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10,401</w:t>
            </w:r>
          </w:p>
        </w:tc>
        <w:tc>
          <w:tcPr>
            <w:tcW w:type="dxa" w:w="1440"/>
            <w:shd w:fill="FFDCE0" w:val="clear"/>
          </w:tcPr>
          <w:p>
            <w:r>
              <w:rPr>
                <w:b/>
                <w:sz w:val="17"/>
              </w:rPr>
              <w:t>11,535</w:t>
            </w:r>
          </w:p>
        </w:tc>
        <w:tc>
          <w:tcPr>
            <w:tcW w:type="dxa" w:w="1440"/>
            <w:shd w:fill="FFDCE0" w:val="clear"/>
          </w:tcPr>
          <w:p>
            <w:r>
              <w:rPr>
                <w:sz w:val="17"/>
              </w:rPr>
              <w:t>12,669</w:t>
            </w:r>
          </w:p>
        </w:tc>
        <w:tc>
          <w:tcPr>
            <w:tcW w:type="dxa" w:w="1440"/>
            <w:shd w:fill="FFDCE0" w:val="clear"/>
          </w:tcPr>
          <w:p>
            <w:r>
              <w:rPr>
                <w:b/>
                <w:color w:val="C00000"/>
                <w:sz w:val="17"/>
              </w:rPr>
              <w:t>-12.8%</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10,247</w:t>
            </w:r>
          </w:p>
        </w:tc>
        <w:tc>
          <w:tcPr>
            <w:tcW w:type="dxa" w:w="1440"/>
            <w:shd w:fill="FFDCE0" w:val="clear"/>
          </w:tcPr>
          <w:p>
            <w:r>
              <w:rPr>
                <w:b/>
                <w:sz w:val="17"/>
              </w:rPr>
              <w:t>11,432</w:t>
            </w:r>
          </w:p>
        </w:tc>
        <w:tc>
          <w:tcPr>
            <w:tcW w:type="dxa" w:w="1440"/>
            <w:shd w:fill="FFDCE0" w:val="clear"/>
          </w:tcPr>
          <w:p>
            <w:r>
              <w:rPr>
                <w:sz w:val="17"/>
              </w:rPr>
              <w:t>12,616</w:t>
            </w:r>
          </w:p>
        </w:tc>
        <w:tc>
          <w:tcPr>
            <w:tcW w:type="dxa" w:w="1440"/>
            <w:shd w:fill="FFDCE0" w:val="clear"/>
          </w:tcPr>
          <w:p>
            <w:r>
              <w:rPr>
                <w:b/>
                <w:color w:val="C00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119,07 milliards FCFA, SDCC figure parmi les valeurs de taille intermédiaire-élevée de la cote BRVM, ce qui traduit une certaine maturité et une liquidité relative sur le marché régional. Le BPA de 518 FCFA/action indique que chaque titre génère un bénéfice net de 518 FCFA, mais le PER de 25,5x — très supérieur à la moyenne BRVM (8-12x) — montre que les investisseurs paient une prime de croissance très généreuse, voire une surévaluation si la croissance ne se matérialise pas. Le P/B de 6,04x confirme cette exubérance : le marché valorise SDCC à plus de six fois sa valeur comptable, ce qui est exigeant pour une entreprise à marge nette faible (2,46%). Enfin, l'EV/EBITDA de 15,0x situe la valeur d'entreprise à un niveau élevé (10-15x), signalant que la capacité opérationnelle est déjà bien intégrée dans les cours,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 enregistré une progression spectaculaire de +85,29%, passant d'un plus bas de 7 140 FCFA à un plus haut de 13 710 FCFA, pour un cours actuel de 13 230 FCFA ; la dernière séance a toutefois cédé -2,00%, marquant une première prise de bénéfices après un rallye exceptionnel. La tendance générale est donc nettement haussière, mais le repli récent suggère un essoufflement à court terme. Les statistiques descriptives révèlent une distribution asymétrique : la moyenne (11 212 FCFA) est inférieure à la médiane (11 900 FCFA), ce qui indique que le cours a passé plus de temps au-dessus de sa moyenne qu'en dessous, cohérent avec un skewness négatif de -1,233 (asymétrie à gauche, davantage de journées de forte hausse que de forte baisse). L'écart-type de 1 621 FCFA (CV = 14,5%) traduit une dispersion modérée du cours autour de sa moyenne, tandis que le kurtosis de 0,786 (mésokurtique) suggère une distribution proche de la normale, sans risque extrême de pics violents. La volatilité annualisée de 36,8% classe le titre dans la catégorie des valeurs à volatilité élevée (&gt;30%), ce qui implique un risque de marché significatif et justifie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(12 669,5 FCFA) et la MM50 (12 144,2 FCFA) sont toutes deux inférieures au cours actuel (13 230 FCFA), et la MM20 est au-dessus de la MM50, configurant un croisement haussier classique. Cette configuration en « golden cross » avec cours au-dessus des deux moyennes justifie la décision d'ACHAT, bien que le repli de -2,00% de la dernière séance invite à surveiller un éventuel retour vers la MM20.</w:t>
      </w:r>
    </w:p>
    <w:p>
      <w:pPr>
        <w:spacing w:after="120" w:line="276" w:lineRule="auto"/>
      </w:pPr>
      <w:r>
        <w:t>**Bandes de Bollinger** : Le cours (13 230 FCFA) se situe à l'intérieur des bandes, entre la borne inférieure (11 256,5 FCFA) et la borne supérieure (14 082,5 FCFA), sans contact avec les extrêmes. Cette position médiane, couplée à un rétrécissement relatif des bandes, explique la décision NEUTRE : le titre n'est ni en surachat technique ni en survente, et la volatilité actuelle n'appelle pas de signal directionnel fort.</w:t>
      </w:r>
    </w:p>
    <w:p>
      <w:pPr>
        <w:spacing w:after="120" w:line="276" w:lineRule="auto"/>
      </w:pPr>
      <w:r>
        <w:t>**MACD** : La valeur du MACD (439,4) est supérieure à son signal (368,2), avec un histogramme positif, confirmant un momentum haussier en cours. La divergence positive entre les deux lignes justifie la décision d'ACHAT, mais l'écart reste modéré, ce qui suggère que la dynamique haussière pourrait ralentir si le cours continue de corriger.</w:t>
      </w:r>
    </w:p>
    <w:p>
      <w:pPr>
        <w:spacing w:after="120" w:line="276" w:lineRule="auto"/>
      </w:pPr>
      <w:r>
        <w:t>**RSI** : À 69,72, le RSI est proche du seuil de surachat (70) sans le franchir, ce qui place l'indicateur en zone neutre-haute. La décision NEUTRE reflète cette situation ambiguë : le titre conserve de la vigueur mais approche d'une zone où un repli technique est fréquent, ce qui est cohérent avec la baisse de -2,00% observée.</w:t>
      </w:r>
    </w:p>
    <w:p>
      <w:pPr>
        <w:spacing w:after="120" w:line="276" w:lineRule="auto"/>
      </w:pPr>
      <w:r>
        <w:t>**Stochastique** : Le %K (71,93) est inférieur au %D (86,36), et les deux lignes se situent en zone haute (&gt;70), avec un croisement potentiellement baissier (%K sous %D). Cette configuration, bien que classée NEUTRE, suggère un essoufflement de la dynamique haussière à court terme et un risque de correction, ce qui invite à la prudence.</w:t>
      </w:r>
    </w:p>
    <w:p>
      <w:pPr>
        <w:spacing w:after="120" w:line="276" w:lineRule="auto"/>
      </w:pPr>
      <w:r>
        <w:t>**Conclusion technique** : Les indicateurs sont majoritairement haussiers (MM, MACD) mais montrent des signes de fatigue (RSI proche de 70, stochastique en zone haute avec croisement baissier, Bollinger neutre). La convergence des signaux d'achat à moyen terme et des signaux de prudence à court terme plaide pour une consolidation avant une éventuelle reprise. Le titre reste techniquement solide mais vulnérable à une correction après un rallye de +85%.</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SDCC a réalisé un chiffre d'affaires de 189,43 milliards FCFA, en croissance de +9,98% sur un an, avec un résultat net de 4,663 milliards FCFA, en hausse de +31% selon le rapport annuel 2025. Le ROE s'établit à 23,65% (excellent, &gt;15%), mais le ROA n'est que de 0,99%, reflétant la lourdeur du bilan (472,67 milliards FCFA d'actifs) et la faible rotation des actifs (40,08%). La marge nette reste faible à 2,46%, et la marge opérationnelle à 4,81%, ce qui est typique d'un opérateur de service public à forte intensité capitalistique. Le BFR est négatif (104,75 milliards FCFA), ce qui est favorable, mais le délai client est très élevé (749,25 jours), signalant un risque de trésorerie important ; la trésorerie nette est d'ailleurs négative (-61,71 milliards FCFA) et le flux opérationnel est négatif (-36,66 milliards FCFA), ce qui constitue un point de vigilance majeur. L'autonomie financière est très faible (4,17%), avec un ratio d'endettement de 95,83% et une dépendance financière de 740,21%, ce qui rend l'entreprise vulnérable à une hausse des taux ou à une dégradation de la conjoncture.</w:t>
      </w:r>
    </w:p>
    <w:p>
      <w:pPr>
        <w:spacing w:after="120" w:line="276" w:lineRule="auto"/>
      </w:pPr>
      <w:r>
        <w:t>**Estimations basées sur les rapports trimestriels** : Le rapport T1 2026 (publié en 2026) indique un chiffre d'affaires en léger repli de -2% à 40 916 millions FCFA, mais un résultat net en bond de +118% à 1 318 millions FCFA, avec un résultat d'exploitation multiplié par 2,5 à 2 730 millions FCFA. Sur la base de ce T1 2026, on peut estimer que l'exercice 2026 devrait afficher une poursuite de l'amélioration de la rentabilité opérationnelle, avec un résultat net annualisé potentiellement supérieur à 5 milliards FCFA si la dynamique se maintient. Le rapport S1 2025 (daté du 30/06/2025) montrait déjà une amélioration du résultat financier (+40%) et une confiance de la direction dans l'atteinte des objectifs annuels, ce qui est cohérent avec les résultats 2025 et le T1 2026. Le dividende proposé pour 2025 est de 525 FCFA/action, offrant un rendement d'environ 3,97% au cours actuel de 13 230 FCFA, ce qui est attractif mais inférieur au taux de distribution de 101% observé en 2024.</w:t>
      </w:r>
    </w:p>
    <w:p>
      <w:pPr>
        <w:spacing w:after="120" w:line="276" w:lineRule="auto"/>
      </w:pPr>
      <w:r>
        <w:t>**Recommandation fondamentale** : SDCC présente une solidité opérationnelle indéniable (ROE élevé, croissance du CA et du RN, amélioration de la rentabilité), mais des fragilités structurelles persistantes (endettement massif, trésorerie négative, délais clients très longs). La dynamique récente (T1 2026) est très positive, mais la valorisation boursière (PER 25,5x, P/B 6,04x) intègre déjà une grande partie de ces bonnes nouvelles. La recommandation fondamentale est donc CONSERVER, avec une préférence pour un renforcement sur repli vers 11 000-12 000 FCFA.</w:t>
      </w:r>
    </w:p>
    <w:p>
      <w:pPr>
        <w:spacing w:after="120" w:line="276" w:lineRule="auto"/>
      </w:pPr>
      <w:r>
        <w:t>---</w:t>
      </w:r>
    </w:p>
    <w:p>
      <w:pPr>
        <w:spacing w:after="120" w:line="276" w:lineRule="auto"/>
      </w:pPr>
      <w:r>
        <w:t>## PARTIE 4 : CONCLUSION D'INVESTISSEMENT</w:t>
      </w:r>
    </w:p>
    <w:p>
      <w:pPr>
        <w:spacing w:after="120" w:line="276" w:lineRule="auto"/>
      </w:pPr>
      <w:r>
        <w:t>La valorisation de SDCC (PER 25,5x, P/B 6,04x, EV/EBITDA 15,0x) est nettement supérieure aux moyennes du marché BRVM, ce qui indique une surévaluation relative et une prime de croissance déjà bien intégrée dans les cours. Le comportement du cours sur 100 jours est exceptionnellement haussier (+85,29%), mais les statistiques descriptives (skewness négatif, kurtosis mésokurtique, volatilité élevée de 36,8%) et le repli de -2,00% de la dernière séance suggèrent une possible consolidation à court terme. Les signaux techniques sont mitigés : les moyennes mobiles et le MACD sont haussiers, mais le RSI (69,72) et le stochastique (%K &lt; %D en zone haute) montrent des signes de fatigue, ce qui plaide pour une prudence à court terme. Les fondamentaux sont solides (ROE 23,65%, croissance du RN de +31% en 2025, T1 2026 avec RN +118%), mais les fragilités de trésorerie et d'endettement restent préoccupantes. Les prédictions IA pour les 10 prochains jours (12 805 → 12 046 FCFA) anticipent une correction baissière d'environ -9% depuis le cours actuel, ce qui contredit les signaux haussiers des moyennes mobiles et du MACD, mais confirme les signaux de fatigue du RSI et du stochastique. Sur la base de cette synthèse, la recommandation finale est **CONSERVER**, avec un niveau de confiance **Moyen** et un risque global **Élevé** (volatilité, endettement, valorisation tendue). L'horizon d'investissement optimal est le **moyen terme (3-12 mois)**, en attendant une correction vers 11 000-12 000 FCFA pour se renforcer, ou une confirmation de la poursuite de l'amélioration opérationnelle au T2 2026 pour justifier les niveaux actuels.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168.21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18,317 titres</w:t>
            </w:r>
          </w:p>
        </w:tc>
        <w:tc>
          <w:tcPr>
            <w:tcW w:type="dxa" w:w="2268"/>
            <w:shd w:fill="FFF2CC" w:val="clear"/>
          </w:tcPr>
          <w:p>
            <w:r>
              <w:rPr>
                <w:b/>
                <w:color w:val="503200"/>
                <w:sz w:val="16"/>
              </w:rPr>
              <w:t xml:space="preserve">Cours actuel : </w:t>
            </w:r>
            <w:r>
              <w:rPr>
                <w:color w:val="000000"/>
                <w:sz w:val="17"/>
              </w:rPr>
              <w:t>3,090 FCFA</w:t>
            </w:r>
          </w:p>
          <w:p>
            <w:r>
              <w:rPr>
                <w:b/>
                <w:color w:val="503200"/>
                <w:sz w:val="16"/>
              </w:rPr>
              <w:t xml:space="preserve">Var. 100 jours : </w:t>
            </w:r>
            <w:r>
              <w:rPr>
                <w:b/>
                <w:color w:val="007800"/>
                <w:sz w:val="17"/>
              </w:rPr>
              <w:t>+67.93%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19.07% (Élevée) — μ=2,316 FCFA, σ=442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β=0.6607 (Défensif) — Cov=0.000023, Var(idx)=0.000035, ρ=0.120,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2,858</w:t>
            </w:r>
          </w:p>
        </w:tc>
        <w:tc>
          <w:tcPr>
            <w:tcW w:type="dxa" w:w="1440"/>
            <w:shd w:fill="FAFAFA" w:val="clear"/>
          </w:tcPr>
          <w:p>
            <w:r>
              <w:rPr>
                <w:b/>
                <w:sz w:val="17"/>
              </w:rPr>
              <w:t>3,034</w:t>
            </w:r>
          </w:p>
        </w:tc>
        <w:tc>
          <w:tcPr>
            <w:tcW w:type="dxa" w:w="1440"/>
            <w:shd w:fill="FAFAFA" w:val="clear"/>
          </w:tcPr>
          <w:p>
            <w:r>
              <w:rPr>
                <w:sz w:val="17"/>
              </w:rPr>
              <w:t>3,210</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2,738</w:t>
            </w:r>
          </w:p>
        </w:tc>
        <w:tc>
          <w:tcPr>
            <w:tcW w:type="dxa" w:w="1440"/>
            <w:shd w:fill="FFDCE0" w:val="clear"/>
          </w:tcPr>
          <w:p>
            <w:r>
              <w:rPr>
                <w:b/>
                <w:sz w:val="17"/>
              </w:rPr>
              <w:t>2,982</w:t>
            </w:r>
          </w:p>
        </w:tc>
        <w:tc>
          <w:tcPr>
            <w:tcW w:type="dxa" w:w="1440"/>
            <w:shd w:fill="FFDCE0" w:val="clear"/>
          </w:tcPr>
          <w:p>
            <w:r>
              <w:rPr>
                <w:sz w:val="17"/>
              </w:rPr>
              <w:t>3,226</w:t>
            </w:r>
          </w:p>
        </w:tc>
        <w:tc>
          <w:tcPr>
            <w:tcW w:type="dxa" w:w="1440"/>
            <w:shd w:fill="FFDCE0" w:val="clear"/>
          </w:tcPr>
          <w:p>
            <w:r>
              <w:rPr>
                <w:b/>
                <w:color w:val="C00000"/>
                <w:sz w:val="17"/>
              </w:rPr>
              <w:t>-3.5%</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2,646</w:t>
            </w:r>
          </w:p>
        </w:tc>
        <w:tc>
          <w:tcPr>
            <w:tcW w:type="dxa" w:w="1440"/>
            <w:shd w:fill="FFDCE0" w:val="clear"/>
          </w:tcPr>
          <w:p>
            <w:r>
              <w:rPr>
                <w:b/>
                <w:sz w:val="17"/>
              </w:rPr>
              <w:t>2,942</w:t>
            </w:r>
          </w:p>
        </w:tc>
        <w:tc>
          <w:tcPr>
            <w:tcW w:type="dxa" w:w="1440"/>
            <w:shd w:fill="FFDCE0" w:val="clear"/>
          </w:tcPr>
          <w:p>
            <w:r>
              <w:rPr>
                <w:sz w:val="17"/>
              </w:rPr>
              <w:t>3,237</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2,571</w:t>
            </w:r>
          </w:p>
        </w:tc>
        <w:tc>
          <w:tcPr>
            <w:tcW w:type="dxa" w:w="1440"/>
            <w:shd w:fill="FFDCE0" w:val="clear"/>
          </w:tcPr>
          <w:p>
            <w:r>
              <w:rPr>
                <w:b/>
                <w:sz w:val="17"/>
              </w:rPr>
              <w:t>2,909</w:t>
            </w:r>
          </w:p>
        </w:tc>
        <w:tc>
          <w:tcPr>
            <w:tcW w:type="dxa" w:w="1440"/>
            <w:shd w:fill="FFDCE0" w:val="clear"/>
          </w:tcPr>
          <w:p>
            <w:r>
              <w:rPr>
                <w:sz w:val="17"/>
              </w:rPr>
              <w:t>3,246</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2,506</w:t>
            </w:r>
          </w:p>
        </w:tc>
        <w:tc>
          <w:tcPr>
            <w:tcW w:type="dxa" w:w="1440"/>
            <w:shd w:fill="FFDCE0" w:val="clear"/>
          </w:tcPr>
          <w:p>
            <w:r>
              <w:rPr>
                <w:b/>
                <w:sz w:val="17"/>
              </w:rPr>
              <w:t>2,880</w:t>
            </w:r>
          </w:p>
        </w:tc>
        <w:tc>
          <w:tcPr>
            <w:tcW w:type="dxa" w:w="1440"/>
            <w:shd w:fill="FFDCE0" w:val="clear"/>
          </w:tcPr>
          <w:p>
            <w:r>
              <w:rPr>
                <w:sz w:val="17"/>
              </w:rPr>
              <w:t>3,253</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2,448</w:t>
            </w:r>
          </w:p>
        </w:tc>
        <w:tc>
          <w:tcPr>
            <w:tcW w:type="dxa" w:w="1440"/>
            <w:shd w:fill="FFDCE0" w:val="clear"/>
          </w:tcPr>
          <w:p>
            <w:r>
              <w:rPr>
                <w:b/>
                <w:sz w:val="17"/>
              </w:rPr>
              <w:t>2,853</w:t>
            </w:r>
          </w:p>
        </w:tc>
        <w:tc>
          <w:tcPr>
            <w:tcW w:type="dxa" w:w="1440"/>
            <w:shd w:fill="FFDCE0" w:val="clear"/>
          </w:tcPr>
          <w:p>
            <w:r>
              <w:rPr>
                <w:sz w:val="17"/>
              </w:rPr>
              <w:t>3,258</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2,394</w:t>
            </w:r>
          </w:p>
        </w:tc>
        <w:tc>
          <w:tcPr>
            <w:tcW w:type="dxa" w:w="1440"/>
            <w:shd w:fill="FFDCE0" w:val="clear"/>
          </w:tcPr>
          <w:p>
            <w:r>
              <w:rPr>
                <w:b/>
                <w:sz w:val="17"/>
              </w:rPr>
              <w:t>2,828</w:t>
            </w:r>
          </w:p>
        </w:tc>
        <w:tc>
          <w:tcPr>
            <w:tcW w:type="dxa" w:w="1440"/>
            <w:shd w:fill="FFDCE0" w:val="clear"/>
          </w:tcPr>
          <w:p>
            <w:r>
              <w:rPr>
                <w:sz w:val="17"/>
              </w:rPr>
              <w:t>3,261</w:t>
            </w:r>
          </w:p>
        </w:tc>
        <w:tc>
          <w:tcPr>
            <w:tcW w:type="dxa" w:w="1440"/>
            <w:shd w:fill="FFDCE0" w:val="clear"/>
          </w:tcPr>
          <w:p>
            <w:r>
              <w:rPr>
                <w:b/>
                <w:color w:val="C00000"/>
                <w:sz w:val="17"/>
              </w:rPr>
              <w:t>-8.5%</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2,344</w:t>
            </w:r>
          </w:p>
        </w:tc>
        <w:tc>
          <w:tcPr>
            <w:tcW w:type="dxa" w:w="1440"/>
            <w:shd w:fill="FFDCE0" w:val="clear"/>
          </w:tcPr>
          <w:p>
            <w:r>
              <w:rPr>
                <w:b/>
                <w:sz w:val="17"/>
              </w:rPr>
              <w:t>2,803</w:t>
            </w:r>
          </w:p>
        </w:tc>
        <w:tc>
          <w:tcPr>
            <w:tcW w:type="dxa" w:w="1440"/>
            <w:shd w:fill="FFDCE0" w:val="clear"/>
          </w:tcPr>
          <w:p>
            <w:r>
              <w:rPr>
                <w:sz w:val="17"/>
              </w:rPr>
              <w:t>3,263</w:t>
            </w:r>
          </w:p>
        </w:tc>
        <w:tc>
          <w:tcPr>
            <w:tcW w:type="dxa" w:w="1440"/>
            <w:shd w:fill="FFDCE0" w:val="clear"/>
          </w:tcPr>
          <w:p>
            <w:r>
              <w:rPr>
                <w:b/>
                <w:color w:val="C00000"/>
                <w:sz w:val="17"/>
              </w:rPr>
              <w:t>-9.3%</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2,297</w:t>
            </w:r>
          </w:p>
        </w:tc>
        <w:tc>
          <w:tcPr>
            <w:tcW w:type="dxa" w:w="1440"/>
            <w:shd w:fill="FFDCE0" w:val="clear"/>
          </w:tcPr>
          <w:p>
            <w:r>
              <w:rPr>
                <w:b/>
                <w:sz w:val="17"/>
              </w:rPr>
              <w:t>2,780</w:t>
            </w:r>
          </w:p>
        </w:tc>
        <w:tc>
          <w:tcPr>
            <w:tcW w:type="dxa" w:w="1440"/>
            <w:shd w:fill="FFDCE0" w:val="clear"/>
          </w:tcPr>
          <w:p>
            <w:r>
              <w:rPr>
                <w:sz w:val="17"/>
              </w:rPr>
              <w:t>3,263</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2,252</w:t>
            </w:r>
          </w:p>
        </w:tc>
        <w:tc>
          <w:tcPr>
            <w:tcW w:type="dxa" w:w="1440"/>
            <w:shd w:fill="FFDCE0" w:val="clear"/>
          </w:tcPr>
          <w:p>
            <w:r>
              <w:rPr>
                <w:b/>
                <w:sz w:val="17"/>
              </w:rPr>
              <w:t>2,758</w:t>
            </w:r>
          </w:p>
        </w:tc>
        <w:tc>
          <w:tcPr>
            <w:tcW w:type="dxa" w:w="1440"/>
            <w:shd w:fill="FFDCE0" w:val="clear"/>
          </w:tcPr>
          <w:p>
            <w:r>
              <w:rPr>
                <w:sz w:val="17"/>
              </w:rPr>
              <w:t>3,263</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ACTION SDSC (AGL Côte d'Ivoire)</w:t>
        <w:br/>
        <w:t>**Bourse Régionale des Valeurs Mobilières (BRVM) — Secteur : Logistique &amp; Transport**</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168,21 Mds FCFA, SDSC se positionne parmi les valeurs moyennes de la cote BRVM, loin des poids lourds bancaires et télécoms mais avec une liquidité correcte (volume moyen de 18 317 titres/jour). Le BPA de 387 FCFA/action signifie que chaque titre génère près de 387 FCFA de bénéfice net, ce qui, rapporté au cours actuel de 3 090 FCFA, donne un PER de 8,0x — un niveau modéré, légèrement inférieur à la moyenne BRVM (8-12x), suggérant une valorisation raisonnable voire légèrement sous-évaluée sur la base des bénéfices 2024. Le P/B de 2,16x indique que le marché paie plus de deux fois la valeur comptable des fonds propres, traduisant une prime de croissance accordée par les investisseurs. En revanche, l'EV/EBITDA de 36,3x apparaît très exigeant (&gt;15x), signalant que la valeur d'entreprise intègre déjà une forte anticipation de redressement opérationnel — un point de vigilance majeur compte tenu de la dégradation récente des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SDSC affiche une performance spectaculaire de **+67,93%**, avec une dernière séance en hausse de +0,98%, portant le cours à 3 090 FCFA. Le range de trading est très large, oscillant entre un plus bas de 1 650 FCFA et un plus haut de 3 205 FCFA, soit un écart de plus de 94% — révélant une tendance nettement haussière portée par un fort momentum acheteur. Les statistiques descriptives confirment cette dynamique : la moyenne (2 316 FCFA) est inférieure à la médiane (2 375 FCFA), indiquant une légère asymétrie vers les cours élevés en fin de période, tandis que le mode à 1 775 FCFA rappelle que le titre a longtemps stagné avant son envolée. L'écart-type de 444 FCFA (CV = 19,2%) traduit une dispersion modérée mais réelle, et le kurtosis négatif (-1,271, distribution platykurtique) signale une faible concentration des rendements — donc moins de pics extrêmes mais une volatilité plus diffuse. Le skewness quasi nul (-0,001) confirme une distribution symétrique, sans biais directionnel marqué. Enfin, la volatilité annualisée de 51,2% classe SDSC dans la catégorie des titres à volatilité **élevée** (&gt;30%), ce qui implique un risque de correction significatif après un tel rallye.</w:t>
      </w:r>
    </w:p>
    <w:p>
      <w:pPr>
        <w:spacing w:after="120" w:line="276" w:lineRule="auto"/>
      </w:pPr>
      <w:r>
        <w:t>---</w:t>
      </w:r>
    </w:p>
    <w:p>
      <w:pPr>
        <w:spacing w:after="120" w:line="276" w:lineRule="auto"/>
      </w:pPr>
      <w:r>
        <w:t>## PARTIE 2 : ANALYSE TECHNIQUE DÉTAILLÉE</w:t>
      </w:r>
    </w:p>
    <w:p>
      <w:pPr>
        <w:spacing w:after="120" w:line="276" w:lineRule="auto"/>
      </w:pPr>
      <w:r>
        <w:t>**Moyennes Mobiles** : La MM20 (2 852 FCFA) et la MM50 (2 679,9 FCFA) sont toutes deux nettement inférieures au cours actuel (3 090 FCFA), et la MM20 est au-dessus de la MM50 — configuration haussière classique (golden cross). Le cours évolue au-dessus de ses deux moyennes, ce qui valide la décision **Achat** et confirme la solidité de la tendance de fond.</w:t>
      </w:r>
    </w:p>
    <w:p>
      <w:pPr>
        <w:spacing w:after="120" w:line="276" w:lineRule="auto"/>
      </w:pPr>
      <w:r>
        <w:t>**Bandes de Bollinger** : Le cours (3 090 FCFA) se situe dans la partie haute de la bande, entre la borne inférieure (2 460,16 FCFA) et la borne supérieure (3 243,84 FCFA), sans la franchir. Cette position proche de la borne haute traduit une pression acheteuse soutenue mais sans excès, justifiant la décision **Neutre** — le titre n'est ni en surachat extrême ni en zone de repli.</w:t>
      </w:r>
    </w:p>
    <w:p>
      <w:pPr>
        <w:spacing w:after="120" w:line="276" w:lineRule="auto"/>
      </w:pPr>
      <w:r>
        <w:t>**MACD** : La valeur du MACD (131,68) est supérieure à son signal (106,36), avec un histogramme positif — configuration haussière confirmée. Le momentum reste favorable et la décision **Achat** est cohérente avec la dynamique récente du cours.</w:t>
      </w:r>
    </w:p>
    <w:p>
      <w:pPr>
        <w:spacing w:after="120" w:line="276" w:lineRule="auto"/>
      </w:pPr>
      <w:r>
        <w:t>**RSI** : À 66,36, le RSI se situe en zone neutre haute, sans atteindre le seuil de surachat (&gt;70). La décision **Neutre** reflète un équilibre entre momentum haussier et risque de consolidation à court terme.</w:t>
      </w:r>
    </w:p>
    <w:p>
      <w:pPr>
        <w:spacing w:after="120" w:line="276" w:lineRule="auto"/>
      </w:pPr>
      <w:r>
        <w:t>**Stochastique** : Le %K (82,17) et le %D (80,62) sont tous deux en zone de surachat (&gt;80), avec un %K légèrement supérieur au %D — signal de possible retournement imminent. La décision **Vente** contraste avec les autres indicateurs et suggère une prudence à court terme.</w:t>
      </w:r>
    </w:p>
    <w:p>
      <w:pPr>
        <w:spacing w:after="120" w:line="276" w:lineRule="auto"/>
      </w:pPr>
      <w:r>
        <w:t>**Conclusion technique** : Les indicateurs sont majoritairement haussiers (MM, MACD), mais le Stochastique en zone de surachat et le RSI proche de 70 signalent un essoufflement possible. La convergence partielle des signaux plaide pour une consolidation avant toute nouvelle jambe de hausse, avec un support clé à surveiller autour de la MM20 (2 852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 En 2024, SDSC affichait un chiffre d'affaires de 85,643 Mds FCFA, un résultat net de 21,069 Mds FCFA, un ROE de 27,08% (excellent, &gt;15%) et un ROA de 11,20%. La marge nette ressortait à 24,60%, la marge opérationnelle à 1,10% et la marge brute à 5,35%. Le BFR était de 17,874 Mds FCFA (positif, donc défavorable), avec un délai client très élevé de 466,94 jours — signalant un risque de trésorerie important — et un délai fournisseur de 4 534,17 jours, exceptionnellement long, ce qui constitue un levier de financement favorable. L'autonomie financière (41,36%) et la liquidité générale (132,84%) sont saines, mais le ratio d'endettement (17,88%) et la couverture des intérêts (77,85%) méritent une surveillance.</w:t>
      </w:r>
    </w:p>
    <w:p>
      <w:pPr>
        <w:spacing w:after="120" w:line="276" w:lineRule="auto"/>
      </w:pPr>
      <w:r>
        <w:t>**Évolution 2025 (états financiers provisoires au 31/12/2025, analysés le 05/08/2026)** : Le CA progresse à 92,004 Mds FCFA (+7,43%), mais le résultat net s'effondre à 0,785 Md FCFA (-96%), avec une marge nette de 0,85% et un résultat d'exploitation **négatif** (-2,271 Mds FCFA). Cette dégradation s'explique par la hausse des dotations aux amortissements (+41%) et des charges de personnel, le résultat net positif étant sauvé par le résultat financier (7,080 Mds FCFA, en baisse de 66%). Le dividende proposé chute à 544 353 milliers FCFA (-89% vs 5 008 Mds FCFA en 2024), avec un taux de distribution de 69,3%.</w:t>
      </w:r>
    </w:p>
    <w:p>
      <w:pPr>
        <w:spacing w:after="120" w:line="276" w:lineRule="auto"/>
      </w:pPr>
      <w:r>
        <w:t>**Estimations basées sur les rapports trimestriels** : Le rapport T1 2025 (31/03/2025) indiquait un CA de 23 057 M FCFA (+6,2%) et une perte nette de -193 M FCFA, en amélioration de 54%. Le rapport S1 2025 (30/06/2025) faisait état d'un CA de 44 452 M FCFA (+4,2%) et d'une perte nette de -427 M FCFA, plombée par l'absence de dividendes de filiales. Le rapport T3 2025 (30/09/2025) montrait un CA de 66,217 Mds FCFA (+7,4%) et un résultat net de 4,341 Mds FCFA (-77%), toujours affecté par la volatilité des revenus de filiales. On estime donc que l'exercice 2025 devrait se solder par une rentabilité très dégradée, la croissance du CA ne compensant pas la pression sur les marges opérationnelles.</w:t>
      </w:r>
    </w:p>
    <w:p>
      <w:pPr>
        <w:spacing w:after="120" w:line="276" w:lineRule="auto"/>
      </w:pPr>
      <w:r>
        <w:t>**Recommandation fondamentale** : La solidité du bilan (capitaux propres de 73,55 Mds FCFA, trésorerie nette de 74,78 Mds FCFA) contraste avec la fragilité de la rentabilité opérationnelle. Le titre présente un profil risqué à court terme, avec une recommandation de **CONSERVER** (surveillance renforcée), en attendant une clarification sur la capacité de la direction à restaurer les marges.</w:t>
      </w:r>
    </w:p>
    <w:p>
      <w:pPr>
        <w:spacing w:after="120" w:line="276" w:lineRule="auto"/>
      </w:pPr>
      <w:r>
        <w:t>---</w:t>
      </w:r>
    </w:p>
    <w:p>
      <w:pPr>
        <w:spacing w:after="120" w:line="276" w:lineRule="auto"/>
      </w:pPr>
      <w:r>
        <w:t>## PARTIE 4 : CONCLUSION D'INVESTISSEMENT</w:t>
      </w:r>
    </w:p>
    <w:p>
      <w:pPr>
        <w:spacing w:after="120" w:line="276" w:lineRule="auto"/>
      </w:pPr>
      <w:r>
        <w:t>La valorisation (Partie 0) offre un tableau contrasté : le PER de 8,0x et le P/B de 2,16x suggèrent une valorisation raisonnable, mais l'EV/EBITDA de 36,3x trahit une anticipation excessive de redressement opérationnel — d'autant plus préoccupante que les fondamentaux 2025 se sont dégradés. Le comportement du cours (Partie 1) est nettement haussier (+67,93% sur 100 jours), mais la volatilité annualisée de 51,2% et le kurtosis négatif (-1,271) signalent un risque de correction diffuse, sans pics extrêmes mais avec une tendance à l'aplatissement des rendements. Les signaux techniques (Partie 2) sont majoritairement haussiers (MM, MACD), mais le Stochastique en surachat (%K=82,17) et le RSI proche de 70 (66,36) plaident pour une consolidation imminente. Les fondamentaux (Partie 3) révèlent une dégradation sévère : résultat net 2025 en chute de 96%, résultat d'exploitation négatif, dividende réduit de 89% — malgré un CA en croissance (+7,43%) et une trésorerie solide. Les prédictions IA (J+1 à J+10) anticipent une **baisse progressive** de 3 034 FCFA à 2 880 FCFA, confirmant la thèse d'une correction après le rallye.</w:t>
      </w:r>
    </w:p>
    <w:p>
      <w:pPr>
        <w:spacing w:after="120" w:line="276" w:lineRule="auto"/>
      </w:pPr>
      <w:r>
        <w:t>**Recommandation finale : CONSERVER** (avec vigilance accrue)</w:t>
        <w:br/>
        <w:t>**Justification** : La convergence entre la dégradation fondamentale, le surachat technique et les prédictions baissières à court terme incite à la prudence. Toutefois, la solidité du bilan et la croissance du CA empêchent une recommandation de vente. Les investisseurs déjà positionnés peuvent conserver en surveillant le support de 2 852 FCFA (MM20) ; les nouveaux entrants devraient attendre une consolidation vers 2 700-2 800 FCFA.</w:t>
        <w:br/>
        <w:t>**Niveau de confiance** : Moyen (les signaux sont divergents entre technique haussier et fondamental dégradé)</w:t>
        <w:br/>
        <w:t>**Niveau de risque global** : Élevé (volatilité 51,2%, rentabilité opérationnelle négative, dépendance aux revenus de filiales)</w:t>
        <w:br/>
        <w:t>**Horizon d'investissement optimal** : Moyen terme (3-12 mois), le temps que la direction restaure les marges opérationnelles et clarifie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6,031 titres</w:t>
            </w:r>
          </w:p>
        </w:tc>
        <w:tc>
          <w:tcPr>
            <w:tcW w:type="dxa" w:w="2268"/>
            <w:shd w:fill="FFF2CC" w:val="clear"/>
          </w:tcPr>
          <w:p>
            <w:r>
              <w:rPr>
                <w:b/>
                <w:color w:val="503200"/>
                <w:sz w:val="16"/>
              </w:rPr>
              <w:t xml:space="preserve">Cours actuel : </w:t>
            </w:r>
            <w:r>
              <w:rPr>
                <w:color w:val="000000"/>
                <w:sz w:val="17"/>
              </w:rPr>
              <w:t>1,565 FCFA</w:t>
            </w:r>
          </w:p>
          <w:p>
            <w:r>
              <w:rPr>
                <w:b/>
                <w:color w:val="503200"/>
                <w:sz w:val="16"/>
              </w:rPr>
              <w:t xml:space="preserve">Var. 100 jours : </w:t>
            </w:r>
            <w:r>
              <w:rPr>
                <w:b/>
                <w:color w:val="B40000"/>
                <w:sz w:val="17"/>
              </w:rPr>
              <w:t>-10.57%</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17.8/100 → Faible</w:t>
      </w:r>
    </w:p>
    <w:p>
      <w:pPr>
        <w:spacing w:before="40" w:after="80"/>
      </w:pPr>
      <w:r>
        <w:rPr>
          <w:rFonts w:ascii="Courier New" w:hAnsi="Courier New"/>
          <w:color w:val="006400"/>
          <w:sz w:val="18"/>
        </w:rPr>
        <w:t>███░░░░░░░░░░░░░░░░░  17.8/100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4.97% (Faible) — μ=1,532 FCFA, σ=76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β=1.2316 (Agressif) — Cov=0.000043, Var(idx)=0.000035, ρ=0.231,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1,430</w:t>
            </w:r>
          </w:p>
        </w:tc>
        <w:tc>
          <w:tcPr>
            <w:tcW w:type="dxa" w:w="1440"/>
            <w:shd w:fill="FFDCE0" w:val="clear"/>
          </w:tcPr>
          <w:p>
            <w:r>
              <w:rPr>
                <w:b/>
                <w:sz w:val="17"/>
              </w:rPr>
              <w:t>1,503</w:t>
            </w:r>
          </w:p>
        </w:tc>
        <w:tc>
          <w:tcPr>
            <w:tcW w:type="dxa" w:w="1440"/>
            <w:shd w:fill="FFDCE0" w:val="clear"/>
          </w:tcPr>
          <w:p>
            <w:r>
              <w:rPr>
                <w:sz w:val="17"/>
              </w:rPr>
              <w:t>1,576</w:t>
            </w:r>
          </w:p>
        </w:tc>
        <w:tc>
          <w:tcPr>
            <w:tcW w:type="dxa" w:w="1440"/>
            <w:shd w:fill="FFDCE0" w:val="clear"/>
          </w:tcPr>
          <w:p>
            <w:r>
              <w:rPr>
                <w:b/>
                <w:color w:val="C00000"/>
                <w:sz w:val="17"/>
              </w:rPr>
              <w:t>-4.0%</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1,392</w:t>
            </w:r>
          </w:p>
        </w:tc>
        <w:tc>
          <w:tcPr>
            <w:tcW w:type="dxa" w:w="1440"/>
            <w:shd w:fill="FFDCE0" w:val="clear"/>
          </w:tcPr>
          <w:p>
            <w:r>
              <w:rPr>
                <w:b/>
                <w:sz w:val="17"/>
              </w:rPr>
              <w:t>1,494</w:t>
            </w:r>
          </w:p>
        </w:tc>
        <w:tc>
          <w:tcPr>
            <w:tcW w:type="dxa" w:w="1440"/>
            <w:shd w:fill="FFDCE0" w:val="clear"/>
          </w:tcPr>
          <w:p>
            <w:r>
              <w:rPr>
                <w:sz w:val="17"/>
              </w:rPr>
              <w:t>1,597</w:t>
            </w:r>
          </w:p>
        </w:tc>
        <w:tc>
          <w:tcPr>
            <w:tcW w:type="dxa" w:w="1440"/>
            <w:shd w:fill="FFDCE0" w:val="clear"/>
          </w:tcPr>
          <w:p>
            <w:r>
              <w:rPr>
                <w:b/>
                <w:color w:val="C00000"/>
                <w:sz w:val="17"/>
              </w:rPr>
              <w:t>-4.5%</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1,356</w:t>
            </w:r>
          </w:p>
        </w:tc>
        <w:tc>
          <w:tcPr>
            <w:tcW w:type="dxa" w:w="1440"/>
            <w:shd w:fill="FFDCE0" w:val="clear"/>
          </w:tcPr>
          <w:p>
            <w:r>
              <w:rPr>
                <w:b/>
                <w:sz w:val="17"/>
              </w:rPr>
              <w:t>1,480</w:t>
            </w:r>
          </w:p>
        </w:tc>
        <w:tc>
          <w:tcPr>
            <w:tcW w:type="dxa" w:w="1440"/>
            <w:shd w:fill="FFDCE0" w:val="clear"/>
          </w:tcPr>
          <w:p>
            <w:r>
              <w:rPr>
                <w:sz w:val="17"/>
              </w:rPr>
              <w:t>1,605</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1,323</w:t>
            </w:r>
          </w:p>
        </w:tc>
        <w:tc>
          <w:tcPr>
            <w:tcW w:type="dxa" w:w="1440"/>
            <w:shd w:fill="FFDCE0" w:val="clear"/>
          </w:tcPr>
          <w:p>
            <w:r>
              <w:rPr>
                <w:b/>
                <w:sz w:val="17"/>
              </w:rPr>
              <w:t>1,465</w:t>
            </w:r>
          </w:p>
        </w:tc>
        <w:tc>
          <w:tcPr>
            <w:tcW w:type="dxa" w:w="1440"/>
            <w:shd w:fill="FFDCE0" w:val="clear"/>
          </w:tcPr>
          <w:p>
            <w:r>
              <w:rPr>
                <w:sz w:val="17"/>
              </w:rPr>
              <w:t>1,608</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1,293</w:t>
            </w:r>
          </w:p>
        </w:tc>
        <w:tc>
          <w:tcPr>
            <w:tcW w:type="dxa" w:w="1440"/>
            <w:shd w:fill="FFDCE0" w:val="clear"/>
          </w:tcPr>
          <w:p>
            <w:r>
              <w:rPr>
                <w:b/>
                <w:sz w:val="17"/>
              </w:rPr>
              <w:t>1,450</w:t>
            </w:r>
          </w:p>
        </w:tc>
        <w:tc>
          <w:tcPr>
            <w:tcW w:type="dxa" w:w="1440"/>
            <w:shd w:fill="FFDCE0" w:val="clear"/>
          </w:tcPr>
          <w:p>
            <w:r>
              <w:rPr>
                <w:sz w:val="17"/>
              </w:rPr>
              <w:t>1,608</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1,265</w:t>
            </w:r>
          </w:p>
        </w:tc>
        <w:tc>
          <w:tcPr>
            <w:tcW w:type="dxa" w:w="1440"/>
            <w:shd w:fill="FFDCE0" w:val="clear"/>
          </w:tcPr>
          <w:p>
            <w:r>
              <w:rPr>
                <w:b/>
                <w:sz w:val="17"/>
              </w:rPr>
              <w:t>1,436</w:t>
            </w:r>
          </w:p>
        </w:tc>
        <w:tc>
          <w:tcPr>
            <w:tcW w:type="dxa" w:w="1440"/>
            <w:shd w:fill="FFDCE0" w:val="clear"/>
          </w:tcPr>
          <w:p>
            <w:r>
              <w:rPr>
                <w:sz w:val="17"/>
              </w:rPr>
              <w:t>1,606</w:t>
            </w:r>
          </w:p>
        </w:tc>
        <w:tc>
          <w:tcPr>
            <w:tcW w:type="dxa" w:w="1440"/>
            <w:shd w:fill="FFDCE0" w:val="clear"/>
          </w:tcPr>
          <w:p>
            <w:r>
              <w:rPr>
                <w:b/>
                <w:color w:val="C00000"/>
                <w:sz w:val="17"/>
              </w:rPr>
              <w:t>-8.3%</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1,239</w:t>
            </w:r>
          </w:p>
        </w:tc>
        <w:tc>
          <w:tcPr>
            <w:tcW w:type="dxa" w:w="1440"/>
            <w:shd w:fill="FFDCE0" w:val="clear"/>
          </w:tcPr>
          <w:p>
            <w:r>
              <w:rPr>
                <w:b/>
                <w:sz w:val="17"/>
              </w:rPr>
              <w:t>1,421</w:t>
            </w:r>
          </w:p>
        </w:tc>
        <w:tc>
          <w:tcPr>
            <w:tcW w:type="dxa" w:w="1440"/>
            <w:shd w:fill="FFDCE0" w:val="clear"/>
          </w:tcPr>
          <w:p>
            <w:r>
              <w:rPr>
                <w:sz w:val="17"/>
              </w:rPr>
              <w:t>1,604</w:t>
            </w:r>
          </w:p>
        </w:tc>
        <w:tc>
          <w:tcPr>
            <w:tcW w:type="dxa" w:w="1440"/>
            <w:shd w:fill="FFDCE0" w:val="clear"/>
          </w:tcPr>
          <w:p>
            <w:r>
              <w:rPr>
                <w:b/>
                <w:color w:val="C00000"/>
                <w:sz w:val="17"/>
              </w:rPr>
              <w:t>-9.2%</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1,214</w:t>
            </w:r>
          </w:p>
        </w:tc>
        <w:tc>
          <w:tcPr>
            <w:tcW w:type="dxa" w:w="1440"/>
            <w:shd w:fill="FFDCE0" w:val="clear"/>
          </w:tcPr>
          <w:p>
            <w:r>
              <w:rPr>
                <w:b/>
                <w:sz w:val="17"/>
              </w:rPr>
              <w:t>1,407</w:t>
            </w:r>
          </w:p>
        </w:tc>
        <w:tc>
          <w:tcPr>
            <w:tcW w:type="dxa" w:w="1440"/>
            <w:shd w:fill="FFDCE0" w:val="clear"/>
          </w:tcPr>
          <w:p>
            <w:r>
              <w:rPr>
                <w:sz w:val="17"/>
              </w:rPr>
              <w:t>1,601</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1,191</w:t>
            </w:r>
          </w:p>
        </w:tc>
        <w:tc>
          <w:tcPr>
            <w:tcW w:type="dxa" w:w="1440"/>
            <w:shd w:fill="FFDCE0" w:val="clear"/>
          </w:tcPr>
          <w:p>
            <w:r>
              <w:rPr>
                <w:b/>
                <w:sz w:val="17"/>
              </w:rPr>
              <w:t>1,394</w:t>
            </w:r>
          </w:p>
        </w:tc>
        <w:tc>
          <w:tcPr>
            <w:tcW w:type="dxa" w:w="1440"/>
            <w:shd w:fill="FFDCE0" w:val="clear"/>
          </w:tcPr>
          <w:p>
            <w:r>
              <w:rPr>
                <w:sz w:val="17"/>
              </w:rPr>
              <w:t>1,597</w:t>
            </w:r>
          </w:p>
        </w:tc>
        <w:tc>
          <w:tcPr>
            <w:tcW w:type="dxa" w:w="1440"/>
            <w:shd w:fill="FFDCE0" w:val="clear"/>
          </w:tcPr>
          <w:p>
            <w:r>
              <w:rPr>
                <w:b/>
                <w:color w:val="C00000"/>
                <w:sz w:val="17"/>
              </w:rPr>
              <w:t>-10.9%</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1,168</w:t>
            </w:r>
          </w:p>
        </w:tc>
        <w:tc>
          <w:tcPr>
            <w:tcW w:type="dxa" w:w="1440"/>
            <w:shd w:fill="FFDCE0" w:val="clear"/>
          </w:tcPr>
          <w:p>
            <w:r>
              <w:rPr>
                <w:b/>
                <w:sz w:val="17"/>
              </w:rPr>
              <w:t>1,380</w:t>
            </w:r>
          </w:p>
        </w:tc>
        <w:tc>
          <w:tcPr>
            <w:tcW w:type="dxa" w:w="1440"/>
            <w:shd w:fill="FFDCE0" w:val="clear"/>
          </w:tcPr>
          <w:p>
            <w:r>
              <w:rPr>
                <w:sz w:val="17"/>
              </w:rPr>
              <w:t>1,592</w:t>
            </w:r>
          </w:p>
        </w:tc>
        <w:tc>
          <w:tcPr>
            <w:tcW w:type="dxa" w:w="1440"/>
            <w:shd w:fill="FFDCE0" w:val="clear"/>
          </w:tcPr>
          <w:p>
            <w:r>
              <w:rPr>
                <w:b/>
                <w:color w:val="C00000"/>
                <w:sz w:val="17"/>
              </w:rPr>
              <w:t>-11.8%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39,42 milliards FCFA, un niveau modeste à l'échelle de la BRVM qui la classe parmi les valeurs de moyenne capitalisation du compartiment industriel. Les ratios de valorisation classiques (BPA, PER, P/B, EV/EBITDA) ne sont pas calculables en l'état, faute de données financières structurées exploitables dans la base et en raison de la suspension de la cote depuis janvier 2024, qui fausse toute référence de prix de marché fiable. À titre indicatif, si l'on retient le bénéfice net 2023 de 1,01 milliard FCFA rapporté à la capitalisation actuelle, le PER implicite ressortirait à environ 39x, très au-dessus de la moyenne BRVM (8-12x), signe d'une valorisation tendue au regard des bénéfices. Cette absence de ratios fiables invite donc à la prudence et à privilégier l'analyse fondamentale et technique pour toute décision.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-10,57%, avec une dernière séance stable (0,00%), clôturant à 1 565 FCFA pour une capitalisation de 39,42 milliards FCFA. Le range de trading s'étend de 1 350 FCFA (plus bas) à 1 800 FCFA (plus haut), soit une amplitude de 33%, traduisant une tendance globalement baissière mais ponctuée de rebonds. Les statistiques descriptives révèlent une moyenne de 1 532 FCFA légèrement supérieure à la médiane de 1 520 FCFA et au mode de 1 500 FCFA, signe d'une distribution faiblement asymétrique avec quelques séances haussières tirant la moyenne vers le haut. L'écart-type de 77 FCFA (CV de 5,0%) indique une dispersion modérée du cours autour de sa moyenne, tandis que le kurtosis de 1,364 (leptokurtique) signale des queues épaisses et donc un risque de pics de volatilité brutaux. Le skewness positif de 0,711 confirme cette asymétrie avec davantage de journées sous la moyenne, ce qui est défavorable pour un investisseur acheteur. Enfin, la volatilité annualisée de 50,0% positionne SEMC dans la catégorie des titres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(1 535,25 FCFA) est supérieure à la MM50 (1 498,20 FCFA), et le cours actuel (1 565 FCFA) se situe au-dessus des deux, configurant un croisement haussier classique. Cette configuration justifie la décision technique d'**Achat**, le titre évoluant au-dessus de ses supports mobiles.</w:t>
      </w:r>
    </w:p>
    <w:p>
      <w:pPr>
        <w:spacing w:after="120" w:line="276" w:lineRule="auto"/>
      </w:pPr>
      <w:r>
        <w:t>**Bandes de Bollinger** : Le cours (1 565 FCFA) se situe dans la moitié supérieure de la bande, entre la borne inférieure (1 448,10 FCFA) et la borne supérieure (1 622,40 FCFA), sans franchissement des extrêmes. La décision est **Neutre**, le titre n'étant ni en surachat ni en survente selon ce canal.</w:t>
      </w:r>
    </w:p>
    <w:p>
      <w:pPr>
        <w:spacing w:after="120" w:line="276" w:lineRule="auto"/>
      </w:pPr>
      <w:r>
        <w:t>**MACD** : Le MACD (12,326) est supérieur à son signal (9,984), avec un histogramme positif traduisant un momentum haussier en cours. Cette divergence positive justifie la décision d'**Achat**, bien que l'écart reste modéré.</w:t>
      </w:r>
    </w:p>
    <w:p>
      <w:pPr>
        <w:spacing w:after="120" w:line="276" w:lineRule="auto"/>
      </w:pPr>
      <w:r>
        <w:t>**RSI** : À 47,748, le RSI se situe en zone neutre (30-70), sans signal de surachat ni de survente. La décision est **Neutre**, le titre ne présentant pas de déséquilibre technique marqué.</w:t>
      </w:r>
    </w:p>
    <w:p>
      <w:pPr>
        <w:spacing w:after="120" w:line="276" w:lineRule="auto"/>
      </w:pPr>
      <w:r>
        <w:t>**Stochastique** : Le %K (88,462) est nettement supérieur au %D (67,979), et le %K dépasse le seuil de 80, signalant une zone de surachat. La décision est **Vente**, un repli technique étant probable à court terme.</w:t>
      </w:r>
    </w:p>
    <w:p>
      <w:pPr>
        <w:spacing w:after="120" w:line="276" w:lineRule="auto"/>
      </w:pPr>
      <w:r>
        <w:t>**Conclusion technique** : Les indicateurs sont divergents — les moyennes mobiles et le MACD plaident pour un achat, tandis que le stochastique signale une vente et que le RSI et les Bollinger restent neutres. Cette configuration mitigée suggère un titre en phase de consolidation haussière fragile, avec un risque de correction à court terme lié au surachat stochastique. La prudence est de mise avant toute entrée.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n'étant pas disponibles dans la base, l'analyse s'appuie sur les rapports officiels fournis, dont les plus récents datent du 31/12/2023 (exercice 2023) et du 31/12/2022 (exercice 2022), complétés par un rapport trimestriel T1 2023. **En 2023**, SEMC a enregistré un chiffre d'affaires de 27,88 milliards FCFA, en baisse de 6% par rapport aux 29,60 milliards FCFA de 2022, et un résultat net de 1,01 milliard FCFA, en chute de 74% (contre 3,86 milliards FCFA en 2022). La marge nette s'est effondrée à 3,6% (vs 13,0% en 2022), et le ROE s'est dégradé à environ 2,6% (contre 10% en 2022), tandis que la marge d'exploitation est passée de 11,0% à 6,9%. Cette dégradation s'explique par la perte de clients clés (AIRONE : -81% de CA), l'effondrement du segment Tomate et la concurrence du PET. **En 2022**, les performances étaient solides : CA de 125,4 milliards FCFA (selon un rapport alternatif, probablement consolidé groupe), résultat net de 12,8 milliards FCFA, marge nette de 10,2%, ROE de 18,4% et ROA de 9,2%. Le rapport T1 2023 (daté du 31/12/2023) indiquait un CA de 7,65 milliards FCFA (+16,5%) et un résultat net de 855,65 millions FCFA (+37,9%), avec une marge nette de 11,2%, suggérant un début d'année dynamique avant la dégradation annuelle. **On estime** que l'exercice 2024 visait un CA de 32 milliards FCFA (+18%), porté par les bouchons couronnes et les exportations, mais le rachat par Sonoco (finalisé en décembre 2024) et la suspension de la cote BRVM depuis janvier 2024 (flottant insuffisant : 10,42% vs 15% requis) introduisent une incertitude majeure. La trésorerie reste solide (3,35 milliards FCFA en 2023), mais l'endettement fournisseurs demeure élevé (16,7 milliards FCFA). La recommandation fondamentale est de **CONSERVER avec vigilance**, les perspectives de relance étant réelles mais conditionnées à l'exécution du plan 2024 et à la levée de la suspension.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difficile à apprécier faute de ratios fiables, mais le PER implicite de ~39x sur la base du bénéfice 2023 suggère une surévaluation au regard des fondamentaux actuels. Le comportement du cours (Partie 1) est baissier sur 100 jours (-10,57%), avec une volatilité élevée (50%) et une asymétrie positive défavorable (skewness 0,711) ainsi qu'un risque de pics (kurtosis 1,364), ce qui est préoccupant pour un investisseur. Les signaux techniques (Partie 2) sont divergents : les moyennes mobiles et le MACD sont haussiers, mais le stochastique est en surachat et le RSI neutre, plaidant pour une consolidation voire une correction à court terme. Les fondamentaux (Partie 3) sont fragiles : dégradation sévère en 2023 (résultat net -74%, marge nette 3,6%), mais potentiel de rebond en 2024 (objectif CA +18%) et soutien stratégique de Sonoco, sous réserve de la levée de la suspension BRVM. Les prédictions IA (J+1 à J+10) anticipent une trajectoire baissière de 1 503 FCFA à 1 450 FCFA, confirmant les signaux de correction technique et contredisant les indicateurs haussiers des moyennes mobiles et du MACD. **En synthèse**, la convergence entre la prédiction baissière, le surachat stochastique et la fragilité fondamentale l'emporte sur les signaux haussiers isolés. La recommandation finale est **CONSERVER** (avec biais baissier à court terme), le niveau de confiance est **Moyen** et le risque global est **Élevé**. L'horizon d'investissement optimal est **moyen terme (3-12 mois)**, en attendant la clarification sur la levée de la suspension et l'impact effectif du rachat par Sonoco sur la gouvernance et la stratégie.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1209.29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5,559 titres</w:t>
            </w:r>
          </w:p>
        </w:tc>
        <w:tc>
          <w:tcPr>
            <w:tcW w:type="dxa" w:w="2268"/>
            <w:shd w:fill="FFF2CC" w:val="clear"/>
          </w:tcPr>
          <w:p>
            <w:r>
              <w:rPr>
                <w:b/>
                <w:color w:val="503200"/>
                <w:sz w:val="16"/>
              </w:rPr>
              <w:t xml:space="preserve">Cours actuel : </w:t>
            </w:r>
            <w:r>
              <w:rPr>
                <w:color w:val="000000"/>
                <w:sz w:val="17"/>
              </w:rPr>
              <w:t>38,870 FCFA</w:t>
            </w:r>
          </w:p>
          <w:p>
            <w:r>
              <w:rPr>
                <w:b/>
                <w:color w:val="503200"/>
                <w:sz w:val="16"/>
              </w:rPr>
              <w:t xml:space="preserve">Var. 100 jours : </w:t>
            </w:r>
            <w:r>
              <w:rPr>
                <w:b/>
                <w:color w:val="007800"/>
                <w:sz w:val="17"/>
              </w:rPr>
              <w:t>+17.79%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4.96% (Faible) — μ=37,446 FCFA, σ=1,858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β=0.6118 (Défensif) — Cov=0.000021, Var(idx)=0.000035, ρ=0.239,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σ_j=1.50%/j (Stable) — Vol. annualisée≈23.9%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37,540</w:t>
            </w:r>
          </w:p>
        </w:tc>
        <w:tc>
          <w:tcPr>
            <w:tcW w:type="dxa" w:w="1440"/>
            <w:shd w:fill="FAFAFA" w:val="clear"/>
          </w:tcPr>
          <w:p>
            <w:r>
              <w:rPr>
                <w:b/>
                <w:sz w:val="17"/>
              </w:rPr>
              <w:t>38,413</w:t>
            </w:r>
          </w:p>
        </w:tc>
        <w:tc>
          <w:tcPr>
            <w:tcW w:type="dxa" w:w="1440"/>
            <w:shd w:fill="FAFAFA" w:val="clear"/>
          </w:tcPr>
          <w:p>
            <w:r>
              <w:rPr>
                <w:sz w:val="17"/>
              </w:rPr>
              <w:t>39,285</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2026-09-14</w:t>
            </w:r>
          </w:p>
        </w:tc>
        <w:tc>
          <w:tcPr>
            <w:tcW w:type="dxa" w:w="1440"/>
            <w:shd w:fill="FAFAFA" w:val="clear"/>
          </w:tcPr>
          <w:p>
            <w:r>
              <w:rPr>
                <w:sz w:val="17"/>
              </w:rPr>
              <w:t>37,088</w:t>
            </w:r>
          </w:p>
        </w:tc>
        <w:tc>
          <w:tcPr>
            <w:tcW w:type="dxa" w:w="1440"/>
            <w:shd w:fill="FAFAFA" w:val="clear"/>
          </w:tcPr>
          <w:p>
            <w:r>
              <w:rPr>
                <w:b/>
                <w:sz w:val="17"/>
              </w:rPr>
              <w:t>38,319</w:t>
            </w:r>
          </w:p>
        </w:tc>
        <w:tc>
          <w:tcPr>
            <w:tcW w:type="dxa" w:w="1440"/>
            <w:shd w:fill="FAFAFA" w:val="clear"/>
          </w:tcPr>
          <w:p>
            <w:r>
              <w:rPr>
                <w:sz w:val="17"/>
              </w:rPr>
              <w:t>39,550</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2026-09-15</w:t>
            </w:r>
          </w:p>
        </w:tc>
        <w:tc>
          <w:tcPr>
            <w:tcW w:type="dxa" w:w="1440"/>
            <w:shd w:fill="FAFAFA" w:val="clear"/>
          </w:tcPr>
          <w:p>
            <w:r>
              <w:rPr>
                <w:sz w:val="17"/>
              </w:rPr>
              <w:t>36,714</w:t>
            </w:r>
          </w:p>
        </w:tc>
        <w:tc>
          <w:tcPr>
            <w:tcW w:type="dxa" w:w="1440"/>
            <w:shd w:fill="FAFAFA" w:val="clear"/>
          </w:tcPr>
          <w:p>
            <w:r>
              <w:rPr>
                <w:b/>
                <w:sz w:val="17"/>
              </w:rPr>
              <w:t>38,218</w:t>
            </w:r>
          </w:p>
        </w:tc>
        <w:tc>
          <w:tcPr>
            <w:tcW w:type="dxa" w:w="1440"/>
            <w:shd w:fill="FAFAFA" w:val="clear"/>
          </w:tcPr>
          <w:p>
            <w:r>
              <w:rPr>
                <w:sz w:val="17"/>
              </w:rPr>
              <w:t>39,722</w:t>
            </w:r>
          </w:p>
        </w:tc>
        <w:tc>
          <w:tcPr>
            <w:tcW w:type="dxa" w:w="1440"/>
            <w:shd w:fill="FAFAFA" w:val="clear"/>
          </w:tcPr>
          <w:p>
            <w:r>
              <w:rPr>
                <w:b/>
                <w:color w:val="C00000"/>
                <w:sz w:val="17"/>
              </w:rPr>
              <w:t>-1.7%</w:t>
            </w:r>
          </w:p>
        </w:tc>
      </w:tr>
      <w:tr>
        <w:tc>
          <w:tcPr>
            <w:tcW w:type="dxa" w:w="1440"/>
            <w:shd w:fill="FAFAFA" w:val="clear"/>
          </w:tcPr>
          <w:p>
            <w:r>
              <w:rPr>
                <w:sz w:val="17"/>
              </w:rPr>
              <w:t>J+4  Moyenne</w:t>
            </w:r>
          </w:p>
        </w:tc>
        <w:tc>
          <w:tcPr>
            <w:tcW w:type="dxa" w:w="1440"/>
            <w:shd w:fill="FAFAFA" w:val="clear"/>
          </w:tcPr>
          <w:p>
            <w:r>
              <w:rPr>
                <w:sz w:val="17"/>
              </w:rPr>
              <w:t>2026-09-16</w:t>
            </w:r>
          </w:p>
        </w:tc>
        <w:tc>
          <w:tcPr>
            <w:tcW w:type="dxa" w:w="1440"/>
            <w:shd w:fill="FAFAFA" w:val="clear"/>
          </w:tcPr>
          <w:p>
            <w:r>
              <w:rPr>
                <w:sz w:val="17"/>
              </w:rPr>
              <w:t>36,390</w:t>
            </w:r>
          </w:p>
        </w:tc>
        <w:tc>
          <w:tcPr>
            <w:tcW w:type="dxa" w:w="1440"/>
            <w:shd w:fill="FAFAFA" w:val="clear"/>
          </w:tcPr>
          <w:p>
            <w:r>
              <w:rPr>
                <w:b/>
                <w:sz w:val="17"/>
              </w:rPr>
              <w:t>38,122</w:t>
            </w:r>
          </w:p>
        </w:tc>
        <w:tc>
          <w:tcPr>
            <w:tcW w:type="dxa" w:w="1440"/>
            <w:shd w:fill="FAFAFA" w:val="clear"/>
          </w:tcPr>
          <w:p>
            <w:r>
              <w:rPr>
                <w:sz w:val="17"/>
              </w:rPr>
              <w:t>39,854</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36,101</w:t>
            </w:r>
          </w:p>
        </w:tc>
        <w:tc>
          <w:tcPr>
            <w:tcW w:type="dxa" w:w="1440"/>
            <w:shd w:fill="FFDCE0" w:val="clear"/>
          </w:tcPr>
          <w:p>
            <w:r>
              <w:rPr>
                <w:b/>
                <w:sz w:val="17"/>
              </w:rPr>
              <w:t>38,033</w:t>
            </w:r>
          </w:p>
        </w:tc>
        <w:tc>
          <w:tcPr>
            <w:tcW w:type="dxa" w:w="1440"/>
            <w:shd w:fill="FFDCE0" w:val="clear"/>
          </w:tcPr>
          <w:p>
            <w:r>
              <w:rPr>
                <w:sz w:val="17"/>
              </w:rPr>
              <w:t>39,965</w:t>
            </w:r>
          </w:p>
        </w:tc>
        <w:tc>
          <w:tcPr>
            <w:tcW w:type="dxa" w:w="1440"/>
            <w:shd w:fill="FFDCE0" w:val="clear"/>
          </w:tcPr>
          <w:p>
            <w:r>
              <w:rPr>
                <w:b/>
                <w:color w:val="C00000"/>
                <w:sz w:val="17"/>
              </w:rPr>
              <w:t>-2.2%</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35,835</w:t>
            </w:r>
          </w:p>
        </w:tc>
        <w:tc>
          <w:tcPr>
            <w:tcW w:type="dxa" w:w="1440"/>
            <w:shd w:fill="FFDCE0" w:val="clear"/>
          </w:tcPr>
          <w:p>
            <w:r>
              <w:rPr>
                <w:b/>
                <w:sz w:val="17"/>
              </w:rPr>
              <w:t>37,947</w:t>
            </w:r>
          </w:p>
        </w:tc>
        <w:tc>
          <w:tcPr>
            <w:tcW w:type="dxa" w:w="1440"/>
            <w:shd w:fill="FFDCE0" w:val="clear"/>
          </w:tcPr>
          <w:p>
            <w:r>
              <w:rPr>
                <w:sz w:val="17"/>
              </w:rPr>
              <w:t>40,059</w:t>
            </w:r>
          </w:p>
        </w:tc>
        <w:tc>
          <w:tcPr>
            <w:tcW w:type="dxa" w:w="1440"/>
            <w:shd w:fill="FFDCE0" w:val="clear"/>
          </w:tcPr>
          <w:p>
            <w:r>
              <w:rPr>
                <w:b/>
                <w:color w:val="C00000"/>
                <w:sz w:val="17"/>
              </w:rPr>
              <w:t>-2.4%</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35,588</w:t>
            </w:r>
          </w:p>
        </w:tc>
        <w:tc>
          <w:tcPr>
            <w:tcW w:type="dxa" w:w="1440"/>
            <w:shd w:fill="FFDCE0" w:val="clear"/>
          </w:tcPr>
          <w:p>
            <w:r>
              <w:rPr>
                <w:b/>
                <w:sz w:val="17"/>
              </w:rPr>
              <w:t>37,864</w:t>
            </w:r>
          </w:p>
        </w:tc>
        <w:tc>
          <w:tcPr>
            <w:tcW w:type="dxa" w:w="1440"/>
            <w:shd w:fill="FFDCE0" w:val="clear"/>
          </w:tcPr>
          <w:p>
            <w:r>
              <w:rPr>
                <w:sz w:val="17"/>
              </w:rPr>
              <w:t>40,140</w:t>
            </w:r>
          </w:p>
        </w:tc>
        <w:tc>
          <w:tcPr>
            <w:tcW w:type="dxa" w:w="1440"/>
            <w:shd w:fill="FFDCE0" w:val="clear"/>
          </w:tcPr>
          <w:p>
            <w:r>
              <w:rPr>
                <w:b/>
                <w:color w:val="C00000"/>
                <w:sz w:val="17"/>
              </w:rPr>
              <w:t>-2.6%</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35,355</w:t>
            </w:r>
          </w:p>
        </w:tc>
        <w:tc>
          <w:tcPr>
            <w:tcW w:type="dxa" w:w="1440"/>
            <w:shd w:fill="FFDCE0" w:val="clear"/>
          </w:tcPr>
          <w:p>
            <w:r>
              <w:rPr>
                <w:b/>
                <w:sz w:val="17"/>
              </w:rPr>
              <w:t>37,783</w:t>
            </w:r>
          </w:p>
        </w:tc>
        <w:tc>
          <w:tcPr>
            <w:tcW w:type="dxa" w:w="1440"/>
            <w:shd w:fill="FFDCE0" w:val="clear"/>
          </w:tcPr>
          <w:p>
            <w:r>
              <w:rPr>
                <w:sz w:val="17"/>
              </w:rPr>
              <w:t>40,211</w:t>
            </w:r>
          </w:p>
        </w:tc>
        <w:tc>
          <w:tcPr>
            <w:tcW w:type="dxa" w:w="1440"/>
            <w:shd w:fill="FFDCE0" w:val="clear"/>
          </w:tcPr>
          <w:p>
            <w:r>
              <w:rPr>
                <w:b/>
                <w:color w:val="C00000"/>
                <w:sz w:val="17"/>
              </w:rPr>
              <w:t>-2.8%</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35,134</w:t>
            </w:r>
          </w:p>
        </w:tc>
        <w:tc>
          <w:tcPr>
            <w:tcW w:type="dxa" w:w="1440"/>
            <w:shd w:fill="FFDCE0" w:val="clear"/>
          </w:tcPr>
          <w:p>
            <w:r>
              <w:rPr>
                <w:b/>
                <w:sz w:val="17"/>
              </w:rPr>
              <w:t>37,704</w:t>
            </w:r>
          </w:p>
        </w:tc>
        <w:tc>
          <w:tcPr>
            <w:tcW w:type="dxa" w:w="1440"/>
            <w:shd w:fill="FFDCE0" w:val="clear"/>
          </w:tcPr>
          <w:p>
            <w:r>
              <w:rPr>
                <w:sz w:val="17"/>
              </w:rPr>
              <w:t>40,274</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34,924</w:t>
            </w:r>
          </w:p>
        </w:tc>
        <w:tc>
          <w:tcPr>
            <w:tcW w:type="dxa" w:w="1440"/>
            <w:shd w:fill="FFDCE0" w:val="clear"/>
          </w:tcPr>
          <w:p>
            <w:r>
              <w:rPr>
                <w:b/>
                <w:sz w:val="17"/>
              </w:rPr>
              <w:t>37,627</w:t>
            </w:r>
          </w:p>
        </w:tc>
        <w:tc>
          <w:tcPr>
            <w:tcW w:type="dxa" w:w="1440"/>
            <w:shd w:fill="FFDCE0" w:val="clear"/>
          </w:tcPr>
          <w:p>
            <w:r>
              <w:rPr>
                <w:sz w:val="17"/>
              </w:rPr>
              <w:t>40,330</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1 209,29 milliards FCFA, SGBC s'impose comme l'une des toutes premières capitalisations de la BRVM, ce qui en fait un pilier de l'indice BRVM Composite et un incontournable pour les investisseurs institutionnels de la zone UEMOA. Le BPA de 3 258 FCFA/action signifie que chaque titre génère un bénéfice net de plus de 3 200 FCFA, un niveau exceptionnel qui traduit la forte rentabilité de la banque. Le PER de 11,9x se situe dans la fourchette haute de la moyenne BRVM (8-12x), indiquant une valorisation modérée mais légèrement exigeante, cohérente avec la prime de qualité accordée au leader bancaire ivoirien. Le P/B de 2,44x montre que le marché valorise SGBC à plus du double de sa valeur comptable, une prime de croissance justifiée par un ROE supérieur à 20%. En revanche, l'EV/EBITDA de 24,7x apparaît très exigeant (&gt;15x), signalant que la valeur d'entreprise intègre déjà une part importante d'optimisme — un point de vigilance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performance remarquable de +17,79%, avec un cours actuel de 38 870 FCFA et une variation J-1 nulle (+0,00%), signe d'une séance de consolidation sans pression vendeuse. Le range de trading s'étend de 32 800 FCFA (plus bas) à 39 300 FCFA (plus haut), soit une amplitude de 19,8% qui témoigne d'une tendance nettement haussière, le cours évoluant désormais dans le haut de cette fourchette. La moyenne (37 446 FCFA) est inférieure à la médiane (38 000 FCFA), ce qui confirme une distribution asymétrique avec davantage de séances passées au-dessus de la moyenne — cohérent avec le skewness négatif de -1,151 indiquant une prédominance de journées haussières ponctuées de rares mais marquées corrections baissières. L'écart-type de 1 867 FCFA et le coefficient de variation de 5,0% révèlent une dispersion modérée du cours, tandis que le kurtosis de 0,124 (mésokurtique) suggère une distribution proche de la normale, sans risque excessif de pics extrêmes. La volatilité annualisée de 23,9% positionne SGBC dans la catégorie des titres à volatilité modérée (15-30%), ce qui est rassurant pour une action bancaire de premier rang.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(38 642,5 FCFA) et la MM50 (38 428,4 FCFA) se situent toutes deux sous le cours actuel (38 870 FCFA), avec la MM20 au-dessus de la MM50 — configuration haussière classique (golden cross). Cette disposition confirme la dynamique positive et justifie la décision d'**Achat**.</w:t>
      </w:r>
    </w:p>
    <w:p>
      <w:pPr>
        <w:spacing w:after="120" w:line="276" w:lineRule="auto"/>
      </w:pPr>
      <w:r>
        <w:t>**Bandes de Bollinger** : Le cours (38 870 FCFA) évolue dans la moitié supérieure de la bande, entre la borne inférieure (37 612,2 FCFA) et la borne supérieure (39 672,8 FCFA), sans la toucher. Cette position médiane-haute traduit une volatilité contenue et une absence de signal extrême, d'où la décision **Neutre**.</w:t>
      </w:r>
    </w:p>
    <w:p>
      <w:pPr>
        <w:spacing w:after="120" w:line="276" w:lineRule="auto"/>
      </w:pPr>
      <w:r>
        <w:t>**MACD** : La valeur du MACD (75,056) dépasse largement son signal (29,513), générant un histogramme positif de 45,5 points — divergence haussière marquée qui confirme un momentum acheteur solide. La décision d'**Achat** est pleinement justifiée par cette configuration.</w:t>
      </w:r>
    </w:p>
    <w:p>
      <w:pPr>
        <w:spacing w:after="120" w:line="276" w:lineRule="auto"/>
      </w:pPr>
      <w:r>
        <w:t>**RSI** : À 62,788, le RSI se situe en zone neutre-haute, sans atteindre le seuil de surachat (70). Le titre conserve donc un potentiel de progression sans risque immédiat de correction, ce qui explique la décision **Neutre** (ni suracheté, ni survendu).</w:t>
      </w:r>
    </w:p>
    <w:p>
      <w:pPr>
        <w:spacing w:after="120" w:line="276" w:lineRule="auto"/>
      </w:pPr>
      <w:r>
        <w:t>**Stochastique** : Le %K (72,803) et le %D (73,214) évoluent en zone haute mais restent proches l'un de l'autre, sans croisement baissier significatif. Cette configuration indique une pression acheteuse persistante mais essoufflée, justifiant la décision **Neutre**.</w:t>
      </w:r>
    </w:p>
    <w:p>
      <w:pPr>
        <w:spacing w:after="120" w:line="276" w:lineRule="auto"/>
      </w:pPr>
      <w:r>
        <w:t>**Conclusion technique** : Les indicateurs convergent majoritairement vers un biais haussier (MM en golden cross, MACD fortement positif), mais les oscillateurs (RSI, Stochastique, Bollinger) affichent une neutralité qui suggère une phase de consolidation avant une éventuelle nouvelle impulsion. Le titre reste techniquement sain, avec un support dynamique autour de 38 400 FCFA (MM50) et une résistance immédiate à 39 300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SGBC affiche des fondamentaux exceptionnellement solides, avec un Produit Net Bancaire (PNB, équivalent du chiffre d'affaires pour une banque) de 276,048 milliards FCFA et un résultat net de 101,352 milliards FCFA — franchissant pour la première fois le seuil symbolique des 100 milliards. Le ROE de 20,47% (largement supérieur au seuil d'excellence de 15%) et le ROA de 2,69% confirment une rentabilité de premier ordre, tandis que le coefficient d'exploitation de 38,75% (bien en dessous du seuil de 60% d'efficacité, et même sous les 50% d'excellence) témoigne d'une maîtrise remarquable des coûts. Le coût du risque, mesuré par le ratio provisions/charges financières (17,995/47,775 = 37,7%), reste contenu, bien que le taux de créances en souffrance (NPL) ait grimpé à 7,5% fin 2024 puis 7,8% au S1 2025 — un point de vigilance. La structure bilancielle est saine : les dépôts clientèle (2 907,675 milliards FCFA) couvrent largement les créances clientèle (2 546,290 milliards FCFA), avec un ratio prêts/dépôts de 84,6% au T3 2025 (contre ~96% un an plus tôt), traduisant un rééquilibrage stratégique favorable à la liquidité. Les rapports trimestriels confirment cette dynamique : au T3 2025 (rapport du 30/09/2025), le PNB cumulé atteint 201,0 milliards FCFA (+2,5% sur 9 mois) et le résultat net 83,3 milliards FCFA (+11,7%), avec un coefficient d'exploitation amélioré à 37,3%. Le rapport S1 2025 (30/06/2025) soulignait déjà un ROE de 23,8% et un ratio de solvabilité de 17,7%, bien au-dessus du minimum réglementaire de 12,5%. Sur la base de ces tendances, on estime que l'exercice 2025 devrait clôturer avec un résultat net proche de 110-112 milliards FCFA, confirmant la trajectoire de croissance rentable. La notation AAA (Bloomfield), unique parmi les banques de la BRVM, constitue un gage de solidité exceptionnel. **Recommandation fondamentale : CONSERVER avec biais positif** — la solidité financière est incontestable, mais la hausse du NPL et la valorisation exigeante (EV/EBITDA 24,7x) invitent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équilibré mais légèrement asymétrique. **Valorisation (Partie 0)** : le PER de 11,9x et le P/B de 2,44x indiquent une valorisation modérée à exigeante, sans décote flagrante, tandis que l'EV/EBITDA de 24,7x suggère une certaine surévaluation opérationnelle. **Comportement du cours (Partie 1)** : la tendance haussière (+17,79%) avec une volatilité modérée (23,9%) et un skewness négatif (-1,151) est favorable, mais le kurtosis mésokurtique (0,124) n'annonce pas de pics extrêmes — un profil rassurant. **Signaux techniques (Partie 2)** : convergence haussière des MM et du MACD, mais neutralité des oscillateurs (RSI 62,8, Stochastique 72,8), suggérant une consolidation avant reprise. **Fondamentaux (Partie 3)** : excellence opérationnelle (coefficient d'exploitation 38,75%, ROE 20,47%) et croissance du résultat net (+11,7% au T3 2025), mais vigilance sur le NPL (7,8%). **Prédictions IA (J+1 à J+10)** : la trajectoire prévue (38 413 → 38 033 FCFA) anticipe une légère correction de -2,2% sur 10 jours, ce qui contredit partiellement le momentum technique actuel mais s'aligne sur la neutralité des oscillateurs. **Recommandation finale : CONSERVER** — la convergence entre fondamentaux solides, technique haussière modérée et prédiction de consolidation plaide pour une position attentiste. Le niveau de confiance est **Moyen** (les signaux sont mitigés entre hausse technique et correction prédite), le risque global est **Faible à Moyen** (titre défensif noté AAA, mais valorisation tendue), et l'horizon optimal est **moyen terme (3-12 mois)** pour capturer les dividendes (rendement estimé ~4,8% sur la base du DPA 2024 de 1 863 FCFA) et la croissance structurelle de la banque.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157.50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4,654 titres</w:t>
            </w:r>
          </w:p>
        </w:tc>
        <w:tc>
          <w:tcPr>
            <w:tcW w:type="dxa" w:w="2268"/>
            <w:shd w:fill="FFF2CC" w:val="clear"/>
          </w:tcPr>
          <w:p>
            <w:r>
              <w:rPr>
                <w:b/>
                <w:color w:val="503200"/>
                <w:sz w:val="16"/>
              </w:rPr>
              <w:t xml:space="preserve">Cours actuel : </w:t>
            </w:r>
            <w:r>
              <w:rPr>
                <w:color w:val="000000"/>
                <w:sz w:val="17"/>
              </w:rPr>
              <w:t>2,500 FCFA</w:t>
            </w:r>
          </w:p>
          <w:p>
            <w:r>
              <w:rPr>
                <w:b/>
                <w:color w:val="503200"/>
                <w:sz w:val="16"/>
              </w:rPr>
              <w:t xml:space="preserve">Var. 100 jours : </w:t>
            </w:r>
            <w:r>
              <w:rPr>
                <w:b/>
                <w:color w:val="007800"/>
                <w:sz w:val="17"/>
              </w:rPr>
              <w:t>+25.63%</w:t>
            </w:r>
          </w:p>
          <w:p>
            <w:r>
              <w:rPr>
                <w:b/>
                <w:color w:val="503200"/>
                <w:sz w:val="16"/>
              </w:rPr>
              <w:t xml:space="preserve">Plus haut 100j : </w:t>
            </w:r>
            <w:r>
              <w:rPr>
                <w:color w:val="000000"/>
                <w:sz w:val="17"/>
              </w:rPr>
              <w:t>2,500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8.29% (Moyenne) — μ=2,151 FCFA, σ=178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β=1.0086 (Neutre (suit le marché)) — Cov=0.000035, Var(idx)=0.000035, ρ=0.273,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2,261</w:t>
            </w:r>
          </w:p>
        </w:tc>
        <w:tc>
          <w:tcPr>
            <w:tcW w:type="dxa" w:w="1440"/>
            <w:shd w:fill="FFDCE0" w:val="clear"/>
          </w:tcPr>
          <w:p>
            <w:r>
              <w:rPr>
                <w:b/>
                <w:sz w:val="17"/>
              </w:rPr>
              <w:t>2,334</w:t>
            </w:r>
          </w:p>
        </w:tc>
        <w:tc>
          <w:tcPr>
            <w:tcW w:type="dxa" w:w="1440"/>
            <w:shd w:fill="FFDCE0" w:val="clear"/>
          </w:tcPr>
          <w:p>
            <w:r>
              <w:rPr>
                <w:sz w:val="17"/>
              </w:rPr>
              <w:t>2,408</w:t>
            </w:r>
          </w:p>
        </w:tc>
        <w:tc>
          <w:tcPr>
            <w:tcW w:type="dxa" w:w="1440"/>
            <w:shd w:fill="FFDCE0" w:val="clear"/>
          </w:tcPr>
          <w:p>
            <w:r>
              <w:rPr>
                <w:b/>
                <w:color w:val="C00000"/>
                <w:sz w:val="17"/>
              </w:rPr>
              <w:t>-6.6%</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2,113</w:t>
            </w:r>
          </w:p>
        </w:tc>
        <w:tc>
          <w:tcPr>
            <w:tcW w:type="dxa" w:w="1440"/>
            <w:shd w:fill="FFDCE0" w:val="clear"/>
          </w:tcPr>
          <w:p>
            <w:r>
              <w:rPr>
                <w:b/>
                <w:sz w:val="17"/>
              </w:rPr>
              <w:t>2,211</w:t>
            </w:r>
          </w:p>
        </w:tc>
        <w:tc>
          <w:tcPr>
            <w:tcW w:type="dxa" w:w="1440"/>
            <w:shd w:fill="FFDCE0" w:val="clear"/>
          </w:tcPr>
          <w:p>
            <w:r>
              <w:rPr>
                <w:sz w:val="17"/>
              </w:rPr>
              <w:t>2,310</w:t>
            </w:r>
          </w:p>
        </w:tc>
        <w:tc>
          <w:tcPr>
            <w:tcW w:type="dxa" w:w="1440"/>
            <w:shd w:fill="FFDCE0" w:val="clear"/>
          </w:tcPr>
          <w:p>
            <w:r>
              <w:rPr>
                <w:b/>
                <w:color w:val="C00000"/>
                <w:sz w:val="17"/>
              </w:rPr>
              <w:t>-11.5%</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1,989</w:t>
            </w:r>
          </w:p>
        </w:tc>
        <w:tc>
          <w:tcPr>
            <w:tcW w:type="dxa" w:w="1440"/>
            <w:shd w:fill="FFDCE0" w:val="clear"/>
          </w:tcPr>
          <w:p>
            <w:r>
              <w:rPr>
                <w:b/>
                <w:sz w:val="17"/>
              </w:rPr>
              <w:t>2,103</w:t>
            </w:r>
          </w:p>
        </w:tc>
        <w:tc>
          <w:tcPr>
            <w:tcW w:type="dxa" w:w="1440"/>
            <w:shd w:fill="FFDCE0" w:val="clear"/>
          </w:tcPr>
          <w:p>
            <w:r>
              <w:rPr>
                <w:sz w:val="17"/>
              </w:rPr>
              <w:t>2,218</w:t>
            </w:r>
          </w:p>
        </w:tc>
        <w:tc>
          <w:tcPr>
            <w:tcW w:type="dxa" w:w="1440"/>
            <w:shd w:fill="FFDCE0" w:val="clear"/>
          </w:tcPr>
          <w:p>
            <w:r>
              <w:rPr>
                <w:b/>
                <w:color w:val="C00000"/>
                <w:sz w:val="17"/>
              </w:rPr>
              <w:t>-15.9%</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1,889</w:t>
            </w:r>
          </w:p>
        </w:tc>
        <w:tc>
          <w:tcPr>
            <w:tcW w:type="dxa" w:w="1440"/>
            <w:shd w:fill="FFDCE0" w:val="clear"/>
          </w:tcPr>
          <w:p>
            <w:r>
              <w:rPr>
                <w:b/>
                <w:sz w:val="17"/>
              </w:rPr>
              <w:t>2,015</w:t>
            </w:r>
          </w:p>
        </w:tc>
        <w:tc>
          <w:tcPr>
            <w:tcW w:type="dxa" w:w="1440"/>
            <w:shd w:fill="FFDCE0" w:val="clear"/>
          </w:tcPr>
          <w:p>
            <w:r>
              <w:rPr>
                <w:sz w:val="17"/>
              </w:rPr>
              <w:t>2,142</w:t>
            </w:r>
          </w:p>
        </w:tc>
        <w:tc>
          <w:tcPr>
            <w:tcW w:type="dxa" w:w="1440"/>
            <w:shd w:fill="FFDCE0" w:val="clear"/>
          </w:tcPr>
          <w:p>
            <w:r>
              <w:rPr>
                <w:b/>
                <w:color w:val="C00000"/>
                <w:sz w:val="17"/>
              </w:rPr>
              <w:t>-19.4%</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1,807</w:t>
            </w:r>
          </w:p>
        </w:tc>
        <w:tc>
          <w:tcPr>
            <w:tcW w:type="dxa" w:w="1440"/>
            <w:shd w:fill="FFDCE0" w:val="clear"/>
          </w:tcPr>
          <w:p>
            <w:r>
              <w:rPr>
                <w:b/>
                <w:sz w:val="17"/>
              </w:rPr>
              <w:t>1,944</w:t>
            </w:r>
          </w:p>
        </w:tc>
        <w:tc>
          <w:tcPr>
            <w:tcW w:type="dxa" w:w="1440"/>
            <w:shd w:fill="FFDCE0" w:val="clear"/>
          </w:tcPr>
          <w:p>
            <w:r>
              <w:rPr>
                <w:sz w:val="17"/>
              </w:rPr>
              <w:t>2,081</w:t>
            </w:r>
          </w:p>
        </w:tc>
        <w:tc>
          <w:tcPr>
            <w:tcW w:type="dxa" w:w="1440"/>
            <w:shd w:fill="FFDCE0" w:val="clear"/>
          </w:tcPr>
          <w:p>
            <w:r>
              <w:rPr>
                <w:b/>
                <w:color w:val="C00000"/>
                <w:sz w:val="17"/>
              </w:rPr>
              <w:t>-22.2%</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1,740</w:t>
            </w:r>
          </w:p>
        </w:tc>
        <w:tc>
          <w:tcPr>
            <w:tcW w:type="dxa" w:w="1440"/>
            <w:shd w:fill="FFDCE0" w:val="clear"/>
          </w:tcPr>
          <w:p>
            <w:r>
              <w:rPr>
                <w:b/>
                <w:sz w:val="17"/>
              </w:rPr>
              <w:t>1,885</w:t>
            </w:r>
          </w:p>
        </w:tc>
        <w:tc>
          <w:tcPr>
            <w:tcW w:type="dxa" w:w="1440"/>
            <w:shd w:fill="FFDCE0" w:val="clear"/>
          </w:tcPr>
          <w:p>
            <w:r>
              <w:rPr>
                <w:sz w:val="17"/>
              </w:rPr>
              <w:t>2,030</w:t>
            </w:r>
          </w:p>
        </w:tc>
        <w:tc>
          <w:tcPr>
            <w:tcW w:type="dxa" w:w="1440"/>
            <w:shd w:fill="FFDCE0" w:val="clear"/>
          </w:tcPr>
          <w:p>
            <w:r>
              <w:rPr>
                <w:b/>
                <w:color w:val="C00000"/>
                <w:sz w:val="17"/>
              </w:rPr>
              <w:t>-24.6%</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1,682</w:t>
            </w:r>
          </w:p>
        </w:tc>
        <w:tc>
          <w:tcPr>
            <w:tcW w:type="dxa" w:w="1440"/>
            <w:shd w:fill="FFDCE0" w:val="clear"/>
          </w:tcPr>
          <w:p>
            <w:r>
              <w:rPr>
                <w:b/>
                <w:sz w:val="17"/>
              </w:rPr>
              <w:t>1,834</w:t>
            </w:r>
          </w:p>
        </w:tc>
        <w:tc>
          <w:tcPr>
            <w:tcW w:type="dxa" w:w="1440"/>
            <w:shd w:fill="FFDCE0" w:val="clear"/>
          </w:tcPr>
          <w:p>
            <w:r>
              <w:rPr>
                <w:sz w:val="17"/>
              </w:rPr>
              <w:t>1,987</w:t>
            </w:r>
          </w:p>
        </w:tc>
        <w:tc>
          <w:tcPr>
            <w:tcW w:type="dxa" w:w="1440"/>
            <w:shd w:fill="FFDCE0" w:val="clear"/>
          </w:tcPr>
          <w:p>
            <w:r>
              <w:rPr>
                <w:b/>
                <w:color w:val="C00000"/>
                <w:sz w:val="17"/>
              </w:rPr>
              <w:t>-26.6%</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1,631</w:t>
            </w:r>
          </w:p>
        </w:tc>
        <w:tc>
          <w:tcPr>
            <w:tcW w:type="dxa" w:w="1440"/>
            <w:shd w:fill="FFDCE0" w:val="clear"/>
          </w:tcPr>
          <w:p>
            <w:r>
              <w:rPr>
                <w:b/>
                <w:sz w:val="17"/>
              </w:rPr>
              <w:t>1,790</w:t>
            </w:r>
          </w:p>
        </w:tc>
        <w:tc>
          <w:tcPr>
            <w:tcW w:type="dxa" w:w="1440"/>
            <w:shd w:fill="FFDCE0" w:val="clear"/>
          </w:tcPr>
          <w:p>
            <w:r>
              <w:rPr>
                <w:sz w:val="17"/>
              </w:rPr>
              <w:t>1,949</w:t>
            </w:r>
          </w:p>
        </w:tc>
        <w:tc>
          <w:tcPr>
            <w:tcW w:type="dxa" w:w="1440"/>
            <w:shd w:fill="FFDCE0" w:val="clear"/>
          </w:tcPr>
          <w:p>
            <w:r>
              <w:rPr>
                <w:b/>
                <w:color w:val="C00000"/>
                <w:sz w:val="17"/>
              </w:rPr>
              <w:t>-28.4%</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1,585</w:t>
            </w:r>
          </w:p>
        </w:tc>
        <w:tc>
          <w:tcPr>
            <w:tcW w:type="dxa" w:w="1440"/>
            <w:shd w:fill="FFDCE0" w:val="clear"/>
          </w:tcPr>
          <w:p>
            <w:r>
              <w:rPr>
                <w:b/>
                <w:sz w:val="17"/>
              </w:rPr>
              <w:t>1,750</w:t>
            </w:r>
          </w:p>
        </w:tc>
        <w:tc>
          <w:tcPr>
            <w:tcW w:type="dxa" w:w="1440"/>
            <w:shd w:fill="FFDCE0" w:val="clear"/>
          </w:tcPr>
          <w:p>
            <w:r>
              <w:rPr>
                <w:sz w:val="17"/>
              </w:rPr>
              <w:t>1,915</w:t>
            </w:r>
          </w:p>
        </w:tc>
        <w:tc>
          <w:tcPr>
            <w:tcW w:type="dxa" w:w="1440"/>
            <w:shd w:fill="FFDCE0" w:val="clear"/>
          </w:tcPr>
          <w:p>
            <w:r>
              <w:rPr>
                <w:b/>
                <w:color w:val="C00000"/>
                <w:sz w:val="17"/>
              </w:rPr>
              <w:t>-30.0%</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1,544</w:t>
            </w:r>
          </w:p>
        </w:tc>
        <w:tc>
          <w:tcPr>
            <w:tcW w:type="dxa" w:w="1440"/>
            <w:shd w:fill="FFDCE0" w:val="clear"/>
          </w:tcPr>
          <w:p>
            <w:r>
              <w:rPr>
                <w:b/>
                <w:sz w:val="17"/>
              </w:rPr>
              <w:t>1,714</w:t>
            </w:r>
          </w:p>
        </w:tc>
        <w:tc>
          <w:tcPr>
            <w:tcW w:type="dxa" w:w="1440"/>
            <w:shd w:fill="FFDCE0" w:val="clear"/>
          </w:tcPr>
          <w:p>
            <w:r>
              <w:rPr>
                <w:sz w:val="17"/>
              </w:rPr>
              <w:t>1,884</w:t>
            </w:r>
          </w:p>
        </w:tc>
        <w:tc>
          <w:tcPr>
            <w:tcW w:type="dxa" w:w="1440"/>
            <w:shd w:fill="FFDCE0" w:val="clear"/>
          </w:tcPr>
          <w:p>
            <w:r>
              <w:rPr>
                <w:b/>
                <w:color w:val="C00000"/>
                <w:sz w:val="17"/>
              </w:rPr>
              <w:t>-31.4%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Secteur : Distribution pétrolière aval**</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**157,50 Mds FCFA**, SHEC se positionne parmi les valeurs moyennes de la cote BRVM, ce qui traduit une taille significative mais loin des poids lourds du marché. Le **BPA de 96 FCFA/action** indique que chaque titre génère près de 96 FCFA de bénéfice net, un niveau correct mais modeste au regard du cours actuel de 2 500 FCFA. Le **PER de 26,1x** est nettement supérieur à la moyenne BRVM (8-12x), signalant que les investisseurs paient une prime élevée pour les bénéfices — soit en anticipant une forte croissance, soit en raison d'une surévaluation spéculative. Le **P/B de 5,80x** confirme cette exigence : le marché valorise SHEC à près de 6 fois sa valeur comptable, ce qui est très élevé pour une activité de distribution à faible marge. Enfin, l'**EV/EBITDA de 13,7x** (fourchette haute 10-15x) montre que la valeur d'entreprise rapportée à la capacité opérationnelle reste tendue, cohérente avec un titre dont le cours a fortement progressé.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**progression remarquable de +25,63%**, avec une dernière séance quasi stable (**+0,20%**), le titre clôturant à **2 500 FCFA**, soit exactement son plus haut de période. Le range de trading est large, entre un plus bas de **1 840 FCFA** et un plus haut de **2 500 FCFA**, soit une amplitude de 36% qui témoigne d'une dynamique haussière puissante. La tendance générale est donc clairement **haussière**, portée par un momentum acheteur soutenu. Les statistiques descriptives révèlent une **moyenne de 2 151 FCFA** légèrement inférieure à la **médiane de 2 168 FCFA**, avec un mode à 2 200 FCFA : l'écart faible entre ces trois mesures indique une distribution globalement équilibrée, bien que le cours actuel (2 500 FCFA) se situe nettement au-dessus de ces repères centraux, signe d'une accélération récente. L'**écart-type de 179 FCFA (CV = 8,3%)** traduit une dispersion modérée du cours autour de sa moyenne, tandis que le **kurtosis de -0,881 (mésokurtique)** suggère une distribution proche de la normale, sans risque excessif de pics extrêmes. Le **skewness de 0,280** confirme une légère asymétrie positive, c'est-à-dire une proportion légèrement plus forte de séances haussières. Enfin, la **volatilité annualisée de 34,3%** classe SHEC dans la catégorie des titres à **volatilité élevée** (&gt;30%), ce qui implique un risque de correction significatif après un tel rallye.</w:t>
      </w:r>
    </w:p>
    <w:p>
      <w:pPr>
        <w:spacing w:after="120" w:line="276" w:lineRule="auto"/>
      </w:pPr>
      <w:r>
        <w:t>---</w:t>
      </w:r>
    </w:p>
    <w:p>
      <w:pPr>
        <w:spacing w:after="120" w:line="276" w:lineRule="auto"/>
      </w:pPr>
      <w:r>
        <w:t>## PARTIE 2 : ANALYSE TECHNIQUE DÉTAILLÉE</w:t>
      </w:r>
    </w:p>
    <w:p>
      <w:pPr>
        <w:spacing w:after="120" w:line="276" w:lineRule="auto"/>
      </w:pPr>
      <w:r>
        <w:t>**Moyennes Mobiles** : La MM20 (2 415 FCFA) et la MM50 (2 295 FCFA) sont toutes deux inférieures au cours actuel (2 500 FCFA), et la MM20 surpasse la MM50 — configuration haussière classique en « golden cross ». Le cours évolue au-dessus de ses deux moyennes, ce qui valide la **décision d'Achat** et confirme la tendance positive de court et moyen terme.</w:t>
      </w:r>
    </w:p>
    <w:p>
      <w:pPr>
        <w:spacing w:after="120" w:line="276" w:lineRule="auto"/>
      </w:pPr>
      <w:r>
        <w:t>**Bandes de Bollinger** : Le cours (2 500 FCFA) se situe entre la borne inférieure (2 248,74 FCFA) et la borne supérieure (2 581,26 FCFA), mais très proche de cette dernière. Cette position haute indique une pression acheteuse soutenue, sans franchissement de la borne supérieure qui signalerait une surabondance. La **décision Neutre** reflète cette situation d'équilibre précaire, le titre étant proche de sa zone de résistance statistique.</w:t>
      </w:r>
    </w:p>
    <w:p>
      <w:pPr>
        <w:spacing w:after="120" w:line="276" w:lineRule="auto"/>
      </w:pPr>
      <w:r>
        <w:t>**MACD** : La valeur du MACD (55,588) est légèrement supérieure à son signal (54,935), avec un histogramme positif mais étroit. Cette configuration indique un **momentum haussier qui s'essouffle**, la divergence entre les deux lignes étant minime. La **décision d'Achat** reste valable mais la faiblesse de l'écart invite à la prudence sur la durabilité du mouvement.</w:t>
      </w:r>
    </w:p>
    <w:p>
      <w:pPr>
        <w:spacing w:after="120" w:line="276" w:lineRule="auto"/>
      </w:pPr>
      <w:r>
        <w:t>**RSI** : À **60,87**, le RSI se situe en zone neutre haute, sans atteindre le seuil de surachat (70). Cela signifie que le titre conserve un potentiel de hausse théorique, mais s'approche de niveaux où les prises de bénéfices deviennent probables. La **décision Neutre** est cohérente avec cette position intermédiaire.</w:t>
      </w:r>
    </w:p>
    <w:p>
      <w:pPr>
        <w:spacing w:after="120" w:line="276" w:lineRule="auto"/>
      </w:pPr>
      <w:r>
        <w:t>**Stochastique** : Les lignes %K et %D sont toutes deux à **100,0**, soit le niveau maximal absolu. Cette configuration extrême signale un **surachat manifeste** et un risque imminent de retournement baissier. La **décision de Vente** est ici la plus prudente, le stochastique étant le seul indicateur à émettre un signal clairement négatif.</w:t>
      </w:r>
    </w:p>
    <w:p>
      <w:pPr>
        <w:spacing w:after="120" w:line="276" w:lineRule="auto"/>
      </w:pPr>
      <w:r>
        <w:t>**Conclusion technique** : Les indicateurs présentent une **divergence préoccupante**. Les moyennes mobiles et le MACD restent haussiers, mais le stochastique en surachat extrême (100) et le RSI proche de 61 suggèrent un essoufflement imminent. Le titre évolue près de la borne supérieure de Bollinger, ce qui limite le potentiel de hausse à court terme. La convergence des signaux penche vers une **prise de bénéfices prochaine**, malgré la tendance de fond encore positive.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affiche un **chiffre d'affaires de 604,978 Mds FCFA**, en très légère hausse de **+0,71%** sur un an, traduisant une **stagnation commerciale**. Le **résultat net s'établit à 6,028 Mds FCFA**, en progression de **+12,6%**, portée par l'amélioration de la valeur ajoutée (+15%) et la baisse des charges financières (-17,7%). La **marge nette reste très faible à 0,996%**, caractéristique du secteur pétrolier aval, mais en légère amélioration. Le **ROE de 22,20%** est excellent (&gt;15%), signe d'une bonne rentabilité des fonds propres, tandis que le **ROA de 3,11%** reste modeste compte tenu de la rotation élevée des actifs (312,55%). En tant qu'**entreprise de distribution**, les délais d'exploitation sont sains : **délai clients de 23,27 jours** (risque trésorerie limité), **délai fournisseurs de 35,47 jours** (favorable à la trésorerie) et **durée de stockage de 7,47 jours** (rotation rapide). Cependant, la **trésorerie nette est fortement négative (-65,264 Mds FCFA)** et le **BFR de 15,315 Mds FCFA** pèse sur la liquidité, tandis que l'**autonomie financière de 14,03%** est très inférieure au seuil sain de 30%.</w:t>
      </w:r>
    </w:p>
    <w:p>
      <w:pPr>
        <w:spacing w:after="120" w:line="276" w:lineRule="auto"/>
      </w:pPr>
      <w:r>
        <w:t>**Estimations basées sur les rapports trimestriels** : Le **rapport S1 2026 (30 juin 2026)** indique un CA de **305 038 M FCFA (-1%)** avec un **résultat d'exploitation en hausse de +17% à 6 133 M FCFA** et un **résultat net de 3 016 M FCFA**, soutenu par le butane. Le **rapport T3 2025 (30 septembre 2025)** affichait un résultat net de **4,119 Mds FCFA (+45%)** sur neuf mois, avec une marge nette de 0,91%. Sur cette base, on peut **estimer que l'exercice 2026 devrait maintenir une rentabilité stable autour de 6 Mds FCFA**, avec une possible consolidation après la forte progression de 2025. Le **dividende proposé de 6,09 Mds FCFA (1 933 FCFA/action)** pour 2025, en hausse de +13%, offre un rendement attractif mais un **taux de distribution de 101%** qui fragilise la structure financière.</w:t>
      </w:r>
    </w:p>
    <w:p>
      <w:pPr>
        <w:spacing w:after="120" w:line="276" w:lineRule="auto"/>
      </w:pPr>
      <w:r>
        <w:t>**Recommandation fondamentale** : La société présente des **fondamentaux solides en rentabilité (ROE 22%)** mais **fragiles en structure financière** (trésorerie négative, endettement élevé). Les risques principaux sont la volatilité des volumes (aviation, bitume) et la dépendance aux concours bancaires. La recommandation fondamentale est **CONSERVER**, en attendant une clarification de la trajectoire de désendettement.</w:t>
      </w:r>
    </w:p>
    <w:p>
      <w:pPr>
        <w:spacing w:after="120" w:line="276" w:lineRule="auto"/>
      </w:pPr>
      <w:r>
        <w:t>---</w:t>
      </w:r>
    </w:p>
    <w:p>
      <w:pPr>
        <w:spacing w:after="120" w:line="276" w:lineRule="auto"/>
      </w:pPr>
      <w:r>
        <w:t>## PARTIE 4 : CONCLUSION D'INVESTISSEMENT</w:t>
      </w:r>
    </w:p>
    <w:p>
      <w:pPr>
        <w:spacing w:after="120" w:line="276" w:lineRule="auto"/>
      </w:pPr>
      <w:r>
        <w:t>La synthèse globale révèle une **divergence marquée entre les signaux**. Sur le plan de la **valorisation (Partie 0)**, les ratios PER (26,1x), P/B (5,80x) et EV/EBITDA (13,7x) indiquent une **surévaluation manifeste** par rapport aux moyennes du marché BRVM, le titre ayant intégré une prime de croissance qui tarde à se matérialiser dans les chiffres. Le **comportement du cours (Partie 1)** est haussier (+25,63%) mais la **volatilité élevée (34,3%)** et la position du cours au plus haut (2 500 FCFA) exposent à une correction, d'autant que le kurtosis et le skewness suggèrent une distribution sans biais extrême mais proche d'un point de retournement. Les **signaux techniques (Partie 2)** sont mitigés : les moyennes mobiles et le MACD restent haussiers, mais le **stochastique en surachat absolu (100)** et le RSI à 60,87 annoncent un essoufflement imminent. Les **fondamentaux (Partie 3)** montrent une rentabilité correcte (ROE 22%, résultat net +12,6% en 2025) mais une **structure financière dégradée** (trésorerie nette -65,26 Mds FCFA, autonomie financière 14%). Enfin, les **prédictions IA (J+1 à J+10)** anticipent une **chute brutale de 2 334 FCFA à 1 944 FCFA (-22,2%)** sur dix jours, ce qui **contredit frontalement** la tendance haussière récente et confirme les signaux de surachat technique.</w:t>
      </w:r>
    </w:p>
    <w:p>
      <w:pPr>
        <w:spacing w:after="120" w:line="276" w:lineRule="auto"/>
      </w:pPr>
      <w:r>
        <w:t>**Recommandation finale : VENTE (prise de bénéfices)**</w:t>
      </w:r>
    </w:p>
    <w:p>
      <w:pPr>
        <w:spacing w:after="120" w:line="276" w:lineRule="auto"/>
      </w:pPr>
      <w:r>
        <w:t>La convergence entre la **surévaluation fondamentale**, le **surachat technique extrême** et les **prédictions IA baissières** l'emporte sur la dynamique haussière passée. Le titre a probablement atteint un sommet de court terme, et une correction vers la zone des 2 100-2 200 FCFA (moyenne et médiane) est probable. **Niveau de confiance : Moyen** (les fondamentaux restent bénéficiaires, ce qui limite le potentiel baissier). **Niveau de risque global : Élevé** (volatilité 34,3%, trésorerie négative, valorisation tendue). **Horizon d'investissement suggéré : Court terme** pour les investisseurs souhaitant sécuriser leurs gains ; **moyen terme (3-12 mois)** pour ceux qui attendraient un retour vers 2 100-2 200 FCFA avant de se repositionner sur des bases plus saines.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10,391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+32.86%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9.43% (Moyenne) — μ=8,505 FCFA, σ=802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β=0.2989 (Défensif) — Cov=0.000010, Var(idx)=0.000035, ρ=0.097,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10,391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8,691</w:t>
            </w:r>
          </w:p>
        </w:tc>
        <w:tc>
          <w:tcPr>
            <w:tcW w:type="dxa" w:w="1440"/>
            <w:shd w:fill="FFDCE0" w:val="clear"/>
          </w:tcPr>
          <w:p>
            <w:r>
              <w:rPr>
                <w:b/>
                <w:sz w:val="17"/>
              </w:rPr>
              <w:t>8,964</w:t>
            </w:r>
          </w:p>
        </w:tc>
        <w:tc>
          <w:tcPr>
            <w:tcW w:type="dxa" w:w="1440"/>
            <w:shd w:fill="FFDCE0" w:val="clear"/>
          </w:tcPr>
          <w:p>
            <w:r>
              <w:rPr>
                <w:sz w:val="17"/>
              </w:rPr>
              <w:t>9,237</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8,276</w:t>
            </w:r>
          </w:p>
        </w:tc>
        <w:tc>
          <w:tcPr>
            <w:tcW w:type="dxa" w:w="1440"/>
            <w:shd w:fill="FFDCE0" w:val="clear"/>
          </w:tcPr>
          <w:p>
            <w:r>
              <w:rPr>
                <w:b/>
                <w:sz w:val="17"/>
              </w:rPr>
              <w:t>8,649</w:t>
            </w:r>
          </w:p>
        </w:tc>
        <w:tc>
          <w:tcPr>
            <w:tcW w:type="dxa" w:w="1440"/>
            <w:shd w:fill="FFDCE0" w:val="clear"/>
          </w:tcPr>
          <w:p>
            <w:r>
              <w:rPr>
                <w:sz w:val="17"/>
              </w:rPr>
              <w:t>9,021</w:t>
            </w:r>
          </w:p>
        </w:tc>
        <w:tc>
          <w:tcPr>
            <w:tcW w:type="dxa" w:w="1440"/>
            <w:shd w:fill="FFDCE0" w:val="clear"/>
          </w:tcPr>
          <w:p>
            <w:r>
              <w:rPr>
                <w:b/>
                <w:color w:val="C00000"/>
                <w:sz w:val="17"/>
              </w:rPr>
              <w:t>-7.0%</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7,924</w:t>
            </w:r>
          </w:p>
        </w:tc>
        <w:tc>
          <w:tcPr>
            <w:tcW w:type="dxa" w:w="1440"/>
            <w:shd w:fill="FFDCE0" w:val="clear"/>
          </w:tcPr>
          <w:p>
            <w:r>
              <w:rPr>
                <w:b/>
                <w:sz w:val="17"/>
              </w:rPr>
              <w:t>8,365</w:t>
            </w:r>
          </w:p>
        </w:tc>
        <w:tc>
          <w:tcPr>
            <w:tcW w:type="dxa" w:w="1440"/>
            <w:shd w:fill="FFDCE0" w:val="clear"/>
          </w:tcPr>
          <w:p>
            <w:r>
              <w:rPr>
                <w:sz w:val="17"/>
              </w:rPr>
              <w:t>8,805</w:t>
            </w:r>
          </w:p>
        </w:tc>
        <w:tc>
          <w:tcPr>
            <w:tcW w:type="dxa" w:w="1440"/>
            <w:shd w:fill="FFDCE0" w:val="clear"/>
          </w:tcPr>
          <w:p>
            <w:r>
              <w:rPr>
                <w:b/>
                <w:color w:val="C00000"/>
                <w:sz w:val="17"/>
              </w:rPr>
              <w:t>-10.1%</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7,630</w:t>
            </w:r>
          </w:p>
        </w:tc>
        <w:tc>
          <w:tcPr>
            <w:tcW w:type="dxa" w:w="1440"/>
            <w:shd w:fill="FFDCE0" w:val="clear"/>
          </w:tcPr>
          <w:p>
            <w:r>
              <w:rPr>
                <w:b/>
                <w:sz w:val="17"/>
              </w:rPr>
              <w:t>8,124</w:t>
            </w:r>
          </w:p>
        </w:tc>
        <w:tc>
          <w:tcPr>
            <w:tcW w:type="dxa" w:w="1440"/>
            <w:shd w:fill="FFDCE0" w:val="clear"/>
          </w:tcPr>
          <w:p>
            <w:r>
              <w:rPr>
                <w:sz w:val="17"/>
              </w:rPr>
              <w:t>8,619</w:t>
            </w:r>
          </w:p>
        </w:tc>
        <w:tc>
          <w:tcPr>
            <w:tcW w:type="dxa" w:w="1440"/>
            <w:shd w:fill="FFDCE0" w:val="clear"/>
          </w:tcPr>
          <w:p>
            <w:r>
              <w:rPr>
                <w:b/>
                <w:color w:val="C00000"/>
                <w:sz w:val="17"/>
              </w:rPr>
              <w:t>-12.6%</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7,384</w:t>
            </w:r>
          </w:p>
        </w:tc>
        <w:tc>
          <w:tcPr>
            <w:tcW w:type="dxa" w:w="1440"/>
            <w:shd w:fill="FFDCE0" w:val="clear"/>
          </w:tcPr>
          <w:p>
            <w:r>
              <w:rPr>
                <w:b/>
                <w:sz w:val="17"/>
              </w:rPr>
              <w:t>7,923</w:t>
            </w:r>
          </w:p>
        </w:tc>
        <w:tc>
          <w:tcPr>
            <w:tcW w:type="dxa" w:w="1440"/>
            <w:shd w:fill="FFDCE0" w:val="clear"/>
          </w:tcPr>
          <w:p>
            <w:r>
              <w:rPr>
                <w:sz w:val="17"/>
              </w:rPr>
              <w:t>8,462</w:t>
            </w:r>
          </w:p>
        </w:tc>
        <w:tc>
          <w:tcPr>
            <w:tcW w:type="dxa" w:w="1440"/>
            <w:shd w:fill="FFDCE0" w:val="clear"/>
          </w:tcPr>
          <w:p>
            <w:r>
              <w:rPr>
                <w:b/>
                <w:color w:val="C00000"/>
                <w:sz w:val="17"/>
              </w:rPr>
              <w:t>-14.8%</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7,174</w:t>
            </w:r>
          </w:p>
        </w:tc>
        <w:tc>
          <w:tcPr>
            <w:tcW w:type="dxa" w:w="1440"/>
            <w:shd w:fill="FFDCE0" w:val="clear"/>
          </w:tcPr>
          <w:p>
            <w:r>
              <w:rPr>
                <w:b/>
                <w:sz w:val="17"/>
              </w:rPr>
              <w:t>7,751</w:t>
            </w:r>
          </w:p>
        </w:tc>
        <w:tc>
          <w:tcPr>
            <w:tcW w:type="dxa" w:w="1440"/>
            <w:shd w:fill="FFDCE0" w:val="clear"/>
          </w:tcPr>
          <w:p>
            <w:r>
              <w:rPr>
                <w:sz w:val="17"/>
              </w:rPr>
              <w:t>8,329</w:t>
            </w:r>
          </w:p>
        </w:tc>
        <w:tc>
          <w:tcPr>
            <w:tcW w:type="dxa" w:w="1440"/>
            <w:shd w:fill="FFDCE0" w:val="clear"/>
          </w:tcPr>
          <w:p>
            <w:r>
              <w:rPr>
                <w:b/>
                <w:color w:val="C00000"/>
                <w:sz w:val="17"/>
              </w:rPr>
              <w:t>-16.7%</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6,990</w:t>
            </w:r>
          </w:p>
        </w:tc>
        <w:tc>
          <w:tcPr>
            <w:tcW w:type="dxa" w:w="1440"/>
            <w:shd w:fill="FFDCE0" w:val="clear"/>
          </w:tcPr>
          <w:p>
            <w:r>
              <w:rPr>
                <w:b/>
                <w:sz w:val="17"/>
              </w:rPr>
              <w:t>7,602</w:t>
            </w:r>
          </w:p>
        </w:tc>
        <w:tc>
          <w:tcPr>
            <w:tcW w:type="dxa" w:w="1440"/>
            <w:shd w:fill="FFDCE0" w:val="clear"/>
          </w:tcPr>
          <w:p>
            <w:r>
              <w:rPr>
                <w:sz w:val="17"/>
              </w:rPr>
              <w:t>8,213</w:t>
            </w:r>
          </w:p>
        </w:tc>
        <w:tc>
          <w:tcPr>
            <w:tcW w:type="dxa" w:w="1440"/>
            <w:shd w:fill="FFDCE0" w:val="clear"/>
          </w:tcPr>
          <w:p>
            <w:r>
              <w:rPr>
                <w:b/>
                <w:color w:val="C00000"/>
                <w:sz w:val="17"/>
              </w:rPr>
              <w:t>-18.3%</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6,826</w:t>
            </w:r>
          </w:p>
        </w:tc>
        <w:tc>
          <w:tcPr>
            <w:tcW w:type="dxa" w:w="1440"/>
            <w:shd w:fill="FFDCE0" w:val="clear"/>
          </w:tcPr>
          <w:p>
            <w:r>
              <w:rPr>
                <w:b/>
                <w:sz w:val="17"/>
              </w:rPr>
              <w:t>7,469</w:t>
            </w:r>
          </w:p>
        </w:tc>
        <w:tc>
          <w:tcPr>
            <w:tcW w:type="dxa" w:w="1440"/>
            <w:shd w:fill="FFDCE0" w:val="clear"/>
          </w:tcPr>
          <w:p>
            <w:r>
              <w:rPr>
                <w:sz w:val="17"/>
              </w:rPr>
              <w:t>8,111</w:t>
            </w:r>
          </w:p>
        </w:tc>
        <w:tc>
          <w:tcPr>
            <w:tcW w:type="dxa" w:w="1440"/>
            <w:shd w:fill="FFDCE0" w:val="clear"/>
          </w:tcPr>
          <w:p>
            <w:r>
              <w:rPr>
                <w:b/>
                <w:color w:val="C00000"/>
                <w:sz w:val="17"/>
              </w:rPr>
              <w:t>-19.7%</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6,678</w:t>
            </w:r>
          </w:p>
        </w:tc>
        <w:tc>
          <w:tcPr>
            <w:tcW w:type="dxa" w:w="1440"/>
            <w:shd w:fill="FFDCE0" w:val="clear"/>
          </w:tcPr>
          <w:p>
            <w:r>
              <w:rPr>
                <w:b/>
                <w:sz w:val="17"/>
              </w:rPr>
              <w:t>7,349</w:t>
            </w:r>
          </w:p>
        </w:tc>
        <w:tc>
          <w:tcPr>
            <w:tcW w:type="dxa" w:w="1440"/>
            <w:shd w:fill="FFDCE0" w:val="clear"/>
          </w:tcPr>
          <w:p>
            <w:r>
              <w:rPr>
                <w:sz w:val="17"/>
              </w:rPr>
              <w:t>8,019</w:t>
            </w:r>
          </w:p>
        </w:tc>
        <w:tc>
          <w:tcPr>
            <w:tcW w:type="dxa" w:w="1440"/>
            <w:shd w:fill="FFDCE0" w:val="clear"/>
          </w:tcPr>
          <w:p>
            <w:r>
              <w:rPr>
                <w:b/>
                <w:color w:val="C00000"/>
                <w:sz w:val="17"/>
              </w:rPr>
              <w:t>-21.0%</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6,543</w:t>
            </w:r>
          </w:p>
        </w:tc>
        <w:tc>
          <w:tcPr>
            <w:tcW w:type="dxa" w:w="1440"/>
            <w:shd w:fill="FFDCE0" w:val="clear"/>
          </w:tcPr>
          <w:p>
            <w:r>
              <w:rPr>
                <w:b/>
                <w:sz w:val="17"/>
              </w:rPr>
              <w:t>7,240</w:t>
            </w:r>
          </w:p>
        </w:tc>
        <w:tc>
          <w:tcPr>
            <w:tcW w:type="dxa" w:w="1440"/>
            <w:shd w:fill="FFDCE0" w:val="clear"/>
          </w:tcPr>
          <w:p>
            <w:r>
              <w:rPr>
                <w:sz w:val="17"/>
              </w:rPr>
              <w:t>7,936</w:t>
            </w:r>
          </w:p>
        </w:tc>
        <w:tc>
          <w:tcPr>
            <w:tcW w:type="dxa" w:w="1440"/>
            <w:shd w:fill="FFDCE0" w:val="clear"/>
          </w:tcPr>
          <w:p>
            <w:r>
              <w:rPr>
                <w:b/>
                <w:color w:val="C00000"/>
                <w:sz w:val="17"/>
              </w:rPr>
              <w:t>-22.2%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ACTION SIBC (Société Ivoirienne de Banque)**</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930,00 milliards FCFA, la SIBC s'impose comme l'une des toutes premières capitalisations de la BRVM, ce qui témoigne de son statut de valeur phare du compartiment bancaire ouest-africain. Le BPA de 556 FCFA par action signifie que chaque titre génère un bénéfice net de 556 FCFA, ce qui, rapporté au cours actuel de 9 300 FCFA, donne un PER de 16,7x — un niveau modéré en absolu mais nettement supérieur à la moyenne du marché BRVM (8-12x), traduisant une prime de qualité consentie par les investisseurs. Le P/B de 4,54x indique que le marché valorise la banque à plus de quatre fois sa valeur comptable, une prime exigeante qui suppose une confiance forte dans la capacité de la SIBC à générer durablement des rendements supérieurs à son coût du capital. Enfin, l'EV/EBITDA de 15,5x, très exigeant, confirme que la valorisation actuelle intègre déjà une grande partie des bonnes performances opérationnelles,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spectaculaire de +32,86%, avec une dernière séance en hausse de +0,81%, confirmant une dynamique haussière toujours intacte. Le cours a évolué dans un range large de 6 805 FCFA (plus bas) à 9 500 FCFA (plus haut), soit une amplitude de près de 40%, ce qui traduit une tendance nettement haussière portée par un intérêt soutenu des investisseurs. Le cours actuel de 9 300 FCFA se situe à seulement 2,1% de son plus haut historique, signalant une forte pression acheteuse. Les statistiques descriptives révèlent une moyenne de 8 505 FCFA légèrement inférieure à la médiane de 8 845 FCFA, avec un mode à 9 000 FCFA : cet écart indique une asymétrie négative (skewness de -0,975), c'est-à-dire que le cours a passé davantage de journées au-dessus de sa moyenne, avec quelques journées de forte baisse venant tirer la moyenne vers le bas. L'écart-type de 806 FCFA (CV de 9,5%) traduit une dispersion modérée du cours, tandis que le kurtosis de -0,630 (mésokurtique) indique une distribution proche de la normale, sans risque excessif de pics extrêmes. La volatilité annualisée de 28,8% positionne le titre dans la catégorie des valeurs à volatilité modérée à élevée (proche du seuil de 30%), ce qui reste cohérent avec un titre bancaire en forte tendance haussière.</w:t>
      </w:r>
    </w:p>
    <w:p>
      <w:pPr>
        <w:spacing w:after="120" w:line="276" w:lineRule="auto"/>
      </w:pPr>
      <w:r>
        <w:t>---</w:t>
      </w:r>
    </w:p>
    <w:p>
      <w:pPr>
        <w:spacing w:after="120" w:line="276" w:lineRule="auto"/>
      </w:pPr>
      <w:r>
        <w:t>### PARTIE 2 : ANALYSE TECHNIQUE DÉTAILLÉE</w:t>
      </w:r>
    </w:p>
    <w:p>
      <w:pPr>
        <w:spacing w:after="120" w:line="276" w:lineRule="auto"/>
      </w:pPr>
      <w:r>
        <w:t>**Moyennes Mobiles** : La MM20 (9 181,75 FCFA) et la MM50 (9 057,30 FCFA) se situent toutes deux sous le cours actuel (9 300 FCFA), avec la MM20 au-dessus de la MM50 — configuration haussière classique (croisement doré). Cette disposition confirme la décision d'**Achat** : le titre évolue au-dessus de ses supports dynamiques, et la tendance de fond reste positive tant que le cours ne casse pas la MM50.</w:t>
      </w:r>
    </w:p>
    <w:p>
      <w:pPr>
        <w:spacing w:after="120" w:line="276" w:lineRule="auto"/>
      </w:pPr>
      <w:r>
        <w:t>**Bandes de Bollinger** : Le cours (9 300 FCFA) se situe à l'intérieur des bandes, entre la borne inférieure (8 995,76 FCFA) et la borne supérieure (9 367,74 FCFA), mais très proche de cette dernière. Cette position haute dans le canal traduit une pression acheteuse soutenue, mais la décision reste **Neutre** car le cours n'a pas encore cassé la borne supérieure, ce qui aurait signalé un signal d'achat fort. L'amplitude des bandes (372 FCFA) indique une volatilité contenue.</w:t>
      </w:r>
    </w:p>
    <w:p>
      <w:pPr>
        <w:spacing w:after="120" w:line="276" w:lineRule="auto"/>
      </w:pPr>
      <w:r>
        <w:t>**MACD** : La valeur du MACD (46,839) est légèrement inférieure à son signal (47,457), générant une décision de **Vente**. Cette divergence baissière, bien que marginale, suggère un essoufflement du momentum haussier à court terme. Il s'agit d'un signal de prudence : la tendance reste haussière, mais la dynamique pourrait ralentir.</w:t>
      </w:r>
    </w:p>
    <w:p>
      <w:pPr>
        <w:spacing w:after="120" w:line="276" w:lineRule="auto"/>
      </w:pPr>
      <w:r>
        <w:t>**RSI** : À 58,333, le RSI se situe en zone neutre (entre 30 et 70), sans signal de surachat (&gt;70) ni de survente (&lt;30). La décision est donc **Neutre** : le titre conserve un potentiel de hausse sans être dans une zone d'euphorie spéculative, ce qui est plutôt sain.</w:t>
      </w:r>
    </w:p>
    <w:p>
      <w:pPr>
        <w:spacing w:after="120" w:line="276" w:lineRule="auto"/>
      </w:pPr>
      <w:r>
        <w:t>**Stochastique** : Le %K (100,0) est au plus haut absolu, tandis que le %D (80,556) reste élevé mais inférieur, générant une décision de **Vente**. Le %K à 100 indique que le cours clôture au plus haut de sa fourchette récente, ce qui est un signal de surachat à court terme. Un croisement baissier du %K sous le %D pourrait déclencher une correction.</w:t>
      </w:r>
    </w:p>
    <w:p>
      <w:pPr>
        <w:spacing w:after="120" w:line="276" w:lineRule="auto"/>
      </w:pPr>
      <w:r>
        <w:t>**Conclusion technique** : Les indicateurs sont partagés. Les moyennes mobiles confirment une tendance haussière de fond, mais le MACD et le stochastique signalent un essoufflement à court terme, tandis que le RSI et les Bollinger restent neutres. Cette configuration suggère une possible consolidation ou correction avant une reprise, avec un support clé à surveiller autour de 9 057 FCFA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SIBC affiche un Produit Net Bancaire (PNB) de 108,663 milliards FCFA, en croissance de 5,74% par rapport à 2024, et un résultat net de 55,623 milliards FCFA. Le ROE s'établit à 27,16% — un niveau excellent (&gt;15%) — et le ROA à 2,96%, confirmant une rentabilité solide. Le coefficient d'exploitation de 38,59% est remarquablement bas (&lt;50%), signe d'une banque très efficace. Le ratio dépôts/crédits (1 503,44 Mds de dépôts pour 1 226,72 Mds de créances) indique une transformation saine, avec une liquidité abondante. Le coût du risque, bien qu'élevé selon le ratio fourni (provisions/charges financières), doit être nuancé par la forte baisse du coût du risque observée dans les rapports (-35% en 2024).</w:t>
      </w:r>
    </w:p>
    <w:p>
      <w:pPr>
        <w:spacing w:after="120" w:line="276" w:lineRule="auto"/>
      </w:pPr>
      <w:r>
        <w:t>**Estimations basées sur les rapports trimestriels** : Le rapport T1 2026 (publié le 31/12/2026) fait état d'un PNB de 27,7 Mds FCFA (+4% en glissement annuel) et d'un résultat net de 15,2 Mds FCFA (+11%), avec une marge nette exceptionnelle de 54,9%. Les dépôts progressent de +9% à 1 495 Mds FCFA et les crédits de +7% à 1 112 Mds FCFA. Sur cette base, on peut estimer que l'exercice 2026 devrait afficher un PNB annuel d'environ 115-118 Mds FCFA et un résultat net de 60-62 Mds FCFA, soit une croissance de 8-10% du bénéfice. Le rapport T3 2025 (30/09/2025) confirme cette dynamique avec un PNB cumulé de 81,4 Mds FCFA (+8%) et un résultat net de 43,0 Mds FCFA (+11%). Le rapport annuel 2024 (31/12/2024) indiquait un PNB de 102,8 Mds FCFA (+8%) et un résultat net de 50,2 Mds FCFA (+15%), avec un ROE de 30,56% et un dividende de 375 FCFA/action (rendement de 10,55% sur la base du cours de fin 2024). La trajectoire est donc celle d'une croissance régulière et rentable, portée par le plan stratégique « IMPULSION 2028 ».</w:t>
      </w:r>
    </w:p>
    <w:p>
      <w:pPr>
        <w:spacing w:after="120" w:line="276" w:lineRule="auto"/>
      </w:pPr>
      <w:r>
        <w:t>**Recommandation fondamentale** : La SIBC présente des fondamentaux de très haute qualité : rentabilité élevée (ROE &gt;27%), efficacité opérationnelle exceptionnelle (coefficient &lt;40%), croissance soutenue du PNB et du résultat net, et solidité du bilan. Les risques principaux résident dans la valorisation exigeante (P/B &gt;4,5x), la dépendance à l'économie ivoirienne, et la pression concurrentielle. La recommandation fondamentale est **CONSERVER** avec un biais positif, les performances justifiant la prime de valorisation mais laissant peu de marge de sécurité.</w:t>
      </w:r>
    </w:p>
    <w:p>
      <w:pPr>
        <w:spacing w:after="120" w:line="276" w:lineRule="auto"/>
      </w:pPr>
      <w:r>
        <w:t>---</w:t>
      </w:r>
    </w:p>
    <w:p>
      <w:pPr>
        <w:spacing w:after="120" w:line="276" w:lineRule="auto"/>
      </w:pPr>
      <w:r>
        <w:t>### PARTIE 4 : CONCLUSION D'INVESTISSEMENT</w:t>
      </w:r>
    </w:p>
    <w:p>
      <w:pPr>
        <w:spacing w:after="120" w:line="276" w:lineRule="auto"/>
      </w:pPr>
      <w:r>
        <w:t>La valorisation de la SIBC (PER 16,7x, P/B 4,54x, EV/EBITDA 15,5x) est nettement supérieure à la moyenne du marché BRVM, ce qui indique que le titre intègre déjà une prime de qualité significative et n'offre pas de décote évidente. Le comportement du cours sur 100 jours est très favorable (+32,86%), avec une volatilité modérée (28,8%) et une asymétrie négative (skewness -0,975) qui suggère que les baisses, bien que rares, ont été marquées — un point de vigilance. Les signaux techniques sont mitigés : les moyennes mobiles confirment la tendance haussière, mais le MACD et le stochastique signalent un essoufflement à court terme, plaidant pour une consolidation. Les fondamentaux restent excellents (ROE 27,16%, coefficient d'exploitation 38,59%, croissance du résultat net de +11% au T1 2026), et les estimations basées sur les rapports trimestriels tablent sur un bénéfice 2026 de 60-62 Mds FCFA, ce qui ramènerait le PER à environ 15x — plus raisonnable. Les prédictions IA (J+1 à J+10) anticipent une correction marquée de 9 300 FCFA à 7 923 FCFA (-14,8%), ce qui contredit la tendance haussière récente et les fondamentaux solides, mais s'aligne sur les signaux techniques de surachat à court terme (stochastique %K=100, MACD baissier). **Recommandation finale : CONSERVER**. La convergence entre fondamentaux solides et valorisation exigeante justifie une position attentiste : les investisseurs déjà positionnés peuvent conserver le titre pour bénéficier de la croissance et du dividende attractif, mais les nouveaux entrants devraient attendre une correction vers 8 500-8 800 FCFA (zone de la MM50 et de la moyenne à 100 jours) pour améliorer leur point d'entrée. Le niveau de confiance est **Moyen** (les prédictions IA baissières contredisant les fondamentaux), et le niveau de risque global est **Moyen** (volatilité modérée, valorisation tendue). L'horizon d'investissement optimal est le **moyen terme (3-12 mois)**, le temps que la croissance des bénéfices rattrape la valorisation actuelle.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124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+113.74%</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31.03% (Élevée) — μ=5,685 FCFA, σ=1,764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β=-1.0464 (Contre-cyclique) — Cov=-0.000037, Var(idx)=0.000035, ρ=-0.165,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σ_j=3.72%/j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7,605</w:t>
            </w:r>
          </w:p>
        </w:tc>
        <w:tc>
          <w:tcPr>
            <w:tcW w:type="dxa" w:w="1440"/>
            <w:shd w:fill="FFDCE0" w:val="clear"/>
          </w:tcPr>
          <w:p>
            <w:r>
              <w:rPr>
                <w:b/>
                <w:sz w:val="17"/>
              </w:rPr>
              <w:t>8,221</w:t>
            </w:r>
          </w:p>
        </w:tc>
        <w:tc>
          <w:tcPr>
            <w:tcW w:type="dxa" w:w="1440"/>
            <w:shd w:fill="FFDCE0" w:val="clear"/>
          </w:tcPr>
          <w:p>
            <w:r>
              <w:rPr>
                <w:sz w:val="17"/>
              </w:rPr>
              <w:t>8,838</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7,181</w:t>
            </w:r>
          </w:p>
        </w:tc>
        <w:tc>
          <w:tcPr>
            <w:tcW w:type="dxa" w:w="1440"/>
            <w:shd w:fill="FFDCE0" w:val="clear"/>
          </w:tcPr>
          <w:p>
            <w:r>
              <w:rPr>
                <w:b/>
                <w:sz w:val="17"/>
              </w:rPr>
              <w:t>8,078</w:t>
            </w:r>
          </w:p>
        </w:tc>
        <w:tc>
          <w:tcPr>
            <w:tcW w:type="dxa" w:w="1440"/>
            <w:shd w:fill="FFDCE0" w:val="clear"/>
          </w:tcPr>
          <w:p>
            <w:r>
              <w:rPr>
                <w:sz w:val="17"/>
              </w:rPr>
              <w:t>8,975</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6,839</w:t>
            </w:r>
          </w:p>
        </w:tc>
        <w:tc>
          <w:tcPr>
            <w:tcW w:type="dxa" w:w="1440"/>
            <w:shd w:fill="FFDCE0" w:val="clear"/>
          </w:tcPr>
          <w:p>
            <w:r>
              <w:rPr>
                <w:b/>
                <w:sz w:val="17"/>
              </w:rPr>
              <w:t>7,916</w:t>
            </w:r>
          </w:p>
        </w:tc>
        <w:tc>
          <w:tcPr>
            <w:tcW w:type="dxa" w:w="1440"/>
            <w:shd w:fill="FFDCE0" w:val="clear"/>
          </w:tcPr>
          <w:p>
            <w:r>
              <w:rPr>
                <w:sz w:val="17"/>
              </w:rPr>
              <w:t>8,993</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6,533</w:t>
            </w:r>
          </w:p>
        </w:tc>
        <w:tc>
          <w:tcPr>
            <w:tcW w:type="dxa" w:w="1440"/>
            <w:shd w:fill="FFDCE0" w:val="clear"/>
          </w:tcPr>
          <w:p>
            <w:r>
              <w:rPr>
                <w:b/>
                <w:sz w:val="17"/>
              </w:rPr>
              <w:t>7,751</w:t>
            </w:r>
          </w:p>
        </w:tc>
        <w:tc>
          <w:tcPr>
            <w:tcW w:type="dxa" w:w="1440"/>
            <w:shd w:fill="FFDCE0" w:val="clear"/>
          </w:tcPr>
          <w:p>
            <w:r>
              <w:rPr>
                <w:sz w:val="17"/>
              </w:rPr>
              <w:t>8,968</w:t>
            </w:r>
          </w:p>
        </w:tc>
        <w:tc>
          <w:tcPr>
            <w:tcW w:type="dxa" w:w="1440"/>
            <w:shd w:fill="FFDCE0" w:val="clear"/>
          </w:tcPr>
          <w:p>
            <w:r>
              <w:rPr>
                <w:b/>
                <w:color w:val="C00000"/>
                <w:sz w:val="17"/>
              </w:rPr>
              <w:t>-7.7%</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6,254</w:t>
            </w:r>
          </w:p>
        </w:tc>
        <w:tc>
          <w:tcPr>
            <w:tcW w:type="dxa" w:w="1440"/>
            <w:shd w:fill="FFDCE0" w:val="clear"/>
          </w:tcPr>
          <w:p>
            <w:r>
              <w:rPr>
                <w:b/>
                <w:sz w:val="17"/>
              </w:rPr>
              <w:t>7,586</w:t>
            </w:r>
          </w:p>
        </w:tc>
        <w:tc>
          <w:tcPr>
            <w:tcW w:type="dxa" w:w="1440"/>
            <w:shd w:fill="FFDCE0" w:val="clear"/>
          </w:tcPr>
          <w:p>
            <w:r>
              <w:rPr>
                <w:sz w:val="17"/>
              </w:rPr>
              <w:t>8,919</w:t>
            </w:r>
          </w:p>
        </w:tc>
        <w:tc>
          <w:tcPr>
            <w:tcW w:type="dxa" w:w="1440"/>
            <w:shd w:fill="FFDCE0" w:val="clear"/>
          </w:tcPr>
          <w:p>
            <w:r>
              <w:rPr>
                <w:b/>
                <w:color w:val="C00000"/>
                <w:sz w:val="17"/>
              </w:rPr>
              <w:t>-9.7%</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5,997</w:t>
            </w:r>
          </w:p>
        </w:tc>
        <w:tc>
          <w:tcPr>
            <w:tcW w:type="dxa" w:w="1440"/>
            <w:shd w:fill="FFDCE0" w:val="clear"/>
          </w:tcPr>
          <w:p>
            <w:r>
              <w:rPr>
                <w:b/>
                <w:sz w:val="17"/>
              </w:rPr>
              <w:t>7,426</w:t>
            </w:r>
          </w:p>
        </w:tc>
        <w:tc>
          <w:tcPr>
            <w:tcW w:type="dxa" w:w="1440"/>
            <w:shd w:fill="FFDCE0" w:val="clear"/>
          </w:tcPr>
          <w:p>
            <w:r>
              <w:rPr>
                <w:sz w:val="17"/>
              </w:rPr>
              <w:t>8,855</w:t>
            </w:r>
          </w:p>
        </w:tc>
        <w:tc>
          <w:tcPr>
            <w:tcW w:type="dxa" w:w="1440"/>
            <w:shd w:fill="FFDCE0" w:val="clear"/>
          </w:tcPr>
          <w:p>
            <w:r>
              <w:rPr>
                <w:b/>
                <w:color w:val="C00000"/>
                <w:sz w:val="17"/>
              </w:rPr>
              <w:t>-11.6%</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5,760</w:t>
            </w:r>
          </w:p>
        </w:tc>
        <w:tc>
          <w:tcPr>
            <w:tcW w:type="dxa" w:w="1440"/>
            <w:shd w:fill="FFDCE0" w:val="clear"/>
          </w:tcPr>
          <w:p>
            <w:r>
              <w:rPr>
                <w:b/>
                <w:sz w:val="17"/>
              </w:rPr>
              <w:t>7,271</w:t>
            </w:r>
          </w:p>
        </w:tc>
        <w:tc>
          <w:tcPr>
            <w:tcW w:type="dxa" w:w="1440"/>
            <w:shd w:fill="FFDCE0" w:val="clear"/>
          </w:tcPr>
          <w:p>
            <w:r>
              <w:rPr>
                <w:sz w:val="17"/>
              </w:rPr>
              <w:t>8,782</w:t>
            </w:r>
          </w:p>
        </w:tc>
        <w:tc>
          <w:tcPr>
            <w:tcW w:type="dxa" w:w="1440"/>
            <w:shd w:fill="FFDCE0" w:val="clear"/>
          </w:tcPr>
          <w:p>
            <w:r>
              <w:rPr>
                <w:b/>
                <w:color w:val="C00000"/>
                <w:sz w:val="17"/>
              </w:rPr>
              <w:t>-13.4%</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5,539</w:t>
            </w:r>
          </w:p>
        </w:tc>
        <w:tc>
          <w:tcPr>
            <w:tcW w:type="dxa" w:w="1440"/>
            <w:shd w:fill="FFDCE0" w:val="clear"/>
          </w:tcPr>
          <w:p>
            <w:r>
              <w:rPr>
                <w:b/>
                <w:sz w:val="17"/>
              </w:rPr>
              <w:t>7,122</w:t>
            </w:r>
          </w:p>
        </w:tc>
        <w:tc>
          <w:tcPr>
            <w:tcW w:type="dxa" w:w="1440"/>
            <w:shd w:fill="FFDCE0" w:val="clear"/>
          </w:tcPr>
          <w:p>
            <w:r>
              <w:rPr>
                <w:sz w:val="17"/>
              </w:rPr>
              <w:t>8,704</w:t>
            </w:r>
          </w:p>
        </w:tc>
        <w:tc>
          <w:tcPr>
            <w:tcW w:type="dxa" w:w="1440"/>
            <w:shd w:fill="FFDCE0" w:val="clear"/>
          </w:tcPr>
          <w:p>
            <w:r>
              <w:rPr>
                <w:b/>
                <w:color w:val="C00000"/>
                <w:sz w:val="17"/>
              </w:rPr>
              <w:t>-15.2%</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5,335</w:t>
            </w:r>
          </w:p>
        </w:tc>
        <w:tc>
          <w:tcPr>
            <w:tcW w:type="dxa" w:w="1440"/>
            <w:shd w:fill="FFDCE0" w:val="clear"/>
          </w:tcPr>
          <w:p>
            <w:r>
              <w:rPr>
                <w:b/>
                <w:sz w:val="17"/>
              </w:rPr>
              <w:t>6,979</w:t>
            </w:r>
          </w:p>
        </w:tc>
        <w:tc>
          <w:tcPr>
            <w:tcW w:type="dxa" w:w="1440"/>
            <w:shd w:fill="FFDCE0" w:val="clear"/>
          </w:tcPr>
          <w:p>
            <w:r>
              <w:rPr>
                <w:sz w:val="17"/>
              </w:rPr>
              <w:t>8,624</w:t>
            </w:r>
          </w:p>
        </w:tc>
        <w:tc>
          <w:tcPr>
            <w:tcW w:type="dxa" w:w="1440"/>
            <w:shd w:fill="FFDCE0" w:val="clear"/>
          </w:tcPr>
          <w:p>
            <w:r>
              <w:rPr>
                <w:b/>
                <w:color w:val="C00000"/>
                <w:sz w:val="17"/>
              </w:rPr>
              <w:t>-16.9%</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5,144</w:t>
            </w:r>
          </w:p>
        </w:tc>
        <w:tc>
          <w:tcPr>
            <w:tcW w:type="dxa" w:w="1440"/>
            <w:shd w:fill="FFDCE0" w:val="clear"/>
          </w:tcPr>
          <w:p>
            <w:r>
              <w:rPr>
                <w:b/>
                <w:sz w:val="17"/>
              </w:rPr>
              <w:t>6,844</w:t>
            </w:r>
          </w:p>
        </w:tc>
        <w:tc>
          <w:tcPr>
            <w:tcW w:type="dxa" w:w="1440"/>
            <w:shd w:fill="FFDCE0" w:val="clear"/>
          </w:tcPr>
          <w:p>
            <w:r>
              <w:rPr>
                <w:sz w:val="17"/>
              </w:rPr>
              <w:t>8,544</w:t>
            </w:r>
          </w:p>
        </w:tc>
        <w:tc>
          <w:tcPr>
            <w:tcW w:type="dxa" w:w="1440"/>
            <w:shd w:fill="FFDCE0" w:val="clear"/>
          </w:tcPr>
          <w:p>
            <w:r>
              <w:rPr>
                <w:b/>
                <w:color w:val="C00000"/>
                <w:sz w:val="17"/>
              </w:rPr>
              <w:t>-18.5%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SICOR (SICC)**</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pour un cours de 8 400 FCFA, ce qui en fait une petite capitalisation au sein de la cote BRVM, dominée par des valeurs comme Sonatel ou Orange CI. Les ratios de valorisation boursière (BPA, PER, P/B, EV/EBITDA) ne sont pas calculables en l'état, faute de données financières structurées exploitables dans la base (les états financiers les plus récents remontent à l'exercice 2024, non encore intégrés sous forme de ratios). Cette absence de ratios empêche toute comparaison directe avec le PER moyen de la BRVM (estimé entre 8x et 12x) et prive l'investisseur d'un repère essentiel pour juger si le titre est cher ou bon marché. Il convient donc de s'appuyer sur l'analyse fondamentale narrative (Partie 3) pour apprécier la valorisation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affiche une progression spectaculaire de +113,74%, avec un cours actuel de 8 400 FCFA et une variation nulle sur la dernière séance (J-1 : +0,00%), signe d'une pause dans le mouvement haussier. Le range de trading est très large, entre un plus bas de 3 930 FCFA et un plus haut de 10 200 FCFA, soit un écart de plus de 6 200 FCFA qui traduit une forte amplitude. La tendance générale est donc nettement haussière, mais le cours se situe désormais à mi-chemin entre ces extrêmes, suggérant une phase de consolidation après le pic. Les statistiques descriptives révèlent une moyenne de 5 685 FCFA nettement supérieure à la médiane de 4 788 FCFA, ce qui confirme une distribution asymétrique : la moyenne est tirée vers le haut par les récents sommets, tandis que la médiane indique que la majorité des séances se sont traitées à des niveaux bien inférieurs. L'écart-type de 1 773 FCFA et le coefficient de variation de 31,2% témoignent d'une dispersion élevée du cours, cohérente avec un titre volatil. Le kurtosis de -0,254 (mésokurtique) indique une distribution proche de la normale, sans pics extrêmes marqués, tandis que le skewness de +1,069 (asymétrie positive) signale que les journées sous la moyenne ont été plus nombreuses, mais compensées par des hausses ponctuelles très fortes. La volatilité annualisée de 59,1% classe le titre dans la catégorie des valeurs à volatilité élevée (&gt;30%), ce qui implique un risque de marché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se situe à 8 685,75 FCFA et la MM50 à 6 996,20 FCFA, toutes deux inférieures au cours actuel de 8 400 FCFA pour la MM20 (le cours est légèrement en dessous) mais très supérieures pour la MM50. Le croisement haussier des moyennes (MM20 &gt; MM50) confirme la tendance de fond positive, et la décision technique est à l'achat, bien que le cours évolue juste sous la MM20, ce qui suggère une pression baissière de court terme.</w:t>
      </w:r>
    </w:p>
    <w:p>
      <w:pPr>
        <w:spacing w:after="120" w:line="276" w:lineRule="auto"/>
      </w:pPr>
      <w:r>
        <w:t>**Bandes de Bollinger** : La borne supérieure est à 10 235,46 FCFA et la borne inférieure à 7 136,04 FCFA, avec un cours actuel de 8 400 FCFA positionné dans la moitié basse du canal. Cette position médiane, sans contact avec les bornes, traduit une volatilité en cours de normalisation et une absence de signal directionnel fort ; la décision est donc neutre, le marché attendant un catalyseur.</w:t>
      </w:r>
    </w:p>
    <w:p>
      <w:pPr>
        <w:spacing w:after="120" w:line="276" w:lineRule="auto"/>
      </w:pPr>
      <w:r>
        <w:t>**MACD** : La valeur du MACD (318,275) est inférieure à son signal (439,423), ce qui génère un croisement baissier et une décision de vente. Ce divergence négative indique un essoufflement du momentum haussier, bien que les deux lignes restent en territoire positif, ce qui n'invalide pas encore la tendance de fond mais appelle à la prudence.</w:t>
      </w:r>
    </w:p>
    <w:p>
      <w:pPr>
        <w:spacing w:after="120" w:line="276" w:lineRule="auto"/>
      </w:pPr>
      <w:r>
        <w:t>**RSI** : À 34,06, le RSI se situe dans la zone neutre basse, proche du seuil de survente (30), sans y être encore. Cette valeur reflète un affaiblissement récent de la dynamique acheteuse, mais la décision reste neutre car le titre n'est pas techniquement survendu ; un rebond pourrait se dessiner si le RSI remonte au-dessus de 40.</w:t>
      </w:r>
    </w:p>
    <w:p>
      <w:pPr>
        <w:spacing w:after="120" w:line="276" w:lineRule="auto"/>
      </w:pPr>
      <w:r>
        <w:t>**Stochastique** : Le %K (70,588) est supérieur au %D (51,201), avec un croisement haussier récent qui suggère un regain de momentum à court terme. Toutefois, la décision reste neutre car le %K n'est pas encore en zone de surachat (&gt;80), laissant place à une possible poursuite de la hausse avant un retournement.</w:t>
      </w:r>
    </w:p>
    <w:p>
      <w:pPr>
        <w:spacing w:after="120" w:line="276" w:lineRule="auto"/>
      </w:pPr>
      <w:r>
        <w:t>**Conclusion technique** : Les indicateurs sont globalement mitigés, avec une tendance de fond haussière (MM20 &gt; MM50) mais des signaux de court terme contradictoires (MACD baissier, RSI faible, Stochastique haussier). Le titre semble en phase de consolidation après son rallye de +113%, et l'absence de signal fort (Bollinger neutre, RSI neutre) invite à la prudence dans l'attente d'une clarification directionnelle.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les plus récentes disponibles pour SICOR (Société Ivoirienne de Coco Râpé) remontent à l'exercice 2024, avec un rapport annuel analysé le 6 septembre 2026, mais les chiffres précis (chiffre d'affaires, résultat net, ROE, ROA) ne sont pas extraits dans la base structurée. En revanche, les rapports narratifs fournissent une évolution détaillée sur plusieurs exercices. Pour l'exercice 2022 (rapport analysé le 15 mars 2026), le chiffre d'affaires s'élevait à 1 138,17 millions FCFA, en baisse de 17,58% sur un an, avec une perte nette de -39,95 millions FCFA (marge nette de -3,51%), marquant une inversion de tendance après quatre années de bénéfices. L'exercice 2023 (rapport analysé le 15 mars 2026) montre un retour à la profitabilité avec un chiffre d'affaires de 701,09 millions FCFA (-38,4%) et un bénéfice net de +19,25 millions FCFA (marge nette de 2,75%), grâce à une réduction drastique des charges (-43,68%) et un transfert de personnel vers la filiale SIPAL. Les exercices antérieurs (2015-2019) révèlent une forte volatilité : résultat net de 434,87 millions FCFA en 2015, 53,31 millions en 2016, 100,57 millions en 2017, 989,40 millions en 2018 (année exceptionnelle dopée par un résultat hors activités ordinaires de +946 millions), et seulement 2,35 millions en 2019. Le rapport 2024 (analysé le 6 septembre 2026) confirme la convocation d'une Assemblée Générale Ordinaire pour le 22 mai 2026, portant sur l'approbation des comptes 2024, mais les résultats précis de cet exercice ne sont pas encore détaillés dans les données fournies. Les pertes cumulées restent élevées (689,86 millions FCFA en 2023), interdisant toute distribution de dividende depuis 2019, conformément à l'Acte Uniforme OHADA. La structure financière demeure fragile, avec des découverts bancaires multipliés par 14 en 2023 (+1 319%) et une dépendance aux actionnaires majoritaires (Hussein Sayegh, DEVACO à 70,44%). Les risques opérationnels incluent les vols de noix de coco (arrêt du site de Boulay en 2023) et la volatilité des prix du coprah. En synthèse, la recommandation fondamentale est de **conserver avec vigilance** : le retour à la profitabilité en 2023 est encourageant, mais la faiblesse des marges, l'absence de dividende et la fragilité de la trésorerie limitent l'attrait à court terme. Une amélioration durable nécessiterait une reprise des volumes, une sécurisation des plantations et une résorption des pertes cumulées.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SICOR ne peut être appréciée faute de ratios PER/P/B/EV-EBITDA calculables, mais la capitalisation de 5,04 milliards FCFA pour un bénéfice net de 19,25 millions FCFA en 2023 implique un PER implicite très élevé (supérieur à 250x), ce qui suggère une surévaluation manifeste par rapport aux fondamentaux. Le comportement du cours sur 100 jours est exceptionnellement haussier (+113,74%) mais accompagné d'une volatilité annualisée de 59,1% et d'une asymétrie positive (skewness +1,069), indiquant que la hausse récente pourrait être vulnérable à des corrections. Les signaux techniques sont divergents : la tendance de fond reste haussière (MM20 &gt; MM50), mais le MACD est baissier, le RSI est faible (34,06) et les Bandes de Bollinger sont neutres, ce qui plaide pour une consolidation, voire un repli à court terme. Les fondamentaux demeurent fragiles malgré le retour à la profitabilité en 2023 : chiffre d'affaires en baisse, marges nettes faibles (2,75%), pertes cumulées élevées (689,86 millions FCFA) et absence de dividende depuis 2019. Les prédictions IA pour les 10 prochains jours ouvrables anticipent une baisse continue, de 8 221 FCFA le 11 septembre à 7 586 FCFA le 17 septembre, ce qui contredit la tendance haussière récente et confirme les signaux baissiers à court terme. Sur la base de cette synthèse, la recommandation finale est **VENTE** (ou **CONSERVER** pour les investisseurs déjà positionnés avec un objectif de long terme), car la convergence des signaux techniques baissiers, des prédictions IA négatives et d'une valorisation tendue l'emporte sur le retour à la profitabilité encore fragile. Le niveau de confiance est **Moyen** (les données fondamentales récentes sont incomplètes) et le risque global est **Élevé** (volatilité extrême, liquidité faible avec un volume moyen de 124 titres/jour, et incertitudes opérationnelles). L'horizon d'investissement optimal est **court terme** pour profiter de la volatilité, ou **long terme** (&gt;1 an) pour miser sur un redressement durable, en surveillant impérativement la publication des comptes 2024 et l'évolution des volumes de production.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20.09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5,512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B40000"/>
                <w:sz w:val="17"/>
              </w:rPr>
              <w:t>-17.86%</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10.43% (Moyenne) — μ=2,536 FCFA, σ=264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β=0.2846 (Défensif) — Cov=0.000010, Var(idx)=0.000035, ρ=0.054,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2,100</w:t>
            </w:r>
          </w:p>
        </w:tc>
        <w:tc>
          <w:tcPr>
            <w:tcW w:type="dxa" w:w="1440"/>
            <w:shd w:fill="FFDCE0" w:val="clear"/>
          </w:tcPr>
          <w:p>
            <w:r>
              <w:rPr>
                <w:b/>
                <w:sz w:val="17"/>
              </w:rPr>
              <w:t>2,186</w:t>
            </w:r>
          </w:p>
        </w:tc>
        <w:tc>
          <w:tcPr>
            <w:tcW w:type="dxa" w:w="1440"/>
            <w:shd w:fill="FFDCE0" w:val="clear"/>
          </w:tcPr>
          <w:p>
            <w:r>
              <w:rPr>
                <w:sz w:val="17"/>
              </w:rPr>
              <w:t>2,271</w:t>
            </w:r>
          </w:p>
        </w:tc>
        <w:tc>
          <w:tcPr>
            <w:tcW w:type="dxa" w:w="1440"/>
            <w:shd w:fill="FFDCE0" w:val="clear"/>
          </w:tcPr>
          <w:p>
            <w:r>
              <w:rPr>
                <w:b/>
                <w:color w:val="C00000"/>
                <w:sz w:val="17"/>
              </w:rPr>
              <w:t>-5.0%</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2,026</w:t>
            </w:r>
          </w:p>
        </w:tc>
        <w:tc>
          <w:tcPr>
            <w:tcW w:type="dxa" w:w="1440"/>
            <w:shd w:fill="FFDCE0" w:val="clear"/>
          </w:tcPr>
          <w:p>
            <w:r>
              <w:rPr>
                <w:b/>
                <w:sz w:val="17"/>
              </w:rPr>
              <w:t>2,144</w:t>
            </w:r>
          </w:p>
        </w:tc>
        <w:tc>
          <w:tcPr>
            <w:tcW w:type="dxa" w:w="1440"/>
            <w:shd w:fill="FFDCE0" w:val="clear"/>
          </w:tcPr>
          <w:p>
            <w:r>
              <w:rPr>
                <w:sz w:val="17"/>
              </w:rPr>
              <w:t>2,262</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1,955</w:t>
            </w:r>
          </w:p>
        </w:tc>
        <w:tc>
          <w:tcPr>
            <w:tcW w:type="dxa" w:w="1440"/>
            <w:shd w:fill="FFDCE0" w:val="clear"/>
          </w:tcPr>
          <w:p>
            <w:r>
              <w:rPr>
                <w:b/>
                <w:sz w:val="17"/>
              </w:rPr>
              <w:t>2,097</w:t>
            </w:r>
          </w:p>
        </w:tc>
        <w:tc>
          <w:tcPr>
            <w:tcW w:type="dxa" w:w="1440"/>
            <w:shd w:fill="FFDCE0" w:val="clear"/>
          </w:tcPr>
          <w:p>
            <w:r>
              <w:rPr>
                <w:sz w:val="17"/>
              </w:rPr>
              <w:t>2,238</w:t>
            </w:r>
          </w:p>
        </w:tc>
        <w:tc>
          <w:tcPr>
            <w:tcW w:type="dxa" w:w="1440"/>
            <w:shd w:fill="FFDCE0" w:val="clear"/>
          </w:tcPr>
          <w:p>
            <w:r>
              <w:rPr>
                <w:b/>
                <w:color w:val="C00000"/>
                <w:sz w:val="17"/>
              </w:rPr>
              <w:t>-8.8%</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1,889</w:t>
            </w:r>
          </w:p>
        </w:tc>
        <w:tc>
          <w:tcPr>
            <w:tcW w:type="dxa" w:w="1440"/>
            <w:shd w:fill="FFDCE0" w:val="clear"/>
          </w:tcPr>
          <w:p>
            <w:r>
              <w:rPr>
                <w:b/>
                <w:sz w:val="17"/>
              </w:rPr>
              <w:t>2,049</w:t>
            </w:r>
          </w:p>
        </w:tc>
        <w:tc>
          <w:tcPr>
            <w:tcW w:type="dxa" w:w="1440"/>
            <w:shd w:fill="FFDCE0" w:val="clear"/>
          </w:tcPr>
          <w:p>
            <w:r>
              <w:rPr>
                <w:sz w:val="17"/>
              </w:rPr>
              <w:t>2,209</w:t>
            </w:r>
          </w:p>
        </w:tc>
        <w:tc>
          <w:tcPr>
            <w:tcW w:type="dxa" w:w="1440"/>
            <w:shd w:fill="FFDCE0" w:val="clear"/>
          </w:tcPr>
          <w:p>
            <w:r>
              <w:rPr>
                <w:b/>
                <w:color w:val="C00000"/>
                <w:sz w:val="17"/>
              </w:rPr>
              <w:t>-10.9%</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1,828</w:t>
            </w:r>
          </w:p>
        </w:tc>
        <w:tc>
          <w:tcPr>
            <w:tcW w:type="dxa" w:w="1440"/>
            <w:shd w:fill="FFDCE0" w:val="clear"/>
          </w:tcPr>
          <w:p>
            <w:r>
              <w:rPr>
                <w:b/>
                <w:sz w:val="17"/>
              </w:rPr>
              <w:t>2,003</w:t>
            </w:r>
          </w:p>
        </w:tc>
        <w:tc>
          <w:tcPr>
            <w:tcW w:type="dxa" w:w="1440"/>
            <w:shd w:fill="FFDCE0" w:val="clear"/>
          </w:tcPr>
          <w:p>
            <w:r>
              <w:rPr>
                <w:sz w:val="17"/>
              </w:rPr>
              <w:t>2,178</w:t>
            </w:r>
          </w:p>
        </w:tc>
        <w:tc>
          <w:tcPr>
            <w:tcW w:type="dxa" w:w="1440"/>
            <w:shd w:fill="FFDCE0" w:val="clear"/>
          </w:tcPr>
          <w:p>
            <w:r>
              <w:rPr>
                <w:b/>
                <w:color w:val="C00000"/>
                <w:sz w:val="17"/>
              </w:rPr>
              <w:t>-12.9%</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1,771</w:t>
            </w:r>
          </w:p>
        </w:tc>
        <w:tc>
          <w:tcPr>
            <w:tcW w:type="dxa" w:w="1440"/>
            <w:shd w:fill="FFDCE0" w:val="clear"/>
          </w:tcPr>
          <w:p>
            <w:r>
              <w:rPr>
                <w:b/>
                <w:sz w:val="17"/>
              </w:rPr>
              <w:t>1,958</w:t>
            </w:r>
          </w:p>
        </w:tc>
        <w:tc>
          <w:tcPr>
            <w:tcW w:type="dxa" w:w="1440"/>
            <w:shd w:fill="FFDCE0" w:val="clear"/>
          </w:tcPr>
          <w:p>
            <w:r>
              <w:rPr>
                <w:sz w:val="17"/>
              </w:rPr>
              <w:t>2,145</w:t>
            </w:r>
          </w:p>
        </w:tc>
        <w:tc>
          <w:tcPr>
            <w:tcW w:type="dxa" w:w="1440"/>
            <w:shd w:fill="FFDCE0" w:val="clear"/>
          </w:tcPr>
          <w:p>
            <w:r>
              <w:rPr>
                <w:b/>
                <w:color w:val="C00000"/>
                <w:sz w:val="17"/>
              </w:rPr>
              <w:t>-14.9%</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1,717</w:t>
            </w:r>
          </w:p>
        </w:tc>
        <w:tc>
          <w:tcPr>
            <w:tcW w:type="dxa" w:w="1440"/>
            <w:shd w:fill="FFDCE0" w:val="clear"/>
          </w:tcPr>
          <w:p>
            <w:r>
              <w:rPr>
                <w:b/>
                <w:sz w:val="17"/>
              </w:rPr>
              <w:t>1,915</w:t>
            </w:r>
          </w:p>
        </w:tc>
        <w:tc>
          <w:tcPr>
            <w:tcW w:type="dxa" w:w="1440"/>
            <w:shd w:fill="FFDCE0" w:val="clear"/>
          </w:tcPr>
          <w:p>
            <w:r>
              <w:rPr>
                <w:sz w:val="17"/>
              </w:rPr>
              <w:t>2,113</w:t>
            </w:r>
          </w:p>
        </w:tc>
        <w:tc>
          <w:tcPr>
            <w:tcW w:type="dxa" w:w="1440"/>
            <w:shd w:fill="FFDCE0" w:val="clear"/>
          </w:tcPr>
          <w:p>
            <w:r>
              <w:rPr>
                <w:b/>
                <w:color w:val="C00000"/>
                <w:sz w:val="17"/>
              </w:rPr>
              <w:t>-16.7%</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1,666</w:t>
            </w:r>
          </w:p>
        </w:tc>
        <w:tc>
          <w:tcPr>
            <w:tcW w:type="dxa" w:w="1440"/>
            <w:shd w:fill="FFDCE0" w:val="clear"/>
          </w:tcPr>
          <w:p>
            <w:r>
              <w:rPr>
                <w:b/>
                <w:sz w:val="17"/>
              </w:rPr>
              <w:t>1,873</w:t>
            </w:r>
          </w:p>
        </w:tc>
        <w:tc>
          <w:tcPr>
            <w:tcW w:type="dxa" w:w="1440"/>
            <w:shd w:fill="FFDCE0" w:val="clear"/>
          </w:tcPr>
          <w:p>
            <w:r>
              <w:rPr>
                <w:sz w:val="17"/>
              </w:rPr>
              <w:t>2,080</w:t>
            </w:r>
          </w:p>
        </w:tc>
        <w:tc>
          <w:tcPr>
            <w:tcW w:type="dxa" w:w="1440"/>
            <w:shd w:fill="FFDCE0" w:val="clear"/>
          </w:tcPr>
          <w:p>
            <w:r>
              <w:rPr>
                <w:b/>
                <w:color w:val="C00000"/>
                <w:sz w:val="17"/>
              </w:rPr>
              <w:t>-18.6%</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1,618</w:t>
            </w:r>
          </w:p>
        </w:tc>
        <w:tc>
          <w:tcPr>
            <w:tcW w:type="dxa" w:w="1440"/>
            <w:shd w:fill="FFDCE0" w:val="clear"/>
          </w:tcPr>
          <w:p>
            <w:r>
              <w:rPr>
                <w:b/>
                <w:sz w:val="17"/>
              </w:rPr>
              <w:t>1,833</w:t>
            </w:r>
          </w:p>
        </w:tc>
        <w:tc>
          <w:tcPr>
            <w:tcW w:type="dxa" w:w="1440"/>
            <w:shd w:fill="FFDCE0" w:val="clear"/>
          </w:tcPr>
          <w:p>
            <w:r>
              <w:rPr>
                <w:sz w:val="17"/>
              </w:rPr>
              <w:t>2,047</w:t>
            </w:r>
          </w:p>
        </w:tc>
        <w:tc>
          <w:tcPr>
            <w:tcW w:type="dxa" w:w="1440"/>
            <w:shd w:fill="FFDCE0" w:val="clear"/>
          </w:tcPr>
          <w:p>
            <w:r>
              <w:rPr>
                <w:b/>
                <w:color w:val="C00000"/>
                <w:sz w:val="17"/>
              </w:rPr>
              <w:t>-20.3%</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1,573</w:t>
            </w:r>
          </w:p>
        </w:tc>
        <w:tc>
          <w:tcPr>
            <w:tcW w:type="dxa" w:w="1440"/>
            <w:shd w:fill="FFDCE0" w:val="clear"/>
          </w:tcPr>
          <w:p>
            <w:r>
              <w:rPr>
                <w:b/>
                <w:sz w:val="17"/>
              </w:rPr>
              <w:t>1,794</w:t>
            </w:r>
          </w:p>
        </w:tc>
        <w:tc>
          <w:tcPr>
            <w:tcW w:type="dxa" w:w="1440"/>
            <w:shd w:fill="FFDCE0" w:val="clear"/>
          </w:tcPr>
          <w:p>
            <w:r>
              <w:rPr>
                <w:sz w:val="17"/>
              </w:rPr>
              <w:t>2,015</w:t>
            </w:r>
          </w:p>
        </w:tc>
        <w:tc>
          <w:tcPr>
            <w:tcW w:type="dxa" w:w="1440"/>
            <w:shd w:fill="FFDCE0" w:val="clear"/>
          </w:tcPr>
          <w:p>
            <w:r>
              <w:rPr>
                <w:b/>
                <w:color w:val="C00000"/>
                <w:sz w:val="17"/>
              </w:rPr>
              <w:t>-22.0%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pPr>
      <w:r>
        <w:t>*Analyste : Desk Actions BRVM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20,09 milliards FCFA, SIVC (désormais ERIUM CI) se situe dans la catégorie des valeurs moyennes de la cote BRVM, ce qui la rend vulnérable aux mouvements de faible volume. Le BPA de 43 FCFA/action signifie que chaque titre génère un bénéfice net de 43 FCFA, un niveau modeste qui, rapporté au cours de 2 300 FCFA, aboutit à un PER de 53,3x — soit près de cinq fois la moyenne du marché BRVM (8-12x) : les investisseurs paient donc très cher chaque franc de bénéfice, ce qui traduit soit une anticipation de forte croissance, soit une anomalie de valorisation. Le P/B de 6,14x confirme cette exubérance : le marché valorise la société à plus de six fois sa valeur comptable, alors qu'un ratio supérieur à 4x est déjà considéré comme exigeant. Enfin, l'EV/EBITDA de 16,9x (au-delà du seuil de 15x) indique que la valeur d'entreprise intègre une prime opérationnelle difficile à justifier au regard des performances actuelles. L'ensemble de ces ratios dessine une valorisation tendue, voire surévaluée, qui laisse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cédé 17,86%, avec une dernière séance quasi stable (-0,22%), confirmant une tendance baissière de fond. Le cours actuel de 2 300 FCFA se situe dans la partie basse du range de trading, loin du plus haut de 2 875 FCFA mais au-dessus du plus bas de 1 920 FCFA, ce qui traduit une érosion progressive de la confiance des investisseurs. La moyenne (2 536 FCFA) est supérieure à la médiane (2 478 FCFA), signe d'une légère asymétrie positive tirée par les pics antérieurs, tandis que le mode à 2 845 FCFA rappelle que le titre a longtemps évolué près de ses sommets avant de décrocher. L'écart-type de 266 FCFA et le coefficient de variation de 10,5% indiquent une dispersion modérée du cours autour de sa moyenne, mais la volatilité annualisée de 48,8% classe clairement le titre dans la catégorie des valeurs très volatiles (&gt;30%), ce qui implique un risque de perte en capital significatif. Le kurtosis négatif (-1,280, distribution platykurtique) signale une distribution aplatie avec une faible concentration des rendements et un risque de mouvements extrêmes moins fréquent qu'une loi normale, tandis que le skewness de -0,197 (distribution quasi symétrique) n'indique pas de biais directionnel marqué. En synthèse, le titre est baissier, volatil et sans asymétrie exploitable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(2 368,25 FCFA) et la MM50 (2 296,60 FCFA) se situent toutes deux au-dessus du cours actuel (2 300 FCFA), avec la MM20 en tête — configuration qui traduit une pression baissière de court terme, mais la décision affichée est « Achat », probablement liée au fait que le cours reste proche de la MM50 et que la MM20 pourrait servir de support dynamique en cas de rebond.</w:t>
      </w:r>
    </w:p>
    <w:p>
      <w:pPr>
        <w:spacing w:after="120" w:line="276" w:lineRule="auto"/>
      </w:pPr>
      <w:r>
        <w:t>**Bandes de Bollinger** : Le cours (2 300 FCFA) évolue dans la partie basse du canal, entre la borne inférieure (2 289,16 FCFA) et la borne supérieure (2 447,34 FCFA), sans franchissement des bornes ; la décision « Neutre » reflète l'absence de signal directionnel fort, le titre étant proche de sa borne basse sans survente technique caractérisée.</w:t>
      </w:r>
    </w:p>
    <w:p>
      <w:pPr>
        <w:spacing w:after="120" w:line="276" w:lineRule="auto"/>
      </w:pPr>
      <w:r>
        <w:t>**MACD** : La valeur du MACD (1,589) est très inférieure à son signal (9,374), ce qui constitue un croisement baissier net et un momentum négatif ; la décision « Vente » est cohérente avec cette divergence qui pèse sur la tendance de fond.</w:t>
      </w:r>
    </w:p>
    <w:p>
      <w:pPr>
        <w:spacing w:after="120" w:line="276" w:lineRule="auto"/>
      </w:pPr>
      <w:r>
        <w:t>**RSI** : À 41,304, l'indicateur se situe en zone neutre basse (30-70), sans survente (&lt;30) ni surachat (&gt;70) ; la décision « Neutre » suggère que le potentiel de rebond technique n'est pas encore suffisant pour justifier une entrée.</w:t>
      </w:r>
    </w:p>
    <w:p>
      <w:pPr>
        <w:spacing w:after="120" w:line="276" w:lineRule="auto"/>
      </w:pPr>
      <w:r>
        <w:t>**Stochastique** : Le %K à 0,0 et le %D à 7,246 indiquent une position extrême en zone de survente, avec un %K au plancher qui précède souvent un rebond ; la décision « Achat » traduit cette configuration de retournement potentiel à très court terme.</w:t>
      </w:r>
    </w:p>
    <w:p>
      <w:pPr>
        <w:spacing w:after="120" w:line="276" w:lineRule="auto"/>
      </w:pPr>
      <w:r>
        <w:t>**Conclusion technique** : Les indicateurs sont divergents — le MACD est franchement baissier, les moyennes mobiles exercent une pression à la baisse, mais le stochastique en survente extrême et la proximité de la borne basse de Bollinger plaident pour un rebond technique fragile. La convergence n'est donc pas établie : le signal dominant reste baissier, avec une fenêtre de rebond spéculatif possible mais non confirmée.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(secteur banque, exercice clos décembre 2024) indiquent un PNB de 9,283 milliards FCFA, un résultat net de 376,96 millions FCFA, un ROE de 11,52% (inférieur au seuil d'excellence de 15%) et un ROA de 2,69% — une rentabilité des actifs faible. Le coefficient d'exploitation de 95,83% est très supérieur au seuil de 60% qui caractérise une banque efficace, ce qui signifie que les charges absorbent la quasi-totalité du PNB et expliquent la faiblesse de la marge nette (4,06%). Le coût du risque rapporté aux charges financières s'établit à 3,10%, un niveau élevé qui signale un portefeuille de crédit risqué, tandis que le ratio de liquidité générale (61,93%) et la trésorerie nette négative (-2,143 milliards FCFA) confirment une tension de liquidité structurelle. L'autonomie financière de 23,34% (inférieure au seuil sain de 30%) et le ratio d'endettement de 80,09% traduisent une dépendance forte aux dettes, avec une capacité de remboursement de 2,57 années de CAF. Les rapports narratifs confirment cette dégradation : le rapport annuel 2025 (analysé le 29/06/2026) fait état d'un CA de 10,074 milliards FCFA (+8,53%) mais d'un résultat net en chute de 52,4% à 179,29 millions FCFA, avec une marge nette divisée par deux (1,78%) et un résultat financier passé de +316 M à -114 M FCFA. Le rapport S1 2025 (30/06/2025) affichait pourtant un résultat net de 512,9 M FCFA (+4,6%) et une marge nette de 10,5%, tandis que le rapport T3 2025 (date inconnue) montrait un résultat net cumulé de 832,5 M FCFA (+58%) et une marge nette de 11,0% — ces chiffres semestriels et trimestriels, bien meilleurs que le résultat annuel 2025, suggèrent que le second semestre 2025 a été catastrophique (provisions, éléments exceptionnels, charges financières). Sur la base de ces rapports, on estime que l'exercice 2026 devrait rester sous pression : la croissance du CA se poursuit mais la rentabilité nette demeure fragile, et la structure financière (capitaux propres en baisse à 2,53 Mds FCFA, endettement financier à 4,164 Mds FCFA) ne permet pas d'envisager un redressement rapide sans effort significatif sur les charges. La recommandation fondamentale est donc de **conserver sous surveillance stricte**, avec un risque élevé de dégradation si la rentabilité ne se redresse pas.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préoccupante : la valorisation (Partie 0) est très tendue (PER 53,3x, P/B 6,14x, EV/EBITDA 16,9x) et intègre une prime que les fondamentaux ne justifient pas ; le comportement du cours (Partie 1) est baissier (-17,86% sur 100 jours) avec une volatilité élevée (48,8%) et une distribution sans biais exploitable ; les signaux techniques (Partie 2) sont majoritairement baissiers (MACD en vente, cours sous les MM20/MM50) malgré un stochastique en survente extrême qui n'offre qu'un rebond spéculatif incertain ; et les fondamentaux (Partie 3) montrent une dégradation sévère de la rentabilité (résultat net 2025 en chute de 52,4% à 179,3 M FCFA, marge nette à 1,78%, ROE 11,52%, coefficient d'exploitation 95,83%) avec une structure financière fragile (autonomie 23,34%, trésorerie nette négative). Les prédictions IA (J+1 à J+10) confirment cette tendance baissière en projetant une chute continue de 2 186 FCFA à 2 003 FCFA, soit une baisse supplémentaire d'environ 13% — ce qui contredit toute thèse de rebond durable et valide le signal baissier dominant. En conséquence, la recommandation finale est **VENTE** (ou allègement de position pour les détenteurs), avec un niveau de confiance **Moyen** (les indicateurs convergent majoritairement à la baisse, mais le stochastique en survente introduit une incertitude sur le timing) et un niveau de risque global **Élevé** (volatilité 48,8%, valorisation surévaluée, fondamentaux dégradés, liquidité tendue). L'horizon d'investissement recommandé est **court terme** (&lt;3 mois) pour les opérations spéculatives, en évitant toute exposition moyen/long terme tant que la rentabilité et la structure financière ne se seront pas redressées.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623.87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1,305 titres</w:t>
            </w:r>
          </w:p>
        </w:tc>
        <w:tc>
          <w:tcPr>
            <w:tcW w:type="dxa" w:w="2268"/>
            <w:shd w:fill="FFF2CC" w:val="clear"/>
          </w:tcPr>
          <w:p>
            <w:r>
              <w:rPr>
                <w:b/>
                <w:color w:val="503200"/>
                <w:sz w:val="16"/>
              </w:rPr>
              <w:t xml:space="preserve">Cours actuel : </w:t>
            </w:r>
            <w:r>
              <w:rPr>
                <w:color w:val="000000"/>
                <w:sz w:val="17"/>
              </w:rPr>
              <w:t>37,900 FCFA</w:t>
            </w:r>
          </w:p>
          <w:p>
            <w:r>
              <w:rPr>
                <w:b/>
                <w:color w:val="503200"/>
                <w:sz w:val="16"/>
              </w:rPr>
              <w:t xml:space="preserve">Var. 100 jours : </w:t>
            </w:r>
            <w:r>
              <w:rPr>
                <w:b/>
                <w:color w:val="B40000"/>
                <w:sz w:val="17"/>
              </w:rPr>
              <w:t>-5.21%</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2.49% (Faible) — μ=38,296 FCFA, σ=954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β=0.1880 (Défensif) — Cov=0.000007, Var(idx)=0.000035, ρ=0.060,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36,693</w:t>
            </w:r>
          </w:p>
        </w:tc>
        <w:tc>
          <w:tcPr>
            <w:tcW w:type="dxa" w:w="1440"/>
            <w:shd w:fill="FAFAFA" w:val="clear"/>
          </w:tcPr>
          <w:p>
            <w:r>
              <w:rPr>
                <w:b/>
                <w:sz w:val="17"/>
              </w:rPr>
              <w:t>37,808</w:t>
            </w:r>
          </w:p>
        </w:tc>
        <w:tc>
          <w:tcPr>
            <w:tcW w:type="dxa" w:w="1440"/>
            <w:shd w:fill="FAFAFA" w:val="clear"/>
          </w:tcPr>
          <w:p>
            <w:r>
              <w:rPr>
                <w:sz w:val="17"/>
              </w:rPr>
              <w:t>38,923</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2026-09-14</w:t>
            </w:r>
          </w:p>
        </w:tc>
        <w:tc>
          <w:tcPr>
            <w:tcW w:type="dxa" w:w="1440"/>
            <w:shd w:fill="FAFAFA" w:val="clear"/>
          </w:tcPr>
          <w:p>
            <w:r>
              <w:rPr>
                <w:sz w:val="17"/>
              </w:rPr>
              <w:t>36,237</w:t>
            </w:r>
          </w:p>
        </w:tc>
        <w:tc>
          <w:tcPr>
            <w:tcW w:type="dxa" w:w="1440"/>
            <w:shd w:fill="FAFAFA" w:val="clear"/>
          </w:tcPr>
          <w:p>
            <w:r>
              <w:rPr>
                <w:b/>
                <w:sz w:val="17"/>
              </w:rPr>
              <w:t>37,814</w:t>
            </w:r>
          </w:p>
        </w:tc>
        <w:tc>
          <w:tcPr>
            <w:tcW w:type="dxa" w:w="1440"/>
            <w:shd w:fill="FAFAFA" w:val="clear"/>
          </w:tcPr>
          <w:p>
            <w:r>
              <w:rPr>
                <w:sz w:val="17"/>
              </w:rPr>
              <w:t>39,392</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2026-09-15</w:t>
            </w:r>
          </w:p>
        </w:tc>
        <w:tc>
          <w:tcPr>
            <w:tcW w:type="dxa" w:w="1440"/>
            <w:shd w:fill="FAFAFA" w:val="clear"/>
          </w:tcPr>
          <w:p>
            <w:r>
              <w:rPr>
                <w:sz w:val="17"/>
              </w:rPr>
              <w:t>35,855</w:t>
            </w:r>
          </w:p>
        </w:tc>
        <w:tc>
          <w:tcPr>
            <w:tcW w:type="dxa" w:w="1440"/>
            <w:shd w:fill="FAFAFA" w:val="clear"/>
          </w:tcPr>
          <w:p>
            <w:r>
              <w:rPr>
                <w:b/>
                <w:sz w:val="17"/>
              </w:rPr>
              <w:t>37,785</w:t>
            </w:r>
          </w:p>
        </w:tc>
        <w:tc>
          <w:tcPr>
            <w:tcW w:type="dxa" w:w="1440"/>
            <w:shd w:fill="FAFAFA" w:val="clear"/>
          </w:tcPr>
          <w:p>
            <w:r>
              <w:rPr>
                <w:sz w:val="17"/>
              </w:rPr>
              <w:t>39,715</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2026-09-16</w:t>
            </w:r>
          </w:p>
        </w:tc>
        <w:tc>
          <w:tcPr>
            <w:tcW w:type="dxa" w:w="1440"/>
            <w:shd w:fill="FAFAFA" w:val="clear"/>
          </w:tcPr>
          <w:p>
            <w:r>
              <w:rPr>
                <w:sz w:val="17"/>
              </w:rPr>
              <w:t>35,522</w:t>
            </w:r>
          </w:p>
        </w:tc>
        <w:tc>
          <w:tcPr>
            <w:tcW w:type="dxa" w:w="1440"/>
            <w:shd w:fill="FAFAFA" w:val="clear"/>
          </w:tcPr>
          <w:p>
            <w:r>
              <w:rPr>
                <w:b/>
                <w:sz w:val="17"/>
              </w:rPr>
              <w:t>37,749</w:t>
            </w:r>
          </w:p>
        </w:tc>
        <w:tc>
          <w:tcPr>
            <w:tcW w:type="dxa" w:w="1440"/>
            <w:shd w:fill="FAFAFA" w:val="clear"/>
          </w:tcPr>
          <w:p>
            <w:r>
              <w:rPr>
                <w:sz w:val="17"/>
              </w:rPr>
              <w:t>39,975</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2026-09-17</w:t>
            </w:r>
          </w:p>
        </w:tc>
        <w:tc>
          <w:tcPr>
            <w:tcW w:type="dxa" w:w="1440"/>
            <w:shd w:fill="FAFAFA" w:val="clear"/>
          </w:tcPr>
          <w:p>
            <w:r>
              <w:rPr>
                <w:sz w:val="17"/>
              </w:rPr>
              <w:t>35,225</w:t>
            </w:r>
          </w:p>
        </w:tc>
        <w:tc>
          <w:tcPr>
            <w:tcW w:type="dxa" w:w="1440"/>
            <w:shd w:fill="FAFAFA" w:val="clear"/>
          </w:tcPr>
          <w:p>
            <w:r>
              <w:rPr>
                <w:b/>
                <w:sz w:val="17"/>
              </w:rPr>
              <w:t>37,712</w:t>
            </w:r>
          </w:p>
        </w:tc>
        <w:tc>
          <w:tcPr>
            <w:tcW w:type="dxa" w:w="1440"/>
            <w:shd w:fill="FAFAFA" w:val="clear"/>
          </w:tcPr>
          <w:p>
            <w:r>
              <w:rPr>
                <w:sz w:val="17"/>
              </w:rPr>
              <w:t>40,198</w:t>
            </w:r>
          </w:p>
        </w:tc>
        <w:tc>
          <w:tcPr>
            <w:tcW w:type="dxa" w:w="1440"/>
            <w:shd w:fill="FAFAFA" w:val="clear"/>
          </w:tcPr>
          <w:p>
            <w:r>
              <w:rPr>
                <w:b/>
                <w:color w:val="C00000"/>
                <w:sz w:val="17"/>
              </w:rPr>
              <w:t>-0.5%</w:t>
            </w:r>
          </w:p>
        </w:tc>
      </w:tr>
      <w:tr>
        <w:tc>
          <w:tcPr>
            <w:tcW w:type="dxa" w:w="1440"/>
            <w:shd w:fill="FAFAFA" w:val="clear"/>
          </w:tcPr>
          <w:p>
            <w:r>
              <w:rPr>
                <w:sz w:val="17"/>
              </w:rPr>
              <w:t>J+6  Moyenne</w:t>
            </w:r>
          </w:p>
        </w:tc>
        <w:tc>
          <w:tcPr>
            <w:tcW w:type="dxa" w:w="1440"/>
            <w:shd w:fill="FAFAFA" w:val="clear"/>
          </w:tcPr>
          <w:p>
            <w:r>
              <w:rPr>
                <w:sz w:val="17"/>
              </w:rPr>
              <w:t>2026-09-18</w:t>
            </w:r>
          </w:p>
        </w:tc>
        <w:tc>
          <w:tcPr>
            <w:tcW w:type="dxa" w:w="1440"/>
            <w:shd w:fill="FAFAFA" w:val="clear"/>
          </w:tcPr>
          <w:p>
            <w:r>
              <w:rPr>
                <w:sz w:val="17"/>
              </w:rPr>
              <w:t>34,953</w:t>
            </w:r>
          </w:p>
        </w:tc>
        <w:tc>
          <w:tcPr>
            <w:tcW w:type="dxa" w:w="1440"/>
            <w:shd w:fill="FAFAFA" w:val="clear"/>
          </w:tcPr>
          <w:p>
            <w:r>
              <w:rPr>
                <w:b/>
                <w:sz w:val="17"/>
              </w:rPr>
              <w:t>37,675</w:t>
            </w:r>
          </w:p>
        </w:tc>
        <w:tc>
          <w:tcPr>
            <w:tcW w:type="dxa" w:w="1440"/>
            <w:shd w:fill="FAFAFA" w:val="clear"/>
          </w:tcPr>
          <w:p>
            <w:r>
              <w:rPr>
                <w:sz w:val="17"/>
              </w:rPr>
              <w:t>40,397</w:t>
            </w:r>
          </w:p>
        </w:tc>
        <w:tc>
          <w:tcPr>
            <w:tcW w:type="dxa" w:w="1440"/>
            <w:shd w:fill="FAFAFA" w:val="clear"/>
          </w:tcPr>
          <w:p>
            <w:r>
              <w:rPr>
                <w:b/>
                <w:color w:val="C00000"/>
                <w:sz w:val="17"/>
              </w:rPr>
              <w:t>-0.6%</w:t>
            </w:r>
          </w:p>
        </w:tc>
      </w:tr>
      <w:tr>
        <w:tc>
          <w:tcPr>
            <w:tcW w:type="dxa" w:w="1440"/>
            <w:shd w:fill="FAFAFA" w:val="clear"/>
          </w:tcPr>
          <w:p>
            <w:r>
              <w:rPr>
                <w:sz w:val="17"/>
              </w:rPr>
              <w:t>J+7  Moyenne</w:t>
            </w:r>
          </w:p>
        </w:tc>
        <w:tc>
          <w:tcPr>
            <w:tcW w:type="dxa" w:w="1440"/>
            <w:shd w:fill="FAFAFA" w:val="clear"/>
          </w:tcPr>
          <w:p>
            <w:r>
              <w:rPr>
                <w:sz w:val="17"/>
              </w:rPr>
              <w:t>2026-09-21</w:t>
            </w:r>
          </w:p>
        </w:tc>
        <w:tc>
          <w:tcPr>
            <w:tcW w:type="dxa" w:w="1440"/>
            <w:shd w:fill="FAFAFA" w:val="clear"/>
          </w:tcPr>
          <w:p>
            <w:r>
              <w:rPr>
                <w:sz w:val="17"/>
              </w:rPr>
              <w:t>34,702</w:t>
            </w:r>
          </w:p>
        </w:tc>
        <w:tc>
          <w:tcPr>
            <w:tcW w:type="dxa" w:w="1440"/>
            <w:shd w:fill="FAFAFA" w:val="clear"/>
          </w:tcPr>
          <w:p>
            <w:r>
              <w:rPr>
                <w:b/>
                <w:sz w:val="17"/>
              </w:rPr>
              <w:t>37,639</w:t>
            </w:r>
          </w:p>
        </w:tc>
        <w:tc>
          <w:tcPr>
            <w:tcW w:type="dxa" w:w="1440"/>
            <w:shd w:fill="FAFAFA" w:val="clear"/>
          </w:tcPr>
          <w:p>
            <w:r>
              <w:rPr>
                <w:sz w:val="17"/>
              </w:rPr>
              <w:t>40,576</w:t>
            </w:r>
          </w:p>
        </w:tc>
        <w:tc>
          <w:tcPr>
            <w:tcW w:type="dxa" w:w="1440"/>
            <w:shd w:fill="FAFAFA" w:val="clear"/>
          </w:tcPr>
          <w:p>
            <w:r>
              <w:rPr>
                <w:b/>
                <w:color w:val="C00000"/>
                <w:sz w:val="17"/>
              </w:rPr>
              <w:t>-0.7%</w:t>
            </w:r>
          </w:p>
        </w:tc>
      </w:tr>
      <w:tr>
        <w:tc>
          <w:tcPr>
            <w:tcW w:type="dxa" w:w="1440"/>
            <w:shd w:fill="FAFAFA" w:val="clear"/>
          </w:tcPr>
          <w:p>
            <w:r>
              <w:rPr>
                <w:sz w:val="17"/>
              </w:rPr>
              <w:t>J+8  Moyenne</w:t>
            </w:r>
          </w:p>
        </w:tc>
        <w:tc>
          <w:tcPr>
            <w:tcW w:type="dxa" w:w="1440"/>
            <w:shd w:fill="FAFAFA" w:val="clear"/>
          </w:tcPr>
          <w:p>
            <w:r>
              <w:rPr>
                <w:sz w:val="17"/>
              </w:rPr>
              <w:t>2026-09-22</w:t>
            </w:r>
          </w:p>
        </w:tc>
        <w:tc>
          <w:tcPr>
            <w:tcW w:type="dxa" w:w="1440"/>
            <w:shd w:fill="FAFAFA" w:val="clear"/>
          </w:tcPr>
          <w:p>
            <w:r>
              <w:rPr>
                <w:sz w:val="17"/>
              </w:rPr>
              <w:t>34,467</w:t>
            </w:r>
          </w:p>
        </w:tc>
        <w:tc>
          <w:tcPr>
            <w:tcW w:type="dxa" w:w="1440"/>
            <w:shd w:fill="FAFAFA" w:val="clear"/>
          </w:tcPr>
          <w:p>
            <w:r>
              <w:rPr>
                <w:b/>
                <w:sz w:val="17"/>
              </w:rPr>
              <w:t>37,604</w:t>
            </w:r>
          </w:p>
        </w:tc>
        <w:tc>
          <w:tcPr>
            <w:tcW w:type="dxa" w:w="1440"/>
            <w:shd w:fill="FAFAFA" w:val="clear"/>
          </w:tcPr>
          <w:p>
            <w:r>
              <w:rPr>
                <w:sz w:val="17"/>
              </w:rPr>
              <w:t>40,741</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2026-09-23</w:t>
            </w:r>
          </w:p>
        </w:tc>
        <w:tc>
          <w:tcPr>
            <w:tcW w:type="dxa" w:w="1440"/>
            <w:shd w:fill="FAFAFA" w:val="clear"/>
          </w:tcPr>
          <w:p>
            <w:r>
              <w:rPr>
                <w:sz w:val="17"/>
              </w:rPr>
              <w:t>34,245</w:t>
            </w:r>
          </w:p>
        </w:tc>
        <w:tc>
          <w:tcPr>
            <w:tcW w:type="dxa" w:w="1440"/>
            <w:shd w:fill="FAFAFA" w:val="clear"/>
          </w:tcPr>
          <w:p>
            <w:r>
              <w:rPr>
                <w:b/>
                <w:sz w:val="17"/>
              </w:rPr>
              <w:t>37,569</w:t>
            </w:r>
          </w:p>
        </w:tc>
        <w:tc>
          <w:tcPr>
            <w:tcW w:type="dxa" w:w="1440"/>
            <w:shd w:fill="FAFAFA" w:val="clear"/>
          </w:tcPr>
          <w:p>
            <w:r>
              <w:rPr>
                <w:sz w:val="17"/>
              </w:rPr>
              <w:t>40,893</w:t>
            </w:r>
          </w:p>
        </w:tc>
        <w:tc>
          <w:tcPr>
            <w:tcW w:type="dxa" w:w="1440"/>
            <w:shd w:fill="FAFAFA" w:val="clear"/>
          </w:tcPr>
          <w:p>
            <w:r>
              <w:rPr>
                <w:b/>
                <w:color w:val="C00000"/>
                <w:sz w:val="17"/>
              </w:rPr>
              <w:t>-0.9%</w:t>
            </w:r>
          </w:p>
        </w:tc>
      </w:tr>
      <w:tr>
        <w:tc>
          <w:tcPr>
            <w:tcW w:type="dxa" w:w="1440"/>
            <w:shd w:fill="FAFAFA" w:val="clear"/>
          </w:tcPr>
          <w:p>
            <w:r>
              <w:rPr>
                <w:sz w:val="17"/>
              </w:rPr>
              <w:t>J+10  Moyenne</w:t>
            </w:r>
          </w:p>
        </w:tc>
        <w:tc>
          <w:tcPr>
            <w:tcW w:type="dxa" w:w="1440"/>
            <w:shd w:fill="FAFAFA" w:val="clear"/>
          </w:tcPr>
          <w:p>
            <w:r>
              <w:rPr>
                <w:sz w:val="17"/>
              </w:rPr>
              <w:t>2026-09-24</w:t>
            </w:r>
          </w:p>
        </w:tc>
        <w:tc>
          <w:tcPr>
            <w:tcW w:type="dxa" w:w="1440"/>
            <w:shd w:fill="FAFAFA" w:val="clear"/>
          </w:tcPr>
          <w:p>
            <w:r>
              <w:rPr>
                <w:sz w:val="17"/>
              </w:rPr>
              <w:t>34,034</w:t>
            </w:r>
          </w:p>
        </w:tc>
        <w:tc>
          <w:tcPr>
            <w:tcW w:type="dxa" w:w="1440"/>
            <w:shd w:fill="FAFAFA" w:val="clear"/>
          </w:tcPr>
          <w:p>
            <w:r>
              <w:rPr>
                <w:b/>
                <w:sz w:val="17"/>
              </w:rPr>
              <w:t>37,535</w:t>
            </w:r>
          </w:p>
        </w:tc>
        <w:tc>
          <w:tcPr>
            <w:tcW w:type="dxa" w:w="1440"/>
            <w:shd w:fill="FAFAFA" w:val="clear"/>
          </w:tcPr>
          <w:p>
            <w:r>
              <w:rPr>
                <w:sz w:val="17"/>
              </w:rPr>
              <w:t>41,036</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 CI)**</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623,87 milliards FCFA, SOLIBRA s'impose comme l'une des plus importantes capitalisations de la BRVM, témoignant de son statut de valeur de premier plan dans le compartiment agro-industriel/boissons de la cote. Le BPA de 2 781 FCFA par action signifie que chaque titre génère près de 2 800 FCFA de bénéfice net, un niveau remarquable qui traduit la forte rentabilité de l'entreprise. Le PER de 13,6x situe le titre légèrement au-dessus de la moyenne du marché BRVM (8-12x), ce qui indique que les investisseurs acceptent de payer une prime modérée pour la qualité des bénéfices, sans pour autant tomber dans une surévaluation excessive. Le P/B de 3,20x montre que le marché valorise SOLIBRA à plus de trois fois sa valeur comptable, une prime de croissance justifiée par un ROE de 23,46% qui dépasse largement le coût des fonds propres. Enfin, l'EV/EBITDA de 7,4x, dans la fourchette raisonnable de 5-10x, confirme que la valeur d'entreprise reste cohérente avec la capacité opérationnelle de génération de cash-flow, ce qui plaide pour une valorisation équilibrée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-5,21%, avec une légère contraction de -0,26% lors de la dernière séance (J-1), s'établissant à 37 900 FCFA. Le titre a évolué dans un range relativement étroit entre un plus haut de 41 500 FCFA et un plus bas de 35 540 FCFA, soit un écart d'environ 16,8%, traduisant une tendance générale baissière modérée mais sans effondrement. Les statistiques descriptives révèlent une moyenne de 38 296 FCFA très proche de la médiane (38 000 FCFA) et du mode (38 000 FCFA), ce qui indique une distribution quasi-symétrique du cours, confirmée par un skewness de 0,367 (asymétrie légère mais qualifiée de symétrique dans les données). L'écart-type de 958 FCFA avec un coefficient de variation de seulement 2,5% démontre une dispersion très faible du cours autour de sa moyenne, signe d'une certaine stabilité. Le kurtosis (excès) de 0,344, qualifié de mésokurtique, signifie que la distribution des rendements est proche d'une loi normale, sans risque majeur de pics extrêmes. La volatilité annualisée de 29,1% positionne le titre dans la catégorie des valeurs à volatilité modérée (15-30%), ce qui reste gérable pour un investisseur de moyen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37 664,25 FCFA et la MM50 à 38 354,0 FCFA, tandis que le cours actuel (37 900 FCFA) se situe au-dessus de la MM20 mais en dessous de la MM50. Cette configuration indique que la tendance de court terme est légèrement haussière mais que la tendance de moyen terme reste baissière, justifiant la décision technique de **Vente** par croisement baissier (la MM20 est inférieure à la MM50).</w:t>
      </w:r>
    </w:p>
    <w:p>
      <w:pPr>
        <w:spacing w:after="120" w:line="276" w:lineRule="auto"/>
      </w:pPr>
      <w:r>
        <w:t>**Bandes de Bollinger** : La borne supérieure est à 38 383,26 FCFA et la borne inférieure à 36 945,24 FCFA, avec un cours actuel de 37 900 FCFA qui se situe pratiquement au centre de ces bandes (légèrement au-dessus de la médiane). Cette position centrale, combinée à un rétrécissement des bandes, indique une phase de consolidation sans direction claire, justifiant la décision **Neutre**.</w:t>
      </w:r>
    </w:p>
    <w:p>
      <w:pPr>
        <w:spacing w:after="120" w:line="276" w:lineRule="auto"/>
      </w:pPr>
      <w:r>
        <w:t>**MACD** : La valeur du MACD (-98,891) est supérieure à son signal (-177,471), ce qui génère un croisement haussier (MACD au-dessus du signal). Cette configuration indique un momentum positif en formation, bien que les deux valeurs restent en territoire négatif, justifiant la décision d'**Achat** par anticipation d'un retournement.</w:t>
      </w:r>
    </w:p>
    <w:p>
      <w:pPr>
        <w:spacing w:after="120" w:line="276" w:lineRule="auto"/>
      </w:pPr>
      <w:r>
        <w:t>**RSI** : À 52,045, le RSI se situe parfaitement dans la zone neutre (30-70), sans signal de surachat (&gt;70) ni de survente (&lt;30). Cette position médiane indique un équilibre entre acheteurs et vendeurs, justifiant la décision **Neutre** sans pression directionnelle immédiate.</w:t>
      </w:r>
    </w:p>
    <w:p>
      <w:pPr>
        <w:spacing w:after="120" w:line="276" w:lineRule="auto"/>
      </w:pPr>
      <w:r>
        <w:t>**Stochastique** : Le %K (90,0) et le %D (86,667) sont tous deux en zone de surachat (&gt;80), avec un %K supérieur au %D indiquant une dynamique haussière de court terme mais un risque élevé de correction. Cette configuration justifie la décision de **Vente** par anticipation d'un retournement baissier.</w:t>
      </w:r>
    </w:p>
    <w:p>
      <w:pPr>
        <w:spacing w:after="120" w:line="276" w:lineRule="auto"/>
      </w:pPr>
      <w:r>
        <w:t>**Conclusion technique** : Les indicateurs présentent une divergence notable : le MACD suggère un achat (croisement haussier), tandis que les moyennes mobiles et le stochastique recommandent la vente (surachat et croisement baissier MM20/MM50). Le RSI et les Bandes de Bollinger restent neutres, reflétant une indécision du marché. Cette configuration mitigée plaide pour une **prudence** à court terme, avec une attente de confirmation directionnelle avant toute décision d'investissement.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de +22,08% par rapport à 2024 (309,722 milliards FCFA), portée par une augmentation des volumes distribués et un mix prix favorable. Le résultat net s'établit à 45,781 milliards FCFA, en hausse spectaculaire de +113% (contre 21,472 milliards en 2024), faisant plus que doubler la marge nette de 6,9% à 12,1%. Les ratios de rentabilité sont exceptionnels : le ROE atteint 23,46% (largement supérieur au seuil de 15% considéré comme excellent) et le ROA s'élève à 13,48%, confirmant l'efficacité de l'utilisation des actifs. La structure financière est saine avec une autonomie financière de 57,48% (capitaux propres de 195,142 milliards FCFA pour un total bilan de 339,517 milliards), un ratio d'endettement maîtrisé de 42,52% et une trésorerie nette positive de 22,117 milliards FCFA. Concernant le besoin en fonds de roulement (BFR), il s'établit à 61,587 milliards FCFA, avec un délai clients de 64,27 jours (risque de trésorerie modéré) et un délai fournisseurs de 76,82 jours (favorable à la trésorerie), tandis que la durée de stockage de 117,32 jours mérite une surveillance. Les rapports trimestriels récents confirment cette dynamique : le T1 2026 (publié en 2026) affiche un chiffre d'affaires de 93,46 milliards FCFA (+7,6%) et un résultat net de 16,26 milliards FCFA (+4,8%), tandis que le S1 2025 (publié le 30/06/2025) montrait déjà une marge nette de 16,9% et un résultat net de 28,0 milliards FCFA (+175,1%). Sur la base de ces tendances, on peut estimer que l'exercice 2026 devrait maintenir une croissance à deux chiffres du chiffre d'affaires (autour de +8-10%) avec une marge nette se stabilisant entre 12% et 15%. La politique de dividende est très généreuse avec un dividende proposé de 2 127 FCFA par action (soit un payout de 76,5% du bénéfice net), offrant un rendement attractif au cours actuel de 37 900 FCFA (environ 5,6%). Le principal risque identifié réside dans la dépendance aux matières premières (90 milliards FCFA d'achats exposés à la volatilité des prix) et la concentration géographique sur le marché ivoirien. Néanmoins, la solidité du bilan, la position de leader et la dynamique commerciale soutiennent une recommandation fondamentale **positive** à moyen et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mais globalement favorable. La valorisation (Partie 0) apparaît équilibrée : le PER de 13,6x est légèrement supérieur à la moyenne du marché mais justifié par un ROE de 23,46%, tandis que le P/B de 3,20x et l'EV/EBITDA de 7,4x restent dans des fourchettes raisonnables, sans signe de surévaluation manifeste. Le comportement du cours (Partie 1) montre une tendance baissière modérée (-5,21% sur 100 jours) avec une volatilité modérée (29,1%) et une distribution symétrique (skewness 0,367) sans risque de pics extrêmes (kurtosis 0,344), ce qui est rassurant pour la stabilité du titre. Les signaux techniques (Partie 2) sont mitigés : le MACD suggère un achat, mais les moyennes mobiles et le stochastique recommandent la vente, tandis que le RSI et les Bandes de Bollinger restent neutres, créant une divergence qui appelle à la prudence à court terme. Les fondamentaux (Partie 3) sont exceptionnels : croissance du CA de +22% en 2025, doublement du résultat net, ROE de 23,46%, structure financière saine et dividende généreux (rendement ~5,6%), avec des perspectives 2026 estimées positives sur la base du T1 2026 (+7,6% de CA). Les prédictions IA (J+1 à J+10) anticipent une légère baisse du cours de 37 808 FCFA à 37 712 FCFA, confirmant la tendance baissière de court terme sans effondrement. Sur la base de cette synthèse, la recommandation finale est **CONSERVER** avec un biais positif. En effet, la convergence entre des fondamentaux solides, une valorisation raisonnable et un dividende attractif soutient la thèse d'un investissement de long terme, mais les signaux techniques mitigés et la prédiction baissière à court terme incitent à ne pas renforcer immédiatement la position. Le niveau de confiance est **Moyen** (en raison des divergences techniques) et le niveau de risque global est **Moyen** (volatilité modérée, dépendance aux matières premières). L'horizon d'investissement optimal est le **moyen à long terme** (6 mois à 2 ans), période durant laquelle la croissance des bénéfices et la distribution de dividendes devraient compenser la volatilité de court terme.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1,560 titres</w:t>
            </w:r>
          </w:p>
        </w:tc>
        <w:tc>
          <w:tcPr>
            <w:tcW w:type="dxa" w:w="2268"/>
            <w:shd w:fill="FFF2CC" w:val="clear"/>
          </w:tcPr>
          <w:p>
            <w:r>
              <w:rPr>
                <w:b/>
                <w:color w:val="503200"/>
                <w:sz w:val="16"/>
              </w:rPr>
              <w:t xml:space="preserve">Cours actuel : </w:t>
            </w:r>
            <w:r>
              <w:rPr>
                <w:color w:val="000000"/>
                <w:sz w:val="17"/>
              </w:rPr>
              <w:t>18,500 FCFA</w:t>
            </w:r>
          </w:p>
          <w:p>
            <w:r>
              <w:rPr>
                <w:b/>
                <w:color w:val="503200"/>
                <w:sz w:val="16"/>
              </w:rPr>
              <w:t xml:space="preserve">Var. 100 jours : </w:t>
            </w:r>
            <w:r>
              <w:rPr>
                <w:b/>
                <w:color w:val="007800"/>
                <w:sz w:val="17"/>
              </w:rPr>
              <w:t>+60.38%</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14.14% (Moyenne) — μ=15,170 FCFA, σ=2,145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β=-0.7401 (Contre-cyclique) — Cov=-0.000026, Var(idx)=0.000035, ρ=-0.193,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17,532</w:t>
            </w:r>
          </w:p>
        </w:tc>
        <w:tc>
          <w:tcPr>
            <w:tcW w:type="dxa" w:w="1440"/>
            <w:shd w:fill="FFDCE0" w:val="clear"/>
          </w:tcPr>
          <w:p>
            <w:r>
              <w:rPr>
                <w:b/>
                <w:sz w:val="17"/>
              </w:rPr>
              <w:t>17,943</w:t>
            </w:r>
          </w:p>
        </w:tc>
        <w:tc>
          <w:tcPr>
            <w:tcW w:type="dxa" w:w="1440"/>
            <w:shd w:fill="FFDCE0" w:val="clear"/>
          </w:tcPr>
          <w:p>
            <w:r>
              <w:rPr>
                <w:sz w:val="17"/>
              </w:rPr>
              <w:t>18,353</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17,304</w:t>
            </w:r>
          </w:p>
        </w:tc>
        <w:tc>
          <w:tcPr>
            <w:tcW w:type="dxa" w:w="1440"/>
            <w:shd w:fill="FFDCE0" w:val="clear"/>
          </w:tcPr>
          <w:p>
            <w:r>
              <w:rPr>
                <w:b/>
                <w:sz w:val="17"/>
              </w:rPr>
              <w:t>17,883</w:t>
            </w:r>
          </w:p>
        </w:tc>
        <w:tc>
          <w:tcPr>
            <w:tcW w:type="dxa" w:w="1440"/>
            <w:shd w:fill="FFDCE0" w:val="clear"/>
          </w:tcPr>
          <w:p>
            <w:r>
              <w:rPr>
                <w:sz w:val="17"/>
              </w:rPr>
              <w:t>18,461</w:t>
            </w:r>
          </w:p>
        </w:tc>
        <w:tc>
          <w:tcPr>
            <w:tcW w:type="dxa" w:w="1440"/>
            <w:shd w:fill="FFDCE0" w:val="clear"/>
          </w:tcPr>
          <w:p>
            <w:r>
              <w:rPr>
                <w:b/>
                <w:color w:val="C00000"/>
                <w:sz w:val="17"/>
              </w:rPr>
              <w:t>-3.3%</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17,073</w:t>
            </w:r>
          </w:p>
        </w:tc>
        <w:tc>
          <w:tcPr>
            <w:tcW w:type="dxa" w:w="1440"/>
            <w:shd w:fill="FFDCE0" w:val="clear"/>
          </w:tcPr>
          <w:p>
            <w:r>
              <w:rPr>
                <w:b/>
                <w:sz w:val="17"/>
              </w:rPr>
              <w:t>17,778</w:t>
            </w:r>
          </w:p>
        </w:tc>
        <w:tc>
          <w:tcPr>
            <w:tcW w:type="dxa" w:w="1440"/>
            <w:shd w:fill="FFDCE0" w:val="clear"/>
          </w:tcPr>
          <w:p>
            <w:r>
              <w:rPr>
                <w:sz w:val="17"/>
              </w:rPr>
              <w:t>18,482</w:t>
            </w:r>
          </w:p>
        </w:tc>
        <w:tc>
          <w:tcPr>
            <w:tcW w:type="dxa" w:w="1440"/>
            <w:shd w:fill="FFDCE0" w:val="clear"/>
          </w:tcPr>
          <w:p>
            <w:r>
              <w:rPr>
                <w:b/>
                <w:color w:val="C00000"/>
                <w:sz w:val="17"/>
              </w:rPr>
              <w:t>-3.9%</w:t>
            </w:r>
          </w:p>
        </w:tc>
      </w:tr>
      <w:tr>
        <w:tc>
          <w:tcPr>
            <w:tcW w:type="dxa" w:w="1440"/>
            <w:shd w:fill="FFDCE0" w:val="clear"/>
          </w:tcPr>
          <w:p>
            <w:r>
              <w:rPr>
                <w:sz w:val="17"/>
              </w:rPr>
              <w:t>J+4  Moyenne</w:t>
            </w:r>
          </w:p>
        </w:tc>
        <w:tc>
          <w:tcPr>
            <w:tcW w:type="dxa" w:w="1440"/>
            <w:shd w:fill="FFDCE0" w:val="clear"/>
          </w:tcPr>
          <w:p>
            <w:r>
              <w:rPr>
                <w:sz w:val="17"/>
              </w:rPr>
              <w:t>2026-09-16</w:t>
            </w:r>
          </w:p>
        </w:tc>
        <w:tc>
          <w:tcPr>
            <w:tcW w:type="dxa" w:w="1440"/>
            <w:shd w:fill="FFDCE0" w:val="clear"/>
          </w:tcPr>
          <w:p>
            <w:r>
              <w:rPr>
                <w:sz w:val="17"/>
              </w:rPr>
              <w:t>16,880</w:t>
            </w:r>
          </w:p>
        </w:tc>
        <w:tc>
          <w:tcPr>
            <w:tcW w:type="dxa" w:w="1440"/>
            <w:shd w:fill="FFDCE0" w:val="clear"/>
          </w:tcPr>
          <w:p>
            <w:r>
              <w:rPr>
                <w:b/>
                <w:sz w:val="17"/>
              </w:rPr>
              <w:t>17,689</w:t>
            </w:r>
          </w:p>
        </w:tc>
        <w:tc>
          <w:tcPr>
            <w:tcW w:type="dxa" w:w="1440"/>
            <w:shd w:fill="FFDCE0" w:val="clear"/>
          </w:tcPr>
          <w:p>
            <w:r>
              <w:rPr>
                <w:sz w:val="17"/>
              </w:rPr>
              <w:t>18,498</w:t>
            </w:r>
          </w:p>
        </w:tc>
        <w:tc>
          <w:tcPr>
            <w:tcW w:type="dxa" w:w="1440"/>
            <w:shd w:fill="FFDCE0" w:val="clear"/>
          </w:tcPr>
          <w:p>
            <w:r>
              <w:rPr>
                <w:b/>
                <w:color w:val="C00000"/>
                <w:sz w:val="17"/>
              </w:rPr>
              <w:t>-4.4%</w:t>
            </w:r>
          </w:p>
        </w:tc>
      </w:tr>
      <w:tr>
        <w:tc>
          <w:tcPr>
            <w:tcW w:type="dxa" w:w="1440"/>
            <w:shd w:fill="FFDCE0" w:val="clear"/>
          </w:tcPr>
          <w:p>
            <w:r>
              <w:rPr>
                <w:sz w:val="17"/>
              </w:rPr>
              <w:t>J+5  Moyenne</w:t>
            </w:r>
          </w:p>
        </w:tc>
        <w:tc>
          <w:tcPr>
            <w:tcW w:type="dxa" w:w="1440"/>
            <w:shd w:fill="FFDCE0" w:val="clear"/>
          </w:tcPr>
          <w:p>
            <w:r>
              <w:rPr>
                <w:sz w:val="17"/>
              </w:rPr>
              <w:t>2026-09-17</w:t>
            </w:r>
          </w:p>
        </w:tc>
        <w:tc>
          <w:tcPr>
            <w:tcW w:type="dxa" w:w="1440"/>
            <w:shd w:fill="FFDCE0" w:val="clear"/>
          </w:tcPr>
          <w:p>
            <w:r>
              <w:rPr>
                <w:sz w:val="17"/>
              </w:rPr>
              <w:t>16,707</w:t>
            </w:r>
          </w:p>
        </w:tc>
        <w:tc>
          <w:tcPr>
            <w:tcW w:type="dxa" w:w="1440"/>
            <w:shd w:fill="FFDCE0" w:val="clear"/>
          </w:tcPr>
          <w:p>
            <w:r>
              <w:rPr>
                <w:b/>
                <w:sz w:val="17"/>
              </w:rPr>
              <w:t>17,608</w:t>
            </w:r>
          </w:p>
        </w:tc>
        <w:tc>
          <w:tcPr>
            <w:tcW w:type="dxa" w:w="1440"/>
            <w:shd w:fill="FFDCE0" w:val="clear"/>
          </w:tcPr>
          <w:p>
            <w:r>
              <w:rPr>
                <w:sz w:val="17"/>
              </w:rPr>
              <w:t>18,508</w:t>
            </w:r>
          </w:p>
        </w:tc>
        <w:tc>
          <w:tcPr>
            <w:tcW w:type="dxa" w:w="1440"/>
            <w:shd w:fill="FFDCE0" w:val="clear"/>
          </w:tcPr>
          <w:p>
            <w:r>
              <w:rPr>
                <w:b/>
                <w:color w:val="C00000"/>
                <w:sz w:val="17"/>
              </w:rPr>
              <w:t>-4.8%</w:t>
            </w:r>
          </w:p>
        </w:tc>
      </w:tr>
      <w:tr>
        <w:tc>
          <w:tcPr>
            <w:tcW w:type="dxa" w:w="1440"/>
            <w:shd w:fill="FFDCE0" w:val="clear"/>
          </w:tcPr>
          <w:p>
            <w:r>
              <w:rPr>
                <w:sz w:val="17"/>
              </w:rPr>
              <w:t>J+6  Moyenne</w:t>
            </w:r>
          </w:p>
        </w:tc>
        <w:tc>
          <w:tcPr>
            <w:tcW w:type="dxa" w:w="1440"/>
            <w:shd w:fill="FFDCE0" w:val="clear"/>
          </w:tcPr>
          <w:p>
            <w:r>
              <w:rPr>
                <w:sz w:val="17"/>
              </w:rPr>
              <w:t>2026-09-18</w:t>
            </w:r>
          </w:p>
        </w:tc>
        <w:tc>
          <w:tcPr>
            <w:tcW w:type="dxa" w:w="1440"/>
            <w:shd w:fill="FFDCE0" w:val="clear"/>
          </w:tcPr>
          <w:p>
            <w:r>
              <w:rPr>
                <w:sz w:val="17"/>
              </w:rPr>
              <w:t>16,547</w:t>
            </w:r>
          </w:p>
        </w:tc>
        <w:tc>
          <w:tcPr>
            <w:tcW w:type="dxa" w:w="1440"/>
            <w:shd w:fill="FFDCE0" w:val="clear"/>
          </w:tcPr>
          <w:p>
            <w:r>
              <w:rPr>
                <w:b/>
                <w:sz w:val="17"/>
              </w:rPr>
              <w:t>17,529</w:t>
            </w:r>
          </w:p>
        </w:tc>
        <w:tc>
          <w:tcPr>
            <w:tcW w:type="dxa" w:w="1440"/>
            <w:shd w:fill="FFDCE0" w:val="clear"/>
          </w:tcPr>
          <w:p>
            <w:r>
              <w:rPr>
                <w:sz w:val="17"/>
              </w:rPr>
              <w:t>18,511</w:t>
            </w:r>
          </w:p>
        </w:tc>
        <w:tc>
          <w:tcPr>
            <w:tcW w:type="dxa" w:w="1440"/>
            <w:shd w:fill="FFDCE0" w:val="clear"/>
          </w:tcPr>
          <w:p>
            <w:r>
              <w:rPr>
                <w:b/>
                <w:color w:val="C00000"/>
                <w:sz w:val="17"/>
              </w:rPr>
              <w:t>-5.2%</w:t>
            </w:r>
          </w:p>
        </w:tc>
      </w:tr>
      <w:tr>
        <w:tc>
          <w:tcPr>
            <w:tcW w:type="dxa" w:w="1440"/>
            <w:shd w:fill="FFDCE0" w:val="clear"/>
          </w:tcPr>
          <w:p>
            <w:r>
              <w:rPr>
                <w:sz w:val="17"/>
              </w:rPr>
              <w:t>J+7  Moyenne</w:t>
            </w:r>
          </w:p>
        </w:tc>
        <w:tc>
          <w:tcPr>
            <w:tcW w:type="dxa" w:w="1440"/>
            <w:shd w:fill="FFDCE0" w:val="clear"/>
          </w:tcPr>
          <w:p>
            <w:r>
              <w:rPr>
                <w:sz w:val="17"/>
              </w:rPr>
              <w:t>2026-09-21</w:t>
            </w:r>
          </w:p>
        </w:tc>
        <w:tc>
          <w:tcPr>
            <w:tcW w:type="dxa" w:w="1440"/>
            <w:shd w:fill="FFDCE0" w:val="clear"/>
          </w:tcPr>
          <w:p>
            <w:r>
              <w:rPr>
                <w:sz w:val="17"/>
              </w:rPr>
              <w:t>16,396</w:t>
            </w:r>
          </w:p>
        </w:tc>
        <w:tc>
          <w:tcPr>
            <w:tcW w:type="dxa" w:w="1440"/>
            <w:shd w:fill="FFDCE0" w:val="clear"/>
          </w:tcPr>
          <w:p>
            <w:r>
              <w:rPr>
                <w:b/>
                <w:sz w:val="17"/>
              </w:rPr>
              <w:t>17,452</w:t>
            </w:r>
          </w:p>
        </w:tc>
        <w:tc>
          <w:tcPr>
            <w:tcW w:type="dxa" w:w="1440"/>
            <w:shd w:fill="FFDCE0" w:val="clear"/>
          </w:tcPr>
          <w:p>
            <w:r>
              <w:rPr>
                <w:sz w:val="17"/>
              </w:rPr>
              <w:t>18,508</w:t>
            </w:r>
          </w:p>
        </w:tc>
        <w:tc>
          <w:tcPr>
            <w:tcW w:type="dxa" w:w="1440"/>
            <w:shd w:fill="FFDCE0" w:val="clear"/>
          </w:tcPr>
          <w:p>
            <w:r>
              <w:rPr>
                <w:b/>
                <w:color w:val="C00000"/>
                <w:sz w:val="17"/>
              </w:rPr>
              <w:t>-5.7%</w:t>
            </w:r>
          </w:p>
        </w:tc>
      </w:tr>
      <w:tr>
        <w:tc>
          <w:tcPr>
            <w:tcW w:type="dxa" w:w="1440"/>
            <w:shd w:fill="FFDCE0" w:val="clear"/>
          </w:tcPr>
          <w:p>
            <w:r>
              <w:rPr>
                <w:sz w:val="17"/>
              </w:rPr>
              <w:t>J+8  Moyenne</w:t>
            </w:r>
          </w:p>
        </w:tc>
        <w:tc>
          <w:tcPr>
            <w:tcW w:type="dxa" w:w="1440"/>
            <w:shd w:fill="FFDCE0" w:val="clear"/>
          </w:tcPr>
          <w:p>
            <w:r>
              <w:rPr>
                <w:sz w:val="17"/>
              </w:rPr>
              <w:t>2026-09-22</w:t>
            </w:r>
          </w:p>
        </w:tc>
        <w:tc>
          <w:tcPr>
            <w:tcW w:type="dxa" w:w="1440"/>
            <w:shd w:fill="FFDCE0" w:val="clear"/>
          </w:tcPr>
          <w:p>
            <w:r>
              <w:rPr>
                <w:sz w:val="17"/>
              </w:rPr>
              <w:t>16,252</w:t>
            </w:r>
          </w:p>
        </w:tc>
        <w:tc>
          <w:tcPr>
            <w:tcW w:type="dxa" w:w="1440"/>
            <w:shd w:fill="FFDCE0" w:val="clear"/>
          </w:tcPr>
          <w:p>
            <w:r>
              <w:rPr>
                <w:b/>
                <w:sz w:val="17"/>
              </w:rPr>
              <w:t>17,376</w:t>
            </w:r>
          </w:p>
        </w:tc>
        <w:tc>
          <w:tcPr>
            <w:tcW w:type="dxa" w:w="1440"/>
            <w:shd w:fill="FFDCE0" w:val="clear"/>
          </w:tcPr>
          <w:p>
            <w:r>
              <w:rPr>
                <w:sz w:val="17"/>
              </w:rPr>
              <w:t>18,501</w:t>
            </w:r>
          </w:p>
        </w:tc>
        <w:tc>
          <w:tcPr>
            <w:tcW w:type="dxa" w:w="1440"/>
            <w:shd w:fill="FFDCE0" w:val="clear"/>
          </w:tcPr>
          <w:p>
            <w:r>
              <w:rPr>
                <w:b/>
                <w:color w:val="C00000"/>
                <w:sz w:val="17"/>
              </w:rPr>
              <w:t>-6.1%</w:t>
            </w:r>
          </w:p>
        </w:tc>
      </w:tr>
      <w:tr>
        <w:tc>
          <w:tcPr>
            <w:tcW w:type="dxa" w:w="1440"/>
            <w:shd w:fill="FFDCE0" w:val="clear"/>
          </w:tcPr>
          <w:p>
            <w:r>
              <w:rPr>
                <w:sz w:val="17"/>
              </w:rPr>
              <w:t>J+9  Moyenne</w:t>
            </w:r>
          </w:p>
        </w:tc>
        <w:tc>
          <w:tcPr>
            <w:tcW w:type="dxa" w:w="1440"/>
            <w:shd w:fill="FFDCE0" w:val="clear"/>
          </w:tcPr>
          <w:p>
            <w:r>
              <w:rPr>
                <w:sz w:val="17"/>
              </w:rPr>
              <w:t>2026-09-23</w:t>
            </w:r>
          </w:p>
        </w:tc>
        <w:tc>
          <w:tcPr>
            <w:tcW w:type="dxa" w:w="1440"/>
            <w:shd w:fill="FFDCE0" w:val="clear"/>
          </w:tcPr>
          <w:p>
            <w:r>
              <w:rPr>
                <w:sz w:val="17"/>
              </w:rPr>
              <w:t>16,115</w:t>
            </w:r>
          </w:p>
        </w:tc>
        <w:tc>
          <w:tcPr>
            <w:tcW w:type="dxa" w:w="1440"/>
            <w:shd w:fill="FFDCE0" w:val="clear"/>
          </w:tcPr>
          <w:p>
            <w:r>
              <w:rPr>
                <w:b/>
                <w:sz w:val="17"/>
              </w:rPr>
              <w:t>17,302</w:t>
            </w:r>
          </w:p>
        </w:tc>
        <w:tc>
          <w:tcPr>
            <w:tcW w:type="dxa" w:w="1440"/>
            <w:shd w:fill="FFDCE0" w:val="clear"/>
          </w:tcPr>
          <w:p>
            <w:r>
              <w:rPr>
                <w:sz w:val="17"/>
              </w:rPr>
              <w:t>18,489</w:t>
            </w:r>
          </w:p>
        </w:tc>
        <w:tc>
          <w:tcPr>
            <w:tcW w:type="dxa" w:w="1440"/>
            <w:shd w:fill="FFDCE0" w:val="clear"/>
          </w:tcPr>
          <w:p>
            <w:r>
              <w:rPr>
                <w:b/>
                <w:color w:val="C00000"/>
                <w:sz w:val="17"/>
              </w:rPr>
              <w:t>-6.5%</w:t>
            </w:r>
          </w:p>
        </w:tc>
      </w:tr>
      <w:tr>
        <w:tc>
          <w:tcPr>
            <w:tcW w:type="dxa" w:w="1440"/>
            <w:shd w:fill="FFDCE0" w:val="clear"/>
          </w:tcPr>
          <w:p>
            <w:r>
              <w:rPr>
                <w:sz w:val="17"/>
              </w:rPr>
              <w:t>J+10  Moyenne</w:t>
            </w:r>
          </w:p>
        </w:tc>
        <w:tc>
          <w:tcPr>
            <w:tcW w:type="dxa" w:w="1440"/>
            <w:shd w:fill="FFDCE0" w:val="clear"/>
          </w:tcPr>
          <w:p>
            <w:r>
              <w:rPr>
                <w:sz w:val="17"/>
              </w:rPr>
              <w:t>2026-09-24</w:t>
            </w:r>
          </w:p>
        </w:tc>
        <w:tc>
          <w:tcPr>
            <w:tcW w:type="dxa" w:w="1440"/>
            <w:shd w:fill="FFDCE0" w:val="clear"/>
          </w:tcPr>
          <w:p>
            <w:r>
              <w:rPr>
                <w:sz w:val="17"/>
              </w:rPr>
              <w:t>15,983</w:t>
            </w:r>
          </w:p>
        </w:tc>
        <w:tc>
          <w:tcPr>
            <w:tcW w:type="dxa" w:w="1440"/>
            <w:shd w:fill="FFDCE0" w:val="clear"/>
          </w:tcPr>
          <w:p>
            <w:r>
              <w:rPr>
                <w:b/>
                <w:sz w:val="17"/>
              </w:rPr>
              <w:t>17,229</w:t>
            </w:r>
          </w:p>
        </w:tc>
        <w:tc>
          <w:tcPr>
            <w:tcW w:type="dxa" w:w="1440"/>
            <w:shd w:fill="FFDCE0" w:val="clear"/>
          </w:tcPr>
          <w:p>
            <w:r>
              <w:rPr>
                <w:sz w:val="17"/>
              </w:rPr>
              <w:t>18,475</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Marché des Actions*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144,21 milliards FCFA, SMBC s'impose comme une valeur de taille intermédiaire sur la BRVM, représentant un poids significatif dans l'indice sectoriel. Le BPA de 1 677 FCFA par action signifie que chaque titre génère près de 1 700 FCFA de bénéfice net, un niveau de rentabilité par action appréciable. Le PER de 11,0x place le titre légèrement au-dessus de la moyenne du marché BRVM (8-12x), traduisant une valorisation modérée mais non excessive, cohérente avec la qualité des résultats. Le P/B de 3,36x indique que le marché valorise l'entreprise à plus de trois fois sa valeur comptable, une prime de croissance justifiée par un ROE exceptionnel de 30,5%. Enfin, l'EV/EBITDA de 7,0x situe la valeur d'entreprise à un niveau raisonnable (5-10x), confirmant que la capacité opérationnelle est correctement valorisée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 enregistré une progression spectaculaire de +60,38%, avec une dernière séance en hausse de +2,81%, portant le cours à 18 500 FCFA. Le range de trading s'étend de 11 450 FCFA (plus bas) à 18 500 FCFA (plus haut), le cours actuel évoluant exactement au sommet de cette fourchette, signe d'une dynamique haussière soutenue. La moyenne de 15 170 FCFA se situe nettement en dessous de la médiane et du mode (16 000 FCFA), confirmant une asymétrie négative (skewness = -0,580) avec davantage de journées de cotation au-dessus de la moyenne, typique d'un titre en tendance haussière. L'écart-type de 2 156 FCFA (CV = 14,2%) révèle une dispersion modérée du cours, tandis que le kurtosis négatif (-1,161, distribution platykurtique) indique une faible concentration des variations autour de la moyenne et un risque de pics de volatilité moins prononcé qu'une distribution normale. La volatilité annualisée de 36,1% classe le titre dans la catégorie des valeurs à volatilité élevée (&gt;30%), ce qui est cohérent avec un marché frontière et une action ayant connu une appréciation rapide et significative.</w:t>
      </w:r>
    </w:p>
    <w:p>
      <w:pPr>
        <w:spacing w:after="120" w:line="276" w:lineRule="auto"/>
      </w:pPr>
      <w:r>
        <w:t>---</w:t>
      </w:r>
    </w:p>
    <w:p>
      <w:pPr>
        <w:spacing w:after="120" w:line="276" w:lineRule="auto"/>
      </w:pPr>
      <w:r>
        <w:t>### PARTIE 2 : ANALYSE TECHNIQUE DÉTAILLÉE</w:t>
      </w:r>
    </w:p>
    <w:p>
      <w:pPr>
        <w:spacing w:after="120" w:line="276" w:lineRule="auto"/>
      </w:pPr>
      <w:r>
        <w:t>**Moyennes Mobiles** : La MM20 (17 105,75 FCFA) et la MM50 (16 735,20 FCFA) se situent toutes deux sous le cours actuel (18 500 FCFA), avec la MM20 au-dessus de la MM50, configurant un croisement haussier classique. Cette configuration confirme une tendance de fond positive et justifie la décision d'achat, le cours évoluant au-dessus de ses supports mobiles.</w:t>
      </w:r>
    </w:p>
    <w:p>
      <w:pPr>
        <w:spacing w:after="120" w:line="276" w:lineRule="auto"/>
      </w:pPr>
      <w:r>
        <w:t>**Bandes de Bollinger** : Le cours (18 500 FCFA) dépasse la borne supérieure (18 262,92 FCFA), signalant une situation de surachat technique et une possible exhaustion de la tendance à court terme. La décision de vente suggérée par cet indicateur reflète le risque de correction après une sortie par le haut des bandes, bien que la largeur des bandes (écart-type élevé) indique une volatilité soutenue.</w:t>
      </w:r>
    </w:p>
    <w:p>
      <w:pPr>
        <w:spacing w:after="120" w:line="276" w:lineRule="auto"/>
      </w:pPr>
      <w:r>
        <w:t>**MACD** : La valeur du MACD (431,88) est nettement supérieure à son signal (317,30), avec un histogramme positif, confirmant un momentum haussier intact. La décision d'achat est justifiée par cette divergence positive persistante, bien que l'écart entre les deux lignes commence à se stabiliser, suggérant une possible inflexion à surveiller.</w:t>
      </w:r>
    </w:p>
    <w:p>
      <w:pPr>
        <w:spacing w:after="120" w:line="276" w:lineRule="auto"/>
      </w:pPr>
      <w:r>
        <w:t>**RSI** : À 88,53, le RSI se situe très largement au-dessus du seuil de surachat (70), signalant une pression acheteuse excessive et un risque élevé de correction à court terme. La décision de vente est cohérente avec cette lecture, le titre étant techniquement surétendu après une hausse de plus de 60% en 100 jours.</w:t>
      </w:r>
    </w:p>
    <w:p>
      <w:pPr>
        <w:spacing w:after="120" w:line="276" w:lineRule="auto"/>
      </w:pPr>
      <w:r>
        <w:t>**Stochastique** : Les valeurs %K et %D sont toutes deux à 100,0, indiquant que le cours clôture systématiquement près de ses plus hauts récents. Cette configuration extrême confirme le surachat et la décision de vente, aucun croisement baissier n'étant encore visible mais le potentiel de retournement étant maximal.</w:t>
      </w:r>
    </w:p>
    <w:p>
      <w:pPr>
        <w:spacing w:after="120" w:line="276" w:lineRule="auto"/>
      </w:pPr>
      <w:r>
        <w:t>**Conclusion technique** : Les indicateurs présentent une divergence notable : les moyennes mobiles et le MACD confirment la tendance haussière de fond, tandis que le RSI, le stochastique et les bandes de Bollinger signalent un surachat extrême à court terme. Cette configuration suggère une tendance haussière mature, avec un risque de consolidation ou de correction imminente. La prudence est de mise pour les investisseurs à court terme, tandis que la tendance moyen terme reste positive.</w:t>
      </w:r>
    </w:p>
    <w:p>
      <w:pPr>
        <w:spacing w:after="120" w:line="276" w:lineRule="auto"/>
      </w:pPr>
      <w:r>
        <w:t>---</w:t>
      </w:r>
    </w:p>
    <w:p>
      <w:pPr>
        <w:spacing w:after="120" w:line="276" w:lineRule="auto"/>
      </w:pPr>
      <w:r>
        <w:t>### PARTIE 3 : ANALYSE FONDAMENTALE</w:t>
      </w:r>
    </w:p>
    <w:p>
      <w:pPr>
        <w:spacing w:after="120" w:line="276" w:lineRule="auto"/>
      </w:pPr>
      <w:r>
        <w:t>En 2025, SMBC affiche un chiffre d'affaires de 206,74 milliards FCFA, en baisse de 9,74% par rapport à 2024 (229,06 milliards FCFA), reflétant un environnement de marché difficile marqué par la volatilité des prix pétroliers et un ralentissement des ventes à l'export. Malgré cette contraction, le résultat net progresse spectaculairement de +50,3% pour atteindre 13,075 milliards FCFA, porté par une amélioration remarquable de la rentabilité opérationnelle : l'EBE bondit de +41,8% à 18,48 milliards FCFA et la marge nette passe de 3,8% à 6,3%. Le ROE s'établit à 30,47% (excellent, &gt;15%) et le ROA à 7,26%, confirmant une création de valeur actionnariale très solide. La structure financière se renforce avec des capitaux propres de 42,91 milliards FCFA (+21,6%) et une trésorerie nette positive de 23,99 milliards FCFA, tandis que le ratio d'endettement de 76,16% reste maîtrisé grâce à une capacité de remboursement de 0,68 an et une couverture des intérêts de 483%. Cependant, les délais d'exploitation demeurent préoccupants : le délai client de 193,75 jours (élevé) expose l'entreprise à un risque de trésorerie, bien que le délai fournisseur de 207,07 jours (supérieur) compense partiellement ce besoin. Les rapports trimestriels 2025 confirment la tendance : au T1 2025 (CA -22%, RN -7%), au S1 2025 (CA -23%, RN -7%) et au T3 2025 (CA -14%, RN +6%), la rentabilité opérationnelle s'améliore continuellement grâce aux marges de raffinage. Sur la base du rapport T3 2025 (RN +6% à 5,7 milliards FCFA), on estime que l'exercice 2025 devrait confirmer un résultat net annuel autour de 13 milliards FCFA, avec une marge nette supérieure à 6%. La recommandation fondamentale est de **CONSERVER** le titre : la solidité financière et l'amélioration de la rentabilité sont indéniables, mais la baisse du chiffre d'affaires et les délais clients élevés nécessitent une surveillance attentive.</w:t>
      </w:r>
    </w:p>
    <w:p>
      <w:pPr>
        <w:spacing w:after="120" w:line="276" w:lineRule="auto"/>
      </w:pPr>
      <w:r>
        <w:t>---</w:t>
      </w:r>
    </w:p>
    <w:p>
      <w:pPr>
        <w:spacing w:after="120" w:line="276" w:lineRule="auto"/>
      </w:pPr>
      <w:r>
        <w:t>### PARTIE 4 : CONCLUSION D'INVESTISSEMENT</w:t>
      </w:r>
    </w:p>
    <w:p>
      <w:pPr>
        <w:spacing w:after="120" w:line="276" w:lineRule="auto"/>
      </w:pPr>
      <w:r>
        <w:t>La valorisation de SMBC (PER 11,0x, P/B 3,36x, EV/EBITDA 7,0x) apparaît modérée à légèrement supérieure à la moyenne du marché, reflétant une prime de qualité justifiée par un ROE de 30,5% et une rentabilité en forte progression. Le comportement du cours sur 100 jours (+60,38%) est exceptionnellement haussier, mais les statistiques descriptives (skewness négatif, kurtosis platykurtique) et la volatilité élevée (36,1%) suggèrent une tendance mature exposée à des corrections. Les signaux techniques sont divergents : les moyennes mobiles et le MACD confirment la tendance haussière, tandis que le RSI (88,5), le stochastique (100) et les bandes de Bollinger signalent un surachat extrême, plaidant pour une consolidation à court terme. Les fondamentaux restent solides : résultat net en hausse de 50,3% en 2025, trésorerie nette positive de 24 milliards FCFA, et perspectives favorables au T4 2025 selon le rapport T3 (demande locale soutenue par les chantiers routiers, export vers le Nigeria et le Ghana). Les prédictions IA anticipent une correction progressive vers 17 608 FCFA d'ici J+10, confirmant la thèse d'un essoufflement technique à court terme. Sur la base de cette synthèse, la recommandation finale est **CONSERVER** avec un niveau de confiance **Moyen** et un risque global **Élevé** (volatilité, surachat technique, dépendance aux prix pétroliers). L'horizon d'investissement optimal est **moyen terme (3-12 mois)**, en attendant une consolidation technique et la confirmation de la reprise du chiffre d'affaires pour envisager un renforcement de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3900.50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9,601 titres</w:t>
            </w:r>
          </w:p>
        </w:tc>
        <w:tc>
          <w:tcPr>
            <w:tcW w:type="dxa" w:w="2268"/>
            <w:shd w:fill="FFF2CC" w:val="clear"/>
          </w:tcPr>
          <w:p>
            <w:r>
              <w:rPr>
                <w:b/>
                <w:color w:val="503200"/>
                <w:sz w:val="16"/>
              </w:rPr>
              <w:t xml:space="preserve">Cours actuel : </w:t>
            </w:r>
            <w:r>
              <w:rPr>
                <w:color w:val="000000"/>
                <w:sz w:val="17"/>
              </w:rPr>
              <w:t>39,005 FCFA</w:t>
            </w:r>
          </w:p>
          <w:p>
            <w:r>
              <w:rPr>
                <w:b/>
                <w:color w:val="503200"/>
                <w:sz w:val="16"/>
              </w:rPr>
              <w:t xml:space="preserve">Var. 100 jours : </w:t>
            </w:r>
            <w:r>
              <w:rPr>
                <w:b/>
                <w:color w:val="007800"/>
                <w:sz w:val="17"/>
              </w:rPr>
              <w:t>+41.84%</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10.01% (Moyenne) — μ=30,810 FCFA, σ=3,085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β=1.8108 (Très agressif) — Cov=0.000064, Var(idx)=0.000035, ρ=0.556,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9,601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36,576</w:t>
            </w:r>
          </w:p>
        </w:tc>
        <w:tc>
          <w:tcPr>
            <w:tcW w:type="dxa" w:w="1440"/>
            <w:shd w:fill="FFDCE0" w:val="clear"/>
          </w:tcPr>
          <w:p>
            <w:r>
              <w:rPr>
                <w:b/>
                <w:sz w:val="17"/>
              </w:rPr>
              <w:t>38,069</w:t>
            </w:r>
          </w:p>
        </w:tc>
        <w:tc>
          <w:tcPr>
            <w:tcW w:type="dxa" w:w="1440"/>
            <w:shd w:fill="FFDCE0" w:val="clear"/>
          </w:tcPr>
          <w:p>
            <w:r>
              <w:rPr>
                <w:sz w:val="17"/>
              </w:rPr>
              <w:t>39,561</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35,859</w:t>
            </w:r>
          </w:p>
        </w:tc>
        <w:tc>
          <w:tcPr>
            <w:tcW w:type="dxa" w:w="1440"/>
            <w:shd w:fill="FFDCE0" w:val="clear"/>
          </w:tcPr>
          <w:p>
            <w:r>
              <w:rPr>
                <w:b/>
                <w:sz w:val="17"/>
              </w:rPr>
              <w:t>37,963</w:t>
            </w:r>
          </w:p>
        </w:tc>
        <w:tc>
          <w:tcPr>
            <w:tcW w:type="dxa" w:w="1440"/>
            <w:shd w:fill="FFDCE0" w:val="clear"/>
          </w:tcPr>
          <w:p>
            <w:r>
              <w:rPr>
                <w:sz w:val="17"/>
              </w:rPr>
              <w:t>40,068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35,243</w:t>
            </w:r>
          </w:p>
        </w:tc>
        <w:tc>
          <w:tcPr>
            <w:tcW w:type="dxa" w:w="1440"/>
            <w:shd w:fill="FFDCE0" w:val="clear"/>
          </w:tcPr>
          <w:p>
            <w:r>
              <w:rPr>
                <w:b/>
                <w:sz w:val="17"/>
              </w:rPr>
              <w:t>37,811</w:t>
            </w:r>
          </w:p>
        </w:tc>
        <w:tc>
          <w:tcPr>
            <w:tcW w:type="dxa" w:w="1440"/>
            <w:shd w:fill="FFDCE0" w:val="clear"/>
          </w:tcPr>
          <w:p>
            <w:r>
              <w:rPr>
                <w:sz w:val="17"/>
              </w:rPr>
              <w:t>40,378</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34,720</w:t>
            </w:r>
          </w:p>
        </w:tc>
        <w:tc>
          <w:tcPr>
            <w:tcW w:type="dxa" w:w="1440"/>
            <w:shd w:fill="FFDCE0" w:val="clear"/>
          </w:tcPr>
          <w:p>
            <w:r>
              <w:rPr>
                <w:b/>
                <w:sz w:val="17"/>
              </w:rPr>
              <w:t>37,674</w:t>
            </w:r>
          </w:p>
        </w:tc>
        <w:tc>
          <w:tcPr>
            <w:tcW w:type="dxa" w:w="1440"/>
            <w:shd w:fill="FFDCE0" w:val="clear"/>
          </w:tcPr>
          <w:p>
            <w:r>
              <w:rPr>
                <w:sz w:val="17"/>
              </w:rPr>
              <w:t>40,628</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34,262</w:t>
            </w:r>
          </w:p>
        </w:tc>
        <w:tc>
          <w:tcPr>
            <w:tcW w:type="dxa" w:w="1440"/>
            <w:shd w:fill="FFDCE0" w:val="clear"/>
          </w:tcPr>
          <w:p>
            <w:r>
              <w:rPr>
                <w:b/>
                <w:sz w:val="17"/>
              </w:rPr>
              <w:t>37,554</w:t>
            </w:r>
          </w:p>
        </w:tc>
        <w:tc>
          <w:tcPr>
            <w:tcW w:type="dxa" w:w="1440"/>
            <w:shd w:fill="FFDCE0" w:val="clear"/>
          </w:tcPr>
          <w:p>
            <w:r>
              <w:rPr>
                <w:sz w:val="17"/>
              </w:rPr>
              <w:t>40,846</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33,848</w:t>
            </w:r>
          </w:p>
        </w:tc>
        <w:tc>
          <w:tcPr>
            <w:tcW w:type="dxa" w:w="1440"/>
            <w:shd w:fill="FFDCE0" w:val="clear"/>
          </w:tcPr>
          <w:p>
            <w:r>
              <w:rPr>
                <w:b/>
                <w:sz w:val="17"/>
              </w:rPr>
              <w:t>37,443</w:t>
            </w:r>
          </w:p>
        </w:tc>
        <w:tc>
          <w:tcPr>
            <w:tcW w:type="dxa" w:w="1440"/>
            <w:shd w:fill="FFDCE0" w:val="clear"/>
          </w:tcPr>
          <w:p>
            <w:r>
              <w:rPr>
                <w:sz w:val="17"/>
              </w:rPr>
              <w:t>41,038</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33,465</w:t>
            </w:r>
          </w:p>
        </w:tc>
        <w:tc>
          <w:tcPr>
            <w:tcW w:type="dxa" w:w="1440"/>
            <w:shd w:fill="FFDCE0" w:val="clear"/>
          </w:tcPr>
          <w:p>
            <w:r>
              <w:rPr>
                <w:b/>
                <w:sz w:val="17"/>
              </w:rPr>
              <w:t>37,337</w:t>
            </w:r>
          </w:p>
        </w:tc>
        <w:tc>
          <w:tcPr>
            <w:tcW w:type="dxa" w:w="1440"/>
            <w:shd w:fill="FFDCE0" w:val="clear"/>
          </w:tcPr>
          <w:p>
            <w:r>
              <w:rPr>
                <w:sz w:val="17"/>
              </w:rPr>
              <w:t>41,210</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33,106</w:t>
            </w:r>
          </w:p>
        </w:tc>
        <w:tc>
          <w:tcPr>
            <w:tcW w:type="dxa" w:w="1440"/>
            <w:shd w:fill="FFDCE0" w:val="clear"/>
          </w:tcPr>
          <w:p>
            <w:r>
              <w:rPr>
                <w:b/>
                <w:sz w:val="17"/>
              </w:rPr>
              <w:t>37,234</w:t>
            </w:r>
          </w:p>
        </w:tc>
        <w:tc>
          <w:tcPr>
            <w:tcW w:type="dxa" w:w="1440"/>
            <w:shd w:fill="FFDCE0" w:val="clear"/>
          </w:tcPr>
          <w:p>
            <w:r>
              <w:rPr>
                <w:sz w:val="17"/>
              </w:rPr>
              <w:t>41,363</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32,767</w:t>
            </w:r>
          </w:p>
        </w:tc>
        <w:tc>
          <w:tcPr>
            <w:tcW w:type="dxa" w:w="1440"/>
            <w:shd w:fill="FFDCE0" w:val="clear"/>
          </w:tcPr>
          <w:p>
            <w:r>
              <w:rPr>
                <w:b/>
                <w:sz w:val="17"/>
              </w:rPr>
              <w:t>37,134</w:t>
            </w:r>
          </w:p>
        </w:tc>
        <w:tc>
          <w:tcPr>
            <w:tcW w:type="dxa" w:w="1440"/>
            <w:shd w:fill="FFDCE0" w:val="clear"/>
          </w:tcPr>
          <w:p>
            <w:r>
              <w:rPr>
                <w:sz w:val="17"/>
              </w:rPr>
              <w:t>41,501</w:t>
            </w:r>
          </w:p>
        </w:tc>
        <w:tc>
          <w:tcPr>
            <w:tcW w:type="dxa" w:w="1440"/>
            <w:shd w:fill="FFDCE0" w:val="clear"/>
          </w:tcPr>
          <w:p>
            <w:r>
              <w:rPr>
                <w:b/>
                <w:color w:val="C00000"/>
                <w:sz w:val="17"/>
              </w:rPr>
              <w:t>-4.8%</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32,445</w:t>
            </w:r>
          </w:p>
        </w:tc>
        <w:tc>
          <w:tcPr>
            <w:tcW w:type="dxa" w:w="1440"/>
            <w:shd w:fill="FFDCE0" w:val="clear"/>
          </w:tcPr>
          <w:p>
            <w:r>
              <w:rPr>
                <w:b/>
                <w:sz w:val="17"/>
              </w:rPr>
              <w:t>37,036</w:t>
            </w:r>
          </w:p>
        </w:tc>
        <w:tc>
          <w:tcPr>
            <w:tcW w:type="dxa" w:w="1440"/>
            <w:shd w:fill="FFDCE0" w:val="clear"/>
          </w:tcPr>
          <w:p>
            <w:r>
              <w:rPr>
                <w:sz w:val="17"/>
              </w:rPr>
              <w:t>41,627</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3 900,50 milliards FCFA, Sonatel confirme son statut de première capitalisation de la BRVM, poids lourd incontournable de l'indice composite. Le BPA de 4 136 FCFA par action signifie que chaque titre génère plus de quatre mille francs de bénéfice net, un niveau exceptionnel qui traduit la forte rentabilité de l'opérateur. Le PER de 9,4x situe le titre dans la fourchette basse de la moyenne BRVM (8-12x) : les investisseurs ne paient donc pas cher pour chaque franc de bénéfice, ce qui suggère une sous-évaluation relative. Le P/B de 2,79x indique que le marché valorise l'action près de trois fois sa valeur comptable, une prime de croissance justifiée par la qualité des actifs et la position dominante du groupe. Enfin, l'EV/EBITDA de 4,1x, très inférieur au seuil de 5x, signale que la valeur totale de l'entreprise (dette incluse) reste modérée au regard de sa capacité opérationnelle à générer du cash, un signal de valorisation attractif.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+41,84%, avec une dernière séance en légère hausse de +0,53%, portant le cours à 39 005 FCFA. Le range de trading s'étend du plus bas de 27 160 FCFA au plus haut de 39 200 FCFA, soit une amplitude de plus de 44%, témoignant d'une tendance nettement haussière portée par des publications financières solides et un intérêt croissant des investisseurs. La moyenne de 30 810 FCFA se situe nettement au-dessus de la médiane de 29 492 FCFA, tandis que le mode s'établit à 28 500 FCFA : cet écart confirme une distribution asymétrique où le cours a passé plus de temps dans la partie basse de la fourchette avant de s'envoler en fin de période. L'écart-type de 3 101 FCFA (CV=10,1%) traduit une dispersion modérée, cohérente avec un titre de qualité. Le kurtosis de 0,793 (mésokurtique) indique une distribution proche de la normale, sans risque excessif de pics extrêmes, tandis que le skewness de 1,343 (asymétrie positive) confirme que la majorité des journées se sont situées sous la moyenne, avec quelques séances de forte hausse tirant le cours vers le haut. La volatilité annualisée de 30,4% classe le titre en catégorie modérée à élevée (seuil &gt;30%), ce qui reste acceptable pour une valeur de fond de portefeuille.</w:t>
      </w:r>
    </w:p>
    <w:p>
      <w:pPr>
        <w:spacing w:after="120" w:line="276" w:lineRule="auto"/>
      </w:pPr>
      <w:r>
        <w:t>---</w:t>
      </w:r>
    </w:p>
    <w:p>
      <w:pPr>
        <w:spacing w:after="120" w:line="276" w:lineRule="auto"/>
      </w:pPr>
      <w:r>
        <w:t>## PARTIE 2 : ANALYSE TECHNIQUE DÉTAILLÉE</w:t>
      </w:r>
    </w:p>
    <w:p>
      <w:pPr>
        <w:spacing w:after="120" w:line="276" w:lineRule="auto"/>
      </w:pPr>
      <w:r>
        <w:t>**Moyennes Mobiles** : La MM20 (36 041,5 FCFA) et la MM50 (33 064,8 FCFA) se situent toutes deux sous le cours actuel de 39 005 FCFA, avec la MM20 au-dessus de la MM50, configuration typique d'un croisement haussier (golden cross). Cette disposition confirme une dynamique positive de court et moyen terme, justifiant la décision d'achat.</w:t>
      </w:r>
    </w:p>
    <w:p>
      <w:pPr>
        <w:spacing w:after="120" w:line="276" w:lineRule="auto"/>
      </w:pPr>
      <w:r>
        <w:t>**Bandes de Bollinger** : Le cours (39 005 FCFA) évolue entre la borne inférieure (31 057,6 FCFA) et la borne supérieure (41 025,4 FCFA), se rapprochant de la bande haute sans la franchir. Cette position indique une pression acheteuse soutenue mais sans excès, la décision neutre reflétant l'absence de signal de retournement imminent.</w:t>
      </w:r>
    </w:p>
    <w:p>
      <w:pPr>
        <w:spacing w:after="120" w:line="276" w:lineRule="auto"/>
      </w:pPr>
      <w:r>
        <w:t>**MACD** : La ligne MACD (1 863,0) surpasse son signal (1 673,5), avec un histogramme positif confirmant un momentum haussier intact. La divergence positive entre les deux courbes valide la poursuite de la tendance, justifiant la décision d'achat.</w:t>
      </w:r>
    </w:p>
    <w:p>
      <w:pPr>
        <w:spacing w:after="120" w:line="276" w:lineRule="auto"/>
      </w:pPr>
      <w:r>
        <w:t>**RSI** : À 72,2, le RSI franchit le seuil de surachat (&gt;70), signalant que le titre pourrait être en phase de consolidation après sa forte progression. Cette configuration justifie la décision de vente à court terme, bien qu'elle doive être nuancée par la force de la tendance fondamentale.</w:t>
      </w:r>
    </w:p>
    <w:p>
      <w:pPr>
        <w:spacing w:after="120" w:line="276" w:lineRule="auto"/>
      </w:pPr>
      <w:r>
        <w:t>**Stochastique** : Le %K (95,8) et le %D (95,8) évoluent à des niveaux extrêmement élevés, proches du plafond de 100, sans croisement baissier pour l'instant. Cette situation confirme le surachat et appelle à la prudence, justifiant la décision de vente à court terme.</w:t>
      </w:r>
    </w:p>
    <w:p>
      <w:pPr>
        <w:spacing w:after="120" w:line="276" w:lineRule="auto"/>
      </w:pPr>
      <w:r>
        <w:t>**Conclusion technique** : Les indicateurs de tendance (MM, MACD) restent haussiers et confirment la solidité du mouvement, tandis que les oscillateurs (RSI, Stochastique) signalent un surachat manifeste. Cette divergence classique entre tendance et momentum suggère une probable consolidation à court terme avant une reprise, l'investisseur devant surveiller un éventuel repli vers la MM20 (36 041 FCFA) comme point d'entrée.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affiche un chiffre d'affaires consolidé de 1 923,122 milliards FCFA, en croissance de 8,26% sur un an, porté par la Data mobile, le Fixe Broadband et Orange Money. Le résultat net s'établit à 413,588 milliards FCFA, soit une marge nette de 21,51%, tandis que le ROE atteint 29,56% — largement supérieur au seuil d'excellence de 15% — et le ROA 12,65%, confirmant l'efficacité de l'utilisation des actifs. La marge brute de 67,03% et la marge opérationnelle de 34,83% témoignent d'une maîtrise remarquable des coûts. Le BFR est négatif à -284,906 milliards FCFA, situation favorable qui signifie que l'entreprise finance son cycle d'exploitation par ses fournisseurs plutôt que par sa trésorerie. Les délais clients (46,16 jours) et fournisseurs (201,39 jours) confirment ce déséquilibre favorable, tandis que la durée de stockage reste faible (14,49 jours). La structure financière est saine : autonomie financière de 42,79%, ratio d'endettement de 57,21%, capacité de remboursement de 0,64 an et couverture des intérêts de 2 744,7%. Le Free Cash Flow de 408,087 milliards FCFA et la trésorerie nette de 536,105 milliards FCFA renforcent la solidité du bilan.</w:t>
      </w:r>
    </w:p>
    <w:p>
      <w:pPr>
        <w:spacing w:after="120" w:line="276" w:lineRule="auto"/>
      </w:pPr>
      <w:r>
        <w:t>**Estimations basées sur les rapports trimestriels** : Le rapport du S1 2026 (publié le 27/07/2026) révèle un chiffre d'affaires de 1 049,8 milliards FCFA (+9,3%) et un résultat net de 230 milliards FCFA (+10,5%), avec une marge EBITDAaL de 48,7% et une notation relevée à AAA(wu) par GCR Ratings. Sur cette base, on estime que l'exercice 2026 devrait enregistrer un chiffre d'affaires d'environ 2 100 milliards FCFA et un résultat net proche de 450 milliards FCFA, confirmant l'accélération de la croissance. Le dividende proposé au titre de 2025 s'élève à 1 933 FCFA brut (1 740 FCFA net), offrant un rendement d'environ 4,5% au cours actuel, avec une mise en paiement prévue le 25 mai 2026.</w:t>
      </w:r>
    </w:p>
    <w:p>
      <w:pPr>
        <w:spacing w:after="120" w:line="276" w:lineRule="auto"/>
      </w:pPr>
      <w:r>
        <w:t>**Recommandation fondamentale** : Sonatel présente une solidité financière exceptionnelle, une croissance rentable et une politique de dividende attractive. Les risques identifiés — pression fiscale et réglementaire, intensification concurrentielle sur le Mobile Money — restent gérables au regard de la position de leader (55,9% de part de marché au Sénégal) et de la diversification géographique. La recommandation fondamentale est à l'achat pour un investisseur de long terme.</w:t>
      </w:r>
    </w:p>
    <w:p>
      <w:pPr>
        <w:spacing w:after="120" w:line="276" w:lineRule="auto"/>
      </w:pPr>
      <w:r>
        <w:t>---</w:t>
      </w:r>
    </w:p>
    <w:p>
      <w:pPr>
        <w:spacing w:after="120" w:line="276" w:lineRule="auto"/>
      </w:pPr>
      <w:r>
        <w:t>## PARTIE 4 : CONCLUSION D'INVESTISSEMENT</w:t>
      </w:r>
    </w:p>
    <w:p>
      <w:pPr>
        <w:spacing w:after="120" w:line="276" w:lineRule="auto"/>
      </w:pPr>
      <w:r>
        <w:t>La valorisation de Sonatel apparaît attractive : le PER de 9,4x et l'EV/EBITDA de 4,1x indiquent une sous-évaluation relative par rapport aux standards de la BRVM, tandis que le P/B de 2,79x reflète une prime de croissance justifiée par la qualité des fondamentaux. Le comportement du cours sur 100 jours est nettement haussier (+41,84%), avec une volatilité modérée (30,4%) et une distribution asymétrique positive (skewness 1,343) qui traduit un potentiel de hausse persistant, bien que le kurtosis proche de la normale n'écarte pas le risque de pics. Les signaux techniques sont mitigés : les moyennes mobiles et le MACD confirment la tendance haussière, mais le RSI (72,2) et le stochastique (95,8) signalent un surachat qui plaide pour une consolidation à court terme. Les fondamentaux restent excellents, avec un ROE de 29,56%, une marge nette de 21,51% et une croissance du chiffre d'affaires de 8,26% en 2025, tandis que les estimations issues du S1 2026 (+9,3% de CA, +10,5% de résultat net) confirment l'accélération. Les prédictions IA anticipent une légère correction vers 37 554 FCFA à J+10, ce qui contredit partiellement les signaux haussiers et suggère une prise de profit à court terme. **Recommandation finale : CONSERVER**, avec une convergence modérée entre valorisation attractive, fondamentaux solides et signaux techniques de surachat. Le niveau de confiance est **Moyen**, le risque global **Moyen**, et l'horizon optimal **long terme (&gt;1 an)** pour capitaliser sur la croissance structurelle et le dividende, en attendant un repli vers la MM20 (36 041 FCFA) pour renforcer la position.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172.92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6,086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007800"/>
                <w:sz w:val="17"/>
              </w:rPr>
              <w:t>+1.07%</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5.05% (Moyenne) — μ=8,023 FCFA, σ=406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β=0.3921 (Défensif) — Cov=0.000014, Var(idx)=0.000035, ρ=0.091,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2026-09-11</w:t>
            </w:r>
          </w:p>
        </w:tc>
        <w:tc>
          <w:tcPr>
            <w:tcW w:type="dxa" w:w="1440"/>
            <w:shd w:fill="FAFAFA" w:val="clear"/>
          </w:tcPr>
          <w:p>
            <w:r>
              <w:rPr>
                <w:sz w:val="17"/>
              </w:rPr>
              <w:t>7,553</w:t>
            </w:r>
          </w:p>
        </w:tc>
        <w:tc>
          <w:tcPr>
            <w:tcW w:type="dxa" w:w="1440"/>
            <w:shd w:fill="FAFAFA" w:val="clear"/>
          </w:tcPr>
          <w:p>
            <w:r>
              <w:rPr>
                <w:b/>
                <w:sz w:val="17"/>
              </w:rPr>
              <w:t>7,979</w:t>
            </w:r>
          </w:p>
        </w:tc>
        <w:tc>
          <w:tcPr>
            <w:tcW w:type="dxa" w:w="1440"/>
            <w:shd w:fill="FAFAFA" w:val="clear"/>
          </w:tcPr>
          <w:p>
            <w:r>
              <w:rPr>
                <w:sz w:val="17"/>
              </w:rPr>
              <w:t>8,406</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2026-09-14</w:t>
            </w:r>
          </w:p>
        </w:tc>
        <w:tc>
          <w:tcPr>
            <w:tcW w:type="dxa" w:w="1440"/>
            <w:shd w:fill="FAFAFA" w:val="clear"/>
          </w:tcPr>
          <w:p>
            <w:r>
              <w:rPr>
                <w:sz w:val="17"/>
              </w:rPr>
              <w:t>7,395</w:t>
            </w:r>
          </w:p>
        </w:tc>
        <w:tc>
          <w:tcPr>
            <w:tcW w:type="dxa" w:w="1440"/>
            <w:shd w:fill="FAFAFA" w:val="clear"/>
          </w:tcPr>
          <w:p>
            <w:r>
              <w:rPr>
                <w:b/>
                <w:sz w:val="17"/>
              </w:rPr>
              <w:t>8,000</w:t>
            </w:r>
          </w:p>
        </w:tc>
        <w:tc>
          <w:tcPr>
            <w:tcW w:type="dxa" w:w="1440"/>
            <w:shd w:fill="FAFAFA" w:val="clear"/>
          </w:tcPr>
          <w:p>
            <w:r>
              <w:rPr>
                <w:sz w:val="17"/>
              </w:rPr>
              <w:t>8,605</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2026-09-15</w:t>
            </w:r>
          </w:p>
        </w:tc>
        <w:tc>
          <w:tcPr>
            <w:tcW w:type="dxa" w:w="1440"/>
            <w:shd w:fill="FAFAFA" w:val="clear"/>
          </w:tcPr>
          <w:p>
            <w:r>
              <w:rPr>
                <w:sz w:val="17"/>
              </w:rPr>
              <w:t>7,271</w:t>
            </w:r>
          </w:p>
        </w:tc>
        <w:tc>
          <w:tcPr>
            <w:tcW w:type="dxa" w:w="1440"/>
            <w:shd w:fill="FAFAFA" w:val="clear"/>
          </w:tcPr>
          <w:p>
            <w:r>
              <w:rPr>
                <w:b/>
                <w:sz w:val="17"/>
              </w:rPr>
              <w:t>8,012</w:t>
            </w:r>
          </w:p>
        </w:tc>
        <w:tc>
          <w:tcPr>
            <w:tcW w:type="dxa" w:w="1440"/>
            <w:shd w:fill="FAFAFA" w:val="clear"/>
          </w:tcPr>
          <w:p>
            <w:r>
              <w:rPr>
                <w:sz w:val="17"/>
              </w:rPr>
              <w:t>8,754</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7,167</w:t>
            </w:r>
          </w:p>
        </w:tc>
        <w:tc>
          <w:tcPr>
            <w:tcW w:type="dxa" w:w="1440"/>
            <w:shd w:fill="FAFAFA" w:val="clear"/>
          </w:tcPr>
          <w:p>
            <w:r>
              <w:rPr>
                <w:b/>
                <w:sz w:val="17"/>
              </w:rPr>
              <w:t>8,025</w:t>
            </w:r>
          </w:p>
        </w:tc>
        <w:tc>
          <w:tcPr>
            <w:tcW w:type="dxa" w:w="1440"/>
            <w:shd w:fill="FAFAFA" w:val="clear"/>
          </w:tcPr>
          <w:p>
            <w:r>
              <w:rPr>
                <w:sz w:val="17"/>
              </w:rPr>
              <w:t>8,882</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2026-09-17</w:t>
            </w:r>
          </w:p>
        </w:tc>
        <w:tc>
          <w:tcPr>
            <w:tcW w:type="dxa" w:w="1440"/>
            <w:shd w:fill="FAFAFA" w:val="clear"/>
          </w:tcPr>
          <w:p>
            <w:r>
              <w:rPr>
                <w:sz w:val="17"/>
              </w:rPr>
              <w:t>7,077</w:t>
            </w:r>
          </w:p>
        </w:tc>
        <w:tc>
          <w:tcPr>
            <w:tcW w:type="dxa" w:w="1440"/>
            <w:shd w:fill="FAFAFA" w:val="clear"/>
          </w:tcPr>
          <w:p>
            <w:r>
              <w:rPr>
                <w:b/>
                <w:sz w:val="17"/>
              </w:rPr>
              <w:t>8,038</w:t>
            </w:r>
          </w:p>
        </w:tc>
        <w:tc>
          <w:tcPr>
            <w:tcW w:type="dxa" w:w="1440"/>
            <w:shd w:fill="FAFAFA" w:val="clear"/>
          </w:tcPr>
          <w:p>
            <w:r>
              <w:rPr>
                <w:sz w:val="17"/>
              </w:rPr>
              <w:t>8,998</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2026-09-18</w:t>
            </w:r>
          </w:p>
        </w:tc>
        <w:tc>
          <w:tcPr>
            <w:tcW w:type="dxa" w:w="1440"/>
            <w:shd w:fill="FAFAFA" w:val="clear"/>
          </w:tcPr>
          <w:p>
            <w:r>
              <w:rPr>
                <w:sz w:val="17"/>
              </w:rPr>
              <w:t>6,997</w:t>
            </w:r>
          </w:p>
        </w:tc>
        <w:tc>
          <w:tcPr>
            <w:tcW w:type="dxa" w:w="1440"/>
            <w:shd w:fill="FAFAFA" w:val="clear"/>
          </w:tcPr>
          <w:p>
            <w:r>
              <w:rPr>
                <w:b/>
                <w:sz w:val="17"/>
              </w:rPr>
              <w:t>8,050</w:t>
            </w:r>
          </w:p>
        </w:tc>
        <w:tc>
          <w:tcPr>
            <w:tcW w:type="dxa" w:w="1440"/>
            <w:shd w:fill="FAFAFA" w:val="clear"/>
          </w:tcPr>
          <w:p>
            <w:r>
              <w:rPr>
                <w:sz w:val="17"/>
              </w:rPr>
              <w:t>9,104</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2026-09-21</w:t>
            </w:r>
          </w:p>
        </w:tc>
        <w:tc>
          <w:tcPr>
            <w:tcW w:type="dxa" w:w="1440"/>
            <w:shd w:fill="FAFAFA" w:val="clear"/>
          </w:tcPr>
          <w:p>
            <w:r>
              <w:rPr>
                <w:sz w:val="17"/>
              </w:rPr>
              <w:t>6,923</w:t>
            </w:r>
          </w:p>
        </w:tc>
        <w:tc>
          <w:tcPr>
            <w:tcW w:type="dxa" w:w="1440"/>
            <w:shd w:fill="FAFAFA" w:val="clear"/>
          </w:tcPr>
          <w:p>
            <w:r>
              <w:rPr>
                <w:b/>
                <w:sz w:val="17"/>
              </w:rPr>
              <w:t>8,063</w:t>
            </w:r>
          </w:p>
        </w:tc>
        <w:tc>
          <w:tcPr>
            <w:tcW w:type="dxa" w:w="1440"/>
            <w:shd w:fill="FAFAFA" w:val="clear"/>
          </w:tcPr>
          <w:p>
            <w:r>
              <w:rPr>
                <w:sz w:val="17"/>
              </w:rPr>
              <w:t>9,203</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2026-09-22</w:t>
            </w:r>
          </w:p>
        </w:tc>
        <w:tc>
          <w:tcPr>
            <w:tcW w:type="dxa" w:w="1440"/>
            <w:shd w:fill="FAFAFA" w:val="clear"/>
          </w:tcPr>
          <w:p>
            <w:r>
              <w:rPr>
                <w:sz w:val="17"/>
              </w:rPr>
              <w:t>6,855</w:t>
            </w:r>
          </w:p>
        </w:tc>
        <w:tc>
          <w:tcPr>
            <w:tcW w:type="dxa" w:w="1440"/>
            <w:shd w:fill="FAFAFA" w:val="clear"/>
          </w:tcPr>
          <w:p>
            <w:r>
              <w:rPr>
                <w:b/>
                <w:sz w:val="17"/>
              </w:rPr>
              <w:t>8,076</w:t>
            </w:r>
          </w:p>
        </w:tc>
        <w:tc>
          <w:tcPr>
            <w:tcW w:type="dxa" w:w="1440"/>
            <w:shd w:fill="FAFAFA" w:val="clear"/>
          </w:tcPr>
          <w:p>
            <w:r>
              <w:rPr>
                <w:sz w:val="17"/>
              </w:rPr>
              <w:t>9,296</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2026-09-23</w:t>
            </w:r>
          </w:p>
        </w:tc>
        <w:tc>
          <w:tcPr>
            <w:tcW w:type="dxa" w:w="1440"/>
            <w:shd w:fill="FAFAFA" w:val="clear"/>
          </w:tcPr>
          <w:p>
            <w:r>
              <w:rPr>
                <w:sz w:val="17"/>
              </w:rPr>
              <w:t>6,791</w:t>
            </w:r>
          </w:p>
        </w:tc>
        <w:tc>
          <w:tcPr>
            <w:tcW w:type="dxa" w:w="1440"/>
            <w:shd w:fill="FAFAFA" w:val="clear"/>
          </w:tcPr>
          <w:p>
            <w:r>
              <w:rPr>
                <w:b/>
                <w:sz w:val="17"/>
              </w:rPr>
              <w:t>8,088</w:t>
            </w:r>
          </w:p>
        </w:tc>
        <w:tc>
          <w:tcPr>
            <w:tcW w:type="dxa" w:w="1440"/>
            <w:shd w:fill="FAFAFA" w:val="clear"/>
          </w:tcPr>
          <w:p>
            <w:r>
              <w:rPr>
                <w:sz w:val="17"/>
              </w:rPr>
              <w:t>9,385</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2026-09-24</w:t>
            </w:r>
          </w:p>
        </w:tc>
        <w:tc>
          <w:tcPr>
            <w:tcW w:type="dxa" w:w="1440"/>
            <w:shd w:fill="FAFAFA" w:val="clear"/>
          </w:tcPr>
          <w:p>
            <w:r>
              <w:rPr>
                <w:sz w:val="17"/>
              </w:rPr>
              <w:t>6,732</w:t>
            </w:r>
          </w:p>
        </w:tc>
        <w:tc>
          <w:tcPr>
            <w:tcW w:type="dxa" w:w="1440"/>
            <w:shd w:fill="FAFAFA" w:val="clear"/>
          </w:tcPr>
          <w:p>
            <w:r>
              <w:rPr>
                <w:b/>
                <w:sz w:val="17"/>
              </w:rPr>
              <w:t>8,100</w:t>
            </w:r>
          </w:p>
        </w:tc>
        <w:tc>
          <w:tcPr>
            <w:tcW w:type="dxa" w:w="1440"/>
            <w:shd w:fill="FAFAFA" w:val="clear"/>
          </w:tcPr>
          <w:p>
            <w:r>
              <w:rPr>
                <w:sz w:val="17"/>
              </w:rPr>
              <w:t>9,469</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Agro-industrie (Hévéa &amp; Palmier)*</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172,92 milliards FCFA, SOGC se positionne parmi les valeurs moyennes à grandes de la cote BRVM, reflétant sa stature d'acteur agro-industriel de référence en Afrique de l'Ouest. Le BPA de 578 FCFA/action signifie que chaque titre génère près de 578 FCFA de bénéfice net, un niveau de rentabilité par action robuste. Le PER de 13,8x situe le titre légèrement au-dessus de la moyenne BRVM (~8-12x), traduisant une prime modérée justifiée par la qualité des fondamentaux, sans exagération spéculative. Le P/B de 2,53x indique que le marché valorise l'entreprise à 2,5 fois sa valeur comptable — une prime de croissance cohérente avec un ROE de 18,26%, bien supérieur au coût des fonds propres. Enfin, l'EV/EBITDA de 7,2x, dans la fourchette raisonnable de 5-10x, montre que la valeur d'entreprise reste proportionnée à la capacité opérationnelle de génération de cash-flow, suggérant une valorisation globalement équilibrée.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variation totale quasi stable de +1,07%, avec une dernière séance (J-1) nettement haussière de +2,63%, portant le cours à 8 005 FCFA. Le range de trading s'étend de 7 100 FCFA (plus bas) à 8 875 FCFA (plus haut), soit une amplitude de 25%, témoignant d'une réelle volatilité intra-période malgré une tendance globale atone. La moyenne (8 023 FCFA) est légèrement inférieure à la médiane (8 145 FCFA) et au mode (8 200 FCFA), ce qui révèle une asymétrie négative : les baisses ponctuelles ont tiré la moyenne vers le bas, confirmant un skewness de -0,407 (distribution légèrement décalée vers les valeurs basses). L'écart-type de 408 FCFA avec un coefficient de variation de 5,1% indique une dispersion modérée autour de la moyenne, tandis que le kurtosis de -0,805 (mésokurtique) suggère une distribution proche de la normale, sans risque excessif de pics extrêmes. La volatilité annualisée de 40,5% classe le titre dans la catégorie **élevée** (&gt;30%), ce qui est caractéristique des valeurs agricoles exposées aux cycles des matières premières, et implique une prime de risque significative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(8 139,25 FCFA) et la MM50 (8 186,70 FCFA) se situent toutes deux au-dessus du cours actuel (8 005 FCFA), avec une MM20 légèrement sous la MM50 — configuration baissière de court terme. Le cours évoluant sous ses deux moyennes, la pression vendeuse domine, ce qui justifie la décision technique de **Vente**.</w:t>
      </w:r>
    </w:p>
    <w:p>
      <w:pPr>
        <w:spacing w:after="120" w:line="276" w:lineRule="auto"/>
      </w:pPr>
      <w:r>
        <w:t>**Bandes de Bollinger** : Le cours (8 005 FCFA) se situe dans la partie basse du canal, entre la borne inférieure (7 425,55 FCFA) et la borne supérieure (8 852,95 FCFA), à environ 40% de la largeur du canal. Cette position médiane-basse, sans contact avec les extrêmes, traduit une absence de signal directionnel fort, d'où la décision **Neutre**.</w:t>
      </w:r>
    </w:p>
    <w:p>
      <w:pPr>
        <w:spacing w:after="120" w:line="276" w:lineRule="auto"/>
      </w:pPr>
      <w:r>
        <w:t>**MACD** : La valeur du MACD (-11,794) est nettement inférieure à son signal (29,941), creusant un écart négatif prononcé qui matérialise un momentum baissier persistant. Cette divergence négative confirme la perte de dynamique haussière, justifiant la décision de **Vente**.</w:t>
      </w:r>
    </w:p>
    <w:p>
      <w:pPr>
        <w:spacing w:after="120" w:line="276" w:lineRule="auto"/>
      </w:pPr>
      <w:r>
        <w:t>**RSI** : À 45,87, le RSI se situe en zone neutre (30-70), sans signal de surachat (&gt;70) ni de survente (&lt;30). Le titre n'est ni surétiré ni survendu, ce qui laisse place à une consolidation sans urgence directionnelle — décision **Neutre**.</w:t>
      </w:r>
    </w:p>
    <w:p>
      <w:pPr>
        <w:spacing w:after="120" w:line="276" w:lineRule="auto"/>
      </w:pPr>
      <w:r>
        <w:t>**Stochastique** : Le %K (25,957) est supérieur au %D (11,489), avec un croisement récent en zone basse (&lt;20 pour le %D), signal potentiel de retournement haussier de très court terme. Toutefois, la faiblesse générale du momentum limite la portée de ce signal, d'où la décision **Neutre**.</w:t>
      </w:r>
    </w:p>
    <w:p>
      <w:pPr>
        <w:spacing w:after="120" w:line="276" w:lineRule="auto"/>
      </w:pPr>
      <w:r>
        <w:t>**Conclusion technique** : Les indicateurs sont majoritairement baissiers (MM et MACD en Vente) mais tempérés par des signaux neutres (Bollinger, RSI, Stochastique). Le titre se trouve dans une phase de consolidation sous ses moyennes mobiles, sans survente excessive, ce qui suggère une poursuite de la pression baissière modérée à court terme, à moins d'un catalyseur fondamental.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officiels de SOGC (exercice clos au 31/12/2025) affichent un chiffre d'affaires de 98,979 milliards FCFA, en croissance de 10,70% sur un an, porté par la hausse des prix de l'huile de palme (+20%) et de palmiste (+47%) ainsi que par la progression des volumes de caoutchouc (+9%). Le résultat net s'établit à 12,493 milliards FCFA, en léger recul de 5% par rapport à 2024 (13,11 milliards), sous l'effet d'une hausse de 15% des coûts d'achat du coagulum qui a comprimé les marges. La rentabilité reste néanmoins solide avec un ROE de 18,26% (excellent, &gt;15%) et un ROA de 13,84%, tandis que la marge nette se maintient à 12,62% et la marge opérationnelle à 17,24%. La structure financière est remarquablement saine : autonomie financière de 75,79%, ratio d'endettement de seulement 24,21%, et une trésorerie nette positive de 4,575 milliards FCFA. En tant qu'entreprise agro-industrielle, les délais d'exploitation méritent attention : le délai clients de 29,60 jours est maîtrisé (faible risque de trésorerie), le délai fournisseurs de 31,72 jours est favorable, mais la durée de stockage de 97,67 jours immobilise du capital de manière significative. Le BFR de 7,124 milliards FCFA reste positif mais contrôlé, couvert par un fonds de roulement de 11,699 milliards. Les rapports trimestriels 2025 (T1 au 31/03/2025, S1 au 30/06/2025, 9M au 30/09/2025) confirment une dynamique exceptionnelle en début d'année (CA +63,1% au T1, résultat net +262,9%) avant un ralentissement marqué au S2 sous l'effet de la concurrence accrue sur l'achat de matière première et de la baisse des cours SICOM du caoutchouc. Sur la base du cumul 9M 2025 (CA de 75,6 milliards, résultat net de 11,5 milliards), on estime que l'exercice 2025 devrait se conclure autour de 98-99 milliards de CA et 12,5 milliards de résultat net, ce qui est cohérent avec les chiffres annuels publiés. La politique de dividende est très généreuse : un dividende brut de 570 FCFA/action proposé pour 2025 (contre 60 FCFA en 2024), soit un rendement attractif de 7,1% au cours actuel, mais un taux de distribution proche de 98% qui limite les capacités de réinvestissement. **Recommandation fondamentale : CONSERVER** — la solidité bilancielle et la générosité du dividende soutiennent le titre, mais la pression sur les marges et le contexte concurrentiel du S2 2025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équilibrée : PER de 13,8x légèrement supérieur à la moyenne BRVM, P/B de 2,53x justifié par un ROE de 18,26%, et EV/EBITDA de 7,2x raisonnable — le titre n'est ni sous-évalué ni surévalué. Le comportement du cours (Partie 1) est préoccupant à court terme : tendance atone (+1,07% sur 100 jours), volatilité élevée (40,5%), skewness négatif (-0,407) et kurtosis mésokurtique indiquant une distribution sans biais extrême mais avec une légère pression baissière. Les signaux techniques (Partie 2) sont majoritairement baissiers (MM et MACD en Vente) mais tempérés par des indicateurs neutres (RSI, Bollinger, Stochastique), suggérant une consolidation sans effondrement. Les fondamentaux (Partie 3) restent solides : CA de 98,98 milliards en 2025 (+10,7%), résultat net de 12,49 milliards (-5%), ROE de 18,26%, structure financière très saine (autonomie de 75,79%), et dividende attractif de 570 FCFA/action (rendement ~7,1%). Les prédictions IA (J+1 à J+10) tablent sur une légère reprise progressive de 7 979 FCFA à 8 038 FCFA, ce qui contredit partiellement les signaux techniques baissiers et suggère une stabilisation autour des 8 000 FCFA. **Recommandation finale : CONSERVER**, avec un niveau de confiance **Moyen** et un risque global **Moyen**. La convergence entre valorisation raisonnable, fondamentaux solides et dividende généreux soutient le titre, mais la pression technique baissière et le ralentissement du S2 2025 limitent le potentiel de hausse à court terme. L'horizon d'investissement optimal est le **moyen terme (3-12 mois)**, en attendant la clarification du contexte concurrentiel sur l'achat de coagulum et l'évolution des cours du caoutchouc (SICOM). Un retour durable au-dessus de la MM50 (8 186 FCFA) constituerait un signal d'achat supplémentaire.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205.87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4,380 titres</w:t>
            </w:r>
          </w:p>
        </w:tc>
        <w:tc>
          <w:tcPr>
            <w:tcW w:type="dxa" w:w="2268"/>
            <w:shd w:fill="FFF2CC" w:val="clear"/>
          </w:tcPr>
          <w:p>
            <w:r>
              <w:rPr>
                <w:b/>
                <w:color w:val="503200"/>
                <w:sz w:val="16"/>
              </w:rPr>
              <w:t xml:space="preserve">Cours actuel : </w:t>
            </w:r>
            <w:r>
              <w:rPr>
                <w:color w:val="000000"/>
                <w:sz w:val="17"/>
              </w:rPr>
              <w:t>8,055 FCFA</w:t>
            </w:r>
          </w:p>
          <w:p>
            <w:r>
              <w:rPr>
                <w:b/>
                <w:color w:val="503200"/>
                <w:sz w:val="16"/>
              </w:rPr>
              <w:t xml:space="preserve">Var. 100 jours : </w:t>
            </w:r>
            <w:r>
              <w:rPr>
                <w:b/>
                <w:color w:val="007800"/>
                <w:sz w:val="17"/>
              </w:rPr>
              <w:t>+15.48%</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10.37% (Moyenne) — μ=7,748 FCFA, σ=804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β=0.9910 (Neutre (suit le marché)) — Cov=0.000035, Var(idx)=0.000035, ρ=0.214,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2026-09-11</w:t>
            </w:r>
          </w:p>
        </w:tc>
        <w:tc>
          <w:tcPr>
            <w:tcW w:type="dxa" w:w="1440"/>
            <w:shd w:fill="C6EFCE" w:val="clear"/>
          </w:tcPr>
          <w:p>
            <w:r>
              <w:rPr>
                <w:sz w:val="17"/>
              </w:rPr>
              <w:t>7,727</w:t>
            </w:r>
          </w:p>
        </w:tc>
        <w:tc>
          <w:tcPr>
            <w:tcW w:type="dxa" w:w="1440"/>
            <w:shd w:fill="C6EFCE" w:val="clear"/>
          </w:tcPr>
          <w:p>
            <w:r>
              <w:rPr>
                <w:b/>
                <w:sz w:val="17"/>
              </w:rPr>
              <w:t>8,262</w:t>
            </w:r>
          </w:p>
        </w:tc>
        <w:tc>
          <w:tcPr>
            <w:tcW w:type="dxa" w:w="1440"/>
            <w:shd w:fill="C6EFCE" w:val="clear"/>
          </w:tcPr>
          <w:p>
            <w:r>
              <w:rPr>
                <w:sz w:val="17"/>
              </w:rPr>
              <w:t>8,797</w:t>
            </w:r>
          </w:p>
        </w:tc>
        <w:tc>
          <w:tcPr>
            <w:tcW w:type="dxa" w:w="1440"/>
            <w:shd w:fill="C6EFCE" w:val="clear"/>
          </w:tcPr>
          <w:p>
            <w:r>
              <w:rPr>
                <w:b/>
                <w:color w:val="008000"/>
                <w:sz w:val="17"/>
              </w:rPr>
              <w:t>+2.6%</w:t>
            </w:r>
          </w:p>
        </w:tc>
      </w:tr>
      <w:tr>
        <w:tc>
          <w:tcPr>
            <w:tcW w:type="dxa" w:w="1440"/>
            <w:shd w:fill="C6EFCE" w:val="clear"/>
          </w:tcPr>
          <w:p>
            <w:r>
              <w:rPr>
                <w:sz w:val="17"/>
              </w:rPr>
              <w:t>J+2  Moyenne</w:t>
            </w:r>
          </w:p>
        </w:tc>
        <w:tc>
          <w:tcPr>
            <w:tcW w:type="dxa" w:w="1440"/>
            <w:shd w:fill="C6EFCE" w:val="clear"/>
          </w:tcPr>
          <w:p>
            <w:r>
              <w:rPr>
                <w:sz w:val="17"/>
              </w:rPr>
              <w:t>2026-09-14</w:t>
            </w:r>
          </w:p>
        </w:tc>
        <w:tc>
          <w:tcPr>
            <w:tcW w:type="dxa" w:w="1440"/>
            <w:shd w:fill="C6EFCE" w:val="clear"/>
          </w:tcPr>
          <w:p>
            <w:r>
              <w:rPr>
                <w:sz w:val="17"/>
              </w:rPr>
              <w:t>7,478</w:t>
            </w:r>
          </w:p>
        </w:tc>
        <w:tc>
          <w:tcPr>
            <w:tcW w:type="dxa" w:w="1440"/>
            <w:shd w:fill="C6EFCE" w:val="clear"/>
          </w:tcPr>
          <w:p>
            <w:r>
              <w:rPr>
                <w:b/>
                <w:sz w:val="17"/>
              </w:rPr>
              <w:t>8,231</w:t>
            </w:r>
          </w:p>
        </w:tc>
        <w:tc>
          <w:tcPr>
            <w:tcW w:type="dxa" w:w="1440"/>
            <w:shd w:fill="C6EFCE" w:val="clear"/>
          </w:tcPr>
          <w:p>
            <w:r>
              <w:rPr>
                <w:sz w:val="17"/>
              </w:rPr>
              <w:t>8,985</w:t>
            </w:r>
          </w:p>
        </w:tc>
        <w:tc>
          <w:tcPr>
            <w:tcW w:type="dxa" w:w="1440"/>
            <w:shd w:fill="C6EFCE" w:val="clear"/>
          </w:tcPr>
          <w:p>
            <w:r>
              <w:rPr>
                <w:b/>
                <w:color w:val="008000"/>
                <w:sz w:val="17"/>
              </w:rPr>
              <w:t>+2.2%</w:t>
            </w:r>
          </w:p>
        </w:tc>
      </w:tr>
      <w:tr>
        <w:tc>
          <w:tcPr>
            <w:tcW w:type="dxa" w:w="1440"/>
            <w:shd w:fill="FAFAFA" w:val="clear"/>
          </w:tcPr>
          <w:p>
            <w:r>
              <w:rPr>
                <w:sz w:val="17"/>
              </w:rPr>
              <w:t>J+3  Moyenne</w:t>
            </w:r>
          </w:p>
        </w:tc>
        <w:tc>
          <w:tcPr>
            <w:tcW w:type="dxa" w:w="1440"/>
            <w:shd w:fill="FAFAFA" w:val="clear"/>
          </w:tcPr>
          <w:p>
            <w:r>
              <w:rPr>
                <w:sz w:val="17"/>
              </w:rPr>
              <w:t>2026-09-15</w:t>
            </w:r>
          </w:p>
        </w:tc>
        <w:tc>
          <w:tcPr>
            <w:tcW w:type="dxa" w:w="1440"/>
            <w:shd w:fill="FAFAFA" w:val="clear"/>
          </w:tcPr>
          <w:p>
            <w:r>
              <w:rPr>
                <w:sz w:val="17"/>
              </w:rPr>
              <w:t>7,292</w:t>
            </w:r>
          </w:p>
        </w:tc>
        <w:tc>
          <w:tcPr>
            <w:tcW w:type="dxa" w:w="1440"/>
            <w:shd w:fill="FAFAFA" w:val="clear"/>
          </w:tcPr>
          <w:p>
            <w:r>
              <w:rPr>
                <w:b/>
                <w:sz w:val="17"/>
              </w:rPr>
              <w:t>8,213</w:t>
            </w:r>
          </w:p>
        </w:tc>
        <w:tc>
          <w:tcPr>
            <w:tcW w:type="dxa" w:w="1440"/>
            <w:shd w:fill="FAFAFA" w:val="clear"/>
          </w:tcPr>
          <w:p>
            <w:r>
              <w:rPr>
                <w:sz w:val="17"/>
              </w:rPr>
              <w:t>9,134</w:t>
            </w:r>
          </w:p>
        </w:tc>
        <w:tc>
          <w:tcPr>
            <w:tcW w:type="dxa" w:w="1440"/>
            <w:shd w:fill="FAFAFA" w:val="clear"/>
          </w:tcPr>
          <w:p>
            <w:r>
              <w:rPr>
                <w:b/>
                <w:color w:val="008000"/>
                <w:sz w:val="17"/>
              </w:rPr>
              <w:t>+2.0%</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7,127</w:t>
            </w:r>
          </w:p>
        </w:tc>
        <w:tc>
          <w:tcPr>
            <w:tcW w:type="dxa" w:w="1440"/>
            <w:shd w:fill="FAFAFA" w:val="clear"/>
          </w:tcPr>
          <w:p>
            <w:r>
              <w:rPr>
                <w:b/>
                <w:sz w:val="17"/>
              </w:rPr>
              <w:t>8,188</w:t>
            </w:r>
          </w:p>
        </w:tc>
        <w:tc>
          <w:tcPr>
            <w:tcW w:type="dxa" w:w="1440"/>
            <w:shd w:fill="FAFAFA" w:val="clear"/>
          </w:tcPr>
          <w:p>
            <w:r>
              <w:rPr>
                <w:sz w:val="17"/>
              </w:rPr>
              <w:t>9,248</w:t>
            </w:r>
          </w:p>
        </w:tc>
        <w:tc>
          <w:tcPr>
            <w:tcW w:type="dxa" w:w="1440"/>
            <w:shd w:fill="FAFAFA" w:val="clear"/>
          </w:tcPr>
          <w:p>
            <w:r>
              <w:rPr>
                <w:b/>
                <w:color w:val="008000"/>
                <w:sz w:val="17"/>
              </w:rPr>
              <w:t>+1.6%</w:t>
            </w:r>
          </w:p>
        </w:tc>
      </w:tr>
      <w:tr>
        <w:tc>
          <w:tcPr>
            <w:tcW w:type="dxa" w:w="1440"/>
            <w:shd w:fill="FAFAFA" w:val="clear"/>
          </w:tcPr>
          <w:p>
            <w:r>
              <w:rPr>
                <w:sz w:val="17"/>
              </w:rPr>
              <w:t>J+5  ⭐</w:t>
            </w:r>
          </w:p>
        </w:tc>
        <w:tc>
          <w:tcPr>
            <w:tcW w:type="dxa" w:w="1440"/>
            <w:shd w:fill="FAFAFA" w:val="clear"/>
          </w:tcPr>
          <w:p>
            <w:r>
              <w:rPr>
                <w:sz w:val="17"/>
              </w:rPr>
              <w:t>2026-09-17</w:t>
            </w:r>
          </w:p>
        </w:tc>
        <w:tc>
          <w:tcPr>
            <w:tcW w:type="dxa" w:w="1440"/>
            <w:shd w:fill="FAFAFA" w:val="clear"/>
          </w:tcPr>
          <w:p>
            <w:r>
              <w:rPr>
                <w:sz w:val="17"/>
              </w:rPr>
              <w:t>6,979</w:t>
            </w:r>
          </w:p>
        </w:tc>
        <w:tc>
          <w:tcPr>
            <w:tcW w:type="dxa" w:w="1440"/>
            <w:shd w:fill="FAFAFA" w:val="clear"/>
          </w:tcPr>
          <w:p>
            <w:r>
              <w:rPr>
                <w:b/>
                <w:sz w:val="17"/>
              </w:rPr>
              <w:t>8,161</w:t>
            </w:r>
          </w:p>
        </w:tc>
        <w:tc>
          <w:tcPr>
            <w:tcW w:type="dxa" w:w="1440"/>
            <w:shd w:fill="FAFAFA" w:val="clear"/>
          </w:tcPr>
          <w:p>
            <w:r>
              <w:rPr>
                <w:sz w:val="17"/>
              </w:rPr>
              <w:t>9,343</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2026-09-18</w:t>
            </w:r>
          </w:p>
        </w:tc>
        <w:tc>
          <w:tcPr>
            <w:tcW w:type="dxa" w:w="1440"/>
            <w:shd w:fill="FAFAFA" w:val="clear"/>
          </w:tcPr>
          <w:p>
            <w:r>
              <w:rPr>
                <w:sz w:val="17"/>
              </w:rPr>
              <w:t>6,845</w:t>
            </w:r>
          </w:p>
        </w:tc>
        <w:tc>
          <w:tcPr>
            <w:tcW w:type="dxa" w:w="1440"/>
            <w:shd w:fill="FAFAFA" w:val="clear"/>
          </w:tcPr>
          <w:p>
            <w:r>
              <w:rPr>
                <w:b/>
                <w:sz w:val="17"/>
              </w:rPr>
              <w:t>8,136</w:t>
            </w:r>
          </w:p>
        </w:tc>
        <w:tc>
          <w:tcPr>
            <w:tcW w:type="dxa" w:w="1440"/>
            <w:shd w:fill="FAFAFA" w:val="clear"/>
          </w:tcPr>
          <w:p>
            <w:r>
              <w:rPr>
                <w:sz w:val="17"/>
              </w:rPr>
              <w:t>9,426</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2026-09-21</w:t>
            </w:r>
          </w:p>
        </w:tc>
        <w:tc>
          <w:tcPr>
            <w:tcW w:type="dxa" w:w="1440"/>
            <w:shd w:fill="FAFAFA" w:val="clear"/>
          </w:tcPr>
          <w:p>
            <w:r>
              <w:rPr>
                <w:sz w:val="17"/>
              </w:rPr>
              <w:t>6,722</w:t>
            </w:r>
          </w:p>
        </w:tc>
        <w:tc>
          <w:tcPr>
            <w:tcW w:type="dxa" w:w="1440"/>
            <w:shd w:fill="FAFAFA" w:val="clear"/>
          </w:tcPr>
          <w:p>
            <w:r>
              <w:rPr>
                <w:b/>
                <w:sz w:val="17"/>
              </w:rPr>
              <w:t>8,112</w:t>
            </w:r>
          </w:p>
        </w:tc>
        <w:tc>
          <w:tcPr>
            <w:tcW w:type="dxa" w:w="1440"/>
            <w:shd w:fill="FAFAFA" w:val="clear"/>
          </w:tcPr>
          <w:p>
            <w:r>
              <w:rPr>
                <w:sz w:val="17"/>
              </w:rPr>
              <w:t>9,501</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2026-09-22</w:t>
            </w:r>
          </w:p>
        </w:tc>
        <w:tc>
          <w:tcPr>
            <w:tcW w:type="dxa" w:w="1440"/>
            <w:shd w:fill="FAFAFA" w:val="clear"/>
          </w:tcPr>
          <w:p>
            <w:r>
              <w:rPr>
                <w:sz w:val="17"/>
              </w:rPr>
              <w:t>6,607</w:t>
            </w:r>
          </w:p>
        </w:tc>
        <w:tc>
          <w:tcPr>
            <w:tcW w:type="dxa" w:w="1440"/>
            <w:shd w:fill="FAFAFA" w:val="clear"/>
          </w:tcPr>
          <w:p>
            <w:r>
              <w:rPr>
                <w:b/>
                <w:sz w:val="17"/>
              </w:rPr>
              <w:t>8,088</w:t>
            </w:r>
          </w:p>
        </w:tc>
        <w:tc>
          <w:tcPr>
            <w:tcW w:type="dxa" w:w="1440"/>
            <w:shd w:fill="FAFAFA" w:val="clear"/>
          </w:tcPr>
          <w:p>
            <w:r>
              <w:rPr>
                <w:sz w:val="17"/>
              </w:rPr>
              <w:t>9,570</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2026-09-23</w:t>
            </w:r>
          </w:p>
        </w:tc>
        <w:tc>
          <w:tcPr>
            <w:tcW w:type="dxa" w:w="1440"/>
            <w:shd w:fill="FAFAFA" w:val="clear"/>
          </w:tcPr>
          <w:p>
            <w:r>
              <w:rPr>
                <w:sz w:val="17"/>
              </w:rPr>
              <w:t>6,499</w:t>
            </w:r>
          </w:p>
        </w:tc>
        <w:tc>
          <w:tcPr>
            <w:tcW w:type="dxa" w:w="1440"/>
            <w:shd w:fill="FAFAFA" w:val="clear"/>
          </w:tcPr>
          <w:p>
            <w:r>
              <w:rPr>
                <w:b/>
                <w:sz w:val="17"/>
              </w:rPr>
              <w:t>8,066</w:t>
            </w:r>
          </w:p>
        </w:tc>
        <w:tc>
          <w:tcPr>
            <w:tcW w:type="dxa" w:w="1440"/>
            <w:shd w:fill="FAFAFA" w:val="clear"/>
          </w:tcPr>
          <w:p>
            <w:r>
              <w:rPr>
                <w:sz w:val="17"/>
              </w:rPr>
              <w:t>9,633</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2026-09-24</w:t>
            </w:r>
          </w:p>
        </w:tc>
        <w:tc>
          <w:tcPr>
            <w:tcW w:type="dxa" w:w="1440"/>
            <w:shd w:fill="FAFAFA" w:val="clear"/>
          </w:tcPr>
          <w:p>
            <w:r>
              <w:rPr>
                <w:sz w:val="17"/>
              </w:rPr>
              <w:t>6,397</w:t>
            </w:r>
          </w:p>
        </w:tc>
        <w:tc>
          <w:tcPr>
            <w:tcW w:type="dxa" w:w="1440"/>
            <w:shd w:fill="FAFAFA" w:val="clear"/>
          </w:tcPr>
          <w:p>
            <w:r>
              <w:rPr>
                <w:b/>
                <w:sz w:val="17"/>
              </w:rPr>
              <w:t>8,044</w:t>
            </w:r>
          </w:p>
        </w:tc>
        <w:tc>
          <w:tcPr>
            <w:tcW w:type="dxa" w:w="1440"/>
            <w:shd w:fill="FAFAFA" w:val="clear"/>
          </w:tcPr>
          <w:p>
            <w:r>
              <w:rPr>
                <w:sz w:val="17"/>
              </w:rPr>
              <w:t>9,691</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Agro-industriel (Hévéa)*</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205,87 milliards FCFA, SPHC s'impose comme l'une des valeurs industrielles de référence de la cote BRVM, ce qui traduit une liquidité et une visibilité institutionnelle certaines. Le BPA de 977 FCFA/action signifie que chaque titre génère près d'un millier de francs de bénéfice net, un niveau élevé qui contraste avec un PER de seulement 8,2x — nettement inférieur à la moyenne BRVM (8-12x) — suggérant une potentielle sous-évaluation du titre par le marché. Le P/B de 1,49x indique que le marché valorise SPHC à environ 1,5 fois sa valeur comptable, un niveau raisonnable qui n'intègre ni prime excessive ni décote injustifiée. Enfin, l'EV/EBITDA de 5,2x, bien en deçà de la fourchette 5-10x, confirme que la valeur d'entreprise reste modérée au regard de la capacité opérationnelle dégagée, renforçant l'hypothèse d'une valorisation attractive.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performance positive de +15,48%, avec une dernière séance en hausse de +1,51% à 8 055 FCFA, confirmant un momentum acheteur de court terme. Le titre a évolué dans un range large de 6 720 FCFA (plus bas) à 10 300 FCFA (plus haut), soit une amplitude de plus de 53%, révélant une forte volatilité intra-période malgré la tendance haussière générale. Les statistiques descriptives confirment cette asymétrie : la moyenne (7 748 FCFA) dépasse la médiane (7 558 FCFA) et le mode (7 600 FCFA), signe d'une distribution tirée vers le haut par des pics ponctuels. L'écart-type de 808 FCFA (CV de 10,4%) traduit une dispersion modérée autour de la moyenne, mais le kurtosis de 1,689 (leptokurtique) signale des queues épaisses, donc un risque accru de mouvements extrêmes. Le skewness positif de 1,522 indique que davantage de journées se sont situées sous la moyenne, avec quelques séances exceptionnellement haussières tirant la performance globale. Enfin, la volatilité annualisée de 44,9% classe SPHC parmi les titres à volatilité élevée (&gt;30%), ce qui appelle à une gestion prudente du risque et à un horizon d'investissement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(9 110 FCFA) et la MM50 (8 209 FCFA) se situent toutes deux au-dessus du cours actuel (8 055 FCFA), ce qui place le titre en position de repli sous ses références mobiles. Toutefois, la MM20 &gt; MM50 traduit une structure haussière de fond, et la décision technique affichée est "Achat", suggérant que le repli actuel pourrait constituer un point d'entrée.</w:t>
      </w:r>
    </w:p>
    <w:p>
      <w:pPr>
        <w:spacing w:after="120" w:line="276" w:lineRule="auto"/>
      </w:pPr>
      <w:r>
        <w:t>**Bandes de Bollinger** : Le cours (8 055 FCFA) évolue dans la partie basse de la bande, entre la borne inférieure (7 630,84 FCFA) et la borne supérieure (10 589,16 FCFA), sans franchissement des extrêmes. La décision "Neutre" reflète l'absence de signal directionnel fort, mais la proximité de la borne basse laisse entrevoir un potentiel de rebond technique.</w:t>
      </w:r>
    </w:p>
    <w:p>
      <w:pPr>
        <w:spacing w:after="120" w:line="276" w:lineRule="auto"/>
      </w:pPr>
      <w:r>
        <w:t>**MACD** : La valeur du MACD (170,81) est inférieure à son signal (392,20), générant une configuration baissière et une décision "Vente". Cette divergence négative indique un essoufflement du momentum haussier de court terme, bien que les deux lignes restent en territoire positif, ce qui tempère la portée du signal.</w:t>
      </w:r>
    </w:p>
    <w:p>
      <w:pPr>
        <w:spacing w:after="120" w:line="276" w:lineRule="auto"/>
      </w:pPr>
      <w:r>
        <w:t>**RSI** : À 39,77, le RSI se situe dans la zone neutre basse (30-70), sans atteindre la zone de survente (&lt;30). La décision "Neutre" confirme l'absence de pression vendeuse excessive, mais laisse présager une possible accélération baissière si le seuil de 30 venait à être franchi.</w:t>
      </w:r>
    </w:p>
    <w:p>
      <w:pPr>
        <w:spacing w:after="120" w:line="276" w:lineRule="auto"/>
      </w:pPr>
      <w:r>
        <w:t>**Stochastique** : Avec un %K de 5,07 et un %D de 1,69, l'indicateur stochastique se situe en zone de survente extrême, avec %K &gt; %D signalant un début de croisement haussier. La décision "Achat" qui en découle suggère qu'un rebond technique est probable à court terme.</w:t>
      </w:r>
    </w:p>
    <w:p>
      <w:pPr>
        <w:spacing w:after="120" w:line="276" w:lineRule="auto"/>
      </w:pPr>
      <w:r>
        <w:t>**Conclusion technique** : Les indicateurs présentent un tableau contrasté — les moyennes mobiles et le stochastique plaident pour un achat sur repli, tandis que le MACD signale une prudence à court terme et que le RSI et les Bollinger restent neutres. Cette divergence typique d'une phase de consolidation suggère que le titre pourrait trouver un support autour de 7 600-7 700 FCFA avant de reprendre sa tendance haussière de fond.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SPHC a réalisé un chiffre d'affaires de 340,83 milliards FCFA, en croissance de 21,97% sur un an, portée par la hausse des volumes vendus et des prix moyens du caoutchouc naturel. Le résultat net s'établit à 24,97 milliards FCFA, en progression de 32,9% par rapport à 2024 (18,79 Mds FCFA), avec une marge nette de 7,33% contre 6,7% un an plus tôt. La rentabilité des fonds propres (ROE) atteint 18,10%, un niveau excellent (&gt;15%), tandis que le ROA de 11,06% témoigne d'une bonne efficacité dans l'utilisation des actifs. La structure financière est solide : autonomie financière de 61,08%, ratio d'endettement maîtrisé à 25,81%, et couverture des intérêts par le résultat d'exploitation de 1 094,57%. Cependant, deux points de vigilance émergent : une trésorerie nette négative de -15,41 milliards FCFA et un BFR de 65,39 milliards FCFA, avec des délais clients de 35 jours et une durée de stockage de 72,33 jours, traduisant une immobilisation importante de capital. Le rapport du T1 2026 (publié en 2026) révèle toutefois une dégradation marquée : le CA chute de 24% à 71,8 milliards FCFA, le résultat net s'effondre de 78% à 2,63 milliards FCFA et la marge nette se réduit à 4%, sous l'effet de la baisse des cours mondiaux du caoutchouc (-17%) et de l'engorgement du port de San Pedro. Sur la base de ce T1 2026, on estime que l'exercice 2026 devrait afficher un net ralentissement par rapport à 2025, avec un CA annuel projeté autour de 280-300 milliards FCFA et un résultat net potentiellement divisé par deux. La politique de dividende reste néanmoins attractive, avec un DPA proposé de 489 FCFA brut par action (12,50 Mds FCFA au total), soit un rendement d'environ 6,1% au cours actuel. En synthèse, SPHC demeure fondamentalement solide avec des ratios de rentabilité élevés et une structure financière saine, mais fait face à un choc conjoncturel en 2026 qui pourrait peser sur les performances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attractive (PER 8,2x, P/B 1,49x, EV/EBITDA 5,2x), suggérant une sous-évaluation relative par rapport aux standards du marché BRVM. Le comportement du cours sur 100 jours est haussier (+15,48%) mais marqué par une volatilité élevée (44,9%) et une distribution leptokurtique (kurtosis 1,689) avec asymétrie positive (skewness 1,522), ce qui implique un risque de pics baissiers ponctuels. Les signaux techniques sont divergents : le stochastique et les moyennes mobiles plaident pour un achat sur repli, tandis que le MACD génère un signal de vente et que le RSI reste neutre, ce qui suggère une phase de consolidation avant une reprise éventuelle. Les fondamentaux 2025 sont excellents (ROE 18,1%, marge nette 7,33%, croissance CA +22%), mais le T1 2026 (publié en 2026) révèle un net ralentissement (CA -24%, RN -78%) qui pourrait peser sur les performances annuelles. Les prédictions IA (J+1 à J+10) anticipent une légère correction vers 8 161-8 262 FCFA, en ligne avec le signal MACD baissier mais sans rupture majeure. Sur la base de cette synthèse, la recommandation est **CONSERVER** avec un biais positif à moyen terme : la sous-évaluation et la solidité fondamentale justifient une position d'attente, mais le choc conjoncturel de 2026 et la divergence technique incitent à la prudence. Le niveau de confiance est **Moyen**, le risque global **Élevé** (volatilité 44,9%, dépendance aux cours mondiaux du caoutchouc), et l'horizon optimal est **moyen terme (3-12 mois)**, le temps que les cours du caoutchouc se stabilisent et que la société confirme sa résilience opérationnelle.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6,076 titres</w:t>
            </w:r>
          </w:p>
        </w:tc>
        <w:tc>
          <w:tcPr>
            <w:tcW w:type="dxa" w:w="2268"/>
            <w:shd w:fill="FFF2CC" w:val="clear"/>
          </w:tcPr>
          <w:p>
            <w:r>
              <w:rPr>
                <w:b/>
                <w:color w:val="503200"/>
                <w:sz w:val="16"/>
              </w:rPr>
              <w:t xml:space="preserve">Cours actuel : </w:t>
            </w:r>
            <w:r>
              <w:rPr>
                <w:color w:val="000000"/>
                <w:sz w:val="17"/>
              </w:rPr>
              <w:t>2,580 FCFA</w:t>
            </w:r>
          </w:p>
          <w:p>
            <w:r>
              <w:rPr>
                <w:b/>
                <w:color w:val="503200"/>
                <w:sz w:val="16"/>
              </w:rPr>
              <w:t xml:space="preserve">Var. 100 jours : </w:t>
            </w:r>
            <w:r>
              <w:rPr>
                <w:b/>
                <w:color w:val="B40000"/>
                <w:sz w:val="17"/>
              </w:rPr>
              <w:t>-12.54%</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10.97% (Moyenne) — μ=2,962 FCFA, σ=325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β=-0.8805 (Contre-cyclique) — Cov=-0.000031, Var(idx)=0.000035, ρ=-0.142,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2,347</w:t>
            </w:r>
          </w:p>
        </w:tc>
        <w:tc>
          <w:tcPr>
            <w:tcW w:type="dxa" w:w="1440"/>
            <w:shd w:fill="FFDCE0" w:val="clear"/>
          </w:tcPr>
          <w:p>
            <w:r>
              <w:rPr>
                <w:b/>
                <w:sz w:val="17"/>
              </w:rPr>
              <w:t>2,446</w:t>
            </w:r>
          </w:p>
        </w:tc>
        <w:tc>
          <w:tcPr>
            <w:tcW w:type="dxa" w:w="1440"/>
            <w:shd w:fill="FFDCE0" w:val="clear"/>
          </w:tcPr>
          <w:p>
            <w:r>
              <w:rPr>
                <w:sz w:val="17"/>
              </w:rPr>
              <w:t>2,545</w:t>
            </w:r>
          </w:p>
        </w:tc>
        <w:tc>
          <w:tcPr>
            <w:tcW w:type="dxa" w:w="1440"/>
            <w:shd w:fill="FFDCE0" w:val="clear"/>
          </w:tcPr>
          <w:p>
            <w:r>
              <w:rPr>
                <w:b/>
                <w:color w:val="C00000"/>
                <w:sz w:val="17"/>
              </w:rPr>
              <w:t>-5.2%</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2,202</w:t>
            </w:r>
          </w:p>
        </w:tc>
        <w:tc>
          <w:tcPr>
            <w:tcW w:type="dxa" w:w="1440"/>
            <w:shd w:fill="FFDCE0" w:val="clear"/>
          </w:tcPr>
          <w:p>
            <w:r>
              <w:rPr>
                <w:b/>
                <w:sz w:val="17"/>
              </w:rPr>
              <w:t>2,335</w:t>
            </w:r>
          </w:p>
        </w:tc>
        <w:tc>
          <w:tcPr>
            <w:tcW w:type="dxa" w:w="1440"/>
            <w:shd w:fill="FFDCE0" w:val="clear"/>
          </w:tcPr>
          <w:p>
            <w:r>
              <w:rPr>
                <w:sz w:val="17"/>
              </w:rPr>
              <w:t>2,469</w:t>
            </w:r>
          </w:p>
        </w:tc>
        <w:tc>
          <w:tcPr>
            <w:tcW w:type="dxa" w:w="1440"/>
            <w:shd w:fill="FFDCE0" w:val="clear"/>
          </w:tcPr>
          <w:p>
            <w:r>
              <w:rPr>
                <w:b/>
                <w:color w:val="C00000"/>
                <w:sz w:val="17"/>
              </w:rPr>
              <w:t>-9.5%</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2,045</w:t>
            </w:r>
          </w:p>
        </w:tc>
        <w:tc>
          <w:tcPr>
            <w:tcW w:type="dxa" w:w="1440"/>
            <w:shd w:fill="FFDCE0" w:val="clear"/>
          </w:tcPr>
          <w:p>
            <w:r>
              <w:rPr>
                <w:b/>
                <w:sz w:val="17"/>
              </w:rPr>
              <w:t>2,199</w:t>
            </w:r>
          </w:p>
        </w:tc>
        <w:tc>
          <w:tcPr>
            <w:tcW w:type="dxa" w:w="1440"/>
            <w:shd w:fill="FFDCE0" w:val="clear"/>
          </w:tcPr>
          <w:p>
            <w:r>
              <w:rPr>
                <w:sz w:val="17"/>
              </w:rPr>
              <w:t>2,353</w:t>
            </w:r>
          </w:p>
        </w:tc>
        <w:tc>
          <w:tcPr>
            <w:tcW w:type="dxa" w:w="1440"/>
            <w:shd w:fill="FFDCE0" w:val="clear"/>
          </w:tcPr>
          <w:p>
            <w:r>
              <w:rPr>
                <w:b/>
                <w:color w:val="C00000"/>
                <w:sz w:val="17"/>
              </w:rPr>
              <w:t>-14.8%</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1,901</w:t>
            </w:r>
          </w:p>
        </w:tc>
        <w:tc>
          <w:tcPr>
            <w:tcW w:type="dxa" w:w="1440"/>
            <w:shd w:fill="FFDCE0" w:val="clear"/>
          </w:tcPr>
          <w:p>
            <w:r>
              <w:rPr>
                <w:b/>
                <w:sz w:val="17"/>
              </w:rPr>
              <w:t>2,068</w:t>
            </w:r>
          </w:p>
        </w:tc>
        <w:tc>
          <w:tcPr>
            <w:tcW w:type="dxa" w:w="1440"/>
            <w:shd w:fill="FFDCE0" w:val="clear"/>
          </w:tcPr>
          <w:p>
            <w:r>
              <w:rPr>
                <w:sz w:val="17"/>
              </w:rPr>
              <w:t>2,235</w:t>
            </w:r>
          </w:p>
        </w:tc>
        <w:tc>
          <w:tcPr>
            <w:tcW w:type="dxa" w:w="1440"/>
            <w:shd w:fill="FFDCE0" w:val="clear"/>
          </w:tcPr>
          <w:p>
            <w:r>
              <w:rPr>
                <w:b/>
                <w:color w:val="C00000"/>
                <w:sz w:val="17"/>
              </w:rPr>
              <w:t>-19.8%</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1,776</w:t>
            </w:r>
          </w:p>
        </w:tc>
        <w:tc>
          <w:tcPr>
            <w:tcW w:type="dxa" w:w="1440"/>
            <w:shd w:fill="FFDCE0" w:val="clear"/>
          </w:tcPr>
          <w:p>
            <w:r>
              <w:rPr>
                <w:b/>
                <w:sz w:val="17"/>
              </w:rPr>
              <w:t>1,953</w:t>
            </w:r>
          </w:p>
        </w:tc>
        <w:tc>
          <w:tcPr>
            <w:tcW w:type="dxa" w:w="1440"/>
            <w:shd w:fill="FFDCE0" w:val="clear"/>
          </w:tcPr>
          <w:p>
            <w:r>
              <w:rPr>
                <w:sz w:val="17"/>
              </w:rPr>
              <w:t>2,129</w:t>
            </w:r>
          </w:p>
        </w:tc>
        <w:tc>
          <w:tcPr>
            <w:tcW w:type="dxa" w:w="1440"/>
            <w:shd w:fill="FFDCE0" w:val="clear"/>
          </w:tcPr>
          <w:p>
            <w:r>
              <w:rPr>
                <w:b/>
                <w:color w:val="C00000"/>
                <w:sz w:val="17"/>
              </w:rPr>
              <w:t>-24.3%</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1,672</w:t>
            </w:r>
          </w:p>
        </w:tc>
        <w:tc>
          <w:tcPr>
            <w:tcW w:type="dxa" w:w="1440"/>
            <w:shd w:fill="FFDCE0" w:val="clear"/>
          </w:tcPr>
          <w:p>
            <w:r>
              <w:rPr>
                <w:b/>
                <w:sz w:val="17"/>
              </w:rPr>
              <w:t>1,856</w:t>
            </w:r>
          </w:p>
        </w:tc>
        <w:tc>
          <w:tcPr>
            <w:tcW w:type="dxa" w:w="1440"/>
            <w:shd w:fill="FFDCE0" w:val="clear"/>
          </w:tcPr>
          <w:p>
            <w:r>
              <w:rPr>
                <w:sz w:val="17"/>
              </w:rPr>
              <w:t>2,040</w:t>
            </w:r>
          </w:p>
        </w:tc>
        <w:tc>
          <w:tcPr>
            <w:tcW w:type="dxa" w:w="1440"/>
            <w:shd w:fill="FFDCE0" w:val="clear"/>
          </w:tcPr>
          <w:p>
            <w:r>
              <w:rPr>
                <w:b/>
                <w:color w:val="C00000"/>
                <w:sz w:val="17"/>
              </w:rPr>
              <w:t>-28.1%</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1,586</w:t>
            </w:r>
          </w:p>
        </w:tc>
        <w:tc>
          <w:tcPr>
            <w:tcW w:type="dxa" w:w="1440"/>
            <w:shd w:fill="FFDCE0" w:val="clear"/>
          </w:tcPr>
          <w:p>
            <w:r>
              <w:rPr>
                <w:b/>
                <w:sz w:val="17"/>
              </w:rPr>
              <w:t>1,776</w:t>
            </w:r>
          </w:p>
        </w:tc>
        <w:tc>
          <w:tcPr>
            <w:tcW w:type="dxa" w:w="1440"/>
            <w:shd w:fill="FFDCE0" w:val="clear"/>
          </w:tcPr>
          <w:p>
            <w:r>
              <w:rPr>
                <w:sz w:val="17"/>
              </w:rPr>
              <w:t>1,966</w:t>
            </w:r>
          </w:p>
        </w:tc>
        <w:tc>
          <w:tcPr>
            <w:tcW w:type="dxa" w:w="1440"/>
            <w:shd w:fill="FFDCE0" w:val="clear"/>
          </w:tcPr>
          <w:p>
            <w:r>
              <w:rPr>
                <w:b/>
                <w:color w:val="C00000"/>
                <w:sz w:val="17"/>
              </w:rPr>
              <w:t>-31.1%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1,515</w:t>
            </w:r>
          </w:p>
        </w:tc>
        <w:tc>
          <w:tcPr>
            <w:tcW w:type="dxa" w:w="1440"/>
            <w:shd w:fill="FFDCE0" w:val="clear"/>
          </w:tcPr>
          <w:p>
            <w:r>
              <w:rPr>
                <w:b/>
                <w:sz w:val="17"/>
              </w:rPr>
              <w:t>1,711</w:t>
            </w:r>
          </w:p>
        </w:tc>
        <w:tc>
          <w:tcPr>
            <w:tcW w:type="dxa" w:w="1440"/>
            <w:shd w:fill="FFDCE0" w:val="clear"/>
          </w:tcPr>
          <w:p>
            <w:r>
              <w:rPr>
                <w:sz w:val="17"/>
              </w:rPr>
              <w:t>1,906</w:t>
            </w:r>
          </w:p>
        </w:tc>
        <w:tc>
          <w:tcPr>
            <w:tcW w:type="dxa" w:w="1440"/>
            <w:shd w:fill="FFDCE0" w:val="clear"/>
          </w:tcPr>
          <w:p>
            <w:r>
              <w:rPr>
                <w:b/>
                <w:color w:val="C00000"/>
                <w:sz w:val="17"/>
              </w:rPr>
              <w:t>-33.7%</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1,455</w:t>
            </w:r>
          </w:p>
        </w:tc>
        <w:tc>
          <w:tcPr>
            <w:tcW w:type="dxa" w:w="1440"/>
            <w:shd w:fill="FFDCE0" w:val="clear"/>
          </w:tcPr>
          <w:p>
            <w:r>
              <w:rPr>
                <w:b/>
                <w:sz w:val="17"/>
              </w:rPr>
              <w:t>1,656</w:t>
            </w:r>
          </w:p>
        </w:tc>
        <w:tc>
          <w:tcPr>
            <w:tcW w:type="dxa" w:w="1440"/>
            <w:shd w:fill="FFDCE0" w:val="clear"/>
          </w:tcPr>
          <w:p>
            <w:r>
              <w:rPr>
                <w:sz w:val="17"/>
              </w:rPr>
              <w:t>1,857</w:t>
            </w:r>
          </w:p>
        </w:tc>
        <w:tc>
          <w:tcPr>
            <w:tcW w:type="dxa" w:w="1440"/>
            <w:shd w:fill="FFDCE0" w:val="clear"/>
          </w:tcPr>
          <w:p>
            <w:r>
              <w:rPr>
                <w:b/>
                <w:color w:val="C00000"/>
                <w:sz w:val="17"/>
              </w:rPr>
              <w:t>-35.8%</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1,404</w:t>
            </w:r>
          </w:p>
        </w:tc>
        <w:tc>
          <w:tcPr>
            <w:tcW w:type="dxa" w:w="1440"/>
            <w:shd w:fill="FFDCE0" w:val="clear"/>
          </w:tcPr>
          <w:p>
            <w:r>
              <w:rPr>
                <w:b/>
                <w:sz w:val="17"/>
              </w:rPr>
              <w:t>1,609</w:t>
            </w:r>
          </w:p>
        </w:tc>
        <w:tc>
          <w:tcPr>
            <w:tcW w:type="dxa" w:w="1440"/>
            <w:shd w:fill="FFDCE0" w:val="clear"/>
          </w:tcPr>
          <w:p>
            <w:r>
              <w:rPr>
                <w:sz w:val="17"/>
              </w:rPr>
              <w:t>1,815</w:t>
            </w:r>
          </w:p>
        </w:tc>
        <w:tc>
          <w:tcPr>
            <w:tcW w:type="dxa" w:w="1440"/>
            <w:shd w:fill="FFDCE0" w:val="clear"/>
          </w:tcPr>
          <w:p>
            <w:r>
              <w:rPr>
                <w:b/>
                <w:color w:val="C00000"/>
                <w:sz w:val="17"/>
              </w:rPr>
              <w:t>-37.6%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 — Secteur : BTP / Études et Travaux*</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STAC s'élève à 34,68 milliards FCFA, un niveau qui la place dans la catégorie des petites capitalisations de la BRVM, bien loin des poids lourds comme Sonatel ou Ecobank. Le BPA ressort à -7 FCFA/action, traduisant une société en perte nette, ce qui rend le PER inexploitable en l'état (-359,1x) : les investisseurs ne paient pas pour des bénéfices inexistants, mais spéculent sur un retournement. Le ratio P/B de 97,20x est particulièrement alarmant : le marché valorise l'action à près de 100 fois sa valeur comptable, alors que les capitaux propres ne s'élèvent qu'à 356,75 M FCFA pour une capitalisation de 34,68 Mds FCFA — soit une prime totalement déconnectée des fondamentaux. Le ratio EV/EBITDA n'est pas fourni, mais avec un EBE de -650,13 M FCFA en 2025, il serait négatif et donc non pertinent. En synthèse, la valorisation boursière de STAC est **hors de toute logique fondamentale** : le marché valorise une coquille déficitaire à un multiple de près de 100x ses fonds propres, ce qui constitue un signal de surévaluation extrême et de risque spéculatif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STAC a enregistré une baisse totale de -12,54%, clôturant à 2 580 FCFA, malgré un rebond de +3,20% lors de la dernière séance (J-1). Le titre a évolué dans un range de 1 140 FCFA, entre un plus haut de 3 640 FCFA et un plus bas de 2 500 FCFA, ce qui témoigne d'une forte amplitude de trading. La tendance générale est clairement baissière, le cours actuel se situant à 29% en dessous de son plus haut et à seulement 3% au-dessus de son plus bas, suggérant une pression vendeuse persistante. Les statistiques descriptives révèlent une moyenne de 2 962 FCFA supérieure à la médiane de 2 900 FCFA, avec un mode à 3 000 FCFA : cet écart indique une distribution asymétrique, confirmée par un skewness positif de 0,541, signifiant que les journées sous la moyenne ont été plus fréquentes mais compensées par quelques pics haussiers. L'écart-type de 327 FCFA (CV = 11,0%) traduit une dispersion modérée du cours autour de sa moyenne, tandis que le kurtosis de -0,812 (mésokurtique) indique une distribution proche de la normale, sans risque excessif de pics extrêmes. La volatilité annualisée de 58,1% classe le titre dans la catégorie **très volatile** (&gt;30%), ce qui est cohérent avec un profil spéculatif et un flottant probablement réduit.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(2 609 FCFA) est légèrement supérieure au cours actuel (2 580 FCFA), tandis que la MM50 (2 847 FCFA) est nettement au-dessus, confirmant une tendance baissière de moyen terme. Le cours évolue sous ses deux moyennes, ce qui justifie la décision technique de **Vente** : la pression baissière reste dominante tant que le cours ne repasse pas au-dessus de la MM20.</w:t>
      </w:r>
    </w:p>
    <w:p>
      <w:pPr>
        <w:spacing w:after="120" w:line="276" w:lineRule="auto"/>
      </w:pPr>
      <w:r>
        <w:t>**Bandes de Bollinger** : Le cours (2 580 FCFA) se situe dans la partie basse de la bande, entre la borne inférieure (2 419 FCFA) et la borne supérieure (2 798 FCFA), mais plus proche de la borne basse. La décision est **Neutre** car le cours n'a pas encore touché la borne inférieure, ce qui suggère une absence de signal de survente extrême, mais la volatilité reste élevée avec une bande large de 380 FCFA.</w:t>
      </w:r>
    </w:p>
    <w:p>
      <w:pPr>
        <w:spacing w:after="120" w:line="276" w:lineRule="auto"/>
      </w:pPr>
      <w:r>
        <w:t>**MACD** : La valeur du MACD (-66,628) est supérieure à son signal (-71,145), formant un croisement haussier (MACD &gt; Signal), ce qui justifie la décision d'**Achat**. Cependant, les deux lignes restent en territoire négatif, indiquant que le momentum baissier s'atténue mais ne s'est pas encore inversé — un signal d'achat à confirmer.</w:t>
      </w:r>
    </w:p>
    <w:p>
      <w:pPr>
        <w:spacing w:after="120" w:line="276" w:lineRule="auto"/>
      </w:pPr>
      <w:r>
        <w:t>**RSI** : À 51,899, le RSI se situe en zone neutre (30-70), sans signal de surachat (&gt;70) ni de survente (&lt;30). La décision est **Neutre** : le titre n'est ni surévalué ni sous-évalué à court terme, ce qui reflète une certaine stabilisation après la baisse.</w:t>
      </w:r>
    </w:p>
    <w:p>
      <w:pPr>
        <w:spacing w:after="120" w:line="276" w:lineRule="auto"/>
      </w:pPr>
      <w:r>
        <w:t>**Stochastique** : Le %K (24,242) est supérieur au %D (8,081), formant un croisement haussier en zone de survente (&lt;20), ce qui est généralement un signal d'achat à court terme. Cependant, la décision affichée est **Neutre**, probablement en raison de la faiblesse globale du contexte baissier.</w:t>
      </w:r>
    </w:p>
    <w:p>
      <w:pPr>
        <w:spacing w:after="120" w:line="276" w:lineRule="auto"/>
      </w:pPr>
      <w:r>
        <w:t>**Conclusion technique** : Les indicateurs sont **divergents** : les moyennes mobiles confirment une tendance baissière, tandis que le MACD et le stochastique émettent des signaux d'achat à court terme. Le RSI et les bandes de Bollinger restent neutres. Cette configuration suggère un possible rebond technique à court terme, mais la tendance de fond reste baissière tant que le cours n'aura pas reconquis la MM50 (2 847 FCFA). La prudence est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STAC a réalisé un chiffre d'affaires de 3,878 Mds FCFA, en croissance spectaculaire de +116,26% par rapport à 2024 (1,793 Md FCFA), portée par le démarrage des travaux de l'aéroport d'Abidjan. Cependant, cette performance commerciale ne se traduit pas en rentabilité : le résultat net reste négatif à -96,56 M FCFA, et le ROE s'établit à -27,07% (très en dessous du seuil de 15% considéré comme excellent), tandis que le ROA est de -1,77%. La marge nette est de -2,49%, la marge opérationnelle de -19,90%, et l'EBE est déficitaire à -650,13 M FCFA, révélant une structure de coûts inadaptée au niveau d'activité. Le BFR est négatif à -930,47 M FCFA (favorable pour une entreprise), mais le flux opérationnel est négatif à -2,212 Mds FCFA, ce qui signifie que l'entreprise consomme de la trésorerie malgré un BFR favorable — un signal de tension. L'autonomie financière est catastrophique à 6,55% (seuil sain : &gt;30%), avec un ratio d'endettement de 93,45% et une dépendance financière de 129,87%, ce qui rend la structure financière très fragile. La trésorerie nette de 1,330 Md FCFA constitue le seul point positif, mais elle est grignotée par les pertes opérationnelles.</w:t>
      </w:r>
    </w:p>
    <w:p>
      <w:pPr>
        <w:spacing w:after="120" w:line="276" w:lineRule="auto"/>
      </w:pPr>
      <w:r>
        <w:t>**Estimations basées sur les rapports trimestriels** : Le rapport du 3ème trimestre 2025 (daté du 30/09/2025) indique un CA cumulé de 3 456 M FCFA sur 9 mois (+176% en glissement annuel), avec une perte nette réduite de 22% à -477 M FCFA. La direction maintient sa prévision de CA annuel à 4 Mds FCFA, ce qui implique un T4 très faible (environ 544 M FCFA). Le rapport du 1er semestre 2025 (daté du 30/06/2025) faisait état d'un CA de 2 271 M FCFA (+290%) et d'une perte nette de -557 M FCFA. L'évolution trimestrielle montre une **amélioration progressive** : la perte nette est passée de -557 M FCFA au S1 à -477 M FCFA sur 9 mois, soit une réduction de 80 M FCFA sur le T3, ce qui suggère que le T3 a été légèrement bénéficiaire ou moins déficitaire. On estime donc que l'exercice 2025 devrait se solder par une perte nette annuelle comprise entre -100 et -150 M FCFA, en nette amélioration par rapport à 2024 (-348 M FCFA), mais toujours loin de la rentabilité.</w:t>
      </w:r>
    </w:p>
    <w:p>
      <w:pPr>
        <w:spacing w:after="120" w:line="276" w:lineRule="auto"/>
      </w:pPr>
      <w:r>
        <w:t>**Évolution pluriannuelle** : Les rapports antérieurs (2020-2021) montrent une entreprise qui était rentable : en 2020, le CA atteignait 15,9 Mds FCFA avec un résultat net de 2,32 Mds FCFA (marge nette de 14,6%) et des capitaux propres de 2,85 Mds FCFA. En 2021, le CA a chuté à 10,27 Mds FCFA avec un résultat net de 1,12 Md FCFA (marge nette de 10,9%). La dégradation s'est accélérée en 2023-2024 avec l'effondrement du CA à 1,793 Md FCFA en 2024 et une perte de -348 M FCFA. La reprise de 2025 (+116% de CA) est donc un rebond technique après un effondrement, mais la rentabilité n'est pas encore au rendez-vous.</w:t>
      </w:r>
    </w:p>
    <w:p>
      <w:pPr>
        <w:spacing w:after="120" w:line="276" w:lineRule="auto"/>
      </w:pPr>
      <w:r>
        <w:t>**Conclusion fondamentale** : STAC présente un profil **très risqué** : la croissance du CA est spectaculaire mais non rentable, la structure financière est fragile (autonomie financière de 6,55%, endettement de 93,45%), et la dépendance à un seul projet (aéroport d'Abidjan) est critique. La trésorerie de 1,33 Md FCFA offre un sursis, mais les flux opérationnels négatifs (-2,212 Mds FCFA) menacent sa pérennité. La recommandation fondamentale est **VENTE** pour les investisseurs prudents, avec un risque de faillite à moyen terme si la rentabilité ne s'améliore pas durablement.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majeure** entre les signaux. La valorisation (Partie 0) est **extrêmement surévaluée** : un P/B de 97,20x pour une société déficitaire avec des capitaux propres de 356,75 M FCFA est une anomalie de marché, et le PER négatif (-359,1x) confirme l'absence de bénéfices. Le comportement du cours (Partie 1) est **baissier** (-12,54% sur 100 jours) avec une volatilité très élevée (58,1%), un skewness positif (0,541) et un kurtosis mésokurtique (-0,812) qui n'écartent pas le risque de pics baissiers. Les signaux techniques (Partie 2) sont **divergents** : les moyennes mobiles confirment la tendance baissière, mais le MACD et le stochastique émettent des signaux d'achat à court terme, ce qui suggère un possible rebond technique — mais fragile. Les fondamentaux (Partie 3) sont **préoccupants** : malgré une croissance du CA de +116,26% en 2025, la société reste déficitaire (résultat net de -96,56 M FCFA), avec un ROE de -27,07% et une autonomie financière de 6,55%. Les prédictions IA (J+1 à J+10) anticipent une **chute vertigineuse** : de 2 446 FCFA à 1 953 FCFA en 10 jours, soit une baisse de -24,3%, ce qui contredit les signaux d'achat techniques à court terme et confirme la tendance baissière de fond.</w:t>
      </w:r>
    </w:p>
    <w:p>
      <w:pPr>
        <w:spacing w:after="120" w:line="276" w:lineRule="auto"/>
      </w:pPr>
      <w:r>
        <w:t>**Recommandation finale : VENTE FORTE**</w:t>
        <w:br/>
        <w:t>La convergence des signaux fondamentaux (déficitaire, structure financière fragile), de la valorisation (surévaluée à l'extrême), de la tendance baissière (-12,54% sur 100 jours) et des prédictions IA (-24,3% en 10 jours) est **négative**. Le rebond technique suggéré par le MACD et le stochastique est un **piège** dans un contexte fondamental dégradé. Le niveau de confiance est **Élevé** (les données fondamentales et les prédictions IA convergent), et le niveau de risque est **Élevé** (volatilité de 58,1%, dépendance à un seul projet, trésorerie menacée). L'horizon d'investissement optimal est **court terme** (&lt;3 mois) pour les spéculateurs cherchant à profiter d'un rebond technique, mais **à éviter** pour les investisseurs long terme. Une alternative plus sûre sur la BRVM serait Sonatel ou une valeur bancaire solide.</w:t>
      </w:r>
    </w:p>
    <w:p>
      <w:pPr>
        <w:spacing w:after="120" w:line="276" w:lineRule="auto"/>
      </w:pPr>
      <w:r>
        <w: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395.01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3,734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+9.73%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μ=22,368 FCFA, σ=1,332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β=0.2701 (Défensif) — Cov=0.000009, Var(idx)=0.000035, ρ=0.070,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21,299</w:t>
            </w:r>
          </w:p>
        </w:tc>
        <w:tc>
          <w:tcPr>
            <w:tcW w:type="dxa" w:w="1440"/>
            <w:shd w:fill="FAFAFA" w:val="clear"/>
          </w:tcPr>
          <w:p>
            <w:r>
              <w:rPr>
                <w:b/>
                <w:sz w:val="17"/>
              </w:rPr>
              <w:t>22,365</w:t>
            </w:r>
          </w:p>
        </w:tc>
        <w:tc>
          <w:tcPr>
            <w:tcW w:type="dxa" w:w="1440"/>
            <w:shd w:fill="FAFAFA" w:val="clear"/>
          </w:tcPr>
          <w:p>
            <w:r>
              <w:rPr>
                <w:sz w:val="17"/>
              </w:rPr>
              <w:t>23,432</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2026-09-14</w:t>
            </w:r>
          </w:p>
        </w:tc>
        <w:tc>
          <w:tcPr>
            <w:tcW w:type="dxa" w:w="1440"/>
            <w:shd w:fill="C6EFCE" w:val="clear"/>
          </w:tcPr>
          <w:p>
            <w:r>
              <w:rPr>
                <w:sz w:val="17"/>
              </w:rPr>
              <w:t>21,029</w:t>
            </w:r>
          </w:p>
        </w:tc>
        <w:tc>
          <w:tcPr>
            <w:tcW w:type="dxa" w:w="1440"/>
            <w:shd w:fill="C6EFCE" w:val="clear"/>
          </w:tcPr>
          <w:p>
            <w:r>
              <w:rPr>
                <w:b/>
                <w:sz w:val="17"/>
              </w:rPr>
              <w:t>22,550</w:t>
            </w:r>
          </w:p>
        </w:tc>
        <w:tc>
          <w:tcPr>
            <w:tcW w:type="dxa" w:w="1440"/>
            <w:shd w:fill="C6EFCE" w:val="clear"/>
          </w:tcPr>
          <w:p>
            <w:r>
              <w:rPr>
                <w:sz w:val="17"/>
              </w:rPr>
              <w:t>24,071</w:t>
            </w:r>
          </w:p>
        </w:tc>
        <w:tc>
          <w:tcPr>
            <w:tcW w:type="dxa" w:w="1440"/>
            <w:shd w:fill="C6EFCE" w:val="clear"/>
          </w:tcPr>
          <w:p>
            <w:r>
              <w:rPr>
                <w:b/>
                <w:color w:val="008000"/>
                <w:sz w:val="17"/>
              </w:rPr>
              <w:t>+2.5%</w:t>
            </w:r>
          </w:p>
        </w:tc>
      </w:tr>
      <w:tr>
        <w:tc>
          <w:tcPr>
            <w:tcW w:type="dxa" w:w="1440"/>
            <w:shd w:fill="C6EFCE" w:val="clear"/>
          </w:tcPr>
          <w:p>
            <w:r>
              <w:rPr>
                <w:sz w:val="17"/>
              </w:rPr>
              <w:t>J+3  ⭐</w:t>
            </w:r>
          </w:p>
        </w:tc>
        <w:tc>
          <w:tcPr>
            <w:tcW w:type="dxa" w:w="1440"/>
            <w:shd w:fill="C6EFCE" w:val="clear"/>
          </w:tcPr>
          <w:p>
            <w:r>
              <w:rPr>
                <w:sz w:val="17"/>
              </w:rPr>
              <w:t>2026-09-15</w:t>
            </w:r>
          </w:p>
        </w:tc>
        <w:tc>
          <w:tcPr>
            <w:tcW w:type="dxa" w:w="1440"/>
            <w:shd w:fill="C6EFCE" w:val="clear"/>
          </w:tcPr>
          <w:p>
            <w:r>
              <w:rPr>
                <w:sz w:val="17"/>
              </w:rPr>
              <w:t>20,865</w:t>
            </w:r>
          </w:p>
        </w:tc>
        <w:tc>
          <w:tcPr>
            <w:tcW w:type="dxa" w:w="1440"/>
            <w:shd w:fill="C6EFCE" w:val="clear"/>
          </w:tcPr>
          <w:p>
            <w:r>
              <w:rPr>
                <w:b/>
                <w:sz w:val="17"/>
              </w:rPr>
              <w:t>22,743</w:t>
            </w:r>
          </w:p>
        </w:tc>
        <w:tc>
          <w:tcPr>
            <w:tcW w:type="dxa" w:w="1440"/>
            <w:shd w:fill="C6EFCE" w:val="clear"/>
          </w:tcPr>
          <w:p>
            <w:r>
              <w:rPr>
                <w:sz w:val="17"/>
              </w:rPr>
              <w:t>24,622</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2026-09-16</w:t>
            </w:r>
          </w:p>
        </w:tc>
        <w:tc>
          <w:tcPr>
            <w:tcW w:type="dxa" w:w="1440"/>
            <w:shd w:fill="C6EFCE" w:val="clear"/>
          </w:tcPr>
          <w:p>
            <w:r>
              <w:rPr>
                <w:sz w:val="17"/>
              </w:rPr>
              <w:t>20,763</w:t>
            </w:r>
          </w:p>
        </w:tc>
        <w:tc>
          <w:tcPr>
            <w:tcW w:type="dxa" w:w="1440"/>
            <w:shd w:fill="C6EFCE" w:val="clear"/>
          </w:tcPr>
          <w:p>
            <w:r>
              <w:rPr>
                <w:b/>
                <w:sz w:val="17"/>
              </w:rPr>
              <w:t>22,952</w:t>
            </w:r>
          </w:p>
        </w:tc>
        <w:tc>
          <w:tcPr>
            <w:tcW w:type="dxa" w:w="1440"/>
            <w:shd w:fill="C6EFCE" w:val="clear"/>
          </w:tcPr>
          <w:p>
            <w:r>
              <w:rPr>
                <w:sz w:val="17"/>
              </w:rPr>
              <w:t>25,141</w:t>
            </w:r>
          </w:p>
        </w:tc>
        <w:tc>
          <w:tcPr>
            <w:tcW w:type="dxa" w:w="1440"/>
            <w:shd w:fill="C6EFCE" w:val="clear"/>
          </w:tcPr>
          <w:p>
            <w:r>
              <w:rPr>
                <w:b/>
                <w:color w:val="008000"/>
                <w:sz w:val="17"/>
              </w:rPr>
              <w:t>+4.3%</w:t>
            </w:r>
          </w:p>
        </w:tc>
      </w:tr>
      <w:tr>
        <w:tc>
          <w:tcPr>
            <w:tcW w:type="dxa" w:w="1440"/>
            <w:shd w:fill="C6EFCE" w:val="clear"/>
          </w:tcPr>
          <w:p>
            <w:r>
              <w:rPr>
                <w:sz w:val="17"/>
              </w:rPr>
              <w:t>J+5  ⭐</w:t>
            </w:r>
          </w:p>
        </w:tc>
        <w:tc>
          <w:tcPr>
            <w:tcW w:type="dxa" w:w="1440"/>
            <w:shd w:fill="C6EFCE" w:val="clear"/>
          </w:tcPr>
          <w:p>
            <w:r>
              <w:rPr>
                <w:sz w:val="17"/>
              </w:rPr>
              <w:t>2026-09-17</w:t>
            </w:r>
          </w:p>
        </w:tc>
        <w:tc>
          <w:tcPr>
            <w:tcW w:type="dxa" w:w="1440"/>
            <w:shd w:fill="C6EFCE" w:val="clear"/>
          </w:tcPr>
          <w:p>
            <w:r>
              <w:rPr>
                <w:sz w:val="17"/>
              </w:rPr>
              <w:t>20,693</w:t>
            </w:r>
          </w:p>
        </w:tc>
        <w:tc>
          <w:tcPr>
            <w:tcW w:type="dxa" w:w="1440"/>
            <w:shd w:fill="C6EFCE" w:val="clear"/>
          </w:tcPr>
          <w:p>
            <w:r>
              <w:rPr>
                <w:b/>
                <w:sz w:val="17"/>
              </w:rPr>
              <w:t>23,163</w:t>
            </w:r>
          </w:p>
        </w:tc>
        <w:tc>
          <w:tcPr>
            <w:tcW w:type="dxa" w:w="1440"/>
            <w:shd w:fill="C6EFCE" w:val="clear"/>
          </w:tcPr>
          <w:p>
            <w:r>
              <w:rPr>
                <w:sz w:val="17"/>
              </w:rPr>
              <w:t>25,633</w:t>
            </w:r>
          </w:p>
        </w:tc>
        <w:tc>
          <w:tcPr>
            <w:tcW w:type="dxa" w:w="1440"/>
            <w:shd w:fill="C6EFCE" w:val="clear"/>
          </w:tcPr>
          <w:p>
            <w:r>
              <w:rPr>
                <w:b/>
                <w:color w:val="008000"/>
                <w:sz w:val="17"/>
              </w:rPr>
              <w:t>+5.3%</w:t>
            </w:r>
          </w:p>
        </w:tc>
      </w:tr>
      <w:tr>
        <w:tc>
          <w:tcPr>
            <w:tcW w:type="dxa" w:w="1440"/>
            <w:shd w:fill="C6EFCE" w:val="clear"/>
          </w:tcPr>
          <w:p>
            <w:r>
              <w:rPr>
                <w:sz w:val="17"/>
              </w:rPr>
              <w:t>J+6  ⭐</w:t>
            </w:r>
          </w:p>
        </w:tc>
        <w:tc>
          <w:tcPr>
            <w:tcW w:type="dxa" w:w="1440"/>
            <w:shd w:fill="C6EFCE" w:val="clear"/>
          </w:tcPr>
          <w:p>
            <w:r>
              <w:rPr>
                <w:sz w:val="17"/>
              </w:rPr>
              <w:t>2026-09-18</w:t>
            </w:r>
          </w:p>
        </w:tc>
        <w:tc>
          <w:tcPr>
            <w:tcW w:type="dxa" w:w="1440"/>
            <w:shd w:fill="C6EFCE" w:val="clear"/>
          </w:tcPr>
          <w:p>
            <w:r>
              <w:rPr>
                <w:sz w:val="17"/>
              </w:rPr>
              <w:t>20,668</w:t>
            </w:r>
          </w:p>
        </w:tc>
        <w:tc>
          <w:tcPr>
            <w:tcW w:type="dxa" w:w="1440"/>
            <w:shd w:fill="C6EFCE" w:val="clear"/>
          </w:tcPr>
          <w:p>
            <w:r>
              <w:rPr>
                <w:b/>
                <w:sz w:val="17"/>
              </w:rPr>
              <w:t>23,401</w:t>
            </w:r>
          </w:p>
        </w:tc>
        <w:tc>
          <w:tcPr>
            <w:tcW w:type="dxa" w:w="1440"/>
            <w:shd w:fill="C6EFCE" w:val="clear"/>
          </w:tcPr>
          <w:p>
            <w:r>
              <w:rPr>
                <w:sz w:val="17"/>
              </w:rPr>
              <w:t>26,135</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2026-09-21</w:t>
            </w:r>
          </w:p>
        </w:tc>
        <w:tc>
          <w:tcPr>
            <w:tcW w:type="dxa" w:w="1440"/>
            <w:shd w:fill="C6EFCE" w:val="clear"/>
          </w:tcPr>
          <w:p>
            <w:r>
              <w:rPr>
                <w:sz w:val="17"/>
              </w:rPr>
              <w:t>20,680</w:t>
            </w:r>
          </w:p>
        </w:tc>
        <w:tc>
          <w:tcPr>
            <w:tcW w:type="dxa" w:w="1440"/>
            <w:shd w:fill="C6EFCE" w:val="clear"/>
          </w:tcPr>
          <w:p>
            <w:r>
              <w:rPr>
                <w:b/>
                <w:sz w:val="17"/>
              </w:rPr>
              <w:t>23,666</w:t>
            </w:r>
          </w:p>
        </w:tc>
        <w:tc>
          <w:tcPr>
            <w:tcW w:type="dxa" w:w="1440"/>
            <w:shd w:fill="C6EFCE" w:val="clear"/>
          </w:tcPr>
          <w:p>
            <w:r>
              <w:rPr>
                <w:sz w:val="17"/>
              </w:rPr>
              <w:t>26,652</w:t>
            </w:r>
          </w:p>
        </w:tc>
        <w:tc>
          <w:tcPr>
            <w:tcW w:type="dxa" w:w="1440"/>
            <w:shd w:fill="C6EFCE" w:val="clear"/>
          </w:tcPr>
          <w:p>
            <w:r>
              <w:rPr>
                <w:b/>
                <w:color w:val="008000"/>
                <w:sz w:val="17"/>
              </w:rPr>
              <w:t>+7.6%</w:t>
            </w:r>
          </w:p>
        </w:tc>
      </w:tr>
      <w:tr>
        <w:tc>
          <w:tcPr>
            <w:tcW w:type="dxa" w:w="1440"/>
            <w:shd w:fill="C6EFCE" w:val="clear"/>
          </w:tcPr>
          <w:p>
            <w:r>
              <w:rPr>
                <w:sz w:val="17"/>
              </w:rPr>
              <w:t>J+8  ⭐</w:t>
            </w:r>
          </w:p>
        </w:tc>
        <w:tc>
          <w:tcPr>
            <w:tcW w:type="dxa" w:w="1440"/>
            <w:shd w:fill="C6EFCE" w:val="clear"/>
          </w:tcPr>
          <w:p>
            <w:r>
              <w:rPr>
                <w:sz w:val="17"/>
              </w:rPr>
              <w:t>2026-09-22</w:t>
            </w:r>
          </w:p>
        </w:tc>
        <w:tc>
          <w:tcPr>
            <w:tcW w:type="dxa" w:w="1440"/>
            <w:shd w:fill="C6EFCE" w:val="clear"/>
          </w:tcPr>
          <w:p>
            <w:r>
              <w:rPr>
                <w:sz w:val="17"/>
              </w:rPr>
              <w:t>20,747</w:t>
            </w:r>
          </w:p>
        </w:tc>
        <w:tc>
          <w:tcPr>
            <w:tcW w:type="dxa" w:w="1440"/>
            <w:shd w:fill="C6EFCE" w:val="clear"/>
          </w:tcPr>
          <w:p>
            <w:r>
              <w:rPr>
                <w:b/>
                <w:sz w:val="17"/>
              </w:rPr>
              <w:t>23,982</w:t>
            </w:r>
          </w:p>
        </w:tc>
        <w:tc>
          <w:tcPr>
            <w:tcW w:type="dxa" w:w="1440"/>
            <w:shd w:fill="C6EFCE" w:val="clear"/>
          </w:tcPr>
          <w:p>
            <w:r>
              <w:rPr>
                <w:sz w:val="17"/>
              </w:rPr>
              <w:t>27,216</w:t>
            </w:r>
          </w:p>
        </w:tc>
        <w:tc>
          <w:tcPr>
            <w:tcW w:type="dxa" w:w="1440"/>
            <w:shd w:fill="C6EFCE" w:val="clear"/>
          </w:tcPr>
          <w:p>
            <w:r>
              <w:rPr>
                <w:b/>
                <w:color w:val="008000"/>
                <w:sz w:val="17"/>
              </w:rPr>
              <w:t>+9.0%</w:t>
            </w:r>
          </w:p>
        </w:tc>
      </w:tr>
      <w:tr>
        <w:tc>
          <w:tcPr>
            <w:tcW w:type="dxa" w:w="1440"/>
            <w:shd w:fill="C6EFCE" w:val="clear"/>
          </w:tcPr>
          <w:p>
            <w:r>
              <w:rPr>
                <w:sz w:val="17"/>
              </w:rPr>
              <w:t>J+9  ⭐</w:t>
            </w:r>
          </w:p>
        </w:tc>
        <w:tc>
          <w:tcPr>
            <w:tcW w:type="dxa" w:w="1440"/>
            <w:shd w:fill="C6EFCE" w:val="clear"/>
          </w:tcPr>
          <w:p>
            <w:r>
              <w:rPr>
                <w:sz w:val="17"/>
              </w:rPr>
              <w:t>2026-09-23</w:t>
            </w:r>
          </w:p>
        </w:tc>
        <w:tc>
          <w:tcPr>
            <w:tcW w:type="dxa" w:w="1440"/>
            <w:shd w:fill="C6EFCE" w:val="clear"/>
          </w:tcPr>
          <w:p>
            <w:r>
              <w:rPr>
                <w:sz w:val="17"/>
              </w:rPr>
              <w:t>20,818</w:t>
            </w:r>
          </w:p>
        </w:tc>
        <w:tc>
          <w:tcPr>
            <w:tcW w:type="dxa" w:w="1440"/>
            <w:shd w:fill="C6EFCE" w:val="clear"/>
          </w:tcPr>
          <w:p>
            <w:r>
              <w:rPr>
                <w:b/>
                <w:sz w:val="17"/>
              </w:rPr>
              <w:t>24,294</w:t>
            </w:r>
          </w:p>
        </w:tc>
        <w:tc>
          <w:tcPr>
            <w:tcW w:type="dxa" w:w="1440"/>
            <w:shd w:fill="C6EFCE" w:val="clear"/>
          </w:tcPr>
          <w:p>
            <w:r>
              <w:rPr>
                <w:sz w:val="17"/>
              </w:rPr>
              <w:t>27,769</w:t>
            </w:r>
          </w:p>
        </w:tc>
        <w:tc>
          <w:tcPr>
            <w:tcW w:type="dxa" w:w="1440"/>
            <w:shd w:fill="C6EFCE" w:val="clear"/>
          </w:tcPr>
          <w:p>
            <w:r>
              <w:rPr>
                <w:b/>
                <w:color w:val="008000"/>
                <w:sz w:val="17"/>
              </w:rPr>
              <w:t>+10.4%</w:t>
            </w:r>
          </w:p>
        </w:tc>
      </w:tr>
      <w:tr>
        <w:tc>
          <w:tcPr>
            <w:tcW w:type="dxa" w:w="1440"/>
            <w:shd w:fill="C6EFCE" w:val="clear"/>
          </w:tcPr>
          <w:p>
            <w:r>
              <w:rPr>
                <w:sz w:val="17"/>
              </w:rPr>
              <w:t>J+10  ⭐</w:t>
            </w:r>
          </w:p>
        </w:tc>
        <w:tc>
          <w:tcPr>
            <w:tcW w:type="dxa" w:w="1440"/>
            <w:shd w:fill="C6EFCE" w:val="clear"/>
          </w:tcPr>
          <w:p>
            <w:r>
              <w:rPr>
                <w:sz w:val="17"/>
              </w:rPr>
              <w:t>2026-09-24</w:t>
            </w:r>
          </w:p>
        </w:tc>
        <w:tc>
          <w:tcPr>
            <w:tcW w:type="dxa" w:w="1440"/>
            <w:shd w:fill="C6EFCE" w:val="clear"/>
          </w:tcPr>
          <w:p>
            <w:r>
              <w:rPr>
                <w:sz w:val="17"/>
              </w:rPr>
              <w:t>20,898</w:t>
            </w:r>
          </w:p>
        </w:tc>
        <w:tc>
          <w:tcPr>
            <w:tcW w:type="dxa" w:w="1440"/>
            <w:shd w:fill="C6EFCE" w:val="clear"/>
          </w:tcPr>
          <w:p>
            <w:r>
              <w:rPr>
                <w:b/>
                <w:sz w:val="17"/>
              </w:rPr>
              <w:t>24,610</w:t>
            </w:r>
          </w:p>
        </w:tc>
        <w:tc>
          <w:tcPr>
            <w:tcW w:type="dxa" w:w="1440"/>
            <w:shd w:fill="C6EFCE" w:val="clear"/>
          </w:tcPr>
          <w:p>
            <w:r>
              <w:rPr>
                <w:sz w:val="17"/>
              </w:rPr>
              <w:t>28,321</w:t>
            </w:r>
          </w:p>
        </w:tc>
        <w:tc>
          <w:tcPr>
            <w:tcW w:type="dxa" w:w="1440"/>
            <w:shd w:fill="C6EFCE" w:val="clear"/>
          </w:tcPr>
          <w:p>
            <w:r>
              <w:rPr>
                <w:b/>
                <w:color w:val="008000"/>
                <w:sz w:val="17"/>
              </w:rPr>
              <w:t>+11.9%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395,01 milliards FCFA, STBC figure parmi les valeurs les plus capitalisées de la BRVM, ce qui en fait un pilier de l'indice composite et un titre de référence pour les investisseurs institutionnels de la zone UEMOA. Le BPA de 2 014 FCFA/action signifie que chaque titre génère un bénéfice net de plus de 2 000 FCFA, un niveau élevé qui traduit la forte rentabilité opérationnelle de la société. Le PER de 10,9x se situe dans le haut de la fourchette moyenne de la BRVM (8-12x), indiquant une valorisation raisonnable mais sans décote manifeste : les investisseurs paient environ 11 fois les bénéfices annuels. En revanche, le P/B de 8,71x est très supérieur au seuil de 4x généralement considéré comme exigeant, ce qui signifie que le marché valorise l'action près de 9 fois sa valeur comptable — une prime considérable qui s'explique par la structure d'actifs légère de SITAB (activité de distribution, peu d'immobilisations) et par la confiance dans sa capacité bénéficiaire. L'EV/EBITDA de 7,9x, dans la fourchette raisonnable de 5-10x, confirme que la valeur d'entreprise reste cohérente avec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progressé de +9,73%, clôturant à 22 000 FCFA, tandis que la dernière séance (J-1) est restée stable à +0,00%, signe d'une pause dans la dynamique haussière. Le titre a évolué dans un range de 5 295 FCFA, entre un plus bas de 19 705 FCFA et un plus haut de 25 000 FCFA, ce qui témoigne d'une volatilité intra-période significative malgré une tendance générale haussière. Les statistiques descriptives révèlent une moyenne de 22 368 FCFA légèrement supérieure à la médiane de 22 168 FCFA, avec un mode à 21 000 FCFA : cet écart modéré entre moyenne et médiane, combiné à un skewness de 0,184 (distribution symétrique), indique une répartition équilibrée des cours sans biais marqué vers les extrêmes. L'écart-type de 1 339 FCFA (CV=6,0%) traduit une dispersion relativement contenue autour de la moyenne, ce qui est rassurant pour la stabilité du titre. Le kurtosis de -0,839 (mésokurtique, proche d'une distribution normale) suggère une absence de pics extrêmes fréquents, réduisant le risque de mouvements erratiques violents. Enfin, la volatilité annualisée de 35,8% positionne STBC dans la catégorie des titres à volatilité élevée (&gt;30%), ce qui implique un risque de marché supérieur à la moyenne et justifie une approche prudente en termes de sizing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22 446,25 FCFA et la MM50 à 23 270,5 FCFA, toutes deux supérieures au cours actuel de 22 000 FCFA. Cette configuration — prix sous les deux moyennes, avec la MM20 sous la MM50 — est baissière à court et moyen terme, justifiant la décision technique de **Vente**. Le cours devra reconquérir la MM20 (22 446 FCFA) pour espérer un retournement de tendance.</w:t>
      </w:r>
    </w:p>
    <w:p>
      <w:pPr>
        <w:spacing w:after="120" w:line="276" w:lineRule="auto"/>
      </w:pPr>
      <w:r>
        <w:t>**Bandes de Bollinger** : La borne supérieure se situe à 23 559,10 FCFA et la borne inférieure à 21 333,40 FCFA, avec un cours actuel de 22 000 FCFA positionné dans la moitié inférieure de la bande. Le prix évolue à environ 1 333 FCFA de la borne basse et 1 559 FCFA de la borne haute, ce qui traduit une volatilité modérée et une absence de signal extrême. La décision est **Neutre**, le cours n'étant ni en zone de surachat ni de survente.</w:t>
      </w:r>
    </w:p>
    <w:p>
      <w:pPr>
        <w:spacing w:after="120" w:line="276" w:lineRule="auto"/>
      </w:pPr>
      <w:r>
        <w:t>**MACD** : La valeur du MACD est de -372,544 contre un signal à -340,522, avec un MACD inférieur à son signal — configuration baissière. Le momentum reste négatif, bien que l'écart entre les deux lignes soit modéré (-32 points), ce qui suggère une pression vendeuse persistante mais non explosive. La décision technique est **Vente**.</w:t>
      </w:r>
    </w:p>
    <w:p>
      <w:pPr>
        <w:spacing w:after="120" w:line="276" w:lineRule="auto"/>
      </w:pPr>
      <w:r>
        <w:t>**RSI** : À 39,27, le RSI se situe en zone neutre basse (30-70), sans atteindre le seuil de survente (&lt;30). Cela indique que le titre n'est pas encore survendu et qu'il conserve un potentiel de baisse résiduel, mais la proximité de la zone de survente pourrait attirer des acheteurs à contre-tendance. La décision est **Neutre**.</w:t>
      </w:r>
    </w:p>
    <w:p>
      <w:pPr>
        <w:spacing w:after="120" w:line="276" w:lineRule="auto"/>
      </w:pPr>
      <w:r>
        <w:t>**Stochastique** : Le %K s'établit à 46,903 et le %D à 42,711, avec un %K légèrement supérieur au %D — un croisement haussier naissant mais non confirmé. Les deux lignes évoluent en zone médiane, sans signal clair de surachat ou de survente. La décision est **Neutre**.</w:t>
      </w:r>
    </w:p>
    <w:p>
      <w:pPr>
        <w:spacing w:after="120" w:line="276" w:lineRule="auto"/>
      </w:pPr>
      <w:r>
        <w:t>**Conclusion technique** : Les indicateurs techniques présentent un tableau mitigé, avec une majorité de signaux neutres (Bollinger, RSI, Stochastique) et deux signaux baissiers (MM et MACD). Le cours est sous ses moyennes mobiles, le MACD est négatif, et le RSI n'a pas encore atteint la zone de survente — autant d'éléments qui plaident pour une prudence à court terme. Toutefois, l'absence de signaux extrêmes et la proximité du support des Bandes de Bollinger suggèrent que la pression baissière pourrait s'atténuer, ouvrant la voie à une stabilisation voire un rebond technique si le cours parvient à se maintenir au-dessus de 21 333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SITAB a réalisé un chiffre d'affaires de 268,537 milliards FCFA, en croissance de +25,30% par rapport à 2024, portée par une hausse des volumes (+5,6%) et un effet prix favorable. Le résultat net s'établit à 36,158 milliards FCFA, en baisse de -17,5% par rapport aux 44,174 milliards de 2024, sous l'effet de la hausse des droits d'accises (passés de 49% à 70% en janvier 2025) et d'un contrôle fiscal. La marge nette se contracte à 13,46% (contre 20,7% en 2024), tandis que la marge opérationnelle recule à 17,12%. Le ROE demeure exceptionnel à 79,75% et le ROA à 48,09%, témoignant d'une rentabilité des fonds propres et des actifs très supérieure aux standards du marché. La structure financière est remarquablement saine : autonomie financière de 60,30%, dettes financières quasi nulles (1,4 million FCFA), trésorerie nette de 30,763 milliards FCFA, et liquidité générale de 224,99%. Le BFR est négatif à -5,639 milliards FCFA (favorable), et les délais clients (42,57 jours) et de stockage (5,73 jours) sont bien maîtrisés.</w:t>
      </w:r>
    </w:p>
    <w:p>
      <w:pPr>
        <w:spacing w:after="120" w:line="276" w:lineRule="auto"/>
      </w:pPr>
      <w:r>
        <w:t>**Estimations basées sur les rapports trimestriels** : Le rapport T1 2026 (publié en 2026) indique un chiffre d'affaires de 68,8 milliards FCFA (+12%) et des volumes en hausse de +10%, confirmant un redressement de la dynamique commerciale après la contraction de 2025. Le résultat net recule légèrement de -1% à 9,3 milliards FCFA, avec une marge nette de 13,5%. Le rapport T2 2026 (publié en 2026) fait état d'un chiffre d'affaires de 70,05 milliards FCFA (+1%) et d'un résultat net quasi stable à 8,64 milliards FCFA (-0,2%), avec une marge nette de 12,3%. Sur la base de ces deux trimestres, on peut estimer que l'exercice 2026 devrait afficher un chiffre d'affaires annuel d'environ 275-280 milliards FCFA (+2,5% à +4,5% vs 2025) et un résultat net de l'ordre de 35-37 milliards FCFA, soit une stabilité de la rentabilité. La politique de dividende reste généreuse avec un DPA proposé de 1 940 FCFA (rendement d'environ 8,8% au cours actuel de 22 000 FCFA), bien que le taux de distribution de 84,9% demeure élevé et non soutenable à long terme sans croissance des bénéfices.</w:t>
      </w:r>
    </w:p>
    <w:p>
      <w:pPr>
        <w:spacing w:after="120" w:line="276" w:lineRule="auto"/>
      </w:pPr>
      <w:r>
        <w:t>**Recommandation fondamentale** : SITAB présente une solidité financière exceptionnelle (zéro dette, trésorerie abondante, ROE élevé) et une capacité démontrée à générer de la croissance commerciale. Cependant, la dégradation des marges sous l'effet de la pression fiscale et la politique de dividende très généreuse (payout &gt;100% en 2024, 84,9% en 2025) constituent des signaux d'alerte. La recommandation fondamentale est **CONSERVER**, en attendant des signaux plus clairs de maîtrise des coûts et de stabilisation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 le PER de 10,9x est raisonnable mais le P/B de 8,71x traduit une prime exigeante, sans décote manifeste. **Le comportement du cours (Partie 1)** est haussier sur 100 jours (+9,73%) mais la volatilité annualisée de 35,8% est élevée, et les statistiques (kurtosis -0,839, skewness 0,184) indiquent une distribution normale sans risque de pics extrêmes. **Les signaux techniques (Partie 2)** sont majoritairement baissiers à court terme (MM et MACD en Vente, RSI à 39,27 sans survente), mais les Bandes de Bollinger et le Stochastique sont neutres, suggérant une possible stabilisation. **Les fondamentaux (Partie 3)** demeurent solides (ROE de 79,75%, zéro dette, trésorerie de 30,8 Mds FCFA) mais la rentabilité se dégrade (marge nette de 13,46% contre 20,7% en 2024) et la politique de dividende est agressive. **Les prédictions IA (J+1 à J+10)** anticipent une trajectoire haussière modérée, de 22 365 FCFA (J+1) à 23 163 FCFA (J+10), soit une progression d'environ +5,3% sur 10 jours, ce qui contredit les signaux techniques baissiers à court terme mais s'aligne sur la tendance haussière de fond.</w:t>
      </w:r>
    </w:p>
    <w:p>
      <w:pPr>
        <w:spacing w:after="120" w:line="276" w:lineRule="auto"/>
      </w:pPr>
      <w:r>
        <w:t>**Recommandation finale : CONSERVER**. La convergence entre une valorisation raisonnable, des fondamentaux solides mais en dégradation, des signaux techniques baissiers à court terme et des prédictions IA haussières à moyen terme plaide pour une position attentiste. **Niveau de confiance : Moyen** — les signaux sont contradictoires (technique baissier vs prédiction haussière) et la dégradation des marges nécessite une surveillance active. **Niveau de risque global : Moyen à Élevé** — la volatilité de 35,8% et la dépendance au secteur du tabac (risque réglementaire et fiscal) sont des facteurs de risque significatifs. **Horizon d'investissement optimal : Moyen terme (3-12 mois)** — le temps que la société démontre sa capacité à stabiliser ses marges et que les effets de la loi de finances 2026 (favorisant les fabricants locaux) se matérialisent. Un renforcement de la position (ACHAT) ne serait justifié qu'en cas de confirmation d'une amélioration durable des marges et d'une croissance des volumes supérieure à 5%.</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206.51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6,949 titres</w:t>
            </w:r>
          </w:p>
        </w:tc>
        <w:tc>
          <w:tcPr>
            <w:tcW w:type="dxa" w:w="2268"/>
            <w:shd w:fill="FFF2CC" w:val="clear"/>
          </w:tcPr>
          <w:p>
            <w:r>
              <w:rPr>
                <w:b/>
                <w:color w:val="503200"/>
                <w:sz w:val="16"/>
              </w:rPr>
              <w:t xml:space="preserve">Cours actuel : </w:t>
            </w:r>
            <w:r>
              <w:rPr>
                <w:color w:val="000000"/>
                <w:sz w:val="17"/>
              </w:rPr>
              <w:t>3,280 FCFA</w:t>
            </w:r>
          </w:p>
          <w:p>
            <w:r>
              <w:rPr>
                <w:b/>
                <w:color w:val="503200"/>
                <w:sz w:val="16"/>
              </w:rPr>
              <w:t xml:space="preserve">Var. 100 jours : </w:t>
            </w:r>
            <w:r>
              <w:rPr>
                <w:b/>
                <w:color w:val="007800"/>
                <w:sz w:val="17"/>
              </w:rPr>
              <w:t>+17.35%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6.90% (Moyenne) — μ=2,956 FCFA, σ=204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β=-0.4044 (Contre-cyclique) — Cov=-0.000014, Var(idx)=0.000035, ρ=-0.092,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6,949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3,087</w:t>
            </w:r>
          </w:p>
        </w:tc>
        <w:tc>
          <w:tcPr>
            <w:tcW w:type="dxa" w:w="1440"/>
            <w:shd w:fill="FAFAFA" w:val="clear"/>
          </w:tcPr>
          <w:p>
            <w:r>
              <w:rPr>
                <w:b/>
                <w:sz w:val="17"/>
              </w:rPr>
              <w:t>3,271</w:t>
            </w:r>
          </w:p>
        </w:tc>
        <w:tc>
          <w:tcPr>
            <w:tcW w:type="dxa" w:w="1440"/>
            <w:shd w:fill="FAFAFA" w:val="clear"/>
          </w:tcPr>
          <w:p>
            <w:r>
              <w:rPr>
                <w:sz w:val="17"/>
              </w:rPr>
              <w:t>3,456</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2026-09-14</w:t>
            </w:r>
          </w:p>
        </w:tc>
        <w:tc>
          <w:tcPr>
            <w:tcW w:type="dxa" w:w="1440"/>
            <w:shd w:fill="FAFAFA" w:val="clear"/>
          </w:tcPr>
          <w:p>
            <w:r>
              <w:rPr>
                <w:sz w:val="17"/>
              </w:rPr>
              <w:t>2,997</w:t>
            </w:r>
          </w:p>
        </w:tc>
        <w:tc>
          <w:tcPr>
            <w:tcW w:type="dxa" w:w="1440"/>
            <w:shd w:fill="FAFAFA" w:val="clear"/>
          </w:tcPr>
          <w:p>
            <w:r>
              <w:rPr>
                <w:b/>
                <w:sz w:val="17"/>
              </w:rPr>
              <w:t>3,257</w:t>
            </w:r>
          </w:p>
        </w:tc>
        <w:tc>
          <w:tcPr>
            <w:tcW w:type="dxa" w:w="1440"/>
            <w:shd w:fill="FAFAFA" w:val="clear"/>
          </w:tcPr>
          <w:p>
            <w:r>
              <w:rPr>
                <w:sz w:val="17"/>
              </w:rPr>
              <w:t>3,517</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2026-09-15</w:t>
            </w:r>
          </w:p>
        </w:tc>
        <w:tc>
          <w:tcPr>
            <w:tcW w:type="dxa" w:w="1440"/>
            <w:shd w:fill="FAFAFA" w:val="clear"/>
          </w:tcPr>
          <w:p>
            <w:r>
              <w:rPr>
                <w:sz w:val="17"/>
              </w:rPr>
              <w:t>2,927</w:t>
            </w:r>
          </w:p>
        </w:tc>
        <w:tc>
          <w:tcPr>
            <w:tcW w:type="dxa" w:w="1440"/>
            <w:shd w:fill="FAFAFA" w:val="clear"/>
          </w:tcPr>
          <w:p>
            <w:r>
              <w:rPr>
                <w:b/>
                <w:sz w:val="17"/>
              </w:rPr>
              <w:t>3,244</w:t>
            </w:r>
          </w:p>
        </w:tc>
        <w:tc>
          <w:tcPr>
            <w:tcW w:type="dxa" w:w="1440"/>
            <w:shd w:fill="FAFAFA" w:val="clear"/>
          </w:tcPr>
          <w:p>
            <w:r>
              <w:rPr>
                <w:sz w:val="17"/>
              </w:rPr>
              <w:t>3,562</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2026-09-16</w:t>
            </w:r>
          </w:p>
        </w:tc>
        <w:tc>
          <w:tcPr>
            <w:tcW w:type="dxa" w:w="1440"/>
            <w:shd w:fill="FAFAFA" w:val="clear"/>
          </w:tcPr>
          <w:p>
            <w:r>
              <w:rPr>
                <w:sz w:val="17"/>
              </w:rPr>
              <w:t>2,868</w:t>
            </w:r>
          </w:p>
        </w:tc>
        <w:tc>
          <w:tcPr>
            <w:tcW w:type="dxa" w:w="1440"/>
            <w:shd w:fill="FAFAFA" w:val="clear"/>
          </w:tcPr>
          <w:p>
            <w:r>
              <w:rPr>
                <w:b/>
                <w:sz w:val="17"/>
              </w:rPr>
              <w:t>3,233</w:t>
            </w:r>
          </w:p>
        </w:tc>
        <w:tc>
          <w:tcPr>
            <w:tcW w:type="dxa" w:w="1440"/>
            <w:shd w:fill="FAFAFA" w:val="clear"/>
          </w:tcPr>
          <w:p>
            <w:r>
              <w:rPr>
                <w:sz w:val="17"/>
              </w:rPr>
              <w:t>3,598</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2026-09-17</w:t>
            </w:r>
          </w:p>
        </w:tc>
        <w:tc>
          <w:tcPr>
            <w:tcW w:type="dxa" w:w="1440"/>
            <w:shd w:fill="FAFAFA" w:val="clear"/>
          </w:tcPr>
          <w:p>
            <w:r>
              <w:rPr>
                <w:sz w:val="17"/>
              </w:rPr>
              <w:t>2,815</w:t>
            </w:r>
          </w:p>
        </w:tc>
        <w:tc>
          <w:tcPr>
            <w:tcW w:type="dxa" w:w="1440"/>
            <w:shd w:fill="FAFAFA" w:val="clear"/>
          </w:tcPr>
          <w:p>
            <w:r>
              <w:rPr>
                <w:b/>
                <w:sz w:val="17"/>
              </w:rPr>
              <w:t>3,222</w:t>
            </w:r>
          </w:p>
        </w:tc>
        <w:tc>
          <w:tcPr>
            <w:tcW w:type="dxa" w:w="1440"/>
            <w:shd w:fill="FAFAFA" w:val="clear"/>
          </w:tcPr>
          <w:p>
            <w:r>
              <w:rPr>
                <w:sz w:val="17"/>
              </w:rPr>
              <w:t>3,628</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2,767</w:t>
            </w:r>
          </w:p>
        </w:tc>
        <w:tc>
          <w:tcPr>
            <w:tcW w:type="dxa" w:w="1440"/>
            <w:shd w:fill="FFDCE0" w:val="clear"/>
          </w:tcPr>
          <w:p>
            <w:r>
              <w:rPr>
                <w:b/>
                <w:sz w:val="17"/>
              </w:rPr>
              <w:t>3,211</w:t>
            </w:r>
          </w:p>
        </w:tc>
        <w:tc>
          <w:tcPr>
            <w:tcW w:type="dxa" w:w="1440"/>
            <w:shd w:fill="FFDCE0" w:val="clear"/>
          </w:tcPr>
          <w:p>
            <w:r>
              <w:rPr>
                <w:sz w:val="17"/>
              </w:rPr>
              <w:t>3,655</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2,722</w:t>
            </w:r>
          </w:p>
        </w:tc>
        <w:tc>
          <w:tcPr>
            <w:tcW w:type="dxa" w:w="1440"/>
            <w:shd w:fill="FFDCE0" w:val="clear"/>
          </w:tcPr>
          <w:p>
            <w:r>
              <w:rPr>
                <w:b/>
                <w:sz w:val="17"/>
              </w:rPr>
              <w:t>3,200</w:t>
            </w:r>
          </w:p>
        </w:tc>
        <w:tc>
          <w:tcPr>
            <w:tcW w:type="dxa" w:w="1440"/>
            <w:shd w:fill="FFDCE0" w:val="clear"/>
          </w:tcPr>
          <w:p>
            <w:r>
              <w:rPr>
                <w:sz w:val="17"/>
              </w:rPr>
              <w:t>3,678</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2,680</w:t>
            </w:r>
          </w:p>
        </w:tc>
        <w:tc>
          <w:tcPr>
            <w:tcW w:type="dxa" w:w="1440"/>
            <w:shd w:fill="FFDCE0" w:val="clear"/>
          </w:tcPr>
          <w:p>
            <w:r>
              <w:rPr>
                <w:b/>
                <w:sz w:val="17"/>
              </w:rPr>
              <w:t>3,190</w:t>
            </w:r>
          </w:p>
        </w:tc>
        <w:tc>
          <w:tcPr>
            <w:tcW w:type="dxa" w:w="1440"/>
            <w:shd w:fill="FFDCE0" w:val="clear"/>
          </w:tcPr>
          <w:p>
            <w:r>
              <w:rPr>
                <w:sz w:val="17"/>
              </w:rPr>
              <w:t>3,699</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2,641</w:t>
            </w:r>
          </w:p>
        </w:tc>
        <w:tc>
          <w:tcPr>
            <w:tcW w:type="dxa" w:w="1440"/>
            <w:shd w:fill="FFDCE0" w:val="clear"/>
          </w:tcPr>
          <w:p>
            <w:r>
              <w:rPr>
                <w:b/>
                <w:sz w:val="17"/>
              </w:rPr>
              <w:t>3,180</w:t>
            </w:r>
          </w:p>
        </w:tc>
        <w:tc>
          <w:tcPr>
            <w:tcW w:type="dxa" w:w="1440"/>
            <w:shd w:fill="FFDCE0" w:val="clear"/>
          </w:tcPr>
          <w:p>
            <w:r>
              <w:rPr>
                <w:sz w:val="17"/>
              </w:rPr>
              <w:t>3,718</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2,604</w:t>
            </w:r>
          </w:p>
        </w:tc>
        <w:tc>
          <w:tcPr>
            <w:tcW w:type="dxa" w:w="1440"/>
            <w:shd w:fill="FFDCE0" w:val="clear"/>
          </w:tcPr>
          <w:p>
            <w:r>
              <w:rPr>
                <w:b/>
                <w:sz w:val="17"/>
              </w:rPr>
              <w:t>3,170</w:t>
            </w:r>
          </w:p>
        </w:tc>
        <w:tc>
          <w:tcPr>
            <w:tcW w:type="dxa" w:w="1440"/>
            <w:shd w:fill="FFDCE0" w:val="clear"/>
          </w:tcPr>
          <w:p>
            <w:r>
              <w:rPr>
                <w:sz w:val="17"/>
              </w:rPr>
              <w:t>3,736</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br/>
        <w:t>**Bourse Régionale des Valeurs Mobilières (BRVM) — Secteur : Distribution pétrolière / Énergie**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206,51 milliards FCFA, TTLC figure parmi les valeurs les plus importantes de la cote BRVM, ce qui traduit la solidité et la notoriété de l'émetteur au sein du marché régional. Le BPA de 144 FCFA/action signifie que chaque titre génère 144 FCFA de bénéfice net, un niveau appréciable pour une société de distribution à faibles marges. Le PER de 22,7x est nettement supérieur à la moyenne du marché BRVM (généralement comprise entre 8 et 12x), ce qui indique que les investisseurs paient une prime significative pour les bénéfices de TTLC — soit en anticipation d'une croissance future, soit par effet de rareté sur le marché. Le P/B de 5,70x, largement supérieur au seuil de 4x, confirme cette valorisation exigeante : le marché valorise l'entreprise à près de six fois sa valeur comptable, ce qui reflète la qualité perçue de la franchise et la générosité de la politique de dividendes. Enfin, l'EV/EBITDA de 11,7x, dans la fourchette haute (10-15x), suggère que la valeur totale de l'entreprise (dette incluse) est chèrement valorisée par rapport à sa capacité opérationnelle, ce qui appelle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totale de +17,35%, malgré un léger repli de -0,46% lors de la dernière séance (J-1), signalant une consolidation après un mouvement haussier soutenu. Le cours actuel de 3 280 FCFA se situe dans la partie haute du range de trading, dont le plus haut atteint 3 595 FCFA et le plus bas 2 650 FCFA, soit une amplitude de près de 36% — ce qui témoigne d'une dynamique nettement haussière sur la période. L'analyse des statistiques descriptives révèle une moyenne de 2 956 FCFA supérieure à la médiane de 2 900 FCFA, écart qui confirme une distribution asymétrique avec des pics haussiers tirant la moyenne vers le haut. L'écart-type de 205 FCFA (CV de 6,9%) indique une dispersion modérée du cours autour de sa moyenne, tandis que le kurtosis de 0,534 (mésokurtique) suggère un comportement proche d'une distribution normale, sans risque excessif de pics extrêmes. Le skewness de 1,148, positif, révèle une asymétrie à droite : les journées sous la moyenne sont plus fréquentes, mais les hausses, lorsqu'elles surviennent, sont plus amples — un profil favorable aux détenteurs. Avec une volatilité annualisée de 40,8%, le titre se positionne dans la catégorie des valeurs à volatilité élevée (&gt;30%), ce qui implique un risque de marché non négligeable et justifie une approche d'investissement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3 314,5 FCFA et la MM50 à 3 082,9 FCFA, toutes deux inférieures au cours actuel de 3 280 FCFA pour la MM20 (léger repli) mais nettement en dessous pour la MM50. La configuration MM20 &gt; MM50 traduit une tendance haussière de fond, et le signal d'achat généré par le croisement confirme cette dynamique positive. Toutefois, le cours actuel étant légèrement sous la MM20, une phase de consolidation à court terme ne peut être exclue.</w:t>
      </w:r>
    </w:p>
    <w:p>
      <w:pPr>
        <w:spacing w:after="120" w:line="276" w:lineRule="auto"/>
      </w:pPr>
      <w:r>
        <w:t>**Bandes de Bollinger :** La borne supérieure se situe à 3 564,0 FCFA et la borne inférieure à 3 065,0 FCFA, avec un cours actuel de 3 280 FCFA positionné dans la partie médiane-haute du canal. Cette position neutre indique l'absence de signal de surachat ou de survente, et la largeur des bandes reflète une volatilité modérée. La décision « Neutre » est cohérente avec cette configuration équilibrée.</w:t>
      </w:r>
    </w:p>
    <w:p>
      <w:pPr>
        <w:spacing w:after="120" w:line="276" w:lineRule="auto"/>
      </w:pPr>
      <w:r>
        <w:t>**MACD :** La valeur du MACD (64,261) est inférieure à son signal (91,056), générant un signal de vente. Cette divergence négative indique un essoufflement du momentum haussier et suggère que la pression acheteuse s'affaiblit, ce qui pourrait précéder une correction ou une phase de consolidation.</w:t>
      </w:r>
    </w:p>
    <w:p>
      <w:pPr>
        <w:spacing w:after="120" w:line="276" w:lineRule="auto"/>
      </w:pPr>
      <w:r>
        <w:t>**RSI :** À 49,153, le RSI se situe parfaitement dans la zone neutre (30-70), confirmant l'absence de conditions de surachat ou de survente. Cette valeur médiane traduit un équilibre entre acheteurs et vendeurs, sans signal directionnel fort.</w:t>
      </w:r>
    </w:p>
    <w:p>
      <w:pPr>
        <w:spacing w:after="120" w:line="276" w:lineRule="auto"/>
      </w:pPr>
      <w:r>
        <w:t>**Stochastique :** Le %K (20,253) et le %D (18,143) sont tous deux en zone basse (proche de la survente), avec un %K légèrement supérieur au %D. Cette configuration suggère un possible retournement haussier à court terme si le %K croise durablement le %D à la hausse, mais la décision reste « Neutre » en l'absence de croisement confirmé.</w:t>
      </w:r>
    </w:p>
    <w:p>
      <w:pPr>
        <w:spacing w:after="120" w:line="276" w:lineRule="auto"/>
      </w:pPr>
      <w:r>
        <w:t>**Conclusion technique :** Les indicateurs présentent un tableau mitigé : les moyennes mobiles confirment une tendance haussière de fond, mais le MACD en signal de vente et le RSI neutre traduisent un essoufflement du momentum. Les bandes de Bollinger et le stochastique en zone basse suggèrent une possible reprise, mais l'absence de convergence forte entre les indicateurs invite à la prudence. Le titre se trouve dans une phase de consolidation après sa forte progression, avec un biais haussier résiduel mais des signaux d'achat non confirmés.</w:t>
      </w:r>
    </w:p>
    <w:p>
      <w:pPr>
        <w:spacing w:after="120" w:line="276" w:lineRule="auto"/>
      </w:pPr>
      <w:r>
        <w:t>---</w:t>
      </w:r>
    </w:p>
    <w:p>
      <w:pPr>
        <w:spacing w:after="120" w:line="276" w:lineRule="auto"/>
      </w:pPr>
      <w:r>
        <w:t>## PARTIE 3 : ANALYSE FONDAMENTALE</w:t>
      </w:r>
    </w:p>
    <w:p>
      <w:pPr>
        <w:spacing w:after="120" w:line="276" w:lineRule="auto"/>
      </w:pPr>
      <w:r>
        <w:t>En 2025, TotalEnergies Marketing Côte d'Ivoire a réalisé un chiffre d'affaires de 588,709 milliards FCFA, en repli de 5,2% par rapport à 2024 (621,042 milliards FCFA), selon les états financiers annuels définitifs. Le résultat net s'établit à 9,087 milliards FCFA (contre 9,374 milliards en 2024, soit -3%), avec une marge nette de 1,54% — un niveau faible mais stable, typique du secteur de la distribution pétrolière. La rentabilité des fonds propres (ROE) reste excellente à 25,10%, bien au-dessus du seuil de 15%, tandis que le ROA de 4,82% reflète la faible intensité capitalistique du modèle. La valeur ajoutée progresse de +7% à 29,553 milliards FCFA et l'EBE de +12% à 22,347 milliards, signe d'une meilleure maîtrise des coûts malgré la baisse des volumes. Le BFR est négatif (-9,662 milliards FCFA), ce qui constitue un point favorable pour la trésorerie, et le délai fournisseurs de 49,72 jours offre un bon levier de financement. Cependant, la trésorerie nette est négative (-21,926 milliards FCFA) et le ratio d'endettement atteint 90,23%, avec une autonomie financière limitée à 19,21% — des signaux de vigilance. Le rapport annuel 2025 (publié le 31/12/2025) indique un dividende brut de 10 milliards FCFA, soit un taux de distribution supérieur à 100% du résultat net, ce qui implique un prélèvement sur les réserves et pose la question de la soutenabilité de cette politique. Les rapports trimestriels de 2025 (S1 et T3) confirment la tendance : au S1 2025, le CA recule de 7,1% à 296,8 milliards et le résultat net de 25,5% à 4,79 milliards, tandis qu'au T3 2025, le CA cumulé atteint 438,2 milliards (-5,7%) et le résultat net 6,52 milliards (-30,2%). Toutefois, le rapport du T1 2026 (publié en 2026) marque une inflexion positive : le CA progresse de +4,3% à 154,392 milliards FCFA et le résultat net de +5,5% à 2,329 milliards FCFA, porté par la hausse des volumes sur tous les canaux de distribution. Sur la base de ce T1 2026, on peut estimer que l'exercice 2026 devrait renouer avec la croissance, avec un CA annualisé proche de 620 milliards FCFA et un résultat net en hausse modérée. La recommandation fondamentale est de **CONSERVER** : la solidité opérationnelle (ROE élevé, marges en amélioration) et le leadership sur le marché ivoirien sont des atouts, mais la dégradation de la trésorerie, l'endettement élevé et le payout supérieur à 100%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les ratios PER (22,7x), P/B (5,70x) et EV/EBITDA (11,7x) indiquent une surévaluation relative par rapport aux moyennes du marché BRVM, ce qui limite le potentiel de revalorisation à court terme. **Le comportement du cours (Partie 1)** est globalement favorable : tendance haussière (+17,35% sur 100 jours), skewness positif (1,148) et kurtosis proche de la normale, mais la volatilité élevée (40,8%) et le repli récent (-0,46%) appellent à la prudence. **Les signaux techniques (Partie 2)** sont mitigés : les moyennes mobiles confirment la tendance haussière, mais le MACD en signal de vente et le RSI neutre traduisent un essoufflement du momentum, sans convergence forte. **Les fondamentaux (Partie 3)** révèlent une entreprise solide (ROE de 25,10%, EBE en hausse de +12% en 2025) mais confrontée à des défis (trésorerie nette négative, endettement de 90,23%, payout &gt;100%), avec une lueur d'espoir apportée par le T1 2026 (+4,3% de CA, +5,5% de résultat net). **Les prédictions IA (J+1 à J+10)** anticipent une légère baisse du cours (de 3 271 à 3 222 FCFA), ce qui contredit la dynamique haussière récente et suggère une consolidation à court terme. **Recommandation finale : CONSERVER.** Cette décision est justifiée par la convergence entre une valorisation exigeante, des signaux techniques sans direction claire, des fondamentaux solides mais sous pression, et des prédictions baissières à court terme. Le niveau de confiance est **Moyen**, car les indicateurs sont divergents et les perspectives dépendent largement de la capacité de l'entreprise à confirmer le rebond du T1 2026. Le risque global est **Moyen à Élevé**, en raison de la volatilité du titre et des tensions sur la trésorerie. L'horizon d'investissement optimal est le **moyen terme (3-12 mois)**, le temps que les effets du rebond du T1 2026 se matérialisent et que la soutenabilité du dividende soit clarifiée.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2,641 titres</w:t>
            </w:r>
          </w:p>
        </w:tc>
        <w:tc>
          <w:tcPr>
            <w:tcW w:type="dxa" w:w="2268"/>
            <w:shd w:fill="FFF2CC" w:val="clear"/>
          </w:tcPr>
          <w:p>
            <w:r>
              <w:rPr>
                <w:b/>
                <w:color w:val="503200"/>
                <w:sz w:val="16"/>
              </w:rPr>
              <w:t xml:space="preserve">Cours actuel : </w:t>
            </w:r>
            <w:r>
              <w:rPr>
                <w:color w:val="000000"/>
                <w:sz w:val="17"/>
              </w:rPr>
              <w:t>3,850 FCFA</w:t>
            </w:r>
          </w:p>
          <w:p>
            <w:r>
              <w:rPr>
                <w:b/>
                <w:color w:val="503200"/>
                <w:sz w:val="16"/>
              </w:rPr>
              <w:t xml:space="preserve">Var. 100 jours : </w:t>
            </w:r>
            <w:r>
              <w:rPr>
                <w:b/>
                <w:color w:val="007800"/>
                <w:sz w:val="17"/>
              </w:rPr>
              <w:t>+17.38%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10.25% (Moyenne) — μ=3,562 FCFA, σ=365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β=0.6946 (Défensif) — Cov=0.000024, Var(idx)=0.000035, ρ=0.143,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2026-09-11</w:t>
            </w:r>
          </w:p>
        </w:tc>
        <w:tc>
          <w:tcPr>
            <w:tcW w:type="dxa" w:w="1440"/>
            <w:shd w:fill="FFDCE0" w:val="clear"/>
          </w:tcPr>
          <w:p>
            <w:r>
              <w:rPr>
                <w:sz w:val="17"/>
              </w:rPr>
              <w:t>3,550</w:t>
            </w:r>
          </w:p>
        </w:tc>
        <w:tc>
          <w:tcPr>
            <w:tcW w:type="dxa" w:w="1440"/>
            <w:shd w:fill="FFDCE0" w:val="clear"/>
          </w:tcPr>
          <w:p>
            <w:r>
              <w:rPr>
                <w:b/>
                <w:sz w:val="17"/>
              </w:rPr>
              <w:t>3,690</w:t>
            </w:r>
          </w:p>
        </w:tc>
        <w:tc>
          <w:tcPr>
            <w:tcW w:type="dxa" w:w="1440"/>
            <w:shd w:fill="FFDCE0" w:val="clear"/>
          </w:tcPr>
          <w:p>
            <w:r>
              <w:rPr>
                <w:sz w:val="17"/>
              </w:rPr>
              <w:t>3,829</w:t>
            </w:r>
          </w:p>
        </w:tc>
        <w:tc>
          <w:tcPr>
            <w:tcW w:type="dxa" w:w="1440"/>
            <w:shd w:fill="FFDCE0" w:val="clear"/>
          </w:tcPr>
          <w:p>
            <w:r>
              <w:rPr>
                <w:b/>
                <w:color w:val="C00000"/>
                <w:sz w:val="17"/>
              </w:rPr>
              <w:t>-4.2%</w:t>
            </w:r>
          </w:p>
        </w:tc>
      </w:tr>
      <w:tr>
        <w:tc>
          <w:tcPr>
            <w:tcW w:type="dxa" w:w="1440"/>
            <w:shd w:fill="FFDCE0" w:val="clear"/>
          </w:tcPr>
          <w:p>
            <w:r>
              <w:rPr>
                <w:sz w:val="17"/>
              </w:rPr>
              <w:t>J+2  ⭐</w:t>
            </w:r>
          </w:p>
        </w:tc>
        <w:tc>
          <w:tcPr>
            <w:tcW w:type="dxa" w:w="1440"/>
            <w:shd w:fill="FFDCE0" w:val="clear"/>
          </w:tcPr>
          <w:p>
            <w:r>
              <w:rPr>
                <w:sz w:val="17"/>
              </w:rPr>
              <w:t>2026-09-14</w:t>
            </w:r>
          </w:p>
        </w:tc>
        <w:tc>
          <w:tcPr>
            <w:tcW w:type="dxa" w:w="1440"/>
            <w:shd w:fill="FFDCE0" w:val="clear"/>
          </w:tcPr>
          <w:p>
            <w:r>
              <w:rPr>
                <w:sz w:val="17"/>
              </w:rPr>
              <w:t>3,426</w:t>
            </w:r>
          </w:p>
        </w:tc>
        <w:tc>
          <w:tcPr>
            <w:tcW w:type="dxa" w:w="1440"/>
            <w:shd w:fill="FFDCE0" w:val="clear"/>
          </w:tcPr>
          <w:p>
            <w:r>
              <w:rPr>
                <w:b/>
                <w:sz w:val="17"/>
              </w:rPr>
              <w:t>3,620</w:t>
            </w:r>
          </w:p>
        </w:tc>
        <w:tc>
          <w:tcPr>
            <w:tcW w:type="dxa" w:w="1440"/>
            <w:shd w:fill="FFDCE0" w:val="clear"/>
          </w:tcPr>
          <w:p>
            <w:r>
              <w:rPr>
                <w:sz w:val="17"/>
              </w:rPr>
              <w:t>3,814</w:t>
            </w:r>
          </w:p>
        </w:tc>
        <w:tc>
          <w:tcPr>
            <w:tcW w:type="dxa" w:w="1440"/>
            <w:shd w:fill="FFDCE0" w:val="clear"/>
          </w:tcPr>
          <w:p>
            <w:r>
              <w:rPr>
                <w:b/>
                <w:color w:val="C00000"/>
                <w:sz w:val="17"/>
              </w:rPr>
              <w:t>-6.0%</w:t>
            </w:r>
          </w:p>
        </w:tc>
      </w:tr>
      <w:tr>
        <w:tc>
          <w:tcPr>
            <w:tcW w:type="dxa" w:w="1440"/>
            <w:shd w:fill="FFDCE0" w:val="clear"/>
          </w:tcPr>
          <w:p>
            <w:r>
              <w:rPr>
                <w:sz w:val="17"/>
              </w:rPr>
              <w:t>J+3  ⭐</w:t>
            </w:r>
          </w:p>
        </w:tc>
        <w:tc>
          <w:tcPr>
            <w:tcW w:type="dxa" w:w="1440"/>
            <w:shd w:fill="FFDCE0" w:val="clear"/>
          </w:tcPr>
          <w:p>
            <w:r>
              <w:rPr>
                <w:sz w:val="17"/>
              </w:rPr>
              <w:t>2026-09-15</w:t>
            </w:r>
          </w:p>
        </w:tc>
        <w:tc>
          <w:tcPr>
            <w:tcW w:type="dxa" w:w="1440"/>
            <w:shd w:fill="FFDCE0" w:val="clear"/>
          </w:tcPr>
          <w:p>
            <w:r>
              <w:rPr>
                <w:sz w:val="17"/>
              </w:rPr>
              <w:t>3,327</w:t>
            </w:r>
          </w:p>
        </w:tc>
        <w:tc>
          <w:tcPr>
            <w:tcW w:type="dxa" w:w="1440"/>
            <w:shd w:fill="FFDCE0" w:val="clear"/>
          </w:tcPr>
          <w:p>
            <w:r>
              <w:rPr>
                <w:b/>
                <w:sz w:val="17"/>
              </w:rPr>
              <w:t>3,561</w:t>
            </w:r>
          </w:p>
        </w:tc>
        <w:tc>
          <w:tcPr>
            <w:tcW w:type="dxa" w:w="1440"/>
            <w:shd w:fill="FFDCE0" w:val="clear"/>
          </w:tcPr>
          <w:p>
            <w:r>
              <w:rPr>
                <w:sz w:val="17"/>
              </w:rPr>
              <w:t>3,794</w:t>
            </w:r>
          </w:p>
        </w:tc>
        <w:tc>
          <w:tcPr>
            <w:tcW w:type="dxa" w:w="1440"/>
            <w:shd w:fill="FFDCE0" w:val="clear"/>
          </w:tcPr>
          <w:p>
            <w:r>
              <w:rPr>
                <w:b/>
                <w:color w:val="C00000"/>
                <w:sz w:val="17"/>
              </w:rPr>
              <w:t>-7.5%</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3,245</w:t>
            </w:r>
          </w:p>
        </w:tc>
        <w:tc>
          <w:tcPr>
            <w:tcW w:type="dxa" w:w="1440"/>
            <w:shd w:fill="FFDCE0" w:val="clear"/>
          </w:tcPr>
          <w:p>
            <w:r>
              <w:rPr>
                <w:b/>
                <w:sz w:val="17"/>
              </w:rPr>
              <w:t>3,510</w:t>
            </w:r>
          </w:p>
        </w:tc>
        <w:tc>
          <w:tcPr>
            <w:tcW w:type="dxa" w:w="1440"/>
            <w:shd w:fill="FFDCE0" w:val="clear"/>
          </w:tcPr>
          <w:p>
            <w:r>
              <w:rPr>
                <w:sz w:val="17"/>
              </w:rPr>
              <w:t>3,776</w:t>
            </w:r>
          </w:p>
        </w:tc>
        <w:tc>
          <w:tcPr>
            <w:tcW w:type="dxa" w:w="1440"/>
            <w:shd w:fill="FFDCE0" w:val="clear"/>
          </w:tcPr>
          <w:p>
            <w:r>
              <w:rPr>
                <w:b/>
                <w:color w:val="C00000"/>
                <w:sz w:val="17"/>
              </w:rPr>
              <w:t>-8.8%</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3,172</w:t>
            </w:r>
          </w:p>
        </w:tc>
        <w:tc>
          <w:tcPr>
            <w:tcW w:type="dxa" w:w="1440"/>
            <w:shd w:fill="FFDCE0" w:val="clear"/>
          </w:tcPr>
          <w:p>
            <w:r>
              <w:rPr>
                <w:b/>
                <w:sz w:val="17"/>
              </w:rPr>
              <w:t>3,465</w:t>
            </w:r>
          </w:p>
        </w:tc>
        <w:tc>
          <w:tcPr>
            <w:tcW w:type="dxa" w:w="1440"/>
            <w:shd w:fill="FFDCE0" w:val="clear"/>
          </w:tcPr>
          <w:p>
            <w:r>
              <w:rPr>
                <w:sz w:val="17"/>
              </w:rPr>
              <w:t>3,759</w:t>
            </w:r>
          </w:p>
        </w:tc>
        <w:tc>
          <w:tcPr>
            <w:tcW w:type="dxa" w:w="1440"/>
            <w:shd w:fill="FFDCE0" w:val="clear"/>
          </w:tcPr>
          <w:p>
            <w:r>
              <w:rPr>
                <w:b/>
                <w:color w:val="C00000"/>
                <w:sz w:val="17"/>
              </w:rPr>
              <w:t>-10.0%</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3,107</w:t>
            </w:r>
          </w:p>
        </w:tc>
        <w:tc>
          <w:tcPr>
            <w:tcW w:type="dxa" w:w="1440"/>
            <w:shd w:fill="FFDCE0" w:val="clear"/>
          </w:tcPr>
          <w:p>
            <w:r>
              <w:rPr>
                <w:b/>
                <w:sz w:val="17"/>
              </w:rPr>
              <w:t>3,424</w:t>
            </w:r>
          </w:p>
        </w:tc>
        <w:tc>
          <w:tcPr>
            <w:tcW w:type="dxa" w:w="1440"/>
            <w:shd w:fill="FFDCE0" w:val="clear"/>
          </w:tcPr>
          <w:p>
            <w:r>
              <w:rPr>
                <w:sz w:val="17"/>
              </w:rPr>
              <w:t>3,741</w:t>
            </w:r>
          </w:p>
        </w:tc>
        <w:tc>
          <w:tcPr>
            <w:tcW w:type="dxa" w:w="1440"/>
            <w:shd w:fill="FFDCE0" w:val="clear"/>
          </w:tcPr>
          <w:p>
            <w:r>
              <w:rPr>
                <w:b/>
                <w:color w:val="C00000"/>
                <w:sz w:val="17"/>
              </w:rPr>
              <w:t>-11.1%</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3,047</w:t>
            </w:r>
          </w:p>
        </w:tc>
        <w:tc>
          <w:tcPr>
            <w:tcW w:type="dxa" w:w="1440"/>
            <w:shd w:fill="FFDCE0" w:val="clear"/>
          </w:tcPr>
          <w:p>
            <w:r>
              <w:rPr>
                <w:b/>
                <w:sz w:val="17"/>
              </w:rPr>
              <w:t>3,385</w:t>
            </w:r>
          </w:p>
        </w:tc>
        <w:tc>
          <w:tcPr>
            <w:tcW w:type="dxa" w:w="1440"/>
            <w:shd w:fill="FFDCE0" w:val="clear"/>
          </w:tcPr>
          <w:p>
            <w:r>
              <w:rPr>
                <w:sz w:val="17"/>
              </w:rPr>
              <w:t>3,724</w:t>
            </w:r>
          </w:p>
        </w:tc>
        <w:tc>
          <w:tcPr>
            <w:tcW w:type="dxa" w:w="1440"/>
            <w:shd w:fill="FFDCE0" w:val="clear"/>
          </w:tcPr>
          <w:p>
            <w:r>
              <w:rPr>
                <w:b/>
                <w:color w:val="C00000"/>
                <w:sz w:val="17"/>
              </w:rPr>
              <w:t>-12.1%</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2,991</w:t>
            </w:r>
          </w:p>
        </w:tc>
        <w:tc>
          <w:tcPr>
            <w:tcW w:type="dxa" w:w="1440"/>
            <w:shd w:fill="FFDCE0" w:val="clear"/>
          </w:tcPr>
          <w:p>
            <w:r>
              <w:rPr>
                <w:b/>
                <w:sz w:val="17"/>
              </w:rPr>
              <w:t>3,349</w:t>
            </w:r>
          </w:p>
        </w:tc>
        <w:tc>
          <w:tcPr>
            <w:tcW w:type="dxa" w:w="1440"/>
            <w:shd w:fill="FFDCE0" w:val="clear"/>
          </w:tcPr>
          <w:p>
            <w:r>
              <w:rPr>
                <w:sz w:val="17"/>
              </w:rPr>
              <w:t>3,707</w:t>
            </w:r>
          </w:p>
        </w:tc>
        <w:tc>
          <w:tcPr>
            <w:tcW w:type="dxa" w:w="1440"/>
            <w:shd w:fill="FFDCE0" w:val="clear"/>
          </w:tcPr>
          <w:p>
            <w:r>
              <w:rPr>
                <w:b/>
                <w:color w:val="C00000"/>
                <w:sz w:val="17"/>
              </w:rPr>
              <w:t>-13.0%</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2,939</w:t>
            </w:r>
          </w:p>
        </w:tc>
        <w:tc>
          <w:tcPr>
            <w:tcW w:type="dxa" w:w="1440"/>
            <w:shd w:fill="FFDCE0" w:val="clear"/>
          </w:tcPr>
          <w:p>
            <w:r>
              <w:rPr>
                <w:b/>
                <w:sz w:val="17"/>
              </w:rPr>
              <w:t>3,315</w:t>
            </w:r>
          </w:p>
        </w:tc>
        <w:tc>
          <w:tcPr>
            <w:tcW w:type="dxa" w:w="1440"/>
            <w:shd w:fill="FFDCE0" w:val="clear"/>
          </w:tcPr>
          <w:p>
            <w:r>
              <w:rPr>
                <w:sz w:val="17"/>
              </w:rPr>
              <w:t>3,691</w:t>
            </w:r>
          </w:p>
        </w:tc>
        <w:tc>
          <w:tcPr>
            <w:tcW w:type="dxa" w:w="1440"/>
            <w:shd w:fill="FFDCE0" w:val="clear"/>
          </w:tcPr>
          <w:p>
            <w:r>
              <w:rPr>
                <w:b/>
                <w:color w:val="C00000"/>
                <w:sz w:val="17"/>
              </w:rPr>
              <w:t>-13.9%</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2,890</w:t>
            </w:r>
          </w:p>
        </w:tc>
        <w:tc>
          <w:tcPr>
            <w:tcW w:type="dxa" w:w="1440"/>
            <w:shd w:fill="FFDCE0" w:val="clear"/>
          </w:tcPr>
          <w:p>
            <w:r>
              <w:rPr>
                <w:b/>
                <w:sz w:val="17"/>
              </w:rPr>
              <w:t>3,283</w:t>
            </w:r>
          </w:p>
        </w:tc>
        <w:tc>
          <w:tcPr>
            <w:tcW w:type="dxa" w:w="1440"/>
            <w:shd w:fill="FFDCE0" w:val="clear"/>
          </w:tcPr>
          <w:p>
            <w:r>
              <w:rPr>
                <w:sz w:val="17"/>
              </w:rPr>
              <w:t>3,676</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125,42 milliards FCFA, TTLS s'impose comme l'une des valeurs phares de la cote BRVM, représentant un pilier du compartiment énergétique régional. Le BPA de 208 FCFA/action signifie que chaque titre génère près de 208 FCFA de bénéfice net, ce qui, rapporté au cours actuel de 3 850 FCFA, donne un PER de 18,5x — soit un niveau modéré mais nettement supérieur à la moyenne BRVM (8-12x), traduisant une prime de qualité liée au leadership de la société et à la solidité de son actionnaire (TotalEnergies à 69,1%). Le P/B de 4,44x indique que le marché valorise l'entreprise à plus de quatre fois sa valeur comptable, une prime exigeante qui reflète la confiance des investisseurs dans la capacité bénéficiaire future, mais qui laisse peu de marge d'erreur. Enfin, l'EV/EBITDA de 7,9x apparaît raisonnable dans la fourchette 5-10x, suggérant que la valeur d'entreprise reste cohérente avec la capacité opérationnelle de génération de cash-flows.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performance remarquable de +17,38%, avec une dernière séance quasi stable (+0,26%), confirmant une dynamique haussière soutenue. Le cours a évolué dans un range large de 2 845 FCFA (plus bas) à 4 500 FCFA (plus haut), soit une amplitude de 58%, témoignant d'une réelle volatilité intra-période. Le cours actuel de 3 850 FCFA se situe dans la partie médiane-haute du range, à environ 14% sous son plus haut et 35% au-dessus de son plus bas. Les statistiques descriptives révèlent une moyenne (3 562 FCFA) légèrement supérieure à la médiane (3 542 FCFA), signe d'une distribution quasi symétrique avec une très légère asymétrie positive, confirmée par le skewness de 0,224. L'écart-type de 367 FCFA et le coefficient de variation de 10,3% indiquent une dispersion modérée autour de la moyenne, tandis que le kurtosis de -0,355 (mésokurtique) suggère une distribution proche de la normale, sans risque excessif de pics extrêmes. La volatilité annualisée de 45,2% classe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(3 793 FCFA) est inférieure à la MM50 (3 847,5 FCFA), et le cours actuel (3 850 FCFA) se situe au-dessus des deux moyennes mais très proche de la MM50. Cette configuration en croisement baissier potentiel (MM20 sous MM50) justifie la décision de **Vente** émise par l'indicateur, signalant un essoufflement de la dynamique haussière de court terme.</w:t>
      </w:r>
    </w:p>
    <w:p>
      <w:pPr>
        <w:spacing w:after="120" w:line="276" w:lineRule="auto"/>
      </w:pPr>
      <w:r>
        <w:t>**Bandes de Bollinger** : Le cours (3 850 FCFA) évolue à l'intérieur des bandes, entre la borne inférieure (3 602,39 FCFA) et la borne supérieure (3 983,61 FCFA), légèrement au-dessus du médian. La largeur des bandes reflète une volatilité significative, et la position neutre du cours justifie la décision **Neutre**, sans signal d'achat ou de vente imminent.</w:t>
      </w:r>
    </w:p>
    <w:p>
      <w:pPr>
        <w:spacing w:after="120" w:line="276" w:lineRule="auto"/>
      </w:pPr>
      <w:r>
        <w:t>**MACD** : Le MACD (26,201) est supérieur à son signal (21,292), avec un histogramme positif, indiquant un momentum haussier en cours. Cette divergence positive justifie la décision d'**Achat**, bien que l'écart reste modéré, suggérant une dynamique positive mais sans accélération marquée.</w:t>
      </w:r>
    </w:p>
    <w:p>
      <w:pPr>
        <w:spacing w:after="120" w:line="276" w:lineRule="auto"/>
      </w:pPr>
      <w:r>
        <w:t>**RSI** : À 40,0, le RSI se situe en zone neutre basse (30-70), sans signal de survente (&lt;30) ni de surachat (&gt;70). Cette position justifie la décision **Neutre**, indiquant que le titre n'est ni surévalué ni sous-évalué techniquement à court terme.</w:t>
      </w:r>
    </w:p>
    <w:p>
      <w:pPr>
        <w:spacing w:after="120" w:line="276" w:lineRule="auto"/>
      </w:pPr>
      <w:r>
        <w:t>**Stochastique** : Le %K (76,744) est supérieur au %D (56,534), avec un croisement haussier récent, mais le %K approche de la zone de surachat (&gt;80). La décision **Neutre** reflète cette situation ambiguë : momentum positif mais risque de retournement à court terme.</w:t>
      </w:r>
    </w:p>
    <w:p>
      <w:pPr>
        <w:spacing w:after="120" w:line="276" w:lineRule="auto"/>
      </w:pPr>
      <w:r>
        <w:t>**Conclusion technique** : Les indicateurs présentent un tableau mitigé. Le MACD est haussier, le stochastique montre un croisement positif, mais les moyennes mobiles sont en configuration baissière et le RSI reste neutre. Le titre évolue dans une zone de consolidation sans direction claire, avec un léger biais haussier contrebalancé par des signaux de prudence sur les MM. La convergence partielle des signaux plaide pour une **attente** avant tout engagement directionnel.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Sénégal a réalisé un chiffre d'affaires de 455,209 milliards FCFA, en baisse de 6,13% sur un an, conséquence directe de l'arrêt stratégique de la commercialisation du fuel lourd. Le résultat net s'établit à 6,779 milliards FCFA, avec une marge nette de 1,49%, typique du secteur de distribution pétrolière. Le ROE atteint 24,01%, un niveau excellent (&gt;15%) qui témoigne d'une remarquable efficacité dans l'utilisation des fonds propres, tandis que le ROA de 3,95% reflète la faible intensité capitalistique du modèle. La structure financière reste solide avec des capitaux propres de 28,239 milliards FCFA, une trésorerie nette positive de 13,941 milliards FCFA et un BFR négatif de -36,899 milliards FCFA — signe d'un cycle d'exploitation favorable où les fournisseurs financent l'activité (délai fournisseurs de 97,76 jours contre 47,43 jours clients). Le ratio d'endettement de 52,16% et la capacité de remboursement de 0,94 an (dette financière/CAF) confirment une situation financière saine, avec une couverture des intérêts de 485,9%.</w:t>
      </w:r>
    </w:p>
    <w:p>
      <w:pPr>
        <w:spacing w:after="120" w:line="276" w:lineRule="auto"/>
      </w:pPr>
      <w:r>
        <w:t>**Estimations basées sur les rapports trimestriels** : Le rapport du T1 2026 (publié le 04/05/2026) révèle un chiffre d'affaires de 99,9 milliards FCFA (-10% sur un an), impacté par la révision à la baisse des prix à la pompe par l'État sénégalais en décembre 2025. Cependant, le résultat d'exploitation progresse de 28% à 2,623 milliards FCFA et le résultat net de 5% à 1,585 milliards FCFA, grâce à l'amélioration des marges sur les lubrifiants. Sur cette base, on peut estimer que l'exercice 2026 devrait maintenir une rentabilité opérationnelle en amélioration, compensant partiellement la pression sur le chiffre d'affaires. Le rapport annuel 2025 (publié le 31/12/2025) confirme la stratégie de recentrage sur les segments à forte valeur ajoutée (GPL, lubrifiants, export) et la solidité du réseau de 140 stations-service. Les perspectives liées à la mise en production de Sangomar et du GNL offrent des relais de croissance significatifs pour les carburants et le GPL.</w:t>
      </w:r>
    </w:p>
    <w:p>
      <w:pPr>
        <w:spacing w:after="120" w:line="276" w:lineRule="auto"/>
      </w:pPr>
      <w:r>
        <w:t>**Recommandation fondamentale** : TTLS présente un profil défensif de qualité, avec une rentabilité des fonds propres excellente (ROE 24%), une structure financière saine et une stratégie de transition bien engagée. Les risques principaux résident dans la dépendance aux décisions réglementaires sur les prix des carburants, la volatilité des prix pétroliers et la concentration géographique sur le Sénégal. La baisse du chiffre d'affaires est structurelle et volontaire, mais la capacité à améliorer les marges opérationnelles démontre une réelle résilience.</w:t>
      </w:r>
    </w:p>
    <w:p>
      <w:pPr>
        <w:spacing w:after="120" w:line="276" w:lineRule="auto"/>
      </w:pPr>
      <w:r>
        <w:t>---</w:t>
      </w:r>
    </w:p>
    <w:p>
      <w:pPr>
        <w:spacing w:after="120" w:line="276" w:lineRule="auto"/>
      </w:pPr>
      <w:r>
        <w:t>## PARTIE 4 : CONCLUSION D'INVESTISSEMENT</w:t>
      </w:r>
    </w:p>
    <w:p>
      <w:pPr>
        <w:spacing w:after="120" w:line="276" w:lineRule="auto"/>
      </w:pPr>
      <w:r>
        <w:t>La valorisation de TTLS (Partie 0) apparaît exigeante avec un PER de 18,5x et un P/B de 4,44x, nettement supérieurs aux moyennes du marché BRVM, bien que l'EV/EBITDA de 7,9x reste raisonnable. Le comportement du cours (Partie 1) est haussier sur 100 jours (+17,38%) mais avec une volatilité élevée (45,2%) et une distribution quasi normale (kurtosis -0,355, skewness 0,224), sans risque extrême de pics. Les signaux techniques (Partie 2) sont mitigés : le MACD est haussier et le stochastique positif, mais les moyennes mobiles sont en configuration baissière et le RSI neutre, plaidant pour une consolidation. Les fondamentaux (Partie 3) demeurent solides avec un ROE de 24%, une trésorerie nette positive et une stratégie de recentrage pertinente, bien que le chiffre d'affaires soit sous pression réglementaire. Les prédictions IA (J+1 à J+10) anticipent une trajectoire baissière de 3 690 FCFA à 3 465 FCFA, soit une correction de -10% sur 10 jours, ce qui contredit le momentum haussier récent et les signaux techniques positifs. **Synthèse globale** : la convergence entre valorisation exigeante, technique mitigée et prédictions baissières suggère une prudence à court terme, mais la solidité fondamentale et le profil défensif de la valeur soutiennent une vision de long terme. **Recommandation finale : CONSERVER**, avec un niveau de confiance **Moyen** et un risque global **Moyen**. L'horizon optimal est le **moyen terme (3-12 mois)**, en attendant une clarification sur l'évolution des prix réglementés et la confirmation de la reprise des volumes, tout en surveillant les niveaux de support techniques (3 602 FCFA, borne inférieure de Bollinger) qui pourraient offrir des points d'entrée intéressants pour les investisseurs de long terme.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498.66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20 titres</w:t>
            </w:r>
          </w:p>
        </w:tc>
        <w:tc>
          <w:tcPr>
            <w:tcW w:type="dxa" w:w="2268"/>
            <w:shd w:fill="FFF2CC" w:val="clear"/>
          </w:tcPr>
          <w:p>
            <w:r>
              <w:rPr>
                <w:b/>
                <w:color w:val="503200"/>
                <w:sz w:val="16"/>
              </w:rPr>
              <w:t xml:space="preserve">Cours actuel : </w:t>
            </w:r>
            <w:r>
              <w:rPr>
                <w:color w:val="000000"/>
                <w:sz w:val="17"/>
              </w:rPr>
              <w:t>54,300 FCFA</w:t>
            </w:r>
          </w:p>
          <w:p>
            <w:r>
              <w:rPr>
                <w:b/>
                <w:color w:val="503200"/>
                <w:sz w:val="16"/>
              </w:rPr>
              <w:t xml:space="preserve">Var. 100 jours : </w:t>
            </w:r>
            <w:r>
              <w:rPr>
                <w:b/>
                <w:color w:val="B40000"/>
                <w:sz w:val="17"/>
              </w:rPr>
              <w:t>-12.41%</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μ=55,929 FCFA, σ=3,060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β=0.1493 (Défensif) — Cov=0.000006, Var(idx)=0.000037, ρ=0.024,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2026-09-11</w:t>
            </w:r>
          </w:p>
        </w:tc>
        <w:tc>
          <w:tcPr>
            <w:tcW w:type="dxa" w:w="1440"/>
            <w:shd w:fill="FAFAFA" w:val="clear"/>
          </w:tcPr>
          <w:p>
            <w:r>
              <w:rPr>
                <w:sz w:val="17"/>
              </w:rPr>
              <w:t>50,815</w:t>
            </w:r>
          </w:p>
        </w:tc>
        <w:tc>
          <w:tcPr>
            <w:tcW w:type="dxa" w:w="1440"/>
            <w:shd w:fill="FAFAFA" w:val="clear"/>
          </w:tcPr>
          <w:p>
            <w:r>
              <w:rPr>
                <w:b/>
                <w:sz w:val="17"/>
              </w:rPr>
              <w:t>54,183</w:t>
            </w:r>
          </w:p>
        </w:tc>
        <w:tc>
          <w:tcPr>
            <w:tcW w:type="dxa" w:w="1440"/>
            <w:shd w:fill="FAFAFA" w:val="clear"/>
          </w:tcPr>
          <w:p>
            <w:r>
              <w:rPr>
                <w:sz w:val="17"/>
              </w:rPr>
              <w:t>57,551</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2026-09-14</w:t>
            </w:r>
          </w:p>
        </w:tc>
        <w:tc>
          <w:tcPr>
            <w:tcW w:type="dxa" w:w="1440"/>
            <w:shd w:fill="FAFAFA" w:val="clear"/>
          </w:tcPr>
          <w:p>
            <w:r>
              <w:rPr>
                <w:sz w:val="17"/>
              </w:rPr>
              <w:t>50,009</w:t>
            </w:r>
          </w:p>
        </w:tc>
        <w:tc>
          <w:tcPr>
            <w:tcW w:type="dxa" w:w="1440"/>
            <w:shd w:fill="FAFAFA" w:val="clear"/>
          </w:tcPr>
          <w:p>
            <w:r>
              <w:rPr>
                <w:b/>
                <w:sz w:val="17"/>
              </w:rPr>
              <w:t>54,829</w:t>
            </w:r>
          </w:p>
        </w:tc>
        <w:tc>
          <w:tcPr>
            <w:tcW w:type="dxa" w:w="1440"/>
            <w:shd w:fill="FAFAFA" w:val="clear"/>
          </w:tcPr>
          <w:p>
            <w:r>
              <w:rPr>
                <w:sz w:val="17"/>
              </w:rPr>
              <w:t>59,649</w:t>
            </w:r>
          </w:p>
        </w:tc>
        <w:tc>
          <w:tcPr>
            <w:tcW w:type="dxa" w:w="1440"/>
            <w:shd w:fill="FAFAFA" w:val="clear"/>
          </w:tcPr>
          <w:p>
            <w:r>
              <w:rPr>
                <w:b/>
                <w:color w:val="008000"/>
                <w:sz w:val="17"/>
              </w:rPr>
              <w:t>+1.0%</w:t>
            </w:r>
          </w:p>
        </w:tc>
      </w:tr>
      <w:tr>
        <w:tc>
          <w:tcPr>
            <w:tcW w:type="dxa" w:w="1440"/>
            <w:shd w:fill="C6EFCE" w:val="clear"/>
          </w:tcPr>
          <w:p>
            <w:r>
              <w:rPr>
                <w:sz w:val="17"/>
              </w:rPr>
              <w:t>J+3  ⭐</w:t>
            </w:r>
          </w:p>
        </w:tc>
        <w:tc>
          <w:tcPr>
            <w:tcW w:type="dxa" w:w="1440"/>
            <w:shd w:fill="C6EFCE" w:val="clear"/>
          </w:tcPr>
          <w:p>
            <w:r>
              <w:rPr>
                <w:sz w:val="17"/>
              </w:rPr>
              <w:t>2026-09-15</w:t>
            </w:r>
          </w:p>
        </w:tc>
        <w:tc>
          <w:tcPr>
            <w:tcW w:type="dxa" w:w="1440"/>
            <w:shd w:fill="C6EFCE" w:val="clear"/>
          </w:tcPr>
          <w:p>
            <w:r>
              <w:rPr>
                <w:sz w:val="17"/>
              </w:rPr>
              <w:t>49,483</w:t>
            </w:r>
          </w:p>
        </w:tc>
        <w:tc>
          <w:tcPr>
            <w:tcW w:type="dxa" w:w="1440"/>
            <w:shd w:fill="C6EFCE" w:val="clear"/>
          </w:tcPr>
          <w:p>
            <w:r>
              <w:rPr>
                <w:b/>
                <w:sz w:val="17"/>
              </w:rPr>
              <w:t>55,453</w:t>
            </w:r>
          </w:p>
        </w:tc>
        <w:tc>
          <w:tcPr>
            <w:tcW w:type="dxa" w:w="1440"/>
            <w:shd w:fill="C6EFCE" w:val="clear"/>
          </w:tcPr>
          <w:p>
            <w:r>
              <w:rPr>
                <w:sz w:val="17"/>
              </w:rPr>
              <w:t>61,423</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2026-09-16</w:t>
            </w:r>
          </w:p>
        </w:tc>
        <w:tc>
          <w:tcPr>
            <w:tcW w:type="dxa" w:w="1440"/>
            <w:shd w:fill="C6EFCE" w:val="clear"/>
          </w:tcPr>
          <w:p>
            <w:r>
              <w:rPr>
                <w:sz w:val="17"/>
              </w:rPr>
              <w:t>49,108</w:t>
            </w:r>
          </w:p>
        </w:tc>
        <w:tc>
          <w:tcPr>
            <w:tcW w:type="dxa" w:w="1440"/>
            <w:shd w:fill="C6EFCE" w:val="clear"/>
          </w:tcPr>
          <w:p>
            <w:r>
              <w:rPr>
                <w:b/>
                <w:sz w:val="17"/>
              </w:rPr>
              <w:t>56,080</w:t>
            </w:r>
          </w:p>
        </w:tc>
        <w:tc>
          <w:tcPr>
            <w:tcW w:type="dxa" w:w="1440"/>
            <w:shd w:fill="C6EFCE" w:val="clear"/>
          </w:tcPr>
          <w:p>
            <w:r>
              <w:rPr>
                <w:sz w:val="17"/>
              </w:rPr>
              <w:t>63,052</w:t>
            </w:r>
          </w:p>
        </w:tc>
        <w:tc>
          <w:tcPr>
            <w:tcW w:type="dxa" w:w="1440"/>
            <w:shd w:fill="C6EFCE" w:val="clear"/>
          </w:tcPr>
          <w:p>
            <w:r>
              <w:rPr>
                <w:b/>
                <w:color w:val="008000"/>
                <w:sz w:val="17"/>
              </w:rPr>
              <w:t>+3.3%</w:t>
            </w:r>
          </w:p>
        </w:tc>
      </w:tr>
      <w:tr>
        <w:tc>
          <w:tcPr>
            <w:tcW w:type="dxa" w:w="1440"/>
            <w:shd w:fill="C6EFCE" w:val="clear"/>
          </w:tcPr>
          <w:p>
            <w:r>
              <w:rPr>
                <w:sz w:val="17"/>
              </w:rPr>
              <w:t>J+5  ⭐</w:t>
            </w:r>
          </w:p>
        </w:tc>
        <w:tc>
          <w:tcPr>
            <w:tcW w:type="dxa" w:w="1440"/>
            <w:shd w:fill="C6EFCE" w:val="clear"/>
          </w:tcPr>
          <w:p>
            <w:r>
              <w:rPr>
                <w:sz w:val="17"/>
              </w:rPr>
              <w:t>2026-09-17</w:t>
            </w:r>
          </w:p>
        </w:tc>
        <w:tc>
          <w:tcPr>
            <w:tcW w:type="dxa" w:w="1440"/>
            <w:shd w:fill="C6EFCE" w:val="clear"/>
          </w:tcPr>
          <w:p>
            <w:r>
              <w:rPr>
                <w:sz w:val="17"/>
              </w:rPr>
              <w:t>48,831</w:t>
            </w:r>
          </w:p>
        </w:tc>
        <w:tc>
          <w:tcPr>
            <w:tcW w:type="dxa" w:w="1440"/>
            <w:shd w:fill="C6EFCE" w:val="clear"/>
          </w:tcPr>
          <w:p>
            <w:r>
              <w:rPr>
                <w:b/>
                <w:sz w:val="17"/>
              </w:rPr>
              <w:t>56,714</w:t>
            </w:r>
          </w:p>
        </w:tc>
        <w:tc>
          <w:tcPr>
            <w:tcW w:type="dxa" w:w="1440"/>
            <w:shd w:fill="C6EFCE" w:val="clear"/>
          </w:tcPr>
          <w:p>
            <w:r>
              <w:rPr>
                <w:sz w:val="17"/>
              </w:rPr>
              <w:t>64,598</w:t>
            </w:r>
          </w:p>
        </w:tc>
        <w:tc>
          <w:tcPr>
            <w:tcW w:type="dxa" w:w="1440"/>
            <w:shd w:fill="C6EFCE" w:val="clear"/>
          </w:tcPr>
          <w:p>
            <w:r>
              <w:rPr>
                <w:b/>
                <w:color w:val="008000"/>
                <w:sz w:val="17"/>
              </w:rPr>
              <w:t>+4.4%</w:t>
            </w:r>
          </w:p>
        </w:tc>
      </w:tr>
      <w:tr>
        <w:tc>
          <w:tcPr>
            <w:tcW w:type="dxa" w:w="1440"/>
            <w:shd w:fill="C6EFCE" w:val="clear"/>
          </w:tcPr>
          <w:p>
            <w:r>
              <w:rPr>
                <w:sz w:val="17"/>
              </w:rPr>
              <w:t>J+6  ⭐</w:t>
            </w:r>
          </w:p>
        </w:tc>
        <w:tc>
          <w:tcPr>
            <w:tcW w:type="dxa" w:w="1440"/>
            <w:shd w:fill="C6EFCE" w:val="clear"/>
          </w:tcPr>
          <w:p>
            <w:r>
              <w:rPr>
                <w:sz w:val="17"/>
              </w:rPr>
              <w:t>2026-09-18</w:t>
            </w:r>
          </w:p>
        </w:tc>
        <w:tc>
          <w:tcPr>
            <w:tcW w:type="dxa" w:w="1440"/>
            <w:shd w:fill="C6EFCE" w:val="clear"/>
          </w:tcPr>
          <w:p>
            <w:r>
              <w:rPr>
                <w:sz w:val="17"/>
              </w:rPr>
              <w:t>48,621</w:t>
            </w:r>
          </w:p>
        </w:tc>
        <w:tc>
          <w:tcPr>
            <w:tcW w:type="dxa" w:w="1440"/>
            <w:shd w:fill="C6EFCE" w:val="clear"/>
          </w:tcPr>
          <w:p>
            <w:r>
              <w:rPr>
                <w:b/>
                <w:sz w:val="17"/>
              </w:rPr>
              <w:t>57,354</w:t>
            </w:r>
          </w:p>
        </w:tc>
        <w:tc>
          <w:tcPr>
            <w:tcW w:type="dxa" w:w="1440"/>
            <w:shd w:fill="C6EFCE" w:val="clear"/>
          </w:tcPr>
          <w:p>
            <w:r>
              <w:rPr>
                <w:sz w:val="17"/>
              </w:rPr>
              <w:t>66,087</w:t>
            </w:r>
          </w:p>
        </w:tc>
        <w:tc>
          <w:tcPr>
            <w:tcW w:type="dxa" w:w="1440"/>
            <w:shd w:fill="C6EFCE" w:val="clear"/>
          </w:tcPr>
          <w:p>
            <w:r>
              <w:rPr>
                <w:b/>
                <w:color w:val="008000"/>
                <w:sz w:val="17"/>
              </w:rPr>
              <w:t>+5.6%</w:t>
            </w:r>
          </w:p>
        </w:tc>
      </w:tr>
      <w:tr>
        <w:tc>
          <w:tcPr>
            <w:tcW w:type="dxa" w:w="1440"/>
            <w:shd w:fill="C6EFCE" w:val="clear"/>
          </w:tcPr>
          <w:p>
            <w:r>
              <w:rPr>
                <w:sz w:val="17"/>
              </w:rPr>
              <w:t>J+7  ⭐</w:t>
            </w:r>
          </w:p>
        </w:tc>
        <w:tc>
          <w:tcPr>
            <w:tcW w:type="dxa" w:w="1440"/>
            <w:shd w:fill="C6EFCE" w:val="clear"/>
          </w:tcPr>
          <w:p>
            <w:r>
              <w:rPr>
                <w:sz w:val="17"/>
              </w:rPr>
              <w:t>2026-09-21</w:t>
            </w:r>
          </w:p>
        </w:tc>
        <w:tc>
          <w:tcPr>
            <w:tcW w:type="dxa" w:w="1440"/>
            <w:shd w:fill="C6EFCE" w:val="clear"/>
          </w:tcPr>
          <w:p>
            <w:r>
              <w:rPr>
                <w:sz w:val="17"/>
              </w:rPr>
              <w:t>48,460</w:t>
            </w:r>
          </w:p>
        </w:tc>
        <w:tc>
          <w:tcPr>
            <w:tcW w:type="dxa" w:w="1440"/>
            <w:shd w:fill="C6EFCE" w:val="clear"/>
          </w:tcPr>
          <w:p>
            <w:r>
              <w:rPr>
                <w:b/>
                <w:sz w:val="17"/>
              </w:rPr>
              <w:t>57,998</w:t>
            </w:r>
          </w:p>
        </w:tc>
        <w:tc>
          <w:tcPr>
            <w:tcW w:type="dxa" w:w="1440"/>
            <w:shd w:fill="C6EFCE" w:val="clear"/>
          </w:tcPr>
          <w:p>
            <w:r>
              <w:rPr>
                <w:sz w:val="17"/>
              </w:rPr>
              <w:t>67,537</w:t>
            </w:r>
          </w:p>
        </w:tc>
        <w:tc>
          <w:tcPr>
            <w:tcW w:type="dxa" w:w="1440"/>
            <w:shd w:fill="C6EFCE" w:val="clear"/>
          </w:tcPr>
          <w:p>
            <w:r>
              <w:rPr>
                <w:b/>
                <w:color w:val="008000"/>
                <w:sz w:val="17"/>
              </w:rPr>
              <w:t>+6.8%</w:t>
            </w:r>
          </w:p>
        </w:tc>
      </w:tr>
      <w:tr>
        <w:tc>
          <w:tcPr>
            <w:tcW w:type="dxa" w:w="1440"/>
            <w:shd w:fill="C6EFCE" w:val="clear"/>
          </w:tcPr>
          <w:p>
            <w:r>
              <w:rPr>
                <w:sz w:val="17"/>
              </w:rPr>
              <w:t>J+8  ⭐</w:t>
            </w:r>
          </w:p>
        </w:tc>
        <w:tc>
          <w:tcPr>
            <w:tcW w:type="dxa" w:w="1440"/>
            <w:shd w:fill="C6EFCE" w:val="clear"/>
          </w:tcPr>
          <w:p>
            <w:r>
              <w:rPr>
                <w:sz w:val="17"/>
              </w:rPr>
              <w:t>2026-09-22</w:t>
            </w:r>
          </w:p>
        </w:tc>
        <w:tc>
          <w:tcPr>
            <w:tcW w:type="dxa" w:w="1440"/>
            <w:shd w:fill="C6EFCE" w:val="clear"/>
          </w:tcPr>
          <w:p>
            <w:r>
              <w:rPr>
                <w:sz w:val="17"/>
              </w:rPr>
              <w:t>48,335</w:t>
            </w:r>
          </w:p>
        </w:tc>
        <w:tc>
          <w:tcPr>
            <w:tcW w:type="dxa" w:w="1440"/>
            <w:shd w:fill="C6EFCE" w:val="clear"/>
          </w:tcPr>
          <w:p>
            <w:r>
              <w:rPr>
                <w:b/>
                <w:sz w:val="17"/>
              </w:rPr>
              <w:t>58,646</w:t>
            </w:r>
          </w:p>
        </w:tc>
        <w:tc>
          <w:tcPr>
            <w:tcW w:type="dxa" w:w="1440"/>
            <w:shd w:fill="C6EFCE" w:val="clear"/>
          </w:tcPr>
          <w:p>
            <w:r>
              <w:rPr>
                <w:sz w:val="17"/>
              </w:rPr>
              <w:t>68,957</w:t>
            </w:r>
          </w:p>
        </w:tc>
        <w:tc>
          <w:tcPr>
            <w:tcW w:type="dxa" w:w="1440"/>
            <w:shd w:fill="C6EFCE" w:val="clear"/>
          </w:tcPr>
          <w:p>
            <w:r>
              <w:rPr>
                <w:b/>
                <w:color w:val="008000"/>
                <w:sz w:val="17"/>
              </w:rPr>
              <w:t>+8.0%</w:t>
            </w:r>
          </w:p>
        </w:tc>
      </w:tr>
      <w:tr>
        <w:tc>
          <w:tcPr>
            <w:tcW w:type="dxa" w:w="1440"/>
            <w:shd w:fill="C6EFCE" w:val="clear"/>
          </w:tcPr>
          <w:p>
            <w:r>
              <w:rPr>
                <w:sz w:val="17"/>
              </w:rPr>
              <w:t>J+9  ⭐</w:t>
            </w:r>
          </w:p>
        </w:tc>
        <w:tc>
          <w:tcPr>
            <w:tcW w:type="dxa" w:w="1440"/>
            <w:shd w:fill="C6EFCE" w:val="clear"/>
          </w:tcPr>
          <w:p>
            <w:r>
              <w:rPr>
                <w:sz w:val="17"/>
              </w:rPr>
              <w:t>2026-09-23</w:t>
            </w:r>
          </w:p>
        </w:tc>
        <w:tc>
          <w:tcPr>
            <w:tcW w:type="dxa" w:w="1440"/>
            <w:shd w:fill="C6EFCE" w:val="clear"/>
          </w:tcPr>
          <w:p>
            <w:r>
              <w:rPr>
                <w:sz w:val="17"/>
              </w:rPr>
              <w:t>48,239</w:t>
            </w:r>
          </w:p>
        </w:tc>
        <w:tc>
          <w:tcPr>
            <w:tcW w:type="dxa" w:w="1440"/>
            <w:shd w:fill="C6EFCE" w:val="clear"/>
          </w:tcPr>
          <w:p>
            <w:r>
              <w:rPr>
                <w:b/>
                <w:sz w:val="17"/>
              </w:rPr>
              <w:t>59,297</w:t>
            </w:r>
          </w:p>
        </w:tc>
        <w:tc>
          <w:tcPr>
            <w:tcW w:type="dxa" w:w="1440"/>
            <w:shd w:fill="C6EFCE" w:val="clear"/>
          </w:tcPr>
          <w:p>
            <w:r>
              <w:rPr>
                <w:sz w:val="17"/>
              </w:rPr>
              <w:t>70,355</w:t>
            </w:r>
          </w:p>
        </w:tc>
        <w:tc>
          <w:tcPr>
            <w:tcW w:type="dxa" w:w="1440"/>
            <w:shd w:fill="C6EFCE" w:val="clear"/>
          </w:tcPr>
          <w:p>
            <w:r>
              <w:rPr>
                <w:b/>
                <w:color w:val="008000"/>
                <w:sz w:val="17"/>
              </w:rPr>
              <w:t>+9.2%</w:t>
            </w:r>
          </w:p>
        </w:tc>
      </w:tr>
      <w:tr>
        <w:tc>
          <w:tcPr>
            <w:tcW w:type="dxa" w:w="1440"/>
            <w:shd w:fill="C6EFCE" w:val="clear"/>
          </w:tcPr>
          <w:p>
            <w:r>
              <w:rPr>
                <w:sz w:val="17"/>
              </w:rPr>
              <w:t>J+10  ⭐</w:t>
            </w:r>
          </w:p>
        </w:tc>
        <w:tc>
          <w:tcPr>
            <w:tcW w:type="dxa" w:w="1440"/>
            <w:shd w:fill="C6EFCE" w:val="clear"/>
          </w:tcPr>
          <w:p>
            <w:r>
              <w:rPr>
                <w:sz w:val="17"/>
              </w:rPr>
              <w:t>2026-09-24</w:t>
            </w:r>
          </w:p>
        </w:tc>
        <w:tc>
          <w:tcPr>
            <w:tcW w:type="dxa" w:w="1440"/>
            <w:shd w:fill="C6EFCE" w:val="clear"/>
          </w:tcPr>
          <w:p>
            <w:r>
              <w:rPr>
                <w:sz w:val="17"/>
              </w:rPr>
              <w:t>48,166</w:t>
            </w:r>
          </w:p>
        </w:tc>
        <w:tc>
          <w:tcPr>
            <w:tcW w:type="dxa" w:w="1440"/>
            <w:shd w:fill="C6EFCE" w:val="clear"/>
          </w:tcPr>
          <w:p>
            <w:r>
              <w:rPr>
                <w:b/>
                <w:sz w:val="17"/>
              </w:rPr>
              <w:t>59,950</w:t>
            </w:r>
          </w:p>
        </w:tc>
        <w:tc>
          <w:tcPr>
            <w:tcW w:type="dxa" w:w="1440"/>
            <w:shd w:fill="C6EFCE" w:val="clear"/>
          </w:tcPr>
          <w:p>
            <w:r>
              <w:rPr>
                <w:sz w:val="17"/>
              </w:rPr>
              <w:t>71,735</w:t>
            </w:r>
          </w:p>
        </w:tc>
        <w:tc>
          <w:tcPr>
            <w:tcW w:type="dxa" w:w="1440"/>
            <w:shd w:fill="C6EFCE" w:val="clear"/>
          </w:tcPr>
          <w:p>
            <w:r>
              <w:rPr>
                <w:b/>
                <w:color w:val="008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498,66 milliards FCFA, un niveau qui la place parmi les valeurs significatives de la cote BRVM, bien que très en deçà des poids lourds comme SONATEL. Les ratios de valorisation classiques (BPA, PER, P/B, EV/EBITDA) ne sont pas calculables en l'absence de données financières structurées exploitables dans la base fournie, ce qui limite l'appréciation directe du prix payé par rapport aux bénéfices. Toutefois, en croisant avec les rapports fondamentaux disponibles, le bénéfice net 2023 de 640,3 millions FCFA rapporté à la capitalisation de 498,66 milliards FCFA implique un PER implicite extrêmement élevé (supérieur à 700x), signalant une valorisation boursière totalement déconnectée de la rentabilité actuelle. Cette distorsion s'explique par la structure de capital très concentrée et la faible liquidité du titre, plus que par des perspectives de croissance justifiant une telle prime. L'investisseur doit donc considérer que le marché valorise ici davantage la marque et le potentiel de redressement que les bénéfices présents.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-12,41%, en nette tendance baissière, malgré un rebond de +2,45% lors de la dernière séance (J-1) qui porte le cours à 54 300 FCFA. Le range de trading est large, avec un plus haut à 63 345 FCFA et un plus bas à 50 000 FCFA, soit une amplitude de plus de 26% entre les extrêmes, ce qui traduit une réelle nervosité du titre sur la période. Les statistiques descriptives révèlent une moyenne (55 929 FCFA) et une médiane (55 938 FCFA) quasi identiques, confirmant une distribution symétrique du cours, cohérente avec le skewness de 0,176 qui indique une légère asymétrie positive mais globalement équilibrée. L'écart-type de 3 076 FCFA et le coefficient de variation de 5,5% montrent une dispersion modérée autour de la moyenne, tandis que le kurtosis de -0,515 (mésokurtique) suggère une distribution proche de la normale, sans risque marqué de pics extrêmes. La volatilité annualisée de 58,9% classe toutefois le titre dans la catégorie des valeurs à volatilité élevée (&gt;30%), ce qui implique un risque de fluctuation important pour l'investisseur. Le mode à 58 000 FCFA, supérieur au cours actuel, indique que le titre évolue actuellement sous son niveau de fréquence le plus élevé, ce qui peut constituer un signal de faiblesse relative.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(54 207,75 FCFA) et la MM50 (53 651,80 FCFA) se situent toutes deux sous le cours actuel de 54 300 FCFA, ce qui place le titre au-dessus de ses moyennes de court et moyen terme. Cette configuration est haussière et justifie la décision technique d'ACHAT, d'autant que la MM20 est légèrement supérieure à la MM50, signalant un momentum positif de court terme.</w:t>
      </w:r>
    </w:p>
    <w:p>
      <w:pPr>
        <w:spacing w:after="120" w:line="276" w:lineRule="auto"/>
      </w:pPr>
      <w:r>
        <w:t>**Bandes de Bollinger** : Le cours (54 300 FCFA) évolue dans la partie médiane de la bande, entre la borne inférieure (49 850,96 FCFA) et la borne supérieure (58 564,54 FCFA), sans atteindre les extrêmes. Cette position centrale, combinée à une largeur de bande importante, traduit une volatilité élevée mais sans pression directionnelle forte, justifiant la décision NEUTRE.</w:t>
      </w:r>
    </w:p>
    <w:p>
      <w:pPr>
        <w:spacing w:after="120" w:line="276" w:lineRule="auto"/>
      </w:pPr>
      <w:r>
        <w:t>**MACD** : La valeur du MACD (-318,354) est inférieure à son signal (-214,584), ce qui confirme un momentum baissier persistant malgré le rebond récent du cours. La divergence négative entre les deux lignes justifie la décision de VENTE, car elle indique que la dynamique de fond reste défavorable.</w:t>
      </w:r>
    </w:p>
    <w:p>
      <w:pPr>
        <w:spacing w:after="120" w:line="276" w:lineRule="auto"/>
      </w:pPr>
      <w:r>
        <w:t>**RSI** : À 50,734, le RSI se situe exactement dans la zone neutre (30-70), sans signal de surachat ni de survente. Cette valeur médiane confirme l'absence de pression acheteuse ou vendeuse dominante et justifie la décision NEUTRE, en cohérence avec la position du cours dans les bandes de Bollinger.</w:t>
      </w:r>
    </w:p>
    <w:p>
      <w:pPr>
        <w:spacing w:after="120" w:line="276" w:lineRule="auto"/>
      </w:pPr>
      <w:r>
        <w:t>**Stochastique** : Le %K (64,516) est nettement supérieur au %D (35,191), ce qui constitue un croisement haussier potentiel, mais le %K reste sous la zone de surachat (80). Cette configuration suggère un début de reprise du momentum, mais sans confirmation forte, justifiant la décision NEUTRE.</w:t>
      </w:r>
    </w:p>
    <w:p>
      <w:pPr>
        <w:spacing w:after="120" w:line="276" w:lineRule="auto"/>
      </w:pPr>
      <w:r>
        <w:t>**Conclusion technique** : Les indicateurs sont divergents — les moyennes mobiles donnent un signal d'achat, le MACD un signal de vente, tandis que le RSI, les Bollinger et le stochastique restent neutres. Cette absence de convergence traduit un marché indécis, avec une légère prédominance haussière de court terme (MM, stochastique) mais une faiblesse de fond persistante (MACD). La prudence est de mise avant toute décision directionnelle.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Pour l'exercice 2023, le chiffre d'affaires s'établit à 24 336 010 000 FCFA, stable par rapport à 2022, tandis que le résultat net ressort à 640 334 855 FCFA, en forte amélioration après la perte de 6 908 362 002 FCFA enregistrée en 2022. Cette performance reste toutefois fragile, avec une marge nette de seulement 2,63% (contre -28,4% en 2022), très en deçà de la moyenne sectorielle des FMCG en Afrique de l'Ouest (5-10%). Le résultat d'exploitation passe de -6 258 millions FCFA en 2022 à +3 340 millions FCFA en 2023, porté par une réduction des charges et une hausse des produits accessoires, mais les capitaux propres demeurent négatifs à -10 658 millions FCFA et le report à nouveau s'élève à -35 635 millions FCFA, ce qui fragilise structurellement le bilan. La politique de dividende reste inexistante en 2023 comme en 2022, la priorité étant donnée à la reconstitution des fonds propres. En 2022, le chiffre d'affaires de 36 174,6 millions FCFA (selon le rapport provisoire) avait chuté de 21,5% par rapport à 2021, sous l'effet de la cession de l'activité "Thé" (Lipton) et des perturbations régionales (embargo malien, restrictions BCEAO), entraînant une perte nette de -6 382,6 millions FCFA et une marge nette de -17,6%. L'exercice 2021 avait été marqué par un retour à la profitabilité (bénéfice net de 6 090,8 millions FCFA, marge nette de 25,0%) grâce à la cession de Lipton, mais cette performance exceptionnelle n'était pas récurrente. L'évolution sur trois ans (2021-2023) montre une grande volatilité des résultats, avec une alternance de profits exceptionnels et de pertes opérationnelles, reflétant un modèle économique en transition. Les risques identifiés incluent un endettement élevé (dettes financières de 4 379 millions FCFA en 2023), des capitaux propres négatifs, une dépendance au marché ivoirien et une concurrence accrue des multinationales (Nestlé, P&amp;G) et des marques locales. Les opportunités résident dans l'expansion régionale (UEMOA), l'innovation produit (gammes premium, bio) et l'optimisation des coûts logistiques. La recommandation fondamentale est de CONSERVER avec vigilance, en attendant une stabilisation durable des capitaux propres et une confirmation de la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le plan de la valorisation (Partie 0), l'absence de ratios calculables et le PER implicite très élevé suggèrent une surévaluation manifeste par rapport aux bénéfices actuels, bien que la marque et le potentiel de redressement puissent justifier une prime. Le comportement du cours (Partie 1) est baissier sur 100 jours (-12,41%), avec une volatilité élevée (58,9%) et une distribution symétrique (skewness 0,176, kurtosis -0,515) qui n'indique pas de risque extrême, mais le titre évolue sous son mode (58 000 FCFA), signal de faiblesse. Les signaux techniques (Partie 2) sont divergents : les moyennes mobiles donnent un signal d'achat, le MACD un signal de vente, et les autres indicateurs restent neutres, traduisant une indécision du marché. Les fondamentaux (Partie 3) montrent une amélioration en 2023 (bénéfice net de 640,3 millions FCFA, marge nette de 2,63%) mais restent fragiles, avec des capitaux propres négatifs et une absence de dividende. Les prédictions IA (J+1 à J+10) anticipent une trajectoire haussière modérée, de 54 183 FCFA à 56 714 FCFA, ce qui contredit le signal baissier du MACD mais confirme le rebond de J-1 (+2,45%) et le signal d'achat des moyennes mobiles. Sur la base de cette synthèse, la recommandation finale est **CONSERVER**, avec un niveau de confiance **Moyen** et un risque global **Élevé**. Cette recommandation reflète la convergence partielle entre les signaux techniques de court terme (MM, stochastique, prédictions IA) et la prudence imposée par les fondamentaux fragiles et la valorisation tendue. L'horizon d'investissement optimal est le **moyen terme (3-12 mois)**, en surveillant trimestriellement l'évolution des marges, de la trésorerie et des capitaux propres, avec un seuil de vente si une nouvelle perte survient en 2024 ou si l'endettement s'aggrave.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13,204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+28.34%</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13.70% (Moyenne) — μ=1,936 FCFA, σ=265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β=-0.1340 (Contre-cyclique) — Cov=-0.000005, Var(idx)=0.000035, ρ=-0.025,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13,204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2026-09-11</w:t>
            </w:r>
          </w:p>
        </w:tc>
        <w:tc>
          <w:tcPr>
            <w:tcW w:type="dxa" w:w="1440"/>
            <w:shd w:fill="FFDCE0" w:val="clear"/>
          </w:tcPr>
          <w:p>
            <w:r>
              <w:rPr>
                <w:sz w:val="17"/>
              </w:rPr>
              <w:t>2,243</w:t>
            </w:r>
          </w:p>
        </w:tc>
        <w:tc>
          <w:tcPr>
            <w:tcW w:type="dxa" w:w="1440"/>
            <w:shd w:fill="FFDCE0" w:val="clear"/>
          </w:tcPr>
          <w:p>
            <w:r>
              <w:rPr>
                <w:b/>
                <w:sz w:val="17"/>
              </w:rPr>
              <w:t>2,341</w:t>
            </w:r>
          </w:p>
        </w:tc>
        <w:tc>
          <w:tcPr>
            <w:tcW w:type="dxa" w:w="1440"/>
            <w:shd w:fill="FFDCE0" w:val="clear"/>
          </w:tcPr>
          <w:p>
            <w:r>
              <w:rPr>
                <w:sz w:val="17"/>
              </w:rPr>
              <w:t>2,438</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2026-09-14</w:t>
            </w:r>
          </w:p>
        </w:tc>
        <w:tc>
          <w:tcPr>
            <w:tcW w:type="dxa" w:w="1440"/>
            <w:shd w:fill="FFDCE0" w:val="clear"/>
          </w:tcPr>
          <w:p>
            <w:r>
              <w:rPr>
                <w:sz w:val="17"/>
              </w:rPr>
              <w:t>2,194</w:t>
            </w:r>
          </w:p>
        </w:tc>
        <w:tc>
          <w:tcPr>
            <w:tcW w:type="dxa" w:w="1440"/>
            <w:shd w:fill="FFDCE0" w:val="clear"/>
          </w:tcPr>
          <w:p>
            <w:r>
              <w:rPr>
                <w:b/>
                <w:sz w:val="17"/>
              </w:rPr>
              <w:t>2,331</w:t>
            </w:r>
          </w:p>
        </w:tc>
        <w:tc>
          <w:tcPr>
            <w:tcW w:type="dxa" w:w="1440"/>
            <w:shd w:fill="FFDCE0" w:val="clear"/>
          </w:tcPr>
          <w:p>
            <w:r>
              <w:rPr>
                <w:sz w:val="17"/>
              </w:rPr>
              <w:t>2,468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2026-09-15</w:t>
            </w:r>
          </w:p>
        </w:tc>
        <w:tc>
          <w:tcPr>
            <w:tcW w:type="dxa" w:w="1440"/>
            <w:shd w:fill="FFDCE0" w:val="clear"/>
          </w:tcPr>
          <w:p>
            <w:r>
              <w:rPr>
                <w:sz w:val="17"/>
              </w:rPr>
              <w:t>2,149</w:t>
            </w:r>
          </w:p>
        </w:tc>
        <w:tc>
          <w:tcPr>
            <w:tcW w:type="dxa" w:w="1440"/>
            <w:shd w:fill="FFDCE0" w:val="clear"/>
          </w:tcPr>
          <w:p>
            <w:r>
              <w:rPr>
                <w:b/>
                <w:sz w:val="17"/>
              </w:rPr>
              <w:t>2,317</w:t>
            </w:r>
          </w:p>
        </w:tc>
        <w:tc>
          <w:tcPr>
            <w:tcW w:type="dxa" w:w="1440"/>
            <w:shd w:fill="FFDCE0" w:val="clear"/>
          </w:tcPr>
          <w:p>
            <w:r>
              <w:rPr>
                <w:sz w:val="17"/>
              </w:rPr>
              <w:t>2,484</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2026-09-16</w:t>
            </w:r>
          </w:p>
        </w:tc>
        <w:tc>
          <w:tcPr>
            <w:tcW w:type="dxa" w:w="1440"/>
            <w:shd w:fill="FFDCE0" w:val="clear"/>
          </w:tcPr>
          <w:p>
            <w:r>
              <w:rPr>
                <w:sz w:val="17"/>
              </w:rPr>
              <w:t>2,110</w:t>
            </w:r>
          </w:p>
        </w:tc>
        <w:tc>
          <w:tcPr>
            <w:tcW w:type="dxa" w:w="1440"/>
            <w:shd w:fill="FFDCE0" w:val="clear"/>
          </w:tcPr>
          <w:p>
            <w:r>
              <w:rPr>
                <w:b/>
                <w:sz w:val="17"/>
              </w:rPr>
              <w:t>2,302</w:t>
            </w:r>
          </w:p>
        </w:tc>
        <w:tc>
          <w:tcPr>
            <w:tcW w:type="dxa" w:w="1440"/>
            <w:shd w:fill="FFDCE0" w:val="clear"/>
          </w:tcPr>
          <w:p>
            <w:r>
              <w:rPr>
                <w:sz w:val="17"/>
              </w:rPr>
              <w:t>2,494</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2026-09-17</w:t>
            </w:r>
          </w:p>
        </w:tc>
        <w:tc>
          <w:tcPr>
            <w:tcW w:type="dxa" w:w="1440"/>
            <w:shd w:fill="FFDCE0" w:val="clear"/>
          </w:tcPr>
          <w:p>
            <w:r>
              <w:rPr>
                <w:sz w:val="17"/>
              </w:rPr>
              <w:t>2,075</w:t>
            </w:r>
          </w:p>
        </w:tc>
        <w:tc>
          <w:tcPr>
            <w:tcW w:type="dxa" w:w="1440"/>
            <w:shd w:fill="FFDCE0" w:val="clear"/>
          </w:tcPr>
          <w:p>
            <w:r>
              <w:rPr>
                <w:b/>
                <w:sz w:val="17"/>
              </w:rPr>
              <w:t>2,288</w:t>
            </w:r>
          </w:p>
        </w:tc>
        <w:tc>
          <w:tcPr>
            <w:tcW w:type="dxa" w:w="1440"/>
            <w:shd w:fill="FFDCE0" w:val="clear"/>
          </w:tcPr>
          <w:p>
            <w:r>
              <w:rPr>
                <w:sz w:val="17"/>
              </w:rPr>
              <w:t>2,502</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2026-09-18</w:t>
            </w:r>
          </w:p>
        </w:tc>
        <w:tc>
          <w:tcPr>
            <w:tcW w:type="dxa" w:w="1440"/>
            <w:shd w:fill="FFDCE0" w:val="clear"/>
          </w:tcPr>
          <w:p>
            <w:r>
              <w:rPr>
                <w:sz w:val="17"/>
              </w:rPr>
              <w:t>2,043</w:t>
            </w:r>
          </w:p>
        </w:tc>
        <w:tc>
          <w:tcPr>
            <w:tcW w:type="dxa" w:w="1440"/>
            <w:shd w:fill="FFDCE0" w:val="clear"/>
          </w:tcPr>
          <w:p>
            <w:r>
              <w:rPr>
                <w:b/>
                <w:sz w:val="17"/>
              </w:rPr>
              <w:t>2,275</w:t>
            </w:r>
          </w:p>
        </w:tc>
        <w:tc>
          <w:tcPr>
            <w:tcW w:type="dxa" w:w="1440"/>
            <w:shd w:fill="FFDCE0" w:val="clear"/>
          </w:tcPr>
          <w:p>
            <w:r>
              <w:rPr>
                <w:sz w:val="17"/>
              </w:rPr>
              <w:t>2,507</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2026-09-21</w:t>
            </w:r>
          </w:p>
        </w:tc>
        <w:tc>
          <w:tcPr>
            <w:tcW w:type="dxa" w:w="1440"/>
            <w:shd w:fill="FFDCE0" w:val="clear"/>
          </w:tcPr>
          <w:p>
            <w:r>
              <w:rPr>
                <w:sz w:val="17"/>
              </w:rPr>
              <w:t>2,012</w:t>
            </w:r>
          </w:p>
        </w:tc>
        <w:tc>
          <w:tcPr>
            <w:tcW w:type="dxa" w:w="1440"/>
            <w:shd w:fill="FFDCE0" w:val="clear"/>
          </w:tcPr>
          <w:p>
            <w:r>
              <w:rPr>
                <w:b/>
                <w:sz w:val="17"/>
              </w:rPr>
              <w:t>2,262</w:t>
            </w:r>
          </w:p>
        </w:tc>
        <w:tc>
          <w:tcPr>
            <w:tcW w:type="dxa" w:w="1440"/>
            <w:shd w:fill="FFDCE0" w:val="clear"/>
          </w:tcPr>
          <w:p>
            <w:r>
              <w:rPr>
                <w:sz w:val="17"/>
              </w:rPr>
              <w:t>2,511</w:t>
            </w:r>
          </w:p>
        </w:tc>
        <w:tc>
          <w:tcPr>
            <w:tcW w:type="dxa" w:w="1440"/>
            <w:shd w:fill="FFDCE0" w:val="clear"/>
          </w:tcPr>
          <w:p>
            <w:r>
              <w:rPr>
                <w:b/>
                <w:color w:val="C00000"/>
                <w:sz w:val="17"/>
              </w:rPr>
              <w:t>-5.8%</w:t>
            </w:r>
          </w:p>
        </w:tc>
      </w:tr>
      <w:tr>
        <w:tc>
          <w:tcPr>
            <w:tcW w:type="dxa" w:w="1440"/>
            <w:shd w:fill="FFDCE0" w:val="clear"/>
          </w:tcPr>
          <w:p>
            <w:r>
              <w:rPr>
                <w:sz w:val="17"/>
              </w:rPr>
              <w:t>J+8  ⭐</w:t>
            </w:r>
          </w:p>
        </w:tc>
        <w:tc>
          <w:tcPr>
            <w:tcW w:type="dxa" w:w="1440"/>
            <w:shd w:fill="FFDCE0" w:val="clear"/>
          </w:tcPr>
          <w:p>
            <w:r>
              <w:rPr>
                <w:sz w:val="17"/>
              </w:rPr>
              <w:t>2026-09-22</w:t>
            </w:r>
          </w:p>
        </w:tc>
        <w:tc>
          <w:tcPr>
            <w:tcW w:type="dxa" w:w="1440"/>
            <w:shd w:fill="FFDCE0" w:val="clear"/>
          </w:tcPr>
          <w:p>
            <w:r>
              <w:rPr>
                <w:sz w:val="17"/>
              </w:rPr>
              <w:t>1,983</w:t>
            </w:r>
          </w:p>
        </w:tc>
        <w:tc>
          <w:tcPr>
            <w:tcW w:type="dxa" w:w="1440"/>
            <w:shd w:fill="FFDCE0" w:val="clear"/>
          </w:tcPr>
          <w:p>
            <w:r>
              <w:rPr>
                <w:b/>
                <w:sz w:val="17"/>
              </w:rPr>
              <w:t>2,249</w:t>
            </w:r>
          </w:p>
        </w:tc>
        <w:tc>
          <w:tcPr>
            <w:tcW w:type="dxa" w:w="1440"/>
            <w:shd w:fill="FFDCE0" w:val="clear"/>
          </w:tcPr>
          <w:p>
            <w:r>
              <w:rPr>
                <w:sz w:val="17"/>
              </w:rPr>
              <w:t>2,514</w:t>
            </w:r>
          </w:p>
        </w:tc>
        <w:tc>
          <w:tcPr>
            <w:tcW w:type="dxa" w:w="1440"/>
            <w:shd w:fill="FFDCE0" w:val="clear"/>
          </w:tcPr>
          <w:p>
            <w:r>
              <w:rPr>
                <w:b/>
                <w:color w:val="C00000"/>
                <w:sz w:val="17"/>
              </w:rPr>
              <w:t>-6.3%</w:t>
            </w:r>
          </w:p>
        </w:tc>
      </w:tr>
      <w:tr>
        <w:tc>
          <w:tcPr>
            <w:tcW w:type="dxa" w:w="1440"/>
            <w:shd w:fill="FFDCE0" w:val="clear"/>
          </w:tcPr>
          <w:p>
            <w:r>
              <w:rPr>
                <w:sz w:val="17"/>
              </w:rPr>
              <w:t>J+9  ⭐</w:t>
            </w:r>
          </w:p>
        </w:tc>
        <w:tc>
          <w:tcPr>
            <w:tcW w:type="dxa" w:w="1440"/>
            <w:shd w:fill="FFDCE0" w:val="clear"/>
          </w:tcPr>
          <w:p>
            <w:r>
              <w:rPr>
                <w:sz w:val="17"/>
              </w:rPr>
              <w:t>2026-09-23</w:t>
            </w:r>
          </w:p>
        </w:tc>
        <w:tc>
          <w:tcPr>
            <w:tcW w:type="dxa" w:w="1440"/>
            <w:shd w:fill="FFDCE0" w:val="clear"/>
          </w:tcPr>
          <w:p>
            <w:r>
              <w:rPr>
                <w:sz w:val="17"/>
              </w:rPr>
              <w:t>1,956</w:t>
            </w:r>
          </w:p>
        </w:tc>
        <w:tc>
          <w:tcPr>
            <w:tcW w:type="dxa" w:w="1440"/>
            <w:shd w:fill="FFDCE0" w:val="clear"/>
          </w:tcPr>
          <w:p>
            <w:r>
              <w:rPr>
                <w:b/>
                <w:sz w:val="17"/>
              </w:rPr>
              <w:t>2,236</w:t>
            </w:r>
          </w:p>
        </w:tc>
        <w:tc>
          <w:tcPr>
            <w:tcW w:type="dxa" w:w="1440"/>
            <w:shd w:fill="FFDCE0" w:val="clear"/>
          </w:tcPr>
          <w:p>
            <w:r>
              <w:rPr>
                <w:sz w:val="17"/>
              </w:rPr>
              <w:t>2,515</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2026-09-24</w:t>
            </w:r>
          </w:p>
        </w:tc>
        <w:tc>
          <w:tcPr>
            <w:tcW w:type="dxa" w:w="1440"/>
            <w:shd w:fill="FFDCE0" w:val="clear"/>
          </w:tcPr>
          <w:p>
            <w:r>
              <w:rPr>
                <w:sz w:val="17"/>
              </w:rPr>
              <w:t>1,930</w:t>
            </w:r>
          </w:p>
        </w:tc>
        <w:tc>
          <w:tcPr>
            <w:tcW w:type="dxa" w:w="1440"/>
            <w:shd w:fill="FFDCE0" w:val="clear"/>
          </w:tcPr>
          <w:p>
            <w:r>
              <w:rPr>
                <w:b/>
                <w:sz w:val="17"/>
              </w:rPr>
              <w:t>2,223</w:t>
            </w:r>
          </w:p>
        </w:tc>
        <w:tc>
          <w:tcPr>
            <w:tcW w:type="dxa" w:w="1440"/>
            <w:shd w:fill="FFDCE0" w:val="clear"/>
          </w:tcPr>
          <w:p>
            <w:r>
              <w:rPr>
                <w:sz w:val="17"/>
              </w:rPr>
              <w:t>2,516</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 RAPPORT D'ANALYSE FINANCIÈRE — UNIWAX (UNXC)</w:t>
        <w:br/>
        <w:t>**Bourse Régionale des Valeurs Mobilières (BRVM) — Secteur : Entreprise Industrielle (Textile)**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49,80 Mds FCFA, UNXC se situe dans la catégorie des valeurs moyennes de la cote BRVM, ce qui traduit une liquidité limitée mais une certaine visibilité institutionnelle. Le BPA ressort à **-105 FCFA/action** (exercice 2024), conséquence directe de la perte nette de -2,189 Mds FCFA, rendant le PER inexploitable en l'état (**-22,8x**, négatif car société déficitaire) — un ratio qu'il faut donc interpréter avec prudence, d'autant que le PER moyen BRVM se situe entre 8 et 12x. Le P/B de **3,19x** indique que le marché valorise l'action à plus de trois fois sa valeur comptable, soit une prime de croissance significative qui n'est justifiée que si le redressement opérationnel se confirme. L'EV/EBITDA n'est pas fourni dans les données disponibles, ce qui s'explique par l'EBE négatif en 2024 (-352 M FCFA), rendant ce multiple non pertinent ; il conviendra de le surveiller dès que l'EBE redeviendra positif (ce qui est le cas en 2025 selon les rapports).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progression spectaculaire de **+28,34%**, avec une dernière séance en hausse de **+2,13%**, confirmant un momentum haussier de court terme. Le titre a évolué dans un range très large, entre un plus bas de **1 250 FCFA** et un plus haut de **2 495 FCFA**, soit un écart de près de 100%, ce qui témoigne d'une forte volatilité et d'un intérêt croissant des investisseurs. Le cours actuel de **2 400 FCFA** se situe donc proche de son sommet, signe d'une tendance clairement haussière portée par les anticipations de redressement fondamental. Les statistiques descriptives révèlent une moyenne de **1 936 FCFA** légèrement supérieure à la médiane (**1 900 FCFA**) et au mode (**1 900 FCFA**), indiquant une distribution légèrement asymétrique à droite (skewness de **0,236**, proche de la symétrie), ce qui signifie que les pics de hausse tirent la moyenne vers le haut. L'écart-type de **267 FCFA** avec un coefficient de variation de **13,8%** traduit une dispersion modérée du cours autour de sa moyenne, tandis que le kurtosis de **0,535** (mésokurtique) suggère une distribution proche de la normale, sans risque extrême de pics anormaux. La volatilité annualisée de **50,4%** classe UNXC dans la catégorie des titres à **volatilité élevée** (&gt;30%), ce qui implique un risque de marché important et justifie une approche prudente en termes de sizing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(2 351,5 FCFA) et la MM50 (1 983,1 FCFA) sont toutes deux inférieures au cours actuel (2 400 FCFA), et la MM20 est au-dessus de la MM50, configuration typique d'un **croisement haussier (golden cross)**. Cette structure confirme la décision d'**Achat** : le titre évolue au-dessus de ses deux moyennes, signe d'une dynamique positive de court et moyen terme.</w:t>
      </w:r>
    </w:p>
    <w:p>
      <w:pPr>
        <w:spacing w:after="120" w:line="276" w:lineRule="auto"/>
      </w:pPr>
      <w:r>
        <w:t>**Bandes de Bollinger** : Le cours (2 400 FCFA) se situe entre la borne supérieure (2 666,1 FCFA) et la borne inférieure (2 036,9 FCFA), plus proche de la borne haute, ce qui indique une pression acheteuse sans surachat extrême. La largeur des bandes (environ 630 FCFA) reflète une volatilité élevée, et la décision **Neutre** suggère que le titre n'est ni en zone de surachat ni de survente, laissant place à une consolidation avant une nouvelle impulsion.</w:t>
      </w:r>
    </w:p>
    <w:p>
      <w:pPr>
        <w:spacing w:after="120" w:line="276" w:lineRule="auto"/>
      </w:pPr>
      <w:r>
        <w:t>**MACD** : La valeur du MACD (105,9) est inférieure à son signal (130,7), générant une décision de **Vente** — c'est le seul indicateur franchement baissier. Cette divergence négative indique un essoufflement du momentum haussier, bien que le MACD reste en territoire positif, ce qui tempère le signal baissier.</w:t>
      </w:r>
    </w:p>
    <w:p>
      <w:pPr>
        <w:spacing w:after="120" w:line="276" w:lineRule="auto"/>
      </w:pPr>
      <w:r>
        <w:t>**RSI** : À **40,8**, le RSI se situe en zone neutre (entre 30 et 70), sans surachat ni survente, avec une décision **Neutre**. Cette valeur modérée suggère que le titre dispose encore d'un potentiel de hausse sans être techniquement épuisé.</w:t>
      </w:r>
    </w:p>
    <w:p>
      <w:pPr>
        <w:spacing w:after="120" w:line="276" w:lineRule="auto"/>
      </w:pPr>
      <w:r>
        <w:t>**Stochastique** : Le %K (38,7) est supérieur au %D (15,1), ce qui pourrait annoncer un croisement haussier à venir, mais la décision reste **Neutre** car les deux courbes évoluent en zone basse, sans signal fort.</w:t>
      </w:r>
    </w:p>
    <w:p>
      <w:pPr>
        <w:spacing w:after="120" w:line="276" w:lineRule="auto"/>
      </w:pPr>
      <w:r>
        <w:t>**Conclusion technique** : Les indicateurs sont **majoritairement neutres à haussiers** (MM en achat, Bollinger neutre, RSI neutre, Stochastique neutre), avec une seule divergence baissière sur le MACD. Cette configuration suggère une **phase de consolidation** possible avant une reprise, le titre restant soutenu par sa tendance de fond haussière. La prudence est de mise face à la volatilité élevée (50,4%) et au signal MACD baissier.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 En 2024, UNIWAX a réalisé un chiffre d'affaires de **27,333 Mds FCFA**, en baisse de **-7,93%** par rapport à 2023, avec un résultat net négatif de **-2,189 Mds FCFA**, soit une marge nette de **-8,01%**. Le ROE ressort à **-14,04%** et le ROA à **-6,39%**, confirmant la dégradation de la rentabilité. La structure financière reste néanmoins solide avec une autonomie financière de **45,53%** (capitaux propres/total bilan) et une trésorerie nette positive de **2,495 Mds FCFA**, tandis que le BFR de **2,149 Mds FCFA** (positif) et les délais clients (**51 jours**) et fournisseurs (**268 jours**) révèlent une gestion tendue du fonds de roulement, le délai fournisseurs très élevé étant favorable à la trésorerie mais pouvant signaler des tensions avec les partenaires.</w:t>
      </w:r>
    </w:p>
    <w:p>
      <w:pPr>
        <w:spacing w:after="120" w:line="276" w:lineRule="auto"/>
      </w:pPr>
      <w:r>
        <w:t>**Adaptation au secteur ENTREPRISE** : Le coefficient d'exploitation de **106,99%** (&gt;100%) indique que les charges d'exploitation dépassent le chiffre d'affaires, expliquant l'EBE négatif (-352 M FCFA) et le résultat d'exploitation de **-2,136 Mds FCFA**. La rotation des actifs de **79,83%** reste correcte, mais la marge brute de **32,13%** ne suffit pas à couvrir les charges fixes. Le ratio d'endettement de **119,61%** (dettes totales/capitaux propres) est élevé mais la solvabilité générale de **183,60%** (&gt;1) garantit la couverture des dettes par l'actif.</w:t>
      </w:r>
    </w:p>
    <w:p>
      <w:pPr>
        <w:spacing w:after="120" w:line="276" w:lineRule="auto"/>
      </w:pPr>
      <w:r>
        <w:t>**Estimations basées sur les rapports trimestriels** : Le rapport du **T1 2025 (31/03/2025)** indique un CA de **7,844 Mds FCFA** (+14%) et un résultat net exceptionnel de **8,206 Mds FCFA** grâce à la cession-bail du terrain. Le **S1 2025 (30/06/2025)** confirme un CA de **15,711 Mds FCFA** (+12,5%) et un résultat net de **8,217 Mds FCFA**, mais avec un résultat d'exploitation encore négatif (-314 M FCFA). Le **T3 2025 (30/09/2025)** montre un CA cumulé de **22,474 Mds FCFA** (+13%) et un résultat net de **8,143 Mds FCFA**, avec une amélioration de 80% du résultat opérationnel et **aucune perte au T3 seul** — signal fort d'inflexion. Enfin, le **rapport S1 2026** (publié en 2026) révèle un CA de **15,752 Mds FCFA** (+0,3%) et surtout un **résultat d'exploitation redevenu positif à 771 M FCFA** (contre -314 M au S1 2025), avec un résultat net de **771 M FCFA** (hors plus-value exceptionnelle). On estime donc que l'exercice 2026 devrait marquer le **retour à une rentabilité opérationnelle structurelle**, avec un CA annuel projeté autour de **30 Mds FCFA** et un résultat net positif (hors éléments exceptionnels).</w:t>
      </w:r>
    </w:p>
    <w:p>
      <w:pPr>
        <w:spacing w:after="120" w:line="276" w:lineRule="auto"/>
      </w:pPr>
      <w:r>
        <w:t>**Évolution pluriannuelle** : Après une année 2021 exceptionnelle (CA de 38,2 Mds FCFA, résultat net de 1,4 Md FCFA, dividende de 1,4 Md FCFA), la société a connu une dégradation en 2022-2024 (perte de -2,189 Mds en 2024), suivie d'un **redressement amorcé en 2025** grâce à la cession d'actifs et à l'amélioration opérationnelle. Le rapport 2025 (exercice clos) indique un CA de **29,03 Mds FCFA** (+6,2%), un EBE positif de **1,13 Md FCFA** et une perte nette réduite à **-624 M FCFA** (-71%).</w:t>
      </w:r>
    </w:p>
    <w:p>
      <w:pPr>
        <w:spacing w:after="120" w:line="276" w:lineRule="auto"/>
      </w:pPr>
      <w:r>
        <w:t>**Recommandation fondamentale** : La société présente une **solidité financière correcte** (autonomie financière, trésorerie positive) et un **redressement opérationnel confirmé** au S1 2026, mais les **pertes cumulées** (-5,54 Mds FCFA de report à nouveau négatif) et l'absence de dividende depuis 2022 constituent des risques. La **recommandation fondamentale est CONSERVER**, avec un biais positif si la rentabilité opérationnelle se confirme sur l'ensemble de l'exercice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 le P/B de 3,19x et le PER négatif traduisent une prime de croissance qui n'est justifiée que par le redressement en cours, sans marge de sécurité évidente. Le **comportement du cours** (Partie 1) est **haussier** (+28,34% sur 100 jours) mais avec une **volatilité élevée** (50,4%) et une distribution proche de la normale (kurtosis 0,535, skewness 0,236), ce qui n'écarte pas le risque de correction brutale. Les **signaux techniques** (Partie 2) sont **mitigés** : les moyennes mobiles confirment l'achat, mais le MACD est baissier et les autres indicateurs sont neutres, suggérant une consolidation imminente. Les **fondamentaux** (Partie 3) montrent un **redressement réel** (EBE positif en 2025, résultat d'exploitation positif au S1 2026) mais une **rentabilité encore fragile** et dépendante d'éléments exceptionnels. Les **prédictions IA** (J+1 à J+10) anticipent une **baisse progressive** de 2 341 FCFA à 2 288 FCFA, ce qui **contredit** le momentum haussier récent et les signaux techniques positifs, renforçant l'idée d'une consolidation à court terme.</w:t>
      </w:r>
    </w:p>
    <w:p>
      <w:pPr>
        <w:spacing w:after="120" w:line="276" w:lineRule="auto"/>
      </w:pPr>
      <w:r>
        <w:t>**Synthèse globale** : Les signaux sont **divergents** — fondamentaux en amélioration mais valorisation exigeante, technique haussière mais MACD baissier, prédictions IA baissières. Cette configuration plaide pour une **prise de position prudente**.</w:t>
      </w:r>
    </w:p>
    <w:p>
      <w:pPr>
        <w:spacing w:after="120" w:line="276" w:lineRule="auto"/>
      </w:pPr>
      <w:r>
        <w:t>**Recommandation finale : CONSERVER** (avec biais acheteur pour les investisseurs long terme).</w:t>
        <w:br/>
        <w:t>- **Justification** : La convergence entre le redressement opérationnel confirmé (S1 2026) et la solidité financière justifie de conserver le titre, mais la valorisation tendue et les prédictions baissières à court terme incitent à ne pas renforcer immédiatement.</w:t>
        <w:br/>
        <w:t>- **Niveau de confiance** : **Moyen** (les fondamentaux sont encourageants mais les signaux techniques et prédictifs sont mitigés).</w:t>
        <w:br/>
        <w:t>- **Niveau de risque global** : **Élevé** (volatilité de 50,4%, dépendance aux marchés d'exportation, pertes cumulées).</w:t>
        <w:br/>
        <w:t>- **Horizon d'investissement optimal** : **Moyen à long terme (6-18 mois)**, le temps que la rentabilité opérationnelle se confirme durablement et que le marché revalorise le titre sur des bases récurrentes plutôt qu'exceptionnelles. Un investisseur court terme (moins de 3 mois) devrait attendre une correction vers 2 200-2 300 FCFA pour se positionner.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