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2026-09-24</w:t>
            </w:r>
          </w:p>
        </w:tc>
      </w:tr>
    </w:tbl>
    <w:p/>
    <w:p>
      <w:r>
        <w:rPr>
          <w:rFonts w:ascii="Calibri" w:hAnsi="Calibri"/>
          <w:b w:val="0"/>
          <w:i/>
          <w:color w:val="555555"/>
          <w:sz w:val="18"/>
        </w:rPr>
        <w:t>Univers analysé : 20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20 cryptomonnaies :</w:t>
      </w:r>
    </w:p>
    <w:p>
      <w:pPr>
        <w:pStyle w:val="ListBullet"/>
      </w:pPr>
      <w:r>
        <w:rPr>
          <w:rFonts w:ascii="Calibri" w:hAnsi="Calibri"/>
          <w:b/>
          <w:i w:val="0"/>
          <w:color w:val="1E7D32"/>
          <w:sz w:val="20"/>
        </w:rPr>
        <w:t>INVESTIR (4 feux verts) : 5 — BNB, SOL, WBT, LINK, NEAR.</w:t>
      </w:r>
    </w:p>
    <w:p>
      <w:pPr>
        <w:pStyle w:val="ListBullet"/>
      </w:pPr>
      <w:r>
        <w:rPr>
          <w:rFonts w:ascii="Calibri" w:hAnsi="Calibri"/>
          <w:b/>
          <w:i w:val="0"/>
          <w:color w:val="B26A00"/>
          <w:sz w:val="20"/>
        </w:rPr>
        <w:t>CONSERVER (pas de signal net) : 12.</w:t>
      </w:r>
    </w:p>
    <w:p>
      <w:pPr>
        <w:pStyle w:val="ListBullet"/>
      </w:pPr>
      <w:r>
        <w:rPr>
          <w:rFonts w:ascii="Calibri" w:hAnsi="Calibri"/>
          <w:b/>
          <w:i w:val="0"/>
          <w:color w:val="C62828"/>
          <w:sz w:val="20"/>
        </w:rPr>
        <w:t>ÉVITER (fondamental ou risque en échec) : 3 — ZEC, FIGR_HELOC, LEO.</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+0.25</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0.469</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+0.25</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0.594</w:t>
            </w:r>
          </w:p>
        </w:tc>
        <w:tc>
          <w:tcPr>
            <w:tcW w:type="dxa" w:w="2100"/>
            <w:shd w:val="clear" w:color="auto" w:fill="F2F5FB"/>
          </w:tcPr>
          <w:p>
            <w:pPr>
              <w:jc w:val="center"/>
            </w:pPr>
            <w:r>
              <w:rPr>
                <w:rFonts w:ascii="Calibri" w:hAnsi="Calibri"/>
                <w:b w:val="0"/>
                <w:i w:val="0"/>
                <w:sz w:val="16"/>
              </w:rPr>
              <w:t>-26%..+35%</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-27%..+37%</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0.453</w:t>
            </w:r>
          </w:p>
        </w:tc>
        <w:tc>
          <w:tcPr>
            <w:tcW w:type="dxa" w:w="2100"/>
            <w:shd w:val="clear" w:color="auto" w:fill="F2F5FB"/>
          </w:tcPr>
          <w:p>
            <w:pPr>
              <w:jc w:val="center"/>
            </w:pPr>
            <w:r>
              <w:rPr>
                <w:rFonts w:ascii="Calibri" w:hAnsi="Calibri"/>
                <w:b w:val="0"/>
                <w:i w:val="0"/>
                <w:sz w:val="16"/>
              </w:rPr>
              <w:t>-11%..+13%</w:t>
            </w:r>
          </w:p>
        </w:tc>
      </w:tr>
      <w:tr>
        <w:tc>
          <w:tcPr>
            <w:tcW w:type="dxa" w:w="1150"/>
          </w:tcPr>
          <w:p>
            <w:pPr>
              <w:jc w:val="left"/>
            </w:pPr>
            <w:r>
              <w:rPr>
                <w:rFonts w:ascii="Calibri" w:hAnsi="Calibri"/>
                <w:b/>
                <w:i w:val="0"/>
                <w:sz w:val="16"/>
              </w:rPr>
              <w:t>ZEC</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0.508</w:t>
            </w:r>
          </w:p>
        </w:tc>
        <w:tc>
          <w:tcPr>
            <w:tcW w:type="dxa" w:w="2100"/>
          </w:tcPr>
          <w:p>
            <w:pPr>
              <w:jc w:val="center"/>
            </w:pPr>
            <w:r>
              <w:rPr>
                <w:rFonts w:ascii="Calibri" w:hAnsi="Calibri"/>
                <w:b w:val="0"/>
                <w:i w:val="0"/>
                <w:sz w:val="16"/>
              </w:rPr>
              <w:t>-53%..+112%</w:t>
            </w:r>
          </w:p>
        </w:tc>
      </w:tr>
      <w:tr>
        <w:tc>
          <w:tcPr>
            <w:tcW w:type="dxa" w:w="1150"/>
            <w:shd w:val="clear" w:color="auto" w:fill="F2F5FB"/>
          </w:tcPr>
          <w:p>
            <w:pPr>
              <w:jc w:val="left"/>
            </w:pPr>
            <w:r>
              <w:rPr>
                <w:rFonts w:ascii="Calibri" w:hAnsi="Calibri"/>
                <w:b/>
                <w:i w:val="0"/>
                <w:sz w:val="16"/>
              </w:rPr>
              <w:t>FIGR_HELOC</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-17%..+20%</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0.562</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0.643</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-28%..+38%</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0.778</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RAIN</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0.595</w:t>
            </w:r>
          </w:p>
        </w:tc>
        <w:tc>
          <w:tcPr>
            <w:tcW w:type="dxa" w:w="2100"/>
          </w:tcPr>
          <w:p>
            <w:pPr>
              <w:jc w:val="center"/>
            </w:pPr>
            <w:r>
              <w:rPr>
                <w:rFonts w:ascii="Calibri" w:hAnsi="Calibri"/>
                <w:b w:val="0"/>
                <w:i w:val="0"/>
                <w:sz w:val="16"/>
              </w:rPr>
              <w:t>-41%..+68%</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0.62</w:t>
            </w:r>
          </w:p>
        </w:tc>
        <w:tc>
          <w:tcPr>
            <w:tcW w:type="dxa" w:w="2100"/>
            <w:shd w:val="clear" w:color="auto" w:fill="F2F5FB"/>
          </w:tcPr>
          <w:p>
            <w:pPr>
              <w:jc w:val="center"/>
            </w:pPr>
            <w:r>
              <w:rPr>
                <w:rFonts w:ascii="Calibri" w:hAnsi="Calibri"/>
                <w:b w:val="0"/>
                <w:i w:val="0"/>
                <w:sz w:val="16"/>
              </w:rPr>
              <w:t>-14%..+17%</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BCH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0.625</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0.595</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0.505</w:t>
            </w:r>
          </w:p>
        </w:tc>
        <w:tc>
          <w:tcPr>
            <w:tcW w:type="dxa" w:w="2100"/>
            <w:shd w:val="clear" w:color="auto" w:fill="F2F5FB"/>
          </w:tcPr>
          <w:p>
            <w:pPr>
              <w:jc w:val="center"/>
            </w:pPr>
            <w:r>
              <w:rPr>
                <w:rFonts w:ascii="Calibri" w:hAnsi="Calibri"/>
                <w:b w:val="0"/>
                <w:i w:val="0"/>
                <w:sz w:val="16"/>
              </w:rPr>
              <w:t>-44%..+77%</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$84 382.40</w:t>
            </w:r>
          </w:p>
        </w:tc>
        <w:tc>
          <w:tcPr>
            <w:tcW w:type="dxa" w:w="1700"/>
          </w:tcPr>
          <w:p>
            <w:pPr>
              <w:jc w:val="center"/>
            </w:pPr>
            <w:r>
              <w:rPr>
                <w:rFonts w:ascii="Calibri" w:hAnsi="Calibri"/>
                <w:b w:val="0"/>
                <w:i w:val="0"/>
                <w:color w:val="1E7D32"/>
                <w:sz w:val="16"/>
              </w:rPr>
              <w:t>$103 266.12  (+22%)</w:t>
            </w:r>
          </w:p>
        </w:tc>
        <w:tc>
          <w:tcPr>
            <w:tcW w:type="dxa" w:w="1600"/>
          </w:tcPr>
          <w:p>
            <w:pPr>
              <w:jc w:val="center"/>
            </w:pPr>
            <w:r>
              <w:rPr>
                <w:rFonts w:ascii="Calibri" w:hAnsi="Calibri"/>
                <w:b w:val="0"/>
                <w:i w:val="0"/>
                <w:color w:val="C62828"/>
                <w:sz w:val="16"/>
              </w:rPr>
              <w:t>$73 753.26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$2 684.34</w:t>
            </w:r>
          </w:p>
        </w:tc>
        <w:tc>
          <w:tcPr>
            <w:tcW w:type="dxa" w:w="1700"/>
            <w:shd w:val="clear" w:color="auto" w:fill="F2F5FB"/>
          </w:tcPr>
          <w:p>
            <w:pPr>
              <w:jc w:val="center"/>
            </w:pPr>
            <w:r>
              <w:rPr>
                <w:rFonts w:ascii="Calibri" w:hAnsi="Calibri"/>
                <w:b w:val="0"/>
                <w:i w:val="0"/>
                <w:color w:val="1E7D32"/>
                <w:sz w:val="16"/>
              </w:rPr>
              <w:t>$3 415.93  (+27%)</w:t>
            </w:r>
          </w:p>
        </w:tc>
        <w:tc>
          <w:tcPr>
            <w:tcW w:type="dxa" w:w="1600"/>
            <w:shd w:val="clear" w:color="auto" w:fill="F2F5FB"/>
          </w:tcPr>
          <w:p>
            <w:pPr>
              <w:jc w:val="center"/>
            </w:pPr>
            <w:r>
              <w:rPr>
                <w:rFonts w:ascii="Calibri" w:hAnsi="Calibri"/>
                <w:b w:val="0"/>
                <w:i w:val="0"/>
                <w:color w:val="C62828"/>
                <w:sz w:val="16"/>
              </w:rPr>
              <w:t>$2 285.90  (-15%)</w:t>
            </w:r>
          </w:p>
        </w:tc>
        <w:tc>
          <w:tcPr>
            <w:tcW w:type="dxa" w:w="900"/>
            <w:shd w:val="clear" w:color="auto" w:fill="F2F5FB"/>
          </w:tcPr>
          <w:p>
            <w:pPr>
              <w:jc w:val="center"/>
            </w:pPr>
            <w:r>
              <w:rPr>
                <w:rFonts w:ascii="Calibri" w:hAnsi="Calibri"/>
                <w:b w:val="0"/>
                <w:i w:val="0"/>
                <w:sz w:val="16"/>
              </w:rPr>
              <w:t>33</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$767.2269</w:t>
            </w:r>
          </w:p>
        </w:tc>
        <w:tc>
          <w:tcPr>
            <w:tcW w:type="dxa" w:w="1700"/>
          </w:tcPr>
          <w:p>
            <w:pPr>
              <w:jc w:val="center"/>
            </w:pPr>
            <w:r>
              <w:rPr>
                <w:rFonts w:ascii="Calibri" w:hAnsi="Calibri"/>
                <w:b w:val="0"/>
                <w:i w:val="0"/>
                <w:color w:val="1E7D32"/>
                <w:sz w:val="16"/>
              </w:rPr>
              <w:t>$933.3503  (+22%)</w:t>
            </w:r>
          </w:p>
        </w:tc>
        <w:tc>
          <w:tcPr>
            <w:tcW w:type="dxa" w:w="1600"/>
          </w:tcPr>
          <w:p>
            <w:pPr>
              <w:jc w:val="center"/>
            </w:pPr>
            <w:r>
              <w:rPr>
                <w:rFonts w:ascii="Calibri" w:hAnsi="Calibri"/>
                <w:b w:val="0"/>
                <w:i w:val="0"/>
                <w:color w:val="C62828"/>
                <w:sz w:val="16"/>
              </w:rPr>
              <w:t>$673.2504  (-12%)</w:t>
            </w:r>
          </w:p>
        </w:tc>
        <w:tc>
          <w:tcPr>
            <w:tcW w:type="dxa" w:w="900"/>
          </w:tcPr>
          <w:p>
            <w:pPr>
              <w:jc w:val="center"/>
            </w:pPr>
            <w:r>
              <w:rPr>
                <w:rFonts w:ascii="Calibri" w:hAnsi="Calibri"/>
                <w:b w:val="0"/>
                <w:i w:val="0"/>
                <w:sz w:val="16"/>
              </w:rPr>
              <w:t>40</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$1.5011</w:t>
            </w:r>
          </w:p>
        </w:tc>
        <w:tc>
          <w:tcPr>
            <w:tcW w:type="dxa" w:w="1700"/>
            <w:shd w:val="clear" w:color="auto" w:fill="F2F5FB"/>
          </w:tcPr>
          <w:p>
            <w:pPr>
              <w:jc w:val="center"/>
            </w:pPr>
            <w:r>
              <w:rPr>
                <w:rFonts w:ascii="Calibri" w:hAnsi="Calibri"/>
                <w:b w:val="0"/>
                <w:i w:val="0"/>
                <w:color w:val="1E7D32"/>
                <w:sz w:val="16"/>
              </w:rPr>
              <w:t>$1.9214  (+28%)</w:t>
            </w:r>
          </w:p>
        </w:tc>
        <w:tc>
          <w:tcPr>
            <w:tcW w:type="dxa" w:w="1600"/>
            <w:shd w:val="clear" w:color="auto" w:fill="F2F5FB"/>
          </w:tcPr>
          <w:p>
            <w:pPr>
              <w:jc w:val="center"/>
            </w:pPr>
            <w:r>
              <w:rPr>
                <w:rFonts w:ascii="Calibri" w:hAnsi="Calibri"/>
                <w:b w:val="0"/>
                <w:i w:val="0"/>
                <w:color w:val="C62828"/>
                <w:sz w:val="16"/>
              </w:rPr>
              <w:t>$1.2733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$114.9854</w:t>
            </w:r>
          </w:p>
        </w:tc>
        <w:tc>
          <w:tcPr>
            <w:tcW w:type="dxa" w:w="1700"/>
          </w:tcPr>
          <w:p>
            <w:pPr>
              <w:jc w:val="center"/>
            </w:pPr>
            <w:r>
              <w:rPr>
                <w:rFonts w:ascii="Calibri" w:hAnsi="Calibri"/>
                <w:b w:val="0"/>
                <w:i w:val="0"/>
                <w:color w:val="1E7D32"/>
                <w:sz w:val="16"/>
              </w:rPr>
              <w:t>$146.8151  (+28%)</w:t>
            </w:r>
          </w:p>
        </w:tc>
        <w:tc>
          <w:tcPr>
            <w:tcW w:type="dxa" w:w="1600"/>
          </w:tcPr>
          <w:p>
            <w:pPr>
              <w:jc w:val="center"/>
            </w:pPr>
            <w:r>
              <w:rPr>
                <w:rFonts w:ascii="Calibri" w:hAnsi="Calibri"/>
                <w:b w:val="0"/>
                <w:i w:val="0"/>
                <w:color w:val="C62828"/>
                <w:sz w:val="16"/>
              </w:rPr>
              <w:t>$97.6991  (-15%)</w:t>
            </w:r>
          </w:p>
        </w:tc>
        <w:tc>
          <w:tcPr>
            <w:tcW w:type="dxa" w:w="900"/>
          </w:tcPr>
          <w:p>
            <w:pPr>
              <w:jc w:val="center"/>
            </w:pPr>
            <w:r>
              <w:rPr>
                <w:rFonts w:ascii="Calibri" w:hAnsi="Calibri"/>
                <w:b w:val="0"/>
                <w:i w:val="0"/>
                <w:sz w:val="16"/>
              </w:rPr>
              <w:t>31</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$0.342098</w:t>
            </w:r>
          </w:p>
        </w:tc>
        <w:tc>
          <w:tcPr>
            <w:tcW w:type="dxa" w:w="1700"/>
            <w:shd w:val="clear" w:color="auto" w:fill="F2F5FB"/>
          </w:tcPr>
          <w:p>
            <w:pPr>
              <w:jc w:val="center"/>
            </w:pPr>
            <w:r>
              <w:rPr>
                <w:rFonts w:ascii="Calibri" w:hAnsi="Calibri"/>
                <w:b w:val="0"/>
                <w:i w:val="0"/>
                <w:color w:val="1E7D32"/>
                <w:sz w:val="16"/>
              </w:rPr>
              <w:t>$0.382562  (+12%)</w:t>
            </w:r>
          </w:p>
        </w:tc>
        <w:tc>
          <w:tcPr>
            <w:tcW w:type="dxa" w:w="1600"/>
            <w:shd w:val="clear" w:color="auto" w:fill="F2F5FB"/>
          </w:tcPr>
          <w:p>
            <w:pPr>
              <w:jc w:val="center"/>
            </w:pPr>
            <w:r>
              <w:rPr>
                <w:rFonts w:ascii="Calibri" w:hAnsi="Calibri"/>
                <w:b w:val="0"/>
                <w:i w:val="0"/>
                <w:color w:val="C62828"/>
                <w:sz w:val="16"/>
              </w:rPr>
              <w:t>$0.317529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ZEC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$1 499.02</w:t>
            </w:r>
          </w:p>
        </w:tc>
        <w:tc>
          <w:tcPr>
            <w:tcW w:type="dxa" w:w="1700"/>
          </w:tcPr>
          <w:p>
            <w:pPr>
              <w:jc w:val="center"/>
            </w:pPr>
            <w:r>
              <w:rPr>
                <w:rFonts w:ascii="Calibri" w:hAnsi="Calibri"/>
                <w:b w:val="0"/>
                <w:i w:val="0"/>
                <w:color w:val="1E7D32"/>
                <w:sz w:val="16"/>
              </w:rPr>
              <w:t>$2 187.35  (+46%)</w:t>
            </w:r>
          </w:p>
        </w:tc>
        <w:tc>
          <w:tcPr>
            <w:tcW w:type="dxa" w:w="1600"/>
          </w:tcPr>
          <w:p>
            <w:pPr>
              <w:jc w:val="center"/>
            </w:pPr>
            <w:r>
              <w:rPr>
                <w:rFonts w:ascii="Calibri" w:hAnsi="Calibri"/>
                <w:b w:val="0"/>
                <w:i w:val="0"/>
                <w:color w:val="C62828"/>
                <w:sz w:val="16"/>
              </w:rPr>
              <w:t>$1 165.20  (-22%)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2.06</w:t>
            </w:r>
          </w:p>
        </w:tc>
      </w:tr>
      <w:tr>
        <w:tc>
          <w:tcPr>
            <w:tcW w:type="dxa" w:w="1150"/>
            <w:shd w:val="clear" w:color="auto" w:fill="F2F5FB"/>
          </w:tcPr>
          <w:p>
            <w:pPr>
              <w:jc w:val="left"/>
            </w:pPr>
            <w:r>
              <w:rPr>
                <w:rFonts w:ascii="Calibri" w:hAnsi="Calibri"/>
                <w:b/>
                <w:i w:val="0"/>
                <w:sz w:val="16"/>
              </w:rPr>
              <w:t>FIGR_HELOC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$1.0267</w:t>
            </w:r>
          </w:p>
        </w:tc>
        <w:tc>
          <w:tcPr>
            <w:tcW w:type="dxa" w:w="1700"/>
            <w:shd w:val="clear" w:color="auto" w:fill="F2F5FB"/>
          </w:tcPr>
          <w:p>
            <w:pPr>
              <w:jc w:val="center"/>
            </w:pPr>
            <w:r>
              <w:rPr>
                <w:rFonts w:ascii="Calibri" w:hAnsi="Calibri"/>
                <w:b w:val="0"/>
                <w:i w:val="0"/>
                <w:color w:val="1E7D32"/>
                <w:sz w:val="16"/>
              </w:rPr>
              <w:t>$1.1075  (+8%)</w:t>
            </w:r>
          </w:p>
        </w:tc>
        <w:tc>
          <w:tcPr>
            <w:tcW w:type="dxa" w:w="1600"/>
            <w:shd w:val="clear" w:color="auto" w:fill="F2F5FB"/>
          </w:tcPr>
          <w:p>
            <w:pPr>
              <w:jc w:val="center"/>
            </w:pPr>
            <w:r>
              <w:rPr>
                <w:rFonts w:ascii="Calibri" w:hAnsi="Calibri"/>
                <w:b w:val="0"/>
                <w:i w:val="0"/>
                <w:color w:val="C62828"/>
                <w:sz w:val="16"/>
              </w:rPr>
              <w:t>$0.976111  (-5%)</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1.6</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$93.9848</w:t>
            </w:r>
          </w:p>
        </w:tc>
        <w:tc>
          <w:tcPr>
            <w:tcW w:type="dxa" w:w="1700"/>
          </w:tcPr>
          <w:p>
            <w:pPr>
              <w:jc w:val="center"/>
            </w:pPr>
            <w:r>
              <w:rPr>
                <w:rFonts w:ascii="Calibri" w:hAnsi="Calibri"/>
                <w:b w:val="0"/>
                <w:i w:val="0"/>
                <w:color w:val="1E7D32"/>
                <w:sz w:val="16"/>
              </w:rPr>
              <w:t>$129.3797  (+38%)</w:t>
            </w:r>
          </w:p>
        </w:tc>
        <w:tc>
          <w:tcPr>
            <w:tcW w:type="dxa" w:w="1600"/>
          </w:tcPr>
          <w:p>
            <w:pPr>
              <w:jc w:val="center"/>
            </w:pPr>
            <w:r>
              <w:rPr>
                <w:rFonts w:ascii="Calibri" w:hAnsi="Calibri"/>
                <w:b w:val="0"/>
                <w:i w:val="0"/>
                <w:color w:val="C62828"/>
                <w:sz w:val="16"/>
              </w:rPr>
              <w:t>$75.9484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$0.092693</w:t>
            </w:r>
          </w:p>
        </w:tc>
        <w:tc>
          <w:tcPr>
            <w:tcW w:type="dxa" w:w="1700"/>
            <w:shd w:val="clear" w:color="auto" w:fill="F2F5FB"/>
          </w:tcPr>
          <w:p>
            <w:pPr>
              <w:jc w:val="center"/>
            </w:pPr>
            <w:r>
              <w:rPr>
                <w:rFonts w:ascii="Calibri" w:hAnsi="Calibri"/>
                <w:b w:val="0"/>
                <w:i w:val="0"/>
                <w:color w:val="1E7D32"/>
                <w:sz w:val="16"/>
              </w:rPr>
              <w:t>$0.117398  (+27%)</w:t>
            </w:r>
          </w:p>
        </w:tc>
        <w:tc>
          <w:tcPr>
            <w:tcW w:type="dxa" w:w="1600"/>
            <w:shd w:val="clear" w:color="auto" w:fill="F2F5FB"/>
          </w:tcPr>
          <w:p>
            <w:pPr>
              <w:jc w:val="center"/>
            </w:pPr>
            <w:r>
              <w:rPr>
                <w:rFonts w:ascii="Calibri" w:hAnsi="Calibri"/>
                <w:b w:val="0"/>
                <w:i w:val="0"/>
                <w:color w:val="C62828"/>
                <w:sz w:val="16"/>
              </w:rPr>
              <w:t>$0.079184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$553.3767</w:t>
            </w:r>
          </w:p>
        </w:tc>
        <w:tc>
          <w:tcPr>
            <w:tcW w:type="dxa" w:w="1700"/>
          </w:tcPr>
          <w:p>
            <w:pPr>
              <w:jc w:val="center"/>
            </w:pPr>
            <w:r>
              <w:rPr>
                <w:rFonts w:ascii="Calibri" w:hAnsi="Calibri"/>
                <w:b w:val="0"/>
                <w:i w:val="0"/>
                <w:color w:val="1E7D32"/>
                <w:sz w:val="16"/>
              </w:rPr>
              <w:t>$733.7651  (+33%)</w:t>
            </w:r>
          </w:p>
        </w:tc>
        <w:tc>
          <w:tcPr>
            <w:tcW w:type="dxa" w:w="1600"/>
          </w:tcPr>
          <w:p>
            <w:pPr>
              <w:jc w:val="center"/>
            </w:pPr>
            <w:r>
              <w:rPr>
                <w:rFonts w:ascii="Calibri" w:hAnsi="Calibri"/>
                <w:b w:val="0"/>
                <w:i w:val="0"/>
                <w:color w:val="C62828"/>
                <w:sz w:val="16"/>
              </w:rPr>
              <w:t>$458.4902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$84.7152</w:t>
            </w:r>
          </w:p>
        </w:tc>
        <w:tc>
          <w:tcPr>
            <w:tcW w:type="dxa" w:w="1700"/>
            <w:shd w:val="clear" w:color="auto" w:fill="F2F5FB"/>
          </w:tcPr>
          <w:p>
            <w:pPr>
              <w:jc w:val="center"/>
            </w:pPr>
            <w:r>
              <w:rPr>
                <w:rFonts w:ascii="Calibri" w:hAnsi="Calibri"/>
                <w:b w:val="0"/>
                <w:i w:val="0"/>
                <w:color w:val="1E7D32"/>
                <w:sz w:val="16"/>
              </w:rPr>
              <w:t>$108.3078  (+28%)</w:t>
            </w:r>
          </w:p>
        </w:tc>
        <w:tc>
          <w:tcPr>
            <w:tcW w:type="dxa" w:w="1600"/>
            <w:shd w:val="clear" w:color="auto" w:fill="F2F5FB"/>
          </w:tcPr>
          <w:p>
            <w:pPr>
              <w:jc w:val="center"/>
            </w:pPr>
            <w:r>
              <w:rPr>
                <w:rFonts w:ascii="Calibri" w:hAnsi="Calibri"/>
                <w:b w:val="0"/>
                <w:i w:val="0"/>
                <w:color w:val="C62828"/>
                <w:sz w:val="16"/>
              </w:rPr>
              <w:t>$71.9165  (-15%)</w:t>
            </w:r>
          </w:p>
        </w:tc>
        <w:tc>
          <w:tcPr>
            <w:tcW w:type="dxa" w:w="900"/>
            <w:shd w:val="clear" w:color="auto" w:fill="F2F5FB"/>
          </w:tcPr>
          <w:p>
            <w:pPr>
              <w:jc w:val="center"/>
            </w:pPr>
            <w:r>
              <w:rPr>
                <w:rFonts w:ascii="Calibri" w:hAnsi="Calibri"/>
                <w:b w:val="0"/>
                <w:i w:val="0"/>
                <w:sz w:val="16"/>
              </w:rPr>
              <w:t>38</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$12.3514</w:t>
            </w:r>
          </w:p>
        </w:tc>
        <w:tc>
          <w:tcPr>
            <w:tcW w:type="dxa" w:w="1700"/>
          </w:tcPr>
          <w:p>
            <w:pPr>
              <w:jc w:val="center"/>
            </w:pPr>
            <w:r>
              <w:rPr>
                <w:rFonts w:ascii="Calibri" w:hAnsi="Calibri"/>
                <w:b w:val="0"/>
                <w:i w:val="0"/>
                <w:color w:val="1E7D32"/>
                <w:sz w:val="16"/>
              </w:rPr>
              <w:t>$15.6970  (+27%)</w:t>
            </w:r>
          </w:p>
        </w:tc>
        <w:tc>
          <w:tcPr>
            <w:tcW w:type="dxa" w:w="1600"/>
          </w:tcPr>
          <w:p>
            <w:pPr>
              <w:jc w:val="center"/>
            </w:pPr>
            <w:r>
              <w:rPr>
                <w:rFonts w:ascii="Calibri" w:hAnsi="Calibri"/>
                <w:b w:val="0"/>
                <w:i w:val="0"/>
                <w:color w:val="C62828"/>
                <w:sz w:val="16"/>
              </w:rPr>
              <w:t>$10.5272  (-15%)</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1.83</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$0.238452</w:t>
            </w:r>
          </w:p>
        </w:tc>
        <w:tc>
          <w:tcPr>
            <w:tcW w:type="dxa" w:w="1700"/>
            <w:shd w:val="clear" w:color="auto" w:fill="F2F5FB"/>
          </w:tcPr>
          <w:p>
            <w:pPr>
              <w:jc w:val="center"/>
            </w:pPr>
            <w:r>
              <w:rPr>
                <w:rFonts w:ascii="Calibri" w:hAnsi="Calibri"/>
                <w:b w:val="0"/>
                <w:i w:val="0"/>
                <w:color w:val="1E7D32"/>
                <w:sz w:val="16"/>
              </w:rPr>
              <w:t>$0.314975  (+32%)</w:t>
            </w:r>
          </w:p>
        </w:tc>
        <w:tc>
          <w:tcPr>
            <w:tcW w:type="dxa" w:w="1600"/>
            <w:shd w:val="clear" w:color="auto" w:fill="F2F5FB"/>
          </w:tcPr>
          <w:p>
            <w:pPr>
              <w:jc w:val="center"/>
            </w:pPr>
            <w:r>
              <w:rPr>
                <w:rFonts w:ascii="Calibri" w:hAnsi="Calibri"/>
                <w:b w:val="0"/>
                <w:i w:val="0"/>
                <w:color w:val="C62828"/>
                <w:sz w:val="16"/>
              </w:rPr>
              <w:t>$0.198069  (-17%)</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RAIN</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$0.012246</w:t>
            </w:r>
          </w:p>
        </w:tc>
        <w:tc>
          <w:tcPr>
            <w:tcW w:type="dxa" w:w="1700"/>
          </w:tcPr>
          <w:p>
            <w:pPr>
              <w:jc w:val="center"/>
            </w:pPr>
            <w:r>
              <w:rPr>
                <w:rFonts w:ascii="Calibri" w:hAnsi="Calibri"/>
                <w:b w:val="0"/>
                <w:i w:val="0"/>
                <w:color w:val="1E7D32"/>
                <w:sz w:val="16"/>
              </w:rPr>
              <w:t>$0.016677  (+36%)</w:t>
            </w:r>
          </w:p>
        </w:tc>
        <w:tc>
          <w:tcPr>
            <w:tcW w:type="dxa" w:w="1600"/>
          </w:tcPr>
          <w:p>
            <w:pPr>
              <w:jc w:val="center"/>
            </w:pPr>
            <w:r>
              <w:rPr>
                <w:rFonts w:ascii="Calibri" w:hAnsi="Calibri"/>
                <w:b w:val="0"/>
                <w:i w:val="0"/>
                <w:color w:val="C62828"/>
                <w:sz w:val="16"/>
              </w:rPr>
              <w:t>$0.009968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$9.0102</w:t>
            </w:r>
          </w:p>
        </w:tc>
        <w:tc>
          <w:tcPr>
            <w:tcW w:type="dxa" w:w="1700"/>
            <w:shd w:val="clear" w:color="auto" w:fill="F2F5FB"/>
          </w:tcPr>
          <w:p>
            <w:pPr>
              <w:jc w:val="center"/>
            </w:pPr>
            <w:r>
              <w:rPr>
                <w:rFonts w:ascii="Calibri" w:hAnsi="Calibri"/>
                <w:b w:val="0"/>
                <w:i w:val="0"/>
                <w:color w:val="1E7D32"/>
                <w:sz w:val="16"/>
              </w:rPr>
              <w:t>$10.2820  (+14%)</w:t>
            </w:r>
          </w:p>
        </w:tc>
        <w:tc>
          <w:tcPr>
            <w:tcW w:type="dxa" w:w="1600"/>
            <w:shd w:val="clear" w:color="auto" w:fill="F2F5FB"/>
          </w:tcPr>
          <w:p>
            <w:pPr>
              <w:jc w:val="center"/>
            </w:pPr>
            <w:r>
              <w:rPr>
                <w:rFonts w:ascii="Calibri" w:hAnsi="Calibri"/>
                <w:b w:val="0"/>
                <w:i w:val="0"/>
                <w:color w:val="C62828"/>
                <w:sz w:val="16"/>
              </w:rPr>
              <w:t>$8.2509  (-8%)</w:t>
            </w:r>
          </w:p>
        </w:tc>
        <w:tc>
          <w:tcPr>
            <w:tcW w:type="dxa" w:w="900"/>
            <w:shd w:val="clear" w:color="auto" w:fill="F2F5FB"/>
          </w:tcPr>
          <w:p>
            <w:pPr>
              <w:jc w:val="center"/>
            </w:pPr>
            <w:r>
              <w:rPr>
                <w:rFonts w:ascii="Calibri" w:hAnsi="Calibri"/>
                <w:b w:val="0"/>
                <w:i w:val="0"/>
                <w:sz w:val="16"/>
              </w:rPr>
              <w:t>38</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$0.202064</w:t>
            </w:r>
          </w:p>
        </w:tc>
        <w:tc>
          <w:tcPr>
            <w:tcW w:type="dxa" w:w="1700"/>
          </w:tcPr>
          <w:p>
            <w:pPr>
              <w:jc w:val="center"/>
            </w:pPr>
            <w:r>
              <w:rPr>
                <w:rFonts w:ascii="Calibri" w:hAnsi="Calibri"/>
                <w:b w:val="0"/>
                <w:i w:val="0"/>
                <w:color w:val="1E7D32"/>
                <w:sz w:val="16"/>
              </w:rPr>
              <w:t>$0.282713  (+40%)</w:t>
            </w:r>
          </w:p>
        </w:tc>
        <w:tc>
          <w:tcPr>
            <w:tcW w:type="dxa" w:w="1600"/>
          </w:tcPr>
          <w:p>
            <w:pPr>
              <w:jc w:val="center"/>
            </w:pPr>
            <w:r>
              <w:rPr>
                <w:rFonts w:ascii="Calibri" w:hAnsi="Calibri"/>
                <w:b w:val="0"/>
                <w:i w:val="0"/>
                <w:color w:val="C62828"/>
                <w:sz w:val="16"/>
              </w:rPr>
              <w:t>$0.161529  (-20%)</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BCH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$337.5777</w:t>
            </w:r>
          </w:p>
        </w:tc>
        <w:tc>
          <w:tcPr>
            <w:tcW w:type="dxa" w:w="1700"/>
            <w:shd w:val="clear" w:color="auto" w:fill="F2F5FB"/>
          </w:tcPr>
          <w:p>
            <w:pPr>
              <w:jc w:val="center"/>
            </w:pPr>
            <w:r>
              <w:rPr>
                <w:rFonts w:ascii="Calibri" w:hAnsi="Calibri"/>
                <w:b w:val="0"/>
                <w:i w:val="0"/>
                <w:color w:val="1E7D32"/>
                <w:sz w:val="16"/>
              </w:rPr>
              <w:t>$471.1399  (+40%)</w:t>
            </w:r>
          </w:p>
        </w:tc>
        <w:tc>
          <w:tcPr>
            <w:tcW w:type="dxa" w:w="1600"/>
            <w:shd w:val="clear" w:color="auto" w:fill="F2F5FB"/>
          </w:tcPr>
          <w:p>
            <w:pPr>
              <w:jc w:val="center"/>
            </w:pPr>
            <w:r>
              <w:rPr>
                <w:rFonts w:ascii="Calibri" w:hAnsi="Calibri"/>
                <w:b w:val="0"/>
                <w:i w:val="0"/>
                <w:color w:val="C62828"/>
                <w:sz w:val="16"/>
              </w:rPr>
              <w:t>$270.3065  (-20%)</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$9.2356</w:t>
            </w:r>
          </w:p>
        </w:tc>
        <w:tc>
          <w:tcPr>
            <w:tcW w:type="dxa" w:w="1700"/>
          </w:tcPr>
          <w:p>
            <w:pPr>
              <w:jc w:val="center"/>
            </w:pPr>
            <w:r>
              <w:rPr>
                <w:rFonts w:ascii="Calibri" w:hAnsi="Calibri"/>
                <w:b w:val="0"/>
                <w:i w:val="0"/>
                <w:color w:val="1E7D32"/>
                <w:sz w:val="16"/>
              </w:rPr>
              <w:t>$12.6103  (+37%)</w:t>
            </w:r>
          </w:p>
        </w:tc>
        <w:tc>
          <w:tcPr>
            <w:tcW w:type="dxa" w:w="1600"/>
          </w:tcPr>
          <w:p>
            <w:pPr>
              <w:jc w:val="center"/>
            </w:pPr>
            <w:r>
              <w:rPr>
                <w:rFonts w:ascii="Calibri" w:hAnsi="Calibri"/>
                <w:b w:val="0"/>
                <w:i w:val="0"/>
                <w:color w:val="C62828"/>
                <w:sz w:val="16"/>
              </w:rPr>
              <w:t>$7.5039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$4.3331</w:t>
            </w:r>
          </w:p>
        </w:tc>
        <w:tc>
          <w:tcPr>
            <w:tcW w:type="dxa" w:w="1700"/>
            <w:shd w:val="clear" w:color="auto" w:fill="F2F5FB"/>
          </w:tcPr>
          <w:p>
            <w:pPr>
              <w:jc w:val="center"/>
            </w:pPr>
            <w:r>
              <w:rPr>
                <w:rFonts w:ascii="Calibri" w:hAnsi="Calibri"/>
                <w:b w:val="0"/>
                <w:i w:val="0"/>
                <w:color w:val="1E7D32"/>
                <w:sz w:val="16"/>
              </w:rPr>
              <w:t>$6.1918  (+43%)</w:t>
            </w:r>
          </w:p>
        </w:tc>
        <w:tc>
          <w:tcPr>
            <w:tcW w:type="dxa" w:w="1600"/>
            <w:shd w:val="clear" w:color="auto" w:fill="F2F5FB"/>
          </w:tcPr>
          <w:p>
            <w:pPr>
              <w:jc w:val="center"/>
            </w:pPr>
            <w:r>
              <w:rPr>
                <w:rFonts w:ascii="Calibri" w:hAnsi="Calibri"/>
                <w:b w:val="0"/>
                <w:i w:val="0"/>
                <w:color w:val="C62828"/>
                <w:sz w:val="16"/>
              </w:rPr>
              <w:t>$3.4155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2.03</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$84 382.40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+1.6%  ·  volatilité annualisée +45.3%  ·  drawdown vs plus-haut -32.4%  ·  momentum 7j/30j/90j +10.8% / +6.8% / +41.3%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0.469)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~$84 382.40  ·  </w:t>
      </w:r>
      <w:r>
        <w:rPr>
          <w:rFonts w:ascii="Calibri" w:hAnsi="Calibri"/>
          <w:b w:val="0"/>
          <w:i w:val="0"/>
          <w:color w:val="1E7D32"/>
          <w:sz w:val="18"/>
        </w:rPr>
        <w:t>vente ↑ $103 266.12 (+22%)</w:t>
      </w:r>
      <w:r>
        <w:rPr>
          <w:rFonts w:ascii="Calibri" w:hAnsi="Calibri"/>
          <w:b w:val="0"/>
          <w:i w:val="0"/>
          <w:sz w:val="18"/>
        </w:rPr>
        <w:t xml:space="preserve">  ·  </w:t>
      </w:r>
      <w:r>
        <w:rPr>
          <w:rFonts w:ascii="Calibri" w:hAnsi="Calibri"/>
          <w:b w:val="0"/>
          <w:i w:val="0"/>
          <w:color w:val="C62828"/>
          <w:sz w:val="18"/>
        </w:rPr>
        <w:t>vente ↓ $73 753.26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$2 684.34   |   Composite +0.25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+2.0%  ·  volatilité annualisée +64.2%  ·  drawdown vs plus-haut -42.8%  ·  momentum 7j/30j/90j +11.1% / +8.2% / +71.4%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0.594)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~$2 684.34  ·  </w:t>
      </w:r>
      <w:r>
        <w:rPr>
          <w:rFonts w:ascii="Calibri" w:hAnsi="Calibri"/>
          <w:b w:val="0"/>
          <w:i w:val="0"/>
          <w:color w:val="1E7D32"/>
          <w:sz w:val="18"/>
        </w:rPr>
        <w:t>vente ↑ $3 415.93 (+27%)</w:t>
      </w:r>
      <w:r>
        <w:rPr>
          <w:rFonts w:ascii="Calibri" w:hAnsi="Calibri"/>
          <w:b w:val="0"/>
          <w:i w:val="0"/>
          <w:sz w:val="18"/>
        </w:rPr>
        <w:t xml:space="preserve">  ·  </w:t>
      </w:r>
      <w:r>
        <w:rPr>
          <w:rFonts w:ascii="Calibri" w:hAnsi="Calibri"/>
          <w:b w:val="0"/>
          <w:i w:val="0"/>
          <w:color w:val="C62828"/>
          <w:sz w:val="18"/>
        </w:rPr>
        <w:t>vente ↓ $2 285.90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BNB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$767.2269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+1.8%  ·  volatilité annualisée +52.4%  ·  drawdown vs plus-haut -41.3%  ·  momentum 7j/30j/90j +5.8% / +9.0% / +37.0%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0.52)</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~$767.2269  ·  </w:t>
      </w:r>
      <w:r>
        <w:rPr>
          <w:rFonts w:ascii="Calibri" w:hAnsi="Calibri"/>
          <w:b w:val="0"/>
          <w:i w:val="0"/>
          <w:color w:val="1E7D32"/>
          <w:sz w:val="18"/>
        </w:rPr>
        <w:t>vente ↑ $933.3503 (+22%)</w:t>
      </w:r>
      <w:r>
        <w:rPr>
          <w:rFonts w:ascii="Calibri" w:hAnsi="Calibri"/>
          <w:b w:val="0"/>
          <w:i w:val="0"/>
          <w:sz w:val="18"/>
        </w:rPr>
        <w:t xml:space="preserve">  ·  </w:t>
      </w:r>
      <w:r>
        <w:rPr>
          <w:rFonts w:ascii="Calibri" w:hAnsi="Calibri"/>
          <w:b w:val="0"/>
          <w:i w:val="0"/>
          <w:color w:val="C62828"/>
          <w:sz w:val="18"/>
        </w:rPr>
        <w:t>vente ↓ $673.2504 (-12%)</w:t>
      </w:r>
      <w:r>
        <w:rPr>
          <w:rFonts w:ascii="Calibri" w:hAnsi="Calibri"/>
          <w:b w:val="0"/>
          <w:i w:val="0"/>
          <w:sz w:val="18"/>
        </w:rPr>
        <w:t xml:space="preserve">  ·  détention ~40 j  ·  ratio G/P 1.77</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$1.5011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+3.0%  ·  volatilité annualisée +67.6%  ·  drawdown vs plus-haut -50.7%  ·  momentum 7j/30j/90j +15.6% / +1.4% / +44.0%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~$1.5011  ·  </w:t>
      </w:r>
      <w:r>
        <w:rPr>
          <w:rFonts w:ascii="Calibri" w:hAnsi="Calibri"/>
          <w:b w:val="0"/>
          <w:i w:val="0"/>
          <w:color w:val="1E7D32"/>
          <w:sz w:val="18"/>
        </w:rPr>
        <w:t>vente ↑ $1.9214 (+28%)</w:t>
      </w:r>
      <w:r>
        <w:rPr>
          <w:rFonts w:ascii="Calibri" w:hAnsi="Calibri"/>
          <w:b w:val="0"/>
          <w:i w:val="0"/>
          <w:sz w:val="18"/>
        </w:rPr>
        <w:t xml:space="preserve">  ·  </w:t>
      </w:r>
      <w:r>
        <w:rPr>
          <w:rFonts w:ascii="Calibri" w:hAnsi="Calibri"/>
          <w:b w:val="0"/>
          <w:i w:val="0"/>
          <w:color w:val="C62828"/>
          <w:sz w:val="18"/>
        </w:rPr>
        <w:t>vente ↓ $1.2733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SOL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$114.9854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+2.7%  ·  volatilité annualisée +68.3%  ·  drawdown vs plus-haut -51.0%  ·  momentum 7j/30j/90j +16.7% / +16.3% / +70.0%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0.68)</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~$114.9854  ·  </w:t>
      </w:r>
      <w:r>
        <w:rPr>
          <w:rFonts w:ascii="Calibri" w:hAnsi="Calibri"/>
          <w:b w:val="0"/>
          <w:i w:val="0"/>
          <w:color w:val="1E7D32"/>
          <w:sz w:val="18"/>
        </w:rPr>
        <w:t>vente ↑ $146.8151 (+28%)</w:t>
      </w:r>
      <w:r>
        <w:rPr>
          <w:rFonts w:ascii="Calibri" w:hAnsi="Calibri"/>
          <w:b w:val="0"/>
          <w:i w:val="0"/>
          <w:sz w:val="18"/>
        </w:rPr>
        <w:t xml:space="preserve">  ·  </w:t>
      </w:r>
      <w:r>
        <w:rPr>
          <w:rFonts w:ascii="Calibri" w:hAnsi="Calibri"/>
          <w:b w:val="0"/>
          <w:i w:val="0"/>
          <w:color w:val="C62828"/>
          <w:sz w:val="18"/>
        </w:rPr>
        <w:t>vente ↓ $97.6991 (-15%)</w:t>
      </w:r>
      <w:r>
        <w:rPr>
          <w:rFonts w:ascii="Calibri" w:hAnsi="Calibri"/>
          <w:b w:val="0"/>
          <w:i w:val="0"/>
          <w:sz w:val="18"/>
        </w:rPr>
        <w:t xml:space="preserve">  ·  détention ~31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$0.342098   |   Composite +1.00   |   Indicateurs actifs : ma</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+0.6%  ·  volatilité annualisée +25.3%  ·  drawdown vs plus-haut -8.8%  ·  momentum 7j/30j/90j +2.0% / -0.8% / +5.7%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-11% à +13%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~$0.342098  ·  </w:t>
      </w:r>
      <w:r>
        <w:rPr>
          <w:rFonts w:ascii="Calibri" w:hAnsi="Calibri"/>
          <w:b w:val="0"/>
          <w:i w:val="0"/>
          <w:color w:val="1E7D32"/>
          <w:sz w:val="18"/>
        </w:rPr>
        <w:t>vente ↑ $0.382562 (+12%)</w:t>
      </w:r>
      <w:r>
        <w:rPr>
          <w:rFonts w:ascii="Calibri" w:hAnsi="Calibri"/>
          <w:b w:val="0"/>
          <w:i w:val="0"/>
          <w:sz w:val="18"/>
        </w:rPr>
        <w:t xml:space="preserve">  ·  </w:t>
      </w:r>
      <w:r>
        <w:rPr>
          <w:rFonts w:ascii="Calibri" w:hAnsi="Calibri"/>
          <w:b w:val="0"/>
          <w:i w:val="0"/>
          <w:color w:val="C62828"/>
          <w:sz w:val="18"/>
        </w:rPr>
        <w:t>vente ↓ $0.317529 (-7%)</w:t>
      </w:r>
      <w:r>
        <w:rPr>
          <w:rFonts w:ascii="Calibri" w:hAnsi="Calibri"/>
          <w:b w:val="0"/>
          <w:i w:val="0"/>
          <w:sz w:val="18"/>
        </w:rPr>
        <w:t xml:space="preserve">  ·  détention ~45 j  ·  ratio G/P 1.65</w:t>
      </w:r>
    </w:p>
    <w:p>
      <w:pPr>
        <w:pStyle w:val="Heading2"/>
      </w:pPr>
      <w:r/>
      <w:r>
        <w:rPr>
          <w:rFonts w:ascii="Calibri" w:hAnsi="Calibri"/>
          <w:b/>
          <w:i w:val="0"/>
          <w:color w:val="1F3864"/>
          <w:sz w:val="26"/>
        </w:rPr>
        <w:t xml:space="preserve">ZEC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$1 499.02   |   Composite +0.67   |   Indicateurs actifs : ma,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+5.5%  ·  volatilité annualisée +157.0%  ·  drawdown vs plus-haut -8.0%  ·  momentum 7j/30j/90j +12.2% / +80.5% / +260.0%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0.508)  ·  </w:t>
      </w:r>
      <w:r>
        <w:rPr>
          <w:rFonts w:ascii="Calibri" w:hAnsi="Calibri"/>
          <w:b w:val="0"/>
          <w:i w:val="0"/>
          <w:color w:val="C62828"/>
          <w:sz w:val="18"/>
        </w:rPr>
        <w:t>Risque rouge (vol 1.57)</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~$1 499.02  ·  </w:t>
      </w:r>
      <w:r>
        <w:rPr>
          <w:rFonts w:ascii="Calibri" w:hAnsi="Calibri"/>
          <w:b w:val="0"/>
          <w:i w:val="0"/>
          <w:color w:val="1E7D32"/>
          <w:sz w:val="18"/>
        </w:rPr>
        <w:t>vente ↑ $2 187.35 (+46%)</w:t>
      </w:r>
      <w:r>
        <w:rPr>
          <w:rFonts w:ascii="Calibri" w:hAnsi="Calibri"/>
          <w:b w:val="0"/>
          <w:i w:val="0"/>
          <w:sz w:val="18"/>
        </w:rPr>
        <w:t xml:space="preserve">  ·  </w:t>
      </w:r>
      <w:r>
        <w:rPr>
          <w:rFonts w:ascii="Calibri" w:hAnsi="Calibri"/>
          <w:b w:val="0"/>
          <w:i w:val="0"/>
          <w:color w:val="C62828"/>
          <w:sz w:val="18"/>
        </w:rPr>
        <w:t>vente ↓ $1 165.20 (-22%)</w:t>
      </w:r>
      <w:r>
        <w:rPr>
          <w:rFonts w:ascii="Calibri" w:hAnsi="Calibri"/>
          <w:b w:val="0"/>
          <w:i w:val="0"/>
          <w:sz w:val="18"/>
        </w:rPr>
        <w:t xml:space="preserve">  ·  détention ~13 j  ·  ratio G/P 2.06</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$1.0267   |   Composite +0.00   |   Indicateurs actifs :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+1.6%  ·  volatilité annualisée +246.5%  ·  drawdown vs plus-haut -2.2%  ·  momentum 7j/30j/90j -0.1% / +0.6%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2.46)</w:t>
      </w:r>
    </w:p>
    <w:p>
      <w:r>
        <w:rPr>
          <w:rFonts w:ascii="Calibri" w:hAnsi="Calibri"/>
          <w:b/>
          <w:i w:val="0"/>
          <w:sz w:val="19"/>
        </w:rPr>
        <w:t xml:space="preserve">Projection 30j (fourchette, pas une prévision) : </w:t>
      </w:r>
      <w:r>
        <w:rPr>
          <w:rFonts w:ascii="Calibri" w:hAnsi="Calibri"/>
          <w:b w:val="0"/>
          <w:i w:val="0"/>
          <w:sz w:val="19"/>
        </w:rPr>
        <w:t>-17% à +20%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~$1.0267  ·  </w:t>
      </w:r>
      <w:r>
        <w:rPr>
          <w:rFonts w:ascii="Calibri" w:hAnsi="Calibri"/>
          <w:b w:val="0"/>
          <w:i w:val="0"/>
          <w:color w:val="1E7D32"/>
          <w:sz w:val="18"/>
        </w:rPr>
        <w:t>vente ↑ $1.1075 (+8%)</w:t>
      </w:r>
      <w:r>
        <w:rPr>
          <w:rFonts w:ascii="Calibri" w:hAnsi="Calibri"/>
          <w:b w:val="0"/>
          <w:i w:val="0"/>
          <w:sz w:val="18"/>
        </w:rPr>
        <w:t xml:space="preserve">  ·  </w:t>
      </w:r>
      <w:r>
        <w:rPr>
          <w:rFonts w:ascii="Calibri" w:hAnsi="Calibri"/>
          <w:b w:val="0"/>
          <w:i w:val="0"/>
          <w:color w:val="C62828"/>
          <w:sz w:val="18"/>
        </w:rPr>
        <w:t>vente ↓ $0.976111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$93.9848   |   Composite +0.50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+2.8%  ·  volatilité annualisée +92.8%  ·  drawdown vs plus-haut -3.3%  ·  momentum 7j/30j/90j +20.1% / +19.1% / +46.7%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90)  ·  </w:t>
      </w:r>
      <w:r>
        <w:rPr>
          <w:rFonts w:ascii="Calibri" w:hAnsi="Calibri"/>
          <w:b w:val="0"/>
          <w:i w:val="0"/>
          <w:sz w:val="18"/>
        </w:rPr>
        <w:t xml:space="preserve">Prédiction rouge (AUC 0.562)  ·  </w:t>
      </w:r>
      <w:r>
        <w:rPr>
          <w:rFonts w:ascii="Calibri" w:hAnsi="Calibri"/>
          <w:b w:val="0"/>
          <w:i w:val="0"/>
          <w:color w:val="1E7D32"/>
          <w:sz w:val="18"/>
        </w:rPr>
        <w:t>Risque vert (vol 0.93)</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~$93.9848  ·  </w:t>
      </w:r>
      <w:r>
        <w:rPr>
          <w:rFonts w:ascii="Calibri" w:hAnsi="Calibri"/>
          <w:b w:val="0"/>
          <w:i w:val="0"/>
          <w:color w:val="1E7D32"/>
          <w:sz w:val="18"/>
        </w:rPr>
        <w:t>vente ↑ $129.3797 (+38%)</w:t>
      </w:r>
      <w:r>
        <w:rPr>
          <w:rFonts w:ascii="Calibri" w:hAnsi="Calibri"/>
          <w:b w:val="0"/>
          <w:i w:val="0"/>
          <w:sz w:val="18"/>
        </w:rPr>
        <w:t xml:space="preserve">  ·  </w:t>
      </w:r>
      <w:r>
        <w:rPr>
          <w:rFonts w:ascii="Calibri" w:hAnsi="Calibri"/>
          <w:b w:val="0"/>
          <w:i w:val="0"/>
          <w:color w:val="C62828"/>
          <w:sz w:val="18"/>
        </w:rPr>
        <w:t>vente ↓ $75.9484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$0.092693   |   Composite +0.67   |   Indicateurs actifs : ma,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+3.2%  ·  volatilité annualisée +73.2%  ·  drawdown vs plus-haut -65.3%  ·  momentum 7j/30j/90j +14.6% / +2.9% / +23.9%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rouge (AUC 0.561)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~$0.092693  ·  </w:t>
      </w:r>
      <w:r>
        <w:rPr>
          <w:rFonts w:ascii="Calibri" w:hAnsi="Calibri"/>
          <w:b w:val="0"/>
          <w:i w:val="0"/>
          <w:color w:val="1E7D32"/>
          <w:sz w:val="18"/>
        </w:rPr>
        <w:t>vente ↑ $0.117398 (+27%)</w:t>
      </w:r>
      <w:r>
        <w:rPr>
          <w:rFonts w:ascii="Calibri" w:hAnsi="Calibri"/>
          <w:b w:val="0"/>
          <w:i w:val="0"/>
          <w:sz w:val="18"/>
        </w:rPr>
        <w:t xml:space="preserve">  ·  </w:t>
      </w:r>
      <w:r>
        <w:rPr>
          <w:rFonts w:ascii="Calibri" w:hAnsi="Calibri"/>
          <w:b w:val="0"/>
          <w:i w:val="0"/>
          <w:color w:val="C62828"/>
          <w:sz w:val="18"/>
        </w:rPr>
        <w:t>vente ↓ $0.079184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$553.3767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+3.1%  ·  volatilité annualisée +85.5%  ·  drawdown vs plus-haut -21.6%  ·  momentum 7j/30j/90j +11.0% / +25.1% / +79.9%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rouge (AUC 0.643)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~$553.3767  ·  </w:t>
      </w:r>
      <w:r>
        <w:rPr>
          <w:rFonts w:ascii="Calibri" w:hAnsi="Calibri"/>
          <w:b w:val="0"/>
          <w:i w:val="0"/>
          <w:color w:val="1E7D32"/>
          <w:sz w:val="18"/>
        </w:rPr>
        <w:t>vente ↑ $733.7651 (+33%)</w:t>
      </w:r>
      <w:r>
        <w:rPr>
          <w:rFonts w:ascii="Calibri" w:hAnsi="Calibri"/>
          <w:b w:val="0"/>
          <w:i w:val="0"/>
          <w:sz w:val="18"/>
        </w:rPr>
        <w:t xml:space="preserve">  ·  </w:t>
      </w:r>
      <w:r>
        <w:rPr>
          <w:rFonts w:ascii="Calibri" w:hAnsi="Calibri"/>
          <w:b w:val="0"/>
          <w:i w:val="0"/>
          <w:color w:val="C62828"/>
          <w:sz w:val="18"/>
        </w:rPr>
        <w:t>vente ↓ $458.4902 (-17%)</w:t>
      </w:r>
      <w:r>
        <w:rPr>
          <w:rFonts w:ascii="Calibri" w:hAnsi="Calibri"/>
          <w:b w:val="0"/>
          <w:i w:val="0"/>
          <w:sz w:val="18"/>
        </w:rPr>
        <w:t xml:space="preserve">  ·  détention ~25 j  ·  ratio G/P 1.9</w:t>
      </w:r>
    </w:p>
    <w:p>
      <w:pPr>
        <w:pStyle w:val="Heading2"/>
      </w:pPr>
      <w:r/>
      <w:r>
        <w:rPr>
          <w:rFonts w:ascii="Calibri" w:hAnsi="Calibri"/>
          <w:b/>
          <w:i w:val="0"/>
          <w:color w:val="1F3864"/>
          <w:sz w:val="26"/>
        </w:rPr>
        <w:t xml:space="preserve">WBT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$84.7152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+1.7%  ·  volatilité annualisée +54.6%  ·  drawdown vs plus-haut -2.8%  ·  momentum 7j/30j/90j +8.4% / +15.5% / +75.2%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~$84.7152  ·  </w:t>
      </w:r>
      <w:r>
        <w:rPr>
          <w:rFonts w:ascii="Calibri" w:hAnsi="Calibri"/>
          <w:b w:val="0"/>
          <w:i w:val="0"/>
          <w:color w:val="1E7D32"/>
          <w:sz w:val="18"/>
        </w:rPr>
        <w:t>vente ↑ $108.3078 (+28%)</w:t>
      </w:r>
      <w:r>
        <w:rPr>
          <w:rFonts w:ascii="Calibri" w:hAnsi="Calibri"/>
          <w:b w:val="0"/>
          <w:i w:val="0"/>
          <w:sz w:val="18"/>
        </w:rPr>
        <w:t xml:space="preserve">  ·  </w:t>
      </w:r>
      <w:r>
        <w:rPr>
          <w:rFonts w:ascii="Calibri" w:hAnsi="Calibri"/>
          <w:b w:val="0"/>
          <w:i w:val="0"/>
          <w:color w:val="C62828"/>
          <w:sz w:val="18"/>
        </w:rPr>
        <w:t>vente ↓ $71.9165 (-15%)</w:t>
      </w:r>
      <w:r>
        <w:rPr>
          <w:rFonts w:ascii="Calibri" w:hAnsi="Calibri"/>
          <w:b w:val="0"/>
          <w:i w:val="0"/>
          <w:sz w:val="18"/>
        </w:rPr>
        <w:t xml:space="preserve">  ·  détention ~38 j  ·  ratio G/P 1.84</w:t>
      </w:r>
    </w:p>
    <w:p>
      <w:pPr>
        <w:pStyle w:val="Heading2"/>
      </w:pPr>
      <w:r/>
      <w:r>
        <w:rPr>
          <w:rFonts w:ascii="Calibri" w:hAnsi="Calibri"/>
          <w:b/>
          <w:i w:val="0"/>
          <w:color w:val="1F3864"/>
          <w:sz w:val="26"/>
        </w:rPr>
        <w:t xml:space="preserve">LINK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$12.3514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+3.0%  ·  volatilité annualisée +75.7%  ·  drawdown vs plus-haut -47.3%  ·  momentum 7j/30j/90j +11.8% / +6.3% / +70.6%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-28%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~$12.3514  ·  </w:t>
      </w:r>
      <w:r>
        <w:rPr>
          <w:rFonts w:ascii="Calibri" w:hAnsi="Calibri"/>
          <w:b w:val="0"/>
          <w:i w:val="0"/>
          <w:color w:val="1E7D32"/>
          <w:sz w:val="18"/>
        </w:rPr>
        <w:t>vente ↑ $15.6970 (+27%)</w:t>
      </w:r>
      <w:r>
        <w:rPr>
          <w:rFonts w:ascii="Calibri" w:hAnsi="Calibri"/>
          <w:b w:val="0"/>
          <w:i w:val="0"/>
          <w:sz w:val="18"/>
        </w:rPr>
        <w:t xml:space="preserve">  ·  </w:t>
      </w:r>
      <w:r>
        <w:rPr>
          <w:rFonts w:ascii="Calibri" w:hAnsi="Calibri"/>
          <w:b w:val="0"/>
          <w:i w:val="0"/>
          <w:color w:val="C62828"/>
          <w:sz w:val="18"/>
        </w:rPr>
        <w:t>vente ↓ $10.5272 (-15%)</w:t>
      </w:r>
      <w:r>
        <w:rPr>
          <w:rFonts w:ascii="Calibri" w:hAnsi="Calibri"/>
          <w:b w:val="0"/>
          <w:i w:val="0"/>
          <w:sz w:val="18"/>
        </w:rPr>
        <w:t xml:space="preserve">  ·  détention ~28 j  ·  ratio G/P 1.83</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$0.238452   |   Composite -1.00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+3.2%  ·  volatilité annualisée +82.4%  ·  drawdown vs plus-haut -72.7%  ·  momentum 7j/30j/90j +21.6% / +7.7% / +66.0%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0.778)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~$0.238452  ·  </w:t>
      </w:r>
      <w:r>
        <w:rPr>
          <w:rFonts w:ascii="Calibri" w:hAnsi="Calibri"/>
          <w:b w:val="0"/>
          <w:i w:val="0"/>
          <w:color w:val="1E7D32"/>
          <w:sz w:val="18"/>
        </w:rPr>
        <w:t>vente ↑ $0.314975 (+32%)</w:t>
      </w:r>
      <w:r>
        <w:rPr>
          <w:rFonts w:ascii="Calibri" w:hAnsi="Calibri"/>
          <w:b w:val="0"/>
          <w:i w:val="0"/>
          <w:sz w:val="18"/>
        </w:rPr>
        <w:t xml:space="preserve">  ·  </w:t>
      </w:r>
      <w:r>
        <w:rPr>
          <w:rFonts w:ascii="Calibri" w:hAnsi="Calibri"/>
          <w:b w:val="0"/>
          <w:i w:val="0"/>
          <w:color w:val="C62828"/>
          <w:sz w:val="18"/>
        </w:rPr>
        <w:t>vente ↓ $0.198069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$0.012246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+3.9%  ·  volatilité annualisée +119.0%  ·  drawdown vs plus-haut -32.6%  ·  momentum 7j/30j/90j -5.1% / -17.5% / -22.3%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0.595)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~$0.012246  ·  </w:t>
      </w:r>
      <w:r>
        <w:rPr>
          <w:rFonts w:ascii="Calibri" w:hAnsi="Calibri"/>
          <w:b w:val="0"/>
          <w:i w:val="0"/>
          <w:color w:val="1E7D32"/>
          <w:sz w:val="18"/>
        </w:rPr>
        <w:t>vente ↑ $0.016677 (+36%)</w:t>
      </w:r>
      <w:r>
        <w:rPr>
          <w:rFonts w:ascii="Calibri" w:hAnsi="Calibri"/>
          <w:b w:val="0"/>
          <w:i w:val="0"/>
          <w:sz w:val="18"/>
        </w:rPr>
        <w:t xml:space="preserve">  ·  </w:t>
      </w:r>
      <w:r>
        <w:rPr>
          <w:rFonts w:ascii="Calibri" w:hAnsi="Calibri"/>
          <w:b w:val="0"/>
          <w:i w:val="0"/>
          <w:color w:val="C62828"/>
          <w:sz w:val="18"/>
        </w:rPr>
        <w:t>vente ↓ $0.009968 (-19%)</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$9.0102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+54.6%  ·  drawdown vs plus-haut -14.6%  ·  momentum 7j/30j/90j +0.3% / -3.0% / -3.5%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0.62)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-14% à +17%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~$9.0102  ·  </w:t>
      </w:r>
      <w:r>
        <w:rPr>
          <w:rFonts w:ascii="Calibri" w:hAnsi="Calibri"/>
          <w:b w:val="0"/>
          <w:i w:val="0"/>
          <w:color w:val="1E7D32"/>
          <w:sz w:val="18"/>
        </w:rPr>
        <w:t>vente ↑ $10.2820 (+14%)</w:t>
      </w:r>
      <w:r>
        <w:rPr>
          <w:rFonts w:ascii="Calibri" w:hAnsi="Calibri"/>
          <w:b w:val="0"/>
          <w:i w:val="0"/>
          <w:sz w:val="18"/>
        </w:rPr>
        <w:t xml:space="preserve">  ·  </w:t>
      </w:r>
      <w:r>
        <w:rPr>
          <w:rFonts w:ascii="Calibri" w:hAnsi="Calibri"/>
          <w:b w:val="0"/>
          <w:i w:val="0"/>
          <w:color w:val="C62828"/>
          <w:sz w:val="18"/>
        </w:rPr>
        <w:t>vente ↓ $8.2509 (-8%)</w:t>
      </w:r>
      <w:r>
        <w:rPr>
          <w:rFonts w:ascii="Calibri" w:hAnsi="Calibri"/>
          <w:b w:val="0"/>
          <w:i w:val="0"/>
          <w:sz w:val="18"/>
        </w:rPr>
        <w:t xml:space="preserve">  ·  détention ~38 j  ·  ratio G/P 1.68</w:t>
      </w:r>
    </w:p>
    <w:p>
      <w:pPr>
        <w:pStyle w:val="Heading2"/>
      </w:pPr>
      <w:r/>
      <w:r>
        <w:rPr>
          <w:rFonts w:ascii="Calibri" w:hAnsi="Calibri"/>
          <w:b/>
          <w:i w:val="0"/>
          <w:color w:val="1F3864"/>
          <w:sz w:val="26"/>
        </w:rPr>
        <w:t xml:space="preserve">XLM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$0.202064   |   Composite +0.00   |   Indicateurs actifs : rsi,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+3.2%  ·  volatilité annualisée +80.0%  ·  drawdown vs plus-haut -50.7%  ·  momentum 7j/30j/90j +10.0% / +4.4% / +13.0%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~$0.202064  ·  </w:t>
      </w:r>
      <w:r>
        <w:rPr>
          <w:rFonts w:ascii="Calibri" w:hAnsi="Calibri"/>
          <w:b w:val="0"/>
          <w:i w:val="0"/>
          <w:color w:val="1E7D32"/>
          <w:sz w:val="18"/>
        </w:rPr>
        <w:t>vente ↑ $0.282713 (+40%)</w:t>
      </w:r>
      <w:r>
        <w:rPr>
          <w:rFonts w:ascii="Calibri" w:hAnsi="Calibri"/>
          <w:b w:val="0"/>
          <w:i w:val="0"/>
          <w:sz w:val="18"/>
        </w:rPr>
        <w:t xml:space="preserve">  ·  </w:t>
      </w:r>
      <w:r>
        <w:rPr>
          <w:rFonts w:ascii="Calibri" w:hAnsi="Calibri"/>
          <w:b w:val="0"/>
          <w:i w:val="0"/>
          <w:color w:val="C62828"/>
          <w:sz w:val="18"/>
        </w:rPr>
        <w:t>vente ↓ $0.161529 (-20%)</w:t>
      </w:r>
      <w:r>
        <w:rPr>
          <w:rFonts w:ascii="Calibri" w:hAnsi="Calibri"/>
          <w:b w:val="0"/>
          <w:i w:val="0"/>
          <w:sz w:val="18"/>
        </w:rPr>
        <w:t xml:space="preserve">  ·  détention ~26 j  ·  ratio G/P 1.99</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$337.5777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+76.6%  ·  drawdown vs plus-haut -48.4%  ·  momentum 7j/30j/90j +52.8% / +24.7% / +75.0%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0.625)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~$337.5777  ·  </w:t>
      </w:r>
      <w:r>
        <w:rPr>
          <w:rFonts w:ascii="Calibri" w:hAnsi="Calibri"/>
          <w:b w:val="0"/>
          <w:i w:val="0"/>
          <w:color w:val="1E7D32"/>
          <w:sz w:val="18"/>
        </w:rPr>
        <w:t>vente ↑ $471.1399 (+40%)</w:t>
      </w:r>
      <w:r>
        <w:rPr>
          <w:rFonts w:ascii="Calibri" w:hAnsi="Calibri"/>
          <w:b w:val="0"/>
          <w:i w:val="0"/>
          <w:sz w:val="18"/>
        </w:rPr>
        <w:t xml:space="preserve">  ·  </w:t>
      </w:r>
      <w:r>
        <w:rPr>
          <w:rFonts w:ascii="Calibri" w:hAnsi="Calibri"/>
          <w:b w:val="0"/>
          <w:i w:val="0"/>
          <w:color w:val="C62828"/>
          <w:sz w:val="18"/>
        </w:rPr>
        <w:t>vente ↓ $270.3065 (-20%)</w:t>
      </w:r>
      <w:r>
        <w:rPr>
          <w:rFonts w:ascii="Calibri" w:hAnsi="Calibri"/>
          <w:b w:val="0"/>
          <w:i w:val="0"/>
          <w:sz w:val="18"/>
        </w:rPr>
        <w:t xml:space="preserve">  ·  détention ~27 j  ·  ratio G/P 1.99</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$9.2356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+4.8%  ·  volatilité annualisée +101.6%  ·  drawdown vs plus-haut -9.6%  ·  momentum 7j/30j/90j +38.0% / +113.3% / +220.4%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0.595)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~$9.2356  ·  </w:t>
      </w:r>
      <w:r>
        <w:rPr>
          <w:rFonts w:ascii="Calibri" w:hAnsi="Calibri"/>
          <w:b w:val="0"/>
          <w:i w:val="0"/>
          <w:color w:val="1E7D32"/>
          <w:sz w:val="18"/>
        </w:rPr>
        <w:t>vente ↑ $12.6103 (+37%)</w:t>
      </w:r>
      <w:r>
        <w:rPr>
          <w:rFonts w:ascii="Calibri" w:hAnsi="Calibri"/>
          <w:b w:val="0"/>
          <w:i w:val="0"/>
          <w:sz w:val="18"/>
        </w:rPr>
        <w:t xml:space="preserve">  ·  </w:t>
      </w:r>
      <w:r>
        <w:rPr>
          <w:rFonts w:ascii="Calibri" w:hAnsi="Calibri"/>
          <w:b w:val="0"/>
          <w:i w:val="0"/>
          <w:color w:val="C62828"/>
          <w:sz w:val="18"/>
        </w:rPr>
        <w:t>vente ↓ $7.5039 (-19%)</w:t>
      </w:r>
      <w:r>
        <w:rPr>
          <w:rFonts w:ascii="Calibri" w:hAnsi="Calibri"/>
          <w:b w:val="0"/>
          <w:i w:val="0"/>
          <w:sz w:val="18"/>
        </w:rPr>
        <w:t xml:space="preserve">  ·  détention ~21 j  ·  ratio G/P 1.95</w:t>
      </w:r>
    </w:p>
    <w:p>
      <w:pPr>
        <w:pStyle w:val="Heading2"/>
      </w:pPr>
      <w:r/>
      <w:r>
        <w:rPr>
          <w:rFonts w:ascii="Calibri" w:hAnsi="Calibri"/>
          <w:b/>
          <w:i w:val="0"/>
          <w:color w:val="1F3864"/>
          <w:sz w:val="26"/>
        </w:rPr>
        <w:t xml:space="preserve">NEAR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$4.3331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+4.1%  ·  volatilité annualisée +103.0%  ·  drawdown vs plus-haut -1.8%  ·  momentum 7j/30j/90j +65.6% / +121.8% / +136.3%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0.505)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~$4.3331  ·  </w:t>
      </w:r>
      <w:r>
        <w:rPr>
          <w:rFonts w:ascii="Calibri" w:hAnsi="Calibri"/>
          <w:b w:val="0"/>
          <w:i w:val="0"/>
          <w:color w:val="1E7D32"/>
          <w:sz w:val="18"/>
        </w:rPr>
        <w:t>vente ↑ $6.1918 (+43%)</w:t>
      </w:r>
      <w:r>
        <w:rPr>
          <w:rFonts w:ascii="Calibri" w:hAnsi="Calibri"/>
          <w:b w:val="0"/>
          <w:i w:val="0"/>
          <w:sz w:val="18"/>
        </w:rPr>
        <w:t xml:space="preserve">  ·  </w:t>
      </w:r>
      <w:r>
        <w:rPr>
          <w:rFonts w:ascii="Calibri" w:hAnsi="Calibri"/>
          <w:b w:val="0"/>
          <w:i w:val="0"/>
          <w:color w:val="C62828"/>
          <w:sz w:val="18"/>
        </w:rPr>
        <w:t>vente ↓ $3.4155 (-21%)</w:t>
      </w:r>
      <w:r>
        <w:rPr>
          <w:rFonts w:ascii="Calibri" w:hAnsi="Calibri"/>
          <w:b w:val="0"/>
          <w:i w:val="0"/>
          <w:sz w:val="18"/>
        </w:rPr>
        <w:t xml:space="preserve">  ·  détention ~20 j  ·  ratio G/P 2.03</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