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2026-09-21</w:t>
            </w:r>
          </w:p>
        </w:tc>
      </w:tr>
    </w:tbl>
    <w:p/>
    <w:p>
      <w:r>
        <w:rPr>
          <w:rFonts w:ascii="Calibri" w:hAnsi="Calibri"/>
          <w:b w:val="0"/>
          <w:i/>
          <w:color w:val="555555"/>
          <w:sz w:val="18"/>
        </w:rPr>
        <w:t>Univers analysé : 20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20 cryptomonnaies :</w:t>
      </w:r>
    </w:p>
    <w:p>
      <w:pPr>
        <w:pStyle w:val="ListBullet"/>
      </w:pPr>
      <w:r>
        <w:rPr>
          <w:rFonts w:ascii="Calibri" w:hAnsi="Calibri"/>
          <w:b/>
          <w:i w:val="0"/>
          <w:color w:val="1E7D32"/>
          <w:sz w:val="20"/>
        </w:rPr>
        <w:t>INVESTIR (4 feux verts) : 4 — BNB, SOL, WBT, LINK.</w:t>
      </w:r>
    </w:p>
    <w:p>
      <w:pPr>
        <w:pStyle w:val="ListBullet"/>
      </w:pPr>
      <w:r>
        <w:rPr>
          <w:rFonts w:ascii="Calibri" w:hAnsi="Calibri"/>
          <w:b/>
          <w:i w:val="0"/>
          <w:color w:val="B26A00"/>
          <w:sz w:val="20"/>
        </w:rPr>
        <w:t>CONSERVER (pas de signal net) : 13.</w:t>
      </w:r>
    </w:p>
    <w:p>
      <w:pPr>
        <w:pStyle w:val="ListBullet"/>
      </w:pPr>
      <w:r>
        <w:rPr>
          <w:rFonts w:ascii="Calibri" w:hAnsi="Calibri"/>
          <w:b/>
          <w:i w:val="0"/>
          <w:color w:val="C62828"/>
          <w:sz w:val="20"/>
        </w:rPr>
        <w:t>ÉVITER (fondamental ou risque en échec) : 3 — ZEC, FIGR_HELOC, LEO.</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-16%..+20%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0.643</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-40%..+68%</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0.778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0.505</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0.625</w:t>
            </w:r>
          </w:p>
        </w:tc>
        <w:tc>
          <w:tcPr>
            <w:tcW w:type="dxa" w:w="2100"/>
            <w:shd w:val="clear" w:color="auto" w:fill="F2F5FB"/>
          </w:tcPr>
          <w:p>
            <w:pPr>
              <w:jc w:val="center"/>
            </w:pPr>
            <w:r>
              <w:rPr>
                <w:rFonts w:ascii="Calibri" w:hAnsi="Calibri"/>
                <w:b w:val="0"/>
                <w:i w:val="0"/>
                <w:sz w:val="16"/>
              </w:rPr>
              <w:t>-33%..+50%</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$81 169.04</w:t>
            </w:r>
          </w:p>
        </w:tc>
        <w:tc>
          <w:tcPr>
            <w:tcW w:type="dxa" w:w="1700"/>
          </w:tcPr>
          <w:p>
            <w:pPr>
              <w:jc w:val="center"/>
            </w:pPr>
            <w:r>
              <w:rPr>
                <w:rFonts w:ascii="Calibri" w:hAnsi="Calibri"/>
                <w:b w:val="0"/>
                <w:i w:val="0"/>
                <w:color w:val="1E7D32"/>
                <w:sz w:val="16"/>
              </w:rPr>
              <w:t>$99 094.05  (+22%)</w:t>
            </w:r>
          </w:p>
        </w:tc>
        <w:tc>
          <w:tcPr>
            <w:tcW w:type="dxa" w:w="1600"/>
          </w:tcPr>
          <w:p>
            <w:pPr>
              <w:jc w:val="center"/>
            </w:pPr>
            <w:r>
              <w:rPr>
                <w:rFonts w:ascii="Calibri" w:hAnsi="Calibri"/>
                <w:b w:val="0"/>
                <w:i w:val="0"/>
                <w:color w:val="C62828"/>
                <w:sz w:val="16"/>
              </w:rPr>
              <w:t>$71 058.97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$2 644.73</w:t>
            </w:r>
          </w:p>
        </w:tc>
        <w:tc>
          <w:tcPr>
            <w:tcW w:type="dxa" w:w="1700"/>
            <w:shd w:val="clear" w:color="auto" w:fill="F2F5FB"/>
          </w:tcPr>
          <w:p>
            <w:pPr>
              <w:jc w:val="center"/>
            </w:pPr>
            <w:r>
              <w:rPr>
                <w:rFonts w:ascii="Calibri" w:hAnsi="Calibri"/>
                <w:b w:val="0"/>
                <w:i w:val="0"/>
                <w:color w:val="1E7D32"/>
                <w:sz w:val="16"/>
              </w:rPr>
              <w:t>$3 369.30  (+27%)</w:t>
            </w:r>
          </w:p>
        </w:tc>
        <w:tc>
          <w:tcPr>
            <w:tcW w:type="dxa" w:w="1600"/>
            <w:shd w:val="clear" w:color="auto" w:fill="F2F5FB"/>
          </w:tcPr>
          <w:p>
            <w:pPr>
              <w:jc w:val="center"/>
            </w:pPr>
            <w:r>
              <w:rPr>
                <w:rFonts w:ascii="Calibri" w:hAnsi="Calibri"/>
                <w:b w:val="0"/>
                <w:i w:val="0"/>
                <w:color w:val="C62828"/>
                <w:sz w:val="16"/>
              </w:rPr>
              <w:t>$2 250.49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$772.2241</w:t>
            </w:r>
          </w:p>
        </w:tc>
        <w:tc>
          <w:tcPr>
            <w:tcW w:type="dxa" w:w="1700"/>
          </w:tcPr>
          <w:p>
            <w:pPr>
              <w:jc w:val="center"/>
            </w:pPr>
            <w:r>
              <w:rPr>
                <w:rFonts w:ascii="Calibri" w:hAnsi="Calibri"/>
                <w:b w:val="0"/>
                <w:i w:val="0"/>
                <w:color w:val="1E7D32"/>
                <w:sz w:val="16"/>
              </w:rPr>
              <w:t>$939.1622  (+22%)</w:t>
            </w:r>
          </w:p>
        </w:tc>
        <w:tc>
          <w:tcPr>
            <w:tcW w:type="dxa" w:w="1600"/>
          </w:tcPr>
          <w:p>
            <w:pPr>
              <w:jc w:val="center"/>
            </w:pPr>
            <w:r>
              <w:rPr>
                <w:rFonts w:ascii="Calibri" w:hAnsi="Calibri"/>
                <w:b w:val="0"/>
                <w:i w:val="0"/>
                <w:color w:val="C62828"/>
                <w:sz w:val="16"/>
              </w:rPr>
              <w:t>$677.7640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$1.4102</w:t>
            </w:r>
          </w:p>
        </w:tc>
        <w:tc>
          <w:tcPr>
            <w:tcW w:type="dxa" w:w="1700"/>
            <w:shd w:val="clear" w:color="auto" w:fill="F2F5FB"/>
          </w:tcPr>
          <w:p>
            <w:pPr>
              <w:jc w:val="center"/>
            </w:pPr>
            <w:r>
              <w:rPr>
                <w:rFonts w:ascii="Calibri" w:hAnsi="Calibri"/>
                <w:b w:val="0"/>
                <w:i w:val="0"/>
                <w:color w:val="1E7D32"/>
                <w:sz w:val="16"/>
              </w:rPr>
              <w:t>$1.7948  (+27%)</w:t>
            </w:r>
          </w:p>
        </w:tc>
        <w:tc>
          <w:tcPr>
            <w:tcW w:type="dxa" w:w="1600"/>
            <w:shd w:val="clear" w:color="auto" w:fill="F2F5FB"/>
          </w:tcPr>
          <w:p>
            <w:pPr>
              <w:jc w:val="center"/>
            </w:pPr>
            <w:r>
              <w:rPr>
                <w:rFonts w:ascii="Calibri" w:hAnsi="Calibri"/>
                <w:b w:val="0"/>
                <w:i w:val="0"/>
                <w:color w:val="C62828"/>
                <w:sz w:val="16"/>
              </w:rPr>
              <w:t>$1.2008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$111.1541</w:t>
            </w:r>
          </w:p>
        </w:tc>
        <w:tc>
          <w:tcPr>
            <w:tcW w:type="dxa" w:w="1700"/>
          </w:tcPr>
          <w:p>
            <w:pPr>
              <w:jc w:val="center"/>
            </w:pPr>
            <w:r>
              <w:rPr>
                <w:rFonts w:ascii="Calibri" w:hAnsi="Calibri"/>
                <w:b w:val="0"/>
                <w:i w:val="0"/>
                <w:color w:val="1E7D32"/>
                <w:sz w:val="16"/>
              </w:rPr>
              <w:t>$141.9471  (+28%)</w:t>
            </w:r>
          </w:p>
        </w:tc>
        <w:tc>
          <w:tcPr>
            <w:tcW w:type="dxa" w:w="1600"/>
          </w:tcPr>
          <w:p>
            <w:pPr>
              <w:jc w:val="center"/>
            </w:pPr>
            <w:r>
              <w:rPr>
                <w:rFonts w:ascii="Calibri" w:hAnsi="Calibri"/>
                <w:b w:val="0"/>
                <w:i w:val="0"/>
                <w:color w:val="C62828"/>
                <w:sz w:val="16"/>
              </w:rPr>
              <w:t>$94.4333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$0.342540</w:t>
            </w:r>
          </w:p>
        </w:tc>
        <w:tc>
          <w:tcPr>
            <w:tcW w:type="dxa" w:w="1700"/>
            <w:shd w:val="clear" w:color="auto" w:fill="F2F5FB"/>
          </w:tcPr>
          <w:p>
            <w:pPr>
              <w:jc w:val="center"/>
            </w:pPr>
            <w:r>
              <w:rPr>
                <w:rFonts w:ascii="Calibri" w:hAnsi="Calibri"/>
                <w:b w:val="0"/>
                <w:i w:val="0"/>
                <w:color w:val="1E7D32"/>
                <w:sz w:val="16"/>
              </w:rPr>
              <w:t>$0.383789  (+12%)</w:t>
            </w:r>
          </w:p>
        </w:tc>
        <w:tc>
          <w:tcPr>
            <w:tcW w:type="dxa" w:w="1600"/>
            <w:shd w:val="clear" w:color="auto" w:fill="F2F5FB"/>
          </w:tcPr>
          <w:p>
            <w:pPr>
              <w:jc w:val="center"/>
            </w:pPr>
            <w:r>
              <w:rPr>
                <w:rFonts w:ascii="Calibri" w:hAnsi="Calibri"/>
                <w:b w:val="0"/>
                <w:i w:val="0"/>
                <w:color w:val="C62828"/>
                <w:sz w:val="16"/>
              </w:rPr>
              <w:t>$0.317534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$1 509.19</w:t>
            </w:r>
          </w:p>
        </w:tc>
        <w:tc>
          <w:tcPr>
            <w:tcW w:type="dxa" w:w="1700"/>
          </w:tcPr>
          <w:p>
            <w:pPr>
              <w:jc w:val="center"/>
            </w:pPr>
            <w:r>
              <w:rPr>
                <w:rFonts w:ascii="Calibri" w:hAnsi="Calibri"/>
                <w:b w:val="0"/>
                <w:i w:val="0"/>
                <w:color w:val="1E7D32"/>
                <w:sz w:val="16"/>
              </w:rPr>
              <w:t>$2 196.84  (+46%)</w:t>
            </w:r>
          </w:p>
        </w:tc>
        <w:tc>
          <w:tcPr>
            <w:tcW w:type="dxa" w:w="1600"/>
          </w:tcPr>
          <w:p>
            <w:pPr>
              <w:jc w:val="center"/>
            </w:pPr>
            <w:r>
              <w:rPr>
                <w:rFonts w:ascii="Calibri" w:hAnsi="Calibri"/>
                <w:b w:val="0"/>
                <w:i w:val="0"/>
                <w:color w:val="C62828"/>
                <w:sz w:val="16"/>
              </w:rPr>
              <w:t>$1 175.01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$1.0787  (+8%)</w:t>
            </w:r>
          </w:p>
        </w:tc>
        <w:tc>
          <w:tcPr>
            <w:tcW w:type="dxa" w:w="1600"/>
            <w:shd w:val="clear" w:color="auto" w:fill="F2F5FB"/>
          </w:tcPr>
          <w:p>
            <w:pPr>
              <w:jc w:val="center"/>
            </w:pPr>
            <w:r>
              <w:rPr>
                <w:rFonts w:ascii="Calibri" w:hAnsi="Calibri"/>
                <w:b w:val="0"/>
                <w:i w:val="0"/>
                <w:color w:val="C62828"/>
                <w:sz w:val="16"/>
              </w:rPr>
              <w:t>$0.951130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$93.6448</w:t>
            </w:r>
          </w:p>
        </w:tc>
        <w:tc>
          <w:tcPr>
            <w:tcW w:type="dxa" w:w="1700"/>
          </w:tcPr>
          <w:p>
            <w:pPr>
              <w:jc w:val="center"/>
            </w:pPr>
            <w:r>
              <w:rPr>
                <w:rFonts w:ascii="Calibri" w:hAnsi="Calibri"/>
                <w:b w:val="0"/>
                <w:i w:val="0"/>
                <w:color w:val="1E7D32"/>
                <w:sz w:val="16"/>
              </w:rPr>
              <w:t>$128.8653  (+38%)</w:t>
            </w:r>
          </w:p>
        </w:tc>
        <w:tc>
          <w:tcPr>
            <w:tcW w:type="dxa" w:w="1600"/>
          </w:tcPr>
          <w:p>
            <w:pPr>
              <w:jc w:val="center"/>
            </w:pPr>
            <w:r>
              <w:rPr>
                <w:rFonts w:ascii="Calibri" w:hAnsi="Calibri"/>
                <w:b w:val="0"/>
                <w:i w:val="0"/>
                <w:color w:val="C62828"/>
                <w:sz w:val="16"/>
              </w:rPr>
              <w:t>$75.6918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$0.087278</w:t>
            </w:r>
          </w:p>
        </w:tc>
        <w:tc>
          <w:tcPr>
            <w:tcW w:type="dxa" w:w="1700"/>
            <w:shd w:val="clear" w:color="auto" w:fill="F2F5FB"/>
          </w:tcPr>
          <w:p>
            <w:pPr>
              <w:jc w:val="center"/>
            </w:pPr>
            <w:r>
              <w:rPr>
                <w:rFonts w:ascii="Calibri" w:hAnsi="Calibri"/>
                <w:b w:val="0"/>
                <w:i w:val="0"/>
                <w:color w:val="1E7D32"/>
                <w:sz w:val="16"/>
              </w:rPr>
              <w:t>$0.108654  (+24%)</w:t>
            </w:r>
          </w:p>
        </w:tc>
        <w:tc>
          <w:tcPr>
            <w:tcW w:type="dxa" w:w="1600"/>
            <w:shd w:val="clear" w:color="auto" w:fill="F2F5FB"/>
          </w:tcPr>
          <w:p>
            <w:pPr>
              <w:jc w:val="center"/>
            </w:pPr>
            <w:r>
              <w:rPr>
                <w:rFonts w:ascii="Calibri" w:hAnsi="Calibri"/>
                <w:b w:val="0"/>
                <w:i w:val="0"/>
                <w:color w:val="C62828"/>
                <w:sz w:val="16"/>
              </w:rPr>
              <w:t>$0.075418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$562.5656</w:t>
            </w:r>
          </w:p>
        </w:tc>
        <w:tc>
          <w:tcPr>
            <w:tcW w:type="dxa" w:w="1700"/>
          </w:tcPr>
          <w:p>
            <w:pPr>
              <w:jc w:val="center"/>
            </w:pPr>
            <w:r>
              <w:rPr>
                <w:rFonts w:ascii="Calibri" w:hAnsi="Calibri"/>
                <w:b w:val="0"/>
                <w:i w:val="0"/>
                <w:color w:val="1E7D32"/>
                <w:sz w:val="16"/>
              </w:rPr>
              <w:t>$745.0547  (+32%)</w:t>
            </w:r>
          </w:p>
        </w:tc>
        <w:tc>
          <w:tcPr>
            <w:tcW w:type="dxa" w:w="1600"/>
          </w:tcPr>
          <w:p>
            <w:pPr>
              <w:jc w:val="center"/>
            </w:pPr>
            <w:r>
              <w:rPr>
                <w:rFonts w:ascii="Calibri" w:hAnsi="Calibri"/>
                <w:b w:val="0"/>
                <w:i w:val="0"/>
                <w:color w:val="C62828"/>
                <w:sz w:val="16"/>
              </w:rPr>
              <w:t>$466.4765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$82.8725</w:t>
            </w:r>
          </w:p>
        </w:tc>
        <w:tc>
          <w:tcPr>
            <w:tcW w:type="dxa" w:w="1700"/>
            <w:shd w:val="clear" w:color="auto" w:fill="F2F5FB"/>
          </w:tcPr>
          <w:p>
            <w:pPr>
              <w:jc w:val="center"/>
            </w:pPr>
            <w:r>
              <w:rPr>
                <w:rFonts w:ascii="Calibri" w:hAnsi="Calibri"/>
                <w:b w:val="0"/>
                <w:i w:val="0"/>
                <w:color w:val="1E7D32"/>
                <w:sz w:val="16"/>
              </w:rPr>
              <w:t>$106.1336  (+28%)</w:t>
            </w:r>
          </w:p>
        </w:tc>
        <w:tc>
          <w:tcPr>
            <w:tcW w:type="dxa" w:w="1600"/>
            <w:shd w:val="clear" w:color="auto" w:fill="F2F5FB"/>
          </w:tcPr>
          <w:p>
            <w:pPr>
              <w:jc w:val="center"/>
            </w:pPr>
            <w:r>
              <w:rPr>
                <w:rFonts w:ascii="Calibri" w:hAnsi="Calibri"/>
                <w:b w:val="0"/>
                <w:i w:val="0"/>
                <w:color w:val="C62828"/>
                <w:sz w:val="16"/>
              </w:rPr>
              <w:t>$70.2720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$0.014097</w:t>
            </w:r>
          </w:p>
        </w:tc>
        <w:tc>
          <w:tcPr>
            <w:tcW w:type="dxa" w:w="1700"/>
          </w:tcPr>
          <w:p>
            <w:pPr>
              <w:jc w:val="center"/>
            </w:pPr>
            <w:r>
              <w:rPr>
                <w:rFonts w:ascii="Calibri" w:hAnsi="Calibri"/>
                <w:b w:val="0"/>
                <w:i w:val="0"/>
                <w:color w:val="1E7D32"/>
                <w:sz w:val="16"/>
              </w:rPr>
              <w:t>$0.019172  (+36%)</w:t>
            </w:r>
          </w:p>
        </w:tc>
        <w:tc>
          <w:tcPr>
            <w:tcW w:type="dxa" w:w="1600"/>
          </w:tcPr>
          <w:p>
            <w:pPr>
              <w:jc w:val="center"/>
            </w:pPr>
            <w:r>
              <w:rPr>
                <w:rFonts w:ascii="Calibri" w:hAnsi="Calibri"/>
                <w:b w:val="0"/>
                <w:i w:val="0"/>
                <w:color w:val="C62828"/>
                <w:sz w:val="16"/>
              </w:rPr>
              <w:t>$0.011484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$12.5156</w:t>
            </w:r>
          </w:p>
        </w:tc>
        <w:tc>
          <w:tcPr>
            <w:tcW w:type="dxa" w:w="1700"/>
            <w:shd w:val="clear" w:color="auto" w:fill="F2F5FB"/>
          </w:tcPr>
          <w:p>
            <w:pPr>
              <w:jc w:val="center"/>
            </w:pPr>
            <w:r>
              <w:rPr>
                <w:rFonts w:ascii="Calibri" w:hAnsi="Calibri"/>
                <w:b w:val="0"/>
                <w:i w:val="0"/>
                <w:color w:val="1E7D32"/>
                <w:sz w:val="16"/>
              </w:rPr>
              <w:t>$16.0427  (+28%)</w:t>
            </w:r>
          </w:p>
        </w:tc>
        <w:tc>
          <w:tcPr>
            <w:tcW w:type="dxa" w:w="1600"/>
            <w:shd w:val="clear" w:color="auto" w:fill="F2F5FB"/>
          </w:tcPr>
          <w:p>
            <w:pPr>
              <w:jc w:val="center"/>
            </w:pPr>
            <w:r>
              <w:rPr>
                <w:rFonts w:ascii="Calibri" w:hAnsi="Calibri"/>
                <w:b w:val="0"/>
                <w:i w:val="0"/>
                <w:color w:val="C62828"/>
                <w:sz w:val="16"/>
              </w:rPr>
              <w:t>$10.6064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$0.227892</w:t>
            </w:r>
          </w:p>
        </w:tc>
        <w:tc>
          <w:tcPr>
            <w:tcW w:type="dxa" w:w="1700"/>
          </w:tcPr>
          <w:p>
            <w:pPr>
              <w:jc w:val="center"/>
            </w:pPr>
            <w:r>
              <w:rPr>
                <w:rFonts w:ascii="Calibri" w:hAnsi="Calibri"/>
                <w:b w:val="0"/>
                <w:i w:val="0"/>
                <w:color w:val="1E7D32"/>
                <w:sz w:val="16"/>
              </w:rPr>
              <w:t>$0.302690  (+33%)</w:t>
            </w:r>
          </w:p>
        </w:tc>
        <w:tc>
          <w:tcPr>
            <w:tcW w:type="dxa" w:w="1600"/>
          </w:tcPr>
          <w:p>
            <w:pPr>
              <w:jc w:val="center"/>
            </w:pPr>
            <w:r>
              <w:rPr>
                <w:rFonts w:ascii="Calibri" w:hAnsi="Calibri"/>
                <w:b w:val="0"/>
                <w:i w:val="0"/>
                <w:color w:val="C62828"/>
                <w:sz w:val="16"/>
              </w:rPr>
              <w:t>$0.188604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$8.9264</w:t>
            </w:r>
          </w:p>
        </w:tc>
        <w:tc>
          <w:tcPr>
            <w:tcW w:type="dxa" w:w="1700"/>
            <w:shd w:val="clear" w:color="auto" w:fill="F2F5FB"/>
          </w:tcPr>
          <w:p>
            <w:pPr>
              <w:jc w:val="center"/>
            </w:pPr>
            <w:r>
              <w:rPr>
                <w:rFonts w:ascii="Calibri" w:hAnsi="Calibri"/>
                <w:b w:val="0"/>
                <w:i w:val="0"/>
                <w:color w:val="1E7D32"/>
                <w:sz w:val="16"/>
              </w:rPr>
              <w:t>$10.1921  (+14%)</w:t>
            </w:r>
          </w:p>
        </w:tc>
        <w:tc>
          <w:tcPr>
            <w:tcW w:type="dxa" w:w="1600"/>
            <w:shd w:val="clear" w:color="auto" w:fill="F2F5FB"/>
          </w:tcPr>
          <w:p>
            <w:pPr>
              <w:jc w:val="center"/>
            </w:pPr>
            <w:r>
              <w:rPr>
                <w:rFonts w:ascii="Calibri" w:hAnsi="Calibri"/>
                <w:b w:val="0"/>
                <w:i w:val="0"/>
                <w:color w:val="C62828"/>
                <w:sz w:val="16"/>
              </w:rPr>
              <w:t>$8.1712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$0.197232</w:t>
            </w:r>
          </w:p>
        </w:tc>
        <w:tc>
          <w:tcPr>
            <w:tcW w:type="dxa" w:w="1700"/>
          </w:tcPr>
          <w:p>
            <w:pPr>
              <w:jc w:val="center"/>
            </w:pPr>
            <w:r>
              <w:rPr>
                <w:rFonts w:ascii="Calibri" w:hAnsi="Calibri"/>
                <w:b w:val="0"/>
                <w:i w:val="0"/>
                <w:color w:val="1E7D32"/>
                <w:sz w:val="16"/>
              </w:rPr>
              <w:t>$0.274626  (+39%)</w:t>
            </w:r>
          </w:p>
        </w:tc>
        <w:tc>
          <w:tcPr>
            <w:tcW w:type="dxa" w:w="1600"/>
          </w:tcPr>
          <w:p>
            <w:pPr>
              <w:jc w:val="center"/>
            </w:pPr>
            <w:r>
              <w:rPr>
                <w:rFonts w:ascii="Calibri" w:hAnsi="Calibri"/>
                <w:b w:val="0"/>
                <w:i w:val="0"/>
                <w:color w:val="C62828"/>
                <w:sz w:val="16"/>
              </w:rPr>
              <w:t>$0.158174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$8.7298</w:t>
            </w:r>
          </w:p>
        </w:tc>
        <w:tc>
          <w:tcPr>
            <w:tcW w:type="dxa" w:w="1700"/>
            <w:shd w:val="clear" w:color="auto" w:fill="F2F5FB"/>
          </w:tcPr>
          <w:p>
            <w:pPr>
              <w:jc w:val="center"/>
            </w:pPr>
            <w:r>
              <w:rPr>
                <w:rFonts w:ascii="Calibri" w:hAnsi="Calibri"/>
                <w:b w:val="0"/>
                <w:i w:val="0"/>
                <w:color w:val="1E7D32"/>
                <w:sz w:val="16"/>
              </w:rPr>
              <w:t>$11.8536  (+36%)</w:t>
            </w:r>
          </w:p>
        </w:tc>
        <w:tc>
          <w:tcPr>
            <w:tcW w:type="dxa" w:w="1600"/>
            <w:shd w:val="clear" w:color="auto" w:fill="F2F5FB"/>
          </w:tcPr>
          <w:p>
            <w:pPr>
              <w:jc w:val="center"/>
            </w:pPr>
            <w:r>
              <w:rPr>
                <w:rFonts w:ascii="Calibri" w:hAnsi="Calibri"/>
                <w:b w:val="0"/>
                <w:i w:val="0"/>
                <w:color w:val="C62828"/>
                <w:sz w:val="16"/>
              </w:rPr>
              <w:t>$7.1194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$4.1634</w:t>
            </w:r>
          </w:p>
        </w:tc>
        <w:tc>
          <w:tcPr>
            <w:tcW w:type="dxa" w:w="1700"/>
          </w:tcPr>
          <w:p>
            <w:pPr>
              <w:jc w:val="center"/>
            </w:pPr>
            <w:r>
              <w:rPr>
                <w:rFonts w:ascii="Calibri" w:hAnsi="Calibri"/>
                <w:b w:val="0"/>
                <w:i w:val="0"/>
                <w:color w:val="1E7D32"/>
                <w:sz w:val="16"/>
              </w:rPr>
              <w:t>$5.9552  (+43%)</w:t>
            </w:r>
          </w:p>
        </w:tc>
        <w:tc>
          <w:tcPr>
            <w:tcW w:type="dxa" w:w="1600"/>
          </w:tcPr>
          <w:p>
            <w:pPr>
              <w:jc w:val="center"/>
            </w:pPr>
            <w:r>
              <w:rPr>
                <w:rFonts w:ascii="Calibri" w:hAnsi="Calibri"/>
                <w:b w:val="0"/>
                <w:i w:val="0"/>
                <w:color w:val="C62828"/>
                <w:sz w:val="16"/>
              </w:rPr>
              <w:t>$3.2795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$252.6678</w:t>
            </w:r>
          </w:p>
        </w:tc>
        <w:tc>
          <w:tcPr>
            <w:tcW w:type="dxa" w:w="1700"/>
            <w:shd w:val="clear" w:color="auto" w:fill="F2F5FB"/>
          </w:tcPr>
          <w:p>
            <w:pPr>
              <w:jc w:val="center"/>
            </w:pPr>
            <w:r>
              <w:rPr>
                <w:rFonts w:ascii="Calibri" w:hAnsi="Calibri"/>
                <w:b w:val="0"/>
                <w:i w:val="0"/>
                <w:color w:val="1E7D32"/>
                <w:sz w:val="16"/>
              </w:rPr>
              <w:t>$343.2796  (+36%)</w:t>
            </w:r>
          </w:p>
        </w:tc>
        <w:tc>
          <w:tcPr>
            <w:tcW w:type="dxa" w:w="1600"/>
            <w:shd w:val="clear" w:color="auto" w:fill="F2F5FB"/>
          </w:tcPr>
          <w:p>
            <w:pPr>
              <w:jc w:val="center"/>
            </w:pPr>
            <w:r>
              <w:rPr>
                <w:rFonts w:ascii="Calibri" w:hAnsi="Calibri"/>
                <w:b w:val="0"/>
                <w:i w:val="0"/>
                <w:color w:val="C62828"/>
                <w:sz w:val="16"/>
              </w:rPr>
              <w:t>$205.9766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1.94</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$81 169.04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+44.9%  ·  drawdown vs plus-haut -34.9%  ·  momentum 7j/30j/90j +5.7% / +3.6%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~$81 169.04  ·  </w:t>
      </w:r>
      <w:r>
        <w:rPr>
          <w:rFonts w:ascii="Calibri" w:hAnsi="Calibri"/>
          <w:b w:val="0"/>
          <w:i w:val="0"/>
          <w:color w:val="1E7D32"/>
          <w:sz w:val="18"/>
        </w:rPr>
        <w:t>vente ↑ $99 094.05 (+22%)</w:t>
      </w:r>
      <w:r>
        <w:rPr>
          <w:rFonts w:ascii="Calibri" w:hAnsi="Calibri"/>
          <w:b w:val="0"/>
          <w:i w:val="0"/>
          <w:sz w:val="18"/>
        </w:rPr>
        <w:t xml:space="preserve">  ·  </w:t>
      </w:r>
      <w:r>
        <w:rPr>
          <w:rFonts w:ascii="Calibri" w:hAnsi="Calibri"/>
          <w:b w:val="0"/>
          <w:i w:val="0"/>
          <w:color w:val="C62828"/>
          <w:sz w:val="18"/>
        </w:rPr>
        <w:t>vente ↓ $71 058.97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$2 644.73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+1.8%  ·  volatilité annualisée +64.1%  ·  drawdown vs plus-haut -43.6%  ·  momentum 7j/30j/90j +6.8% / +5.2% / +53.3%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0.594)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~$2 644.73  ·  </w:t>
      </w:r>
      <w:r>
        <w:rPr>
          <w:rFonts w:ascii="Calibri" w:hAnsi="Calibri"/>
          <w:b w:val="0"/>
          <w:i w:val="0"/>
          <w:color w:val="1E7D32"/>
          <w:sz w:val="18"/>
        </w:rPr>
        <w:t>vente ↑ $3 369.30 (+27%)</w:t>
      </w:r>
      <w:r>
        <w:rPr>
          <w:rFonts w:ascii="Calibri" w:hAnsi="Calibri"/>
          <w:b w:val="0"/>
          <w:i w:val="0"/>
          <w:sz w:val="18"/>
        </w:rPr>
        <w:t xml:space="preserve">  ·  </w:t>
      </w:r>
      <w:r>
        <w:rPr>
          <w:rFonts w:ascii="Calibri" w:hAnsi="Calibri"/>
          <w:b w:val="0"/>
          <w:i w:val="0"/>
          <w:color w:val="C62828"/>
          <w:sz w:val="18"/>
        </w:rPr>
        <w:t>vente ↓ $2 250.49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$772.2241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+1.6%  ·  volatilité annualisée +52.4%  ·  drawdown vs plus-haut -41.0%  ·  momentum 7j/30j/90j +7.8% / +12.4% / +31.0%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~$772.2241  ·  </w:t>
      </w:r>
      <w:r>
        <w:rPr>
          <w:rFonts w:ascii="Calibri" w:hAnsi="Calibri"/>
          <w:b w:val="0"/>
          <w:i w:val="0"/>
          <w:color w:val="1E7D32"/>
          <w:sz w:val="18"/>
        </w:rPr>
        <w:t>vente ↑ $939.1622 (+22%)</w:t>
      </w:r>
      <w:r>
        <w:rPr>
          <w:rFonts w:ascii="Calibri" w:hAnsi="Calibri"/>
          <w:b w:val="0"/>
          <w:i w:val="0"/>
          <w:sz w:val="18"/>
        </w:rPr>
        <w:t xml:space="preserve">  ·  </w:t>
      </w:r>
      <w:r>
        <w:rPr>
          <w:rFonts w:ascii="Calibri" w:hAnsi="Calibri"/>
          <w:b w:val="0"/>
          <w:i w:val="0"/>
          <w:color w:val="C62828"/>
          <w:sz w:val="18"/>
        </w:rPr>
        <w:t>vente ↓ $677.7640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$1.4102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+2.7%  ·  volatilité annualisée +66.9%  ·  drawdown vs plus-haut -53.6%  ·  momentum 7j/30j/90j +5.1% / -3.0% / +25.0%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~$1.4102  ·  </w:t>
      </w:r>
      <w:r>
        <w:rPr>
          <w:rFonts w:ascii="Calibri" w:hAnsi="Calibri"/>
          <w:b w:val="0"/>
          <w:i w:val="0"/>
          <w:color w:val="1E7D32"/>
          <w:sz w:val="18"/>
        </w:rPr>
        <w:t>vente ↑ $1.7948 (+27%)</w:t>
      </w:r>
      <w:r>
        <w:rPr>
          <w:rFonts w:ascii="Calibri" w:hAnsi="Calibri"/>
          <w:b w:val="0"/>
          <w:i w:val="0"/>
          <w:sz w:val="18"/>
        </w:rPr>
        <w:t xml:space="preserve">  ·  </w:t>
      </w:r>
      <w:r>
        <w:rPr>
          <w:rFonts w:ascii="Calibri" w:hAnsi="Calibri"/>
          <w:b w:val="0"/>
          <w:i w:val="0"/>
          <w:color w:val="C62828"/>
          <w:sz w:val="18"/>
        </w:rPr>
        <w:t>vente ↓ $1.2008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$111.1541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+68.0%  ·  drawdown vs plus-haut -52.7%  ·  momentum 7j/30j/90j +11.9% / +18.6% / +54.7%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~$111.1541  ·  </w:t>
      </w:r>
      <w:r>
        <w:rPr>
          <w:rFonts w:ascii="Calibri" w:hAnsi="Calibri"/>
          <w:b w:val="0"/>
          <w:i w:val="0"/>
          <w:color w:val="1E7D32"/>
          <w:sz w:val="18"/>
        </w:rPr>
        <w:t>vente ↑ $141.9471 (+28%)</w:t>
      </w:r>
      <w:r>
        <w:rPr>
          <w:rFonts w:ascii="Calibri" w:hAnsi="Calibri"/>
          <w:b w:val="0"/>
          <w:i w:val="0"/>
          <w:sz w:val="18"/>
        </w:rPr>
        <w:t xml:space="preserve">  ·  </w:t>
      </w:r>
      <w:r>
        <w:rPr>
          <w:rFonts w:ascii="Calibri" w:hAnsi="Calibri"/>
          <w:b w:val="0"/>
          <w:i w:val="0"/>
          <w:color w:val="C62828"/>
          <w:sz w:val="18"/>
        </w:rPr>
        <w:t>vente ↓ $94.4333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$0.342540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+0.7%  ·  volatilité annualisée +25.3%  ·  drawdown vs plus-haut -8.7%  ·  momentum 7j/30j/90j +1.3% / -0.2% / +2.7%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~$0.342540  ·  </w:t>
      </w:r>
      <w:r>
        <w:rPr>
          <w:rFonts w:ascii="Calibri" w:hAnsi="Calibri"/>
          <w:b w:val="0"/>
          <w:i w:val="0"/>
          <w:color w:val="1E7D32"/>
          <w:sz w:val="18"/>
        </w:rPr>
        <w:t>vente ↑ $0.383789 (+12%)</w:t>
      </w:r>
      <w:r>
        <w:rPr>
          <w:rFonts w:ascii="Calibri" w:hAnsi="Calibri"/>
          <w:b w:val="0"/>
          <w:i w:val="0"/>
          <w:sz w:val="18"/>
        </w:rPr>
        <w:t xml:space="preserve">  ·  </w:t>
      </w:r>
      <w:r>
        <w:rPr>
          <w:rFonts w:ascii="Calibri" w:hAnsi="Calibri"/>
          <w:b w:val="0"/>
          <w:i w:val="0"/>
          <w:color w:val="C62828"/>
          <w:sz w:val="18"/>
        </w:rPr>
        <w:t>vente ↓ $0.317534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$1 509.19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+157.5%  ·  drawdown vs plus-haut -3.4%  ·  momentum 7j/30j/90j +42.0% / +105.8% / +241.7%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0.508)  ·  </w:t>
      </w:r>
      <w:r>
        <w:rPr>
          <w:rFonts w:ascii="Calibri" w:hAnsi="Calibri"/>
          <w:b w:val="0"/>
          <w:i w:val="0"/>
          <w:color w:val="C62828"/>
          <w:sz w:val="18"/>
        </w:rPr>
        <w:t>Risque rouge (vol 1.58)</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~$1 509.19  ·  </w:t>
      </w:r>
      <w:r>
        <w:rPr>
          <w:rFonts w:ascii="Calibri" w:hAnsi="Calibri"/>
          <w:b w:val="0"/>
          <w:i w:val="0"/>
          <w:color w:val="1E7D32"/>
          <w:sz w:val="18"/>
        </w:rPr>
        <w:t>vente ↑ $2 196.84 (+46%)</w:t>
      </w:r>
      <w:r>
        <w:rPr>
          <w:rFonts w:ascii="Calibri" w:hAnsi="Calibri"/>
          <w:b w:val="0"/>
          <w:i w:val="0"/>
          <w:sz w:val="18"/>
        </w:rPr>
        <w:t xml:space="preserve">  ·  </w:t>
      </w:r>
      <w:r>
        <w:rPr>
          <w:rFonts w:ascii="Calibri" w:hAnsi="Calibri"/>
          <w:b w:val="0"/>
          <w:i w:val="0"/>
          <w:color w:val="C62828"/>
          <w:sz w:val="18"/>
        </w:rPr>
        <w:t>vente ↓ $1 175.01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+246.6%  ·  drawdown vs plus-haut -4.7%  ·  momentum 7j/30j/90j -2.1% / -0.6% / -3.2%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-16%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$1.0787 (+8%)</w:t>
      </w:r>
      <w:r>
        <w:rPr>
          <w:rFonts w:ascii="Calibri" w:hAnsi="Calibri"/>
          <w:b w:val="0"/>
          <w:i w:val="0"/>
          <w:sz w:val="18"/>
        </w:rPr>
        <w:t xml:space="preserve">  ·  </w:t>
      </w:r>
      <w:r>
        <w:rPr>
          <w:rFonts w:ascii="Calibri" w:hAnsi="Calibri"/>
          <w:b w:val="0"/>
          <w:i w:val="0"/>
          <w:color w:val="C62828"/>
          <w:sz w:val="18"/>
        </w:rPr>
        <w:t>vente ↓ $0.951130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$93.6448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+92.7%  ·  drawdown vs plus-haut +0.0%  ·  momentum 7j/30j/90j +21.1% / +24.0% / +41.5%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0.562)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~$93.6448  ·  </w:t>
      </w:r>
      <w:r>
        <w:rPr>
          <w:rFonts w:ascii="Calibri" w:hAnsi="Calibri"/>
          <w:b w:val="0"/>
          <w:i w:val="0"/>
          <w:color w:val="1E7D32"/>
          <w:sz w:val="18"/>
        </w:rPr>
        <w:t>vente ↑ $128.8653 (+38%)</w:t>
      </w:r>
      <w:r>
        <w:rPr>
          <w:rFonts w:ascii="Calibri" w:hAnsi="Calibri"/>
          <w:b w:val="0"/>
          <w:i w:val="0"/>
          <w:sz w:val="18"/>
        </w:rPr>
        <w:t xml:space="preserve">  ·  </w:t>
      </w:r>
      <w:r>
        <w:rPr>
          <w:rFonts w:ascii="Calibri" w:hAnsi="Calibri"/>
          <w:b w:val="0"/>
          <w:i w:val="0"/>
          <w:color w:val="C62828"/>
          <w:sz w:val="18"/>
        </w:rPr>
        <w:t>vente ↓ $75.6918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$0.087278   |   Composite -0.67   |   Indicateurs actifs : ma,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+2.3%  ·  volatilité annualisée +71.5%  ·  drawdown vs plus-haut -67.3%  ·  momentum 7j/30j/90j +5.9% / -4.6% / +6.0%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~$0.087278  ·  </w:t>
      </w:r>
      <w:r>
        <w:rPr>
          <w:rFonts w:ascii="Calibri" w:hAnsi="Calibri"/>
          <w:b w:val="0"/>
          <w:i w:val="0"/>
          <w:color w:val="1E7D32"/>
          <w:sz w:val="18"/>
        </w:rPr>
        <w:t>vente ↑ $0.108654 (+24%)</w:t>
      </w:r>
      <w:r>
        <w:rPr>
          <w:rFonts w:ascii="Calibri" w:hAnsi="Calibri"/>
          <w:b w:val="0"/>
          <w:i w:val="0"/>
          <w:sz w:val="18"/>
        </w:rPr>
        <w:t xml:space="preserve">  ·  </w:t>
      </w:r>
      <w:r>
        <w:rPr>
          <w:rFonts w:ascii="Calibri" w:hAnsi="Calibri"/>
          <w:b w:val="0"/>
          <w:i w:val="0"/>
          <w:color w:val="C62828"/>
          <w:sz w:val="18"/>
        </w:rPr>
        <w:t>vente ↓ $0.075418 (-14%)</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$562.5656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+85.2%  ·  drawdown vs plus-haut -20.3%  ·  momentum 7j/30j/90j +8.6% / +36.3% / +77.2%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0.643)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~$562.5656  ·  </w:t>
      </w:r>
      <w:r>
        <w:rPr>
          <w:rFonts w:ascii="Calibri" w:hAnsi="Calibri"/>
          <w:b w:val="0"/>
          <w:i w:val="0"/>
          <w:color w:val="1E7D32"/>
          <w:sz w:val="18"/>
        </w:rPr>
        <w:t>vente ↑ $745.0547 (+32%)</w:t>
      </w:r>
      <w:r>
        <w:rPr>
          <w:rFonts w:ascii="Calibri" w:hAnsi="Calibri"/>
          <w:b w:val="0"/>
          <w:i w:val="0"/>
          <w:sz w:val="18"/>
        </w:rPr>
        <w:t xml:space="preserve">  ·  </w:t>
      </w:r>
      <w:r>
        <w:rPr>
          <w:rFonts w:ascii="Calibri" w:hAnsi="Calibri"/>
          <w:b w:val="0"/>
          <w:i w:val="0"/>
          <w:color w:val="C62828"/>
          <w:sz w:val="18"/>
        </w:rPr>
        <w:t>vente ↓ $466.4765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$82.8725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+54.3%  ·  drawdown vs plus-haut -0.2%  ·  momentum 7j/30j/90j +4.1% / +14.2% / +58.8%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~$82.8725  ·  </w:t>
      </w:r>
      <w:r>
        <w:rPr>
          <w:rFonts w:ascii="Calibri" w:hAnsi="Calibri"/>
          <w:b w:val="0"/>
          <w:i w:val="0"/>
          <w:color w:val="1E7D32"/>
          <w:sz w:val="18"/>
        </w:rPr>
        <w:t>vente ↑ $106.1336 (+28%)</w:t>
      </w:r>
      <w:r>
        <w:rPr>
          <w:rFonts w:ascii="Calibri" w:hAnsi="Calibri"/>
          <w:b w:val="0"/>
          <w:i w:val="0"/>
          <w:sz w:val="18"/>
        </w:rPr>
        <w:t xml:space="preserve">  ·  </w:t>
      </w:r>
      <w:r>
        <w:rPr>
          <w:rFonts w:ascii="Calibri" w:hAnsi="Calibri"/>
          <w:b w:val="0"/>
          <w:i w:val="0"/>
          <w:color w:val="C62828"/>
          <w:sz w:val="18"/>
        </w:rPr>
        <w:t>vente ↓ $70.2720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$0.014097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+119.0%  ·  drawdown vs plus-haut -22.4%  ·  momentum 7j/30j/90j -7.0% / -6.4% / -12.0%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rouge (AUC 0.595)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~$0.014097  ·  </w:t>
      </w:r>
      <w:r>
        <w:rPr>
          <w:rFonts w:ascii="Calibri" w:hAnsi="Calibri"/>
          <w:b w:val="0"/>
          <w:i w:val="0"/>
          <w:color w:val="1E7D32"/>
          <w:sz w:val="18"/>
        </w:rPr>
        <w:t>vente ↑ $0.019172 (+36%)</w:t>
      </w:r>
      <w:r>
        <w:rPr>
          <w:rFonts w:ascii="Calibri" w:hAnsi="Calibri"/>
          <w:b w:val="0"/>
          <w:i w:val="0"/>
          <w:sz w:val="18"/>
        </w:rPr>
        <w:t xml:space="preserve">  ·  </w:t>
      </w:r>
      <w:r>
        <w:rPr>
          <w:rFonts w:ascii="Calibri" w:hAnsi="Calibri"/>
          <w:b w:val="0"/>
          <w:i w:val="0"/>
          <w:color w:val="C62828"/>
          <w:sz w:val="18"/>
        </w:rPr>
        <w:t>vente ↓ $0.011484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$12.5156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+2.7%  ·  volatilité annualisée +75.4%  ·  drawdown vs plus-haut -46.6%  ·  momentum 7j/30j/90j +11.7% / +4.4% / +59.2%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~$12.5156  ·  </w:t>
      </w:r>
      <w:r>
        <w:rPr>
          <w:rFonts w:ascii="Calibri" w:hAnsi="Calibri"/>
          <w:b w:val="0"/>
          <w:i w:val="0"/>
          <w:color w:val="1E7D32"/>
          <w:sz w:val="18"/>
        </w:rPr>
        <w:t>vente ↑ $16.0427 (+28%)</w:t>
      </w:r>
      <w:r>
        <w:rPr>
          <w:rFonts w:ascii="Calibri" w:hAnsi="Calibri"/>
          <w:b w:val="0"/>
          <w:i w:val="0"/>
          <w:sz w:val="18"/>
        </w:rPr>
        <w:t xml:space="preserve">  ·  </w:t>
      </w:r>
      <w:r>
        <w:rPr>
          <w:rFonts w:ascii="Calibri" w:hAnsi="Calibri"/>
          <w:b w:val="0"/>
          <w:i w:val="0"/>
          <w:color w:val="C62828"/>
          <w:sz w:val="18"/>
        </w:rPr>
        <w:t>vente ↓ $10.6064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$0.227892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+81.8%  ·  drawdown vs plus-haut -73.9%  ·  momentum 7j/30j/90j +11.9% / -0.5%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0.778)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~$0.227892  ·  </w:t>
      </w:r>
      <w:r>
        <w:rPr>
          <w:rFonts w:ascii="Calibri" w:hAnsi="Calibri"/>
          <w:b w:val="0"/>
          <w:i w:val="0"/>
          <w:color w:val="1E7D32"/>
          <w:sz w:val="18"/>
        </w:rPr>
        <w:t>vente ↑ $0.302690 (+33%)</w:t>
      </w:r>
      <w:r>
        <w:rPr>
          <w:rFonts w:ascii="Calibri" w:hAnsi="Calibri"/>
          <w:b w:val="0"/>
          <w:i w:val="0"/>
          <w:sz w:val="18"/>
        </w:rPr>
        <w:t xml:space="preserve">  ·  </w:t>
      </w:r>
      <w:r>
        <w:rPr>
          <w:rFonts w:ascii="Calibri" w:hAnsi="Calibri"/>
          <w:b w:val="0"/>
          <w:i w:val="0"/>
          <w:color w:val="C62828"/>
          <w:sz w:val="18"/>
        </w:rPr>
        <w:t>vente ↓ $0.188604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$8.9264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+0.9%  ·  volatilité annualisée +54.6%  ·  drawdown vs plus-haut -15.4%  ·  momentum 7j/30j/90j -1.3% / -4.2% / -6.8%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0.62)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~$8.9264  ·  </w:t>
      </w:r>
      <w:r>
        <w:rPr>
          <w:rFonts w:ascii="Calibri" w:hAnsi="Calibri"/>
          <w:b w:val="0"/>
          <w:i w:val="0"/>
          <w:color w:val="1E7D32"/>
          <w:sz w:val="18"/>
        </w:rPr>
        <w:t>vente ↑ $10.1921 (+14%)</w:t>
      </w:r>
      <w:r>
        <w:rPr>
          <w:rFonts w:ascii="Calibri" w:hAnsi="Calibri"/>
          <w:b w:val="0"/>
          <w:i w:val="0"/>
          <w:sz w:val="18"/>
        </w:rPr>
        <w:t xml:space="preserve">  ·  </w:t>
      </w:r>
      <w:r>
        <w:rPr>
          <w:rFonts w:ascii="Calibri" w:hAnsi="Calibri"/>
          <w:b w:val="0"/>
          <w:i w:val="0"/>
          <w:color w:val="C62828"/>
          <w:sz w:val="18"/>
        </w:rPr>
        <w:t>vente ↓ $8.1712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$0.197232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+79.3%  ·  drawdown vs plus-haut -51.9%  ·  momentum 7j/30j/90j +11.3% / -2.3% / -2.6%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~$0.197232  ·  </w:t>
      </w:r>
      <w:r>
        <w:rPr>
          <w:rFonts w:ascii="Calibri" w:hAnsi="Calibri"/>
          <w:b w:val="0"/>
          <w:i w:val="0"/>
          <w:color w:val="1E7D32"/>
          <w:sz w:val="18"/>
        </w:rPr>
        <w:t>vente ↑ $0.274626 (+39%)</w:t>
      </w:r>
      <w:r>
        <w:rPr>
          <w:rFonts w:ascii="Calibri" w:hAnsi="Calibri"/>
          <w:b w:val="0"/>
          <w:i w:val="0"/>
          <w:sz w:val="18"/>
        </w:rPr>
        <w:t xml:space="preserve">  ·  </w:t>
      </w:r>
      <w:r>
        <w:rPr>
          <w:rFonts w:ascii="Calibri" w:hAnsi="Calibri"/>
          <w:b w:val="0"/>
          <w:i w:val="0"/>
          <w:color w:val="C62828"/>
          <w:sz w:val="18"/>
        </w:rPr>
        <w:t>vente ↓ $0.158174 (-20%)</w:t>
      </w:r>
      <w:r>
        <w:rPr>
          <w:rFonts w:ascii="Calibri" w:hAnsi="Calibri"/>
          <w:b w:val="0"/>
          <w:i w:val="0"/>
          <w:sz w:val="18"/>
        </w:rPr>
        <w:t xml:space="preserve">  ·  détention ~26 j  ·  ratio G/P 1.98</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$8.7298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+100.2%  ·  drawdown vs plus-haut -7.2%  ·  momentum 7j/30j/90j +42.5% / +111.0% / +193.0%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~$8.7298  ·  </w:t>
      </w:r>
      <w:r>
        <w:rPr>
          <w:rFonts w:ascii="Calibri" w:hAnsi="Calibri"/>
          <w:b w:val="0"/>
          <w:i w:val="0"/>
          <w:color w:val="1E7D32"/>
          <w:sz w:val="18"/>
        </w:rPr>
        <w:t>vente ↑ $11.8536 (+36%)</w:t>
      </w:r>
      <w:r>
        <w:rPr>
          <w:rFonts w:ascii="Calibri" w:hAnsi="Calibri"/>
          <w:b w:val="0"/>
          <w:i w:val="0"/>
          <w:sz w:val="18"/>
        </w:rPr>
        <w:t xml:space="preserve">  ·  </w:t>
      </w:r>
      <w:r>
        <w:rPr>
          <w:rFonts w:ascii="Calibri" w:hAnsi="Calibri"/>
          <w:b w:val="0"/>
          <w:i w:val="0"/>
          <w:color w:val="C62828"/>
          <w:sz w:val="18"/>
        </w:rPr>
        <w:t>vente ↓ $7.1194 (-18%)</w:t>
      </w:r>
      <w:r>
        <w:rPr>
          <w:rFonts w:ascii="Calibri" w:hAnsi="Calibri"/>
          <w:b w:val="0"/>
          <w:i w:val="0"/>
          <w:sz w:val="18"/>
        </w:rPr>
        <w:t xml:space="preserve">  ·  détention ~21 j  ·  ratio G/P 1.94</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$4.1634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+102.9%  ·  drawdown vs plus-haut +0.0%  ·  momentum 7j/30j/90j +81.1% / +111.8% / +101.4%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~$4.1634  ·  </w:t>
      </w:r>
      <w:r>
        <w:rPr>
          <w:rFonts w:ascii="Calibri" w:hAnsi="Calibri"/>
          <w:b w:val="0"/>
          <w:i w:val="0"/>
          <w:color w:val="1E7D32"/>
          <w:sz w:val="18"/>
        </w:rPr>
        <w:t>vente ↑ $5.9552 (+43%)</w:t>
      </w:r>
      <w:r>
        <w:rPr>
          <w:rFonts w:ascii="Calibri" w:hAnsi="Calibri"/>
          <w:b w:val="0"/>
          <w:i w:val="0"/>
          <w:sz w:val="18"/>
        </w:rPr>
        <w:t xml:space="preserve">  ·  </w:t>
      </w:r>
      <w:r>
        <w:rPr>
          <w:rFonts w:ascii="Calibri" w:hAnsi="Calibri"/>
          <w:b w:val="0"/>
          <w:i w:val="0"/>
          <w:color w:val="C62828"/>
          <w:sz w:val="18"/>
        </w:rPr>
        <w:t>vente ↓ $3.2795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$252.6678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+71.8%  ·  drawdown vs plus-haut -61.4%  ·  momentum 7j/30j/90j +14.3% / -12.3% / +28.1%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~$252.6678  ·  </w:t>
      </w:r>
      <w:r>
        <w:rPr>
          <w:rFonts w:ascii="Calibri" w:hAnsi="Calibri"/>
          <w:b w:val="0"/>
          <w:i w:val="0"/>
          <w:color w:val="1E7D32"/>
          <w:sz w:val="18"/>
        </w:rPr>
        <w:t>vente ↑ $343.2796 (+36%)</w:t>
      </w:r>
      <w:r>
        <w:rPr>
          <w:rFonts w:ascii="Calibri" w:hAnsi="Calibri"/>
          <w:b w:val="0"/>
          <w:i w:val="0"/>
          <w:sz w:val="18"/>
        </w:rPr>
        <w:t xml:space="preserve">  ·  </w:t>
      </w:r>
      <w:r>
        <w:rPr>
          <w:rFonts w:ascii="Calibri" w:hAnsi="Calibri"/>
          <w:b w:val="0"/>
          <w:i w:val="0"/>
          <w:color w:val="C62828"/>
          <w:sz w:val="18"/>
        </w:rPr>
        <w:t>vente ↓ $205.9766 (-18%)</w:t>
      </w:r>
      <w:r>
        <w:rPr>
          <w:rFonts w:ascii="Calibri" w:hAnsi="Calibri"/>
          <w:b w:val="0"/>
          <w:i w:val="0"/>
          <w:sz w:val="18"/>
        </w:rPr>
        <w:t xml:space="preserve">  ·  détention ~29 j  ·  ratio G/P 1.94</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