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40"/>
      </w:tblGrid>
      <w:tr>
        <w:tc>
          <w:tcPr>
            <w:tcW w:type="dxa" w:w="10240"/>
            <w:shd w:val="clear" w:color="auto" w:fill="1F3864"/>
          </w:tcPr>
          <w:p>
            <w:r>
              <w:rPr>
                <w:rFonts w:ascii="Calibri" w:hAnsi="Calibri"/>
                <w:b/>
                <w:i w:val="0"/>
                <w:color w:val="FFFFFF"/>
                <w:sz w:val="44"/>
              </w:rPr>
              <w:t>NOTE CRYPTO QUOTIDIENNE</w:t>
            </w:r>
          </w:p>
        </w:tc>
      </w:tr>
      <w:tr>
        <w:tc>
          <w:tcPr>
            <w:tcW w:type="dxa" w:w="10240"/>
            <w:shd w:val="clear" w:color="auto" w:fill="1F3864"/>
          </w:tcPr>
          <w:p>
            <w:r>
              <w:rPr>
                <w:rFonts w:ascii="Calibri" w:hAnsi="Calibri"/>
                <w:b w:val="0"/>
                <w:i w:val="0"/>
                <w:color w:val="D9E1F2"/>
                <w:sz w:val="22"/>
              </w:rPr>
              <w:t>Analyse technique · fondamentale · prédiction — 2026-10-13</w:t>
            </w:r>
          </w:p>
        </w:tc>
      </w:tr>
    </w:tbl>
    <w:p/>
    <w:p>
      <w:r>
        <w:rPr>
          <w:rFonts w:ascii="Calibri" w:hAnsi="Calibri"/>
          <w:b w:val="0"/>
          <w:i/>
          <w:color w:val="555555"/>
          <w:sz w:val="18"/>
        </w:rPr>
        <w:t>Univers analysé : 130 cryptomonnaies (top capitalisation). Deux couches : signal technique transparent (ACHAT/CONSERVATION/VENTE) et décision d'investissement à 4 feux (Technique · Fondamental · Prédiction · Risque).</w:t>
      </w:r>
    </w:p>
    <w:p>
      <w:pPr>
        <w:pStyle w:val="Heading1"/>
      </w:pPr>
      <w:r>
        <w:t>1. Résumé exécutif</w:t>
      </w:r>
    </w:p>
    <w:p>
      <w:r>
        <w:rPr>
          <w:rFonts w:ascii="Calibri" w:hAnsi="Calibri"/>
          <w:b w:val="0"/>
          <w:i w:val="0"/>
          <w:sz w:val="20"/>
        </w:rPr>
        <w:t>Répartition des décisions à 4 feux sur les 130 cryptomonnaies :</w:t>
      </w:r>
    </w:p>
    <w:p>
      <w:pPr>
        <w:pStyle w:val="ListBullet"/>
      </w:pPr>
      <w:r>
        <w:rPr>
          <w:rFonts w:ascii="Calibri" w:hAnsi="Calibri"/>
          <w:b/>
          <w:i w:val="0"/>
          <w:color w:val="1E7D32"/>
          <w:sz w:val="20"/>
        </w:rPr>
        <w:t>INVESTIR (4 feux verts) : 3 — JST, AERO, ORCA.</w:t>
      </w:r>
    </w:p>
    <w:p>
      <w:pPr>
        <w:pStyle w:val="ListBullet"/>
      </w:pPr>
      <w:r>
        <w:rPr>
          <w:rFonts w:ascii="Calibri" w:hAnsi="Calibri"/>
          <w:b/>
          <w:i w:val="0"/>
          <w:color w:val="B26A00"/>
          <w:sz w:val="20"/>
        </w:rPr>
        <w:t>CONSERVER (pas de signal net) : 62.</w:t>
      </w:r>
    </w:p>
    <w:p>
      <w:pPr>
        <w:pStyle w:val="ListBullet"/>
      </w:pPr>
      <w:r>
        <w:rPr>
          <w:rFonts w:ascii="Calibri" w:hAnsi="Calibri"/>
          <w:b/>
          <w:i w:val="0"/>
          <w:color w:val="C62828"/>
          <w:sz w:val="20"/>
        </w:rPr>
        <w:t>ÉVITER (fondamental ou risque en échec) : 65 — FIGR_HELOC, XMR, LEO, BTW, CC, GRAM, CRO, OKB, USYC, USDY, BUIDL, M, WLFI, USDF, SKY, MNT, MORPHO, EURSAFO, BGB, BFUSD, USDGO, GT, KCS, KAS, BCAP, PI, NEXO, USTB, OUSD, NIGHT, STABLE, GHO, BDX, STRK, EUTBL, VET, FLR, TIA, JAAA, PRL, S, Q, DRV, CAP, W, ANVL, BP, GRASS, CARDS, SHX, SHFL, FLUID, MINA, CASHCAT, H, EDGE, AKE, USELESS, BR, GRX, PONS, AR, PEAQ, RSR, SOON.</w:t>
      </w:r>
    </w:p>
    <w:p>
      <w:pPr>
        <w:pStyle w:val="Heading1"/>
      </w:pPr>
      <w:r>
        <w:t>2. Tableau récapitulatif</w:t>
      </w:r>
    </w:p>
    <w:tbl>
      <w:tblPr>
        <w:tblW w:type="auto" w:w="0"/>
        <w:jc w:val="center"/>
        <w:tblLook w:firstColumn="1" w:firstRow="1" w:lastColumn="0" w:lastRow="0" w:noHBand="0" w:noVBand="1" w:val="04A0"/>
      </w:tblPr>
      <w:tblGrid>
        <w:gridCol w:w="1280"/>
        <w:gridCol w:w="1280"/>
        <w:gridCol w:w="1280"/>
        <w:gridCol w:w="1280"/>
        <w:gridCol w:w="1280"/>
        <w:gridCol w:w="1280"/>
        <w:gridCol w:w="1280"/>
        <w:gridCol w:w="1280"/>
      </w:tblGrid>
      <w:tr>
        <w:tc>
          <w:tcPr>
            <w:tcW w:type="dxa" w:w="1150"/>
            <w:shd w:val="clear" w:color="auto" w:fill="2E5496"/>
          </w:tcPr>
          <w:p>
            <w:pPr>
              <w:jc w:val="center"/>
            </w:pPr>
            <w:r>
              <w:rPr>
                <w:rFonts w:ascii="Calibri" w:hAnsi="Calibri"/>
                <w:b/>
                <w:i w:val="0"/>
                <w:color w:val="FFFFFF"/>
                <w:sz w:val="16"/>
              </w:rPr>
              <w:t>Crypto</w:t>
            </w:r>
          </w:p>
        </w:tc>
        <w:tc>
          <w:tcPr>
            <w:tcW w:type="dxa" w:w="1350"/>
            <w:shd w:val="clear" w:color="auto" w:fill="2E5496"/>
          </w:tcPr>
          <w:p>
            <w:pPr>
              <w:jc w:val="center"/>
            </w:pPr>
            <w:r>
              <w:rPr>
                <w:rFonts w:ascii="Calibri" w:hAnsi="Calibri"/>
                <w:b/>
                <w:i w:val="0"/>
                <w:color w:val="FFFFFF"/>
                <w:sz w:val="16"/>
              </w:rPr>
              <w:t>Signal tech.</w:t>
            </w:r>
          </w:p>
        </w:tc>
        <w:tc>
          <w:tcPr>
            <w:tcW w:type="dxa" w:w="1350"/>
            <w:shd w:val="clear" w:color="auto" w:fill="2E5496"/>
          </w:tcPr>
          <w:p>
            <w:pPr>
              <w:jc w:val="center"/>
            </w:pPr>
            <w:r>
              <w:rPr>
                <w:rFonts w:ascii="Calibri" w:hAnsi="Calibri"/>
                <w:b/>
                <w:i w:val="0"/>
                <w:color w:val="FFFFFF"/>
                <w:sz w:val="16"/>
              </w:rPr>
              <w:t>Décision</w:t>
            </w:r>
          </w:p>
        </w:tc>
        <w:tc>
          <w:tcPr>
            <w:tcW w:type="dxa" w:w="700"/>
            <w:shd w:val="clear" w:color="auto" w:fill="2E5496"/>
          </w:tcPr>
          <w:p>
            <w:pPr>
              <w:jc w:val="center"/>
            </w:pPr>
            <w:r>
              <w:rPr>
                <w:rFonts w:ascii="Calibri" w:hAnsi="Calibri"/>
                <w:b/>
                <w:i w:val="0"/>
                <w:color w:val="FFFFFF"/>
                <w:sz w:val="16"/>
              </w:rPr>
              <w:t>Feux</w:t>
            </w:r>
          </w:p>
        </w:tc>
        <w:tc>
          <w:tcPr>
            <w:tcW w:type="dxa" w:w="1000"/>
            <w:shd w:val="clear" w:color="auto" w:fill="2E5496"/>
          </w:tcPr>
          <w:p>
            <w:pPr>
              <w:jc w:val="center"/>
            </w:pPr>
            <w:r>
              <w:rPr>
                <w:rFonts w:ascii="Calibri" w:hAnsi="Calibri"/>
                <w:b/>
                <w:i w:val="0"/>
                <w:color w:val="FFFFFF"/>
                <w:sz w:val="16"/>
              </w:rPr>
              <w:t>Composite</w:t>
            </w:r>
          </w:p>
        </w:tc>
        <w:tc>
          <w:tcPr>
            <w:tcW w:type="dxa" w:w="700"/>
            <w:shd w:val="clear" w:color="auto" w:fill="2E5496"/>
          </w:tcPr>
          <w:p>
            <w:pPr>
              <w:jc w:val="center"/>
            </w:pPr>
            <w:r>
              <w:rPr>
                <w:rFonts w:ascii="Calibri" w:hAnsi="Calibri"/>
                <w:b/>
                <w:i w:val="0"/>
                <w:color w:val="FFFFFF"/>
                <w:sz w:val="16"/>
              </w:rPr>
              <w:t>Fond.</w:t>
            </w:r>
          </w:p>
        </w:tc>
        <w:tc>
          <w:tcPr>
            <w:tcW w:type="dxa" w:w="700"/>
            <w:shd w:val="clear" w:color="auto" w:fill="2E5496"/>
          </w:tcPr>
          <w:p>
            <w:pPr>
              <w:jc w:val="center"/>
            </w:pPr>
            <w:r>
              <w:rPr>
                <w:rFonts w:ascii="Calibri" w:hAnsi="Calibri"/>
                <w:b/>
                <w:i w:val="0"/>
                <w:color w:val="FFFFFF"/>
                <w:sz w:val="16"/>
              </w:rPr>
              <w:t>AUC</w:t>
            </w:r>
          </w:p>
        </w:tc>
        <w:tc>
          <w:tcPr>
            <w:tcW w:type="dxa" w:w="2100"/>
            <w:shd w:val="clear" w:color="auto" w:fill="2E5496"/>
          </w:tcPr>
          <w:p>
            <w:pPr>
              <w:jc w:val="center"/>
            </w:pPr>
            <w:r>
              <w:rPr>
                <w:rFonts w:ascii="Calibri" w:hAnsi="Calibri"/>
                <w:b/>
                <w:i w:val="0"/>
                <w:color w:val="FFFFFF"/>
                <w:sz w:val="16"/>
              </w:rPr>
              <w:t>Proj. 30j (95%)</w:t>
            </w:r>
          </w:p>
        </w:tc>
      </w:tr>
      <w:tr>
        <w:tc>
          <w:tcPr>
            <w:tcW w:type="dxa" w:w="1150"/>
          </w:tcPr>
          <w:p>
            <w:pPr>
              <w:jc w:val="left"/>
            </w:pPr>
            <w:r>
              <w:rPr>
                <w:rFonts w:ascii="Calibri" w:hAnsi="Calibri"/>
                <w:b/>
                <w:i w:val="0"/>
                <w:sz w:val="16"/>
              </w:rPr>
              <w:t>BTC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0.441</w:t>
            </w:r>
          </w:p>
        </w:tc>
        <w:tc>
          <w:tcPr>
            <w:tcW w:type="dxa" w:w="2100"/>
          </w:tcPr>
          <w:p>
            <w:pPr>
              <w:jc w:val="center"/>
            </w:pPr>
            <w:r>
              <w:rPr>
                <w:rFonts w:ascii="Calibri" w:hAnsi="Calibri"/>
                <w:b w:val="0"/>
                <w:i w:val="0"/>
                <w:sz w:val="16"/>
              </w:rPr>
              <w:t>-19%..+23%</w:t>
            </w:r>
          </w:p>
        </w:tc>
      </w:tr>
      <w:tr>
        <w:tc>
          <w:tcPr>
            <w:tcW w:type="dxa" w:w="1150"/>
            <w:shd w:val="clear" w:color="auto" w:fill="F2F5FB"/>
          </w:tcPr>
          <w:p>
            <w:pPr>
              <w:jc w:val="left"/>
            </w:pPr>
            <w:r>
              <w:rPr>
                <w:rFonts w:ascii="Calibri" w:hAnsi="Calibri"/>
                <w:b/>
                <w:i w:val="0"/>
                <w:sz w:val="16"/>
              </w:rPr>
              <w:t>ETH</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0.552</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BNB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-20%..+24%</w:t>
            </w:r>
          </w:p>
        </w:tc>
      </w:tr>
      <w:tr>
        <w:tc>
          <w:tcPr>
            <w:tcW w:type="dxa" w:w="1150"/>
            <w:shd w:val="clear" w:color="auto" w:fill="F2F5FB"/>
          </w:tcPr>
          <w:p>
            <w:pPr>
              <w:jc w:val="left"/>
            </w:pPr>
            <w:r>
              <w:rPr>
                <w:rFonts w:ascii="Calibri" w:hAnsi="Calibri"/>
                <w:b/>
                <w:i w:val="0"/>
                <w:sz w:val="16"/>
              </w:rPr>
              <w:t>XRP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-27%..+38%</w:t>
            </w:r>
          </w:p>
        </w:tc>
      </w:tr>
      <w:tr>
        <w:tc>
          <w:tcPr>
            <w:tcW w:type="dxa" w:w="1150"/>
          </w:tcPr>
          <w:p>
            <w:pPr>
              <w:jc w:val="left"/>
            </w:pPr>
            <w:r>
              <w:rPr>
                <w:rFonts w:ascii="Calibri" w:hAnsi="Calibri"/>
                <w:b/>
                <w:i w:val="0"/>
                <w:sz w:val="16"/>
              </w:rPr>
              <w:t>SOL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83</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-27%..+36%</w:t>
            </w:r>
          </w:p>
        </w:tc>
      </w:tr>
      <w:tr>
        <w:tc>
          <w:tcPr>
            <w:tcW w:type="dxa" w:w="1150"/>
            <w:shd w:val="clear" w:color="auto" w:fill="F2F5FB"/>
          </w:tcPr>
          <w:p>
            <w:pPr>
              <w:jc w:val="left"/>
            </w:pPr>
            <w:r>
              <w:rPr>
                <w:rFonts w:ascii="Calibri" w:hAnsi="Calibri"/>
                <w:b/>
                <w:i w:val="0"/>
                <w:sz w:val="16"/>
              </w:rPr>
              <w:t>TRX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-10%..+11%</w:t>
            </w:r>
          </w:p>
        </w:tc>
      </w:tr>
      <w:tr>
        <w:tc>
          <w:tcPr>
            <w:tcW w:type="dxa" w:w="1150"/>
          </w:tcPr>
          <w:p>
            <w:pPr>
              <w:jc w:val="left"/>
            </w:pPr>
            <w:r>
              <w:rPr>
                <w:rFonts w:ascii="Calibri" w:hAnsi="Calibri"/>
                <w:b/>
                <w:i w:val="0"/>
                <w:sz w:val="16"/>
              </w:rPr>
              <w:t>FIGR_HELOC</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-19%..+23%</w:t>
            </w:r>
          </w:p>
        </w:tc>
      </w:tr>
      <w:tr>
        <w:tc>
          <w:tcPr>
            <w:tcW w:type="dxa" w:w="1150"/>
            <w:shd w:val="clear" w:color="auto" w:fill="F2F5FB"/>
          </w:tcPr>
          <w:p>
            <w:pPr>
              <w:jc w:val="left"/>
            </w:pPr>
            <w:r>
              <w:rPr>
                <w:rFonts w:ascii="Calibri" w:hAnsi="Calibri"/>
                <w:b/>
                <w:i w:val="0"/>
                <w:sz w:val="16"/>
              </w:rPr>
              <w:t>ZEC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0.555</w:t>
            </w:r>
          </w:p>
        </w:tc>
        <w:tc>
          <w:tcPr>
            <w:tcW w:type="dxa" w:w="2100"/>
            <w:shd w:val="clear" w:color="auto" w:fill="F2F5FB"/>
          </w:tcPr>
          <w:p>
            <w:pPr>
              <w:jc w:val="center"/>
            </w:pPr>
            <w:r>
              <w:rPr>
                <w:rFonts w:ascii="Calibri" w:hAnsi="Calibri"/>
                <w:b w:val="0"/>
                <w:i w:val="0"/>
                <w:sz w:val="16"/>
              </w:rPr>
              <w:t>-52%..+108%</w:t>
            </w:r>
          </w:p>
        </w:tc>
      </w:tr>
      <w:tr>
        <w:tc>
          <w:tcPr>
            <w:tcW w:type="dxa" w:w="1150"/>
          </w:tcPr>
          <w:p>
            <w:pPr>
              <w:jc w:val="left"/>
            </w:pPr>
            <w:r>
              <w:rPr>
                <w:rFonts w:ascii="Calibri" w:hAnsi="Calibri"/>
                <w:b/>
                <w:i w:val="0"/>
                <w:sz w:val="16"/>
              </w:rPr>
              <w:t>HYPE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0.46</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DOGE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0.538</w:t>
            </w:r>
          </w:p>
        </w:tc>
        <w:tc>
          <w:tcPr>
            <w:tcW w:type="dxa" w:w="2100"/>
            <w:shd w:val="clear" w:color="auto" w:fill="F2F5FB"/>
          </w:tcPr>
          <w:p>
            <w:pPr>
              <w:jc w:val="center"/>
            </w:pPr>
            <w:r>
              <w:rPr>
                <w:rFonts w:ascii="Calibri" w:hAnsi="Calibri"/>
                <w:b w:val="0"/>
                <w:i w:val="0"/>
                <w:sz w:val="16"/>
              </w:rPr>
              <w:t>-27%..+38%</w:t>
            </w:r>
          </w:p>
        </w:tc>
      </w:tr>
      <w:tr>
        <w:tc>
          <w:tcPr>
            <w:tcW w:type="dxa" w:w="1150"/>
          </w:tcPr>
          <w:p>
            <w:pPr>
              <w:jc w:val="left"/>
            </w:pPr>
            <w:r>
              <w:rPr>
                <w:rFonts w:ascii="Calibri" w:hAnsi="Calibri"/>
                <w:b/>
                <w:i w:val="0"/>
                <w:sz w:val="16"/>
              </w:rPr>
              <w:t>XMR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50</w:t>
            </w:r>
          </w:p>
        </w:tc>
        <w:tc>
          <w:tcPr>
            <w:tcW w:type="dxa" w:w="700"/>
          </w:tcPr>
          <w:p>
            <w:pPr>
              <w:jc w:val="center"/>
            </w:pPr>
            <w:r>
              <w:rPr>
                <w:rFonts w:ascii="Calibri" w:hAnsi="Calibri"/>
                <w:b w:val="0"/>
                <w:i w:val="0"/>
                <w:sz w:val="16"/>
              </w:rPr>
              <w:t>0.636</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LINK</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82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-29%..+40%</w:t>
            </w:r>
          </w:p>
        </w:tc>
      </w:tr>
      <w:tr>
        <w:tc>
          <w:tcPr>
            <w:tcW w:type="dxa" w:w="1150"/>
          </w:tcPr>
          <w:p>
            <w:pPr>
              <w:jc w:val="left"/>
            </w:pPr>
            <w:r>
              <w:rPr>
                <w:rFonts w:ascii="Calibri" w:hAnsi="Calibri"/>
                <w:b/>
                <w:i w:val="0"/>
                <w:sz w:val="16"/>
              </w:rPr>
              <w:t>WBT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-25%..+33%</w:t>
            </w:r>
          </w:p>
        </w:tc>
      </w:tr>
      <w:tr>
        <w:tc>
          <w:tcPr>
            <w:tcW w:type="dxa" w:w="1150"/>
            <w:shd w:val="clear" w:color="auto" w:fill="F2F5FB"/>
          </w:tcPr>
          <w:p>
            <w:pPr>
              <w:jc w:val="left"/>
            </w:pPr>
            <w:r>
              <w:rPr>
                <w:rFonts w:ascii="Calibri" w:hAnsi="Calibri"/>
                <w:b/>
                <w:i w:val="0"/>
                <w:sz w:val="16"/>
              </w:rPr>
              <w:t>ADA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82</w:t>
            </w:r>
          </w:p>
        </w:tc>
        <w:tc>
          <w:tcPr>
            <w:tcW w:type="dxa" w:w="700"/>
            <w:shd w:val="clear" w:color="auto" w:fill="F2F5FB"/>
          </w:tcPr>
          <w:p>
            <w:pPr>
              <w:jc w:val="center"/>
            </w:pPr>
            <w:r>
              <w:rPr>
                <w:rFonts w:ascii="Calibri" w:hAnsi="Calibri"/>
                <w:b w:val="0"/>
                <w:i w:val="0"/>
                <w:sz w:val="16"/>
              </w:rPr>
              <w:t>0.657</w:t>
            </w:r>
          </w:p>
        </w:tc>
        <w:tc>
          <w:tcPr>
            <w:tcW w:type="dxa" w:w="2100"/>
            <w:shd w:val="clear" w:color="auto" w:fill="F2F5FB"/>
          </w:tcPr>
          <w:p>
            <w:pPr>
              <w:jc w:val="center"/>
            </w:pPr>
            <w:r>
              <w:rPr>
                <w:rFonts w:ascii="Calibri" w:hAnsi="Calibri"/>
                <w:b w:val="0"/>
                <w:i w:val="0"/>
                <w:sz w:val="16"/>
              </w:rPr>
              <w:t>-33%..+50%</w:t>
            </w:r>
          </w:p>
        </w:tc>
      </w:tr>
      <w:tr>
        <w:tc>
          <w:tcPr>
            <w:tcW w:type="dxa" w:w="1150"/>
          </w:tcPr>
          <w:p>
            <w:pPr>
              <w:jc w:val="left"/>
            </w:pPr>
            <w:r>
              <w:rPr>
                <w:rFonts w:ascii="Calibri" w:hAnsi="Calibri"/>
                <w:b/>
                <w:i w:val="0"/>
                <w:sz w:val="16"/>
              </w:rPr>
              <w:t>LEO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50</w:t>
            </w:r>
          </w:p>
        </w:tc>
        <w:tc>
          <w:tcPr>
            <w:tcW w:type="dxa" w:w="700"/>
          </w:tcPr>
          <w:p>
            <w:pPr>
              <w:jc w:val="center"/>
            </w:pPr>
            <w:r>
              <w:rPr>
                <w:rFonts w:ascii="Calibri" w:hAnsi="Calibri"/>
                <w:b w:val="0"/>
                <w:i w:val="0"/>
                <w:sz w:val="16"/>
              </w:rPr>
              <w:t>0.58</w:t>
            </w:r>
          </w:p>
        </w:tc>
        <w:tc>
          <w:tcPr>
            <w:tcW w:type="dxa" w:w="2100"/>
          </w:tcPr>
          <w:p>
            <w:pPr>
              <w:jc w:val="center"/>
            </w:pPr>
            <w:r>
              <w:rPr>
                <w:rFonts w:ascii="Calibri" w:hAnsi="Calibri"/>
                <w:b w:val="0"/>
                <w:i w:val="0"/>
                <w:sz w:val="16"/>
              </w:rPr>
              <w:t>-13%..+15%</w:t>
            </w:r>
          </w:p>
        </w:tc>
      </w:tr>
      <w:tr>
        <w:tc>
          <w:tcPr>
            <w:tcW w:type="dxa" w:w="1150"/>
            <w:shd w:val="clear" w:color="auto" w:fill="F2F5FB"/>
          </w:tcPr>
          <w:p>
            <w:pPr>
              <w:jc w:val="left"/>
            </w:pPr>
            <w:r>
              <w:rPr>
                <w:rFonts w:ascii="Calibri" w:hAnsi="Calibri"/>
                <w:b/>
                <w:i w:val="0"/>
                <w:sz w:val="16"/>
              </w:rPr>
              <w:t>RAIN</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0.568</w:t>
            </w:r>
          </w:p>
        </w:tc>
        <w:tc>
          <w:tcPr>
            <w:tcW w:type="dxa" w:w="2100"/>
            <w:shd w:val="clear" w:color="auto" w:fill="F2F5FB"/>
          </w:tcPr>
          <w:p>
            <w:pPr>
              <w:jc w:val="center"/>
            </w:pPr>
            <w:r>
              <w:rPr>
                <w:rFonts w:ascii="Calibri" w:hAnsi="Calibri"/>
                <w:b w:val="0"/>
                <w:i w:val="0"/>
                <w:sz w:val="16"/>
              </w:rPr>
              <w:t>-41%..+70%</w:t>
            </w:r>
          </w:p>
        </w:tc>
      </w:tr>
      <w:tr>
        <w:tc>
          <w:tcPr>
            <w:tcW w:type="dxa" w:w="1150"/>
          </w:tcPr>
          <w:p>
            <w:pPr>
              <w:jc w:val="left"/>
            </w:pPr>
            <w:r>
              <w:rPr>
                <w:rFonts w:ascii="Calibri" w:hAnsi="Calibri"/>
                <w:b/>
                <w:i w:val="0"/>
                <w:sz w:val="16"/>
              </w:rPr>
              <w:t>XLM</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75</w:t>
            </w:r>
          </w:p>
        </w:tc>
        <w:tc>
          <w:tcPr>
            <w:tcW w:type="dxa" w:w="700"/>
          </w:tcPr>
          <w:p>
            <w:pPr>
              <w:jc w:val="center"/>
            </w:pPr>
            <w:r>
              <w:rPr>
                <w:rFonts w:ascii="Calibri" w:hAnsi="Calibri"/>
                <w:b w:val="0"/>
                <w:i w:val="0"/>
                <w:sz w:val="16"/>
              </w:rPr>
              <w:t>0.691</w:t>
            </w:r>
          </w:p>
        </w:tc>
        <w:tc>
          <w:tcPr>
            <w:tcW w:type="dxa" w:w="2100"/>
          </w:tcPr>
          <w:p>
            <w:pPr>
              <w:jc w:val="center"/>
            </w:pPr>
            <w:r>
              <w:rPr>
                <w:rFonts w:ascii="Calibri" w:hAnsi="Calibri"/>
                <w:b w:val="0"/>
                <w:i w:val="0"/>
                <w:sz w:val="16"/>
              </w:rPr>
              <w:t>-38%..+62%</w:t>
            </w:r>
          </w:p>
        </w:tc>
      </w:tr>
      <w:tr>
        <w:tc>
          <w:tcPr>
            <w:tcW w:type="dxa" w:w="1150"/>
            <w:shd w:val="clear" w:color="auto" w:fill="F2F5FB"/>
          </w:tcPr>
          <w:p>
            <w:pPr>
              <w:jc w:val="left"/>
            </w:pPr>
            <w:r>
              <w:rPr>
                <w:rFonts w:ascii="Calibri" w:hAnsi="Calibri"/>
                <w:b/>
                <w:i w:val="0"/>
                <w:sz w:val="16"/>
              </w:rPr>
              <w:t>NEAR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0.465</w:t>
            </w:r>
          </w:p>
        </w:tc>
        <w:tc>
          <w:tcPr>
            <w:tcW w:type="dxa" w:w="2100"/>
            <w:shd w:val="clear" w:color="auto" w:fill="F2F5FB"/>
          </w:tcPr>
          <w:p>
            <w:pPr>
              <w:jc w:val="center"/>
            </w:pPr>
            <w:r>
              <w:rPr>
                <w:rFonts w:ascii="Calibri" w:hAnsi="Calibri"/>
                <w:b w:val="0"/>
                <w:i w:val="0"/>
                <w:sz w:val="16"/>
              </w:rPr>
              <w:t>-47%..+89%</w:t>
            </w:r>
          </w:p>
        </w:tc>
      </w:tr>
      <w:tr>
        <w:tc>
          <w:tcPr>
            <w:tcW w:type="dxa" w:w="1150"/>
          </w:tcPr>
          <w:p>
            <w:pPr>
              <w:jc w:val="left"/>
            </w:pPr>
            <w:r>
              <w:rPr>
                <w:rFonts w:ascii="Calibri" w:hAnsi="Calibri"/>
                <w:b/>
                <w:i w:val="0"/>
                <w:sz w:val="16"/>
              </w:rPr>
              <w:t>BCH</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0.432</w:t>
            </w:r>
          </w:p>
        </w:tc>
        <w:tc>
          <w:tcPr>
            <w:tcW w:type="dxa" w:w="2100"/>
          </w:tcPr>
          <w:p>
            <w:pPr>
              <w:jc w:val="center"/>
            </w:pPr>
            <w:r>
              <w:rPr>
                <w:rFonts w:ascii="Calibri" w:hAnsi="Calibri"/>
                <w:b w:val="0"/>
                <w:i w:val="0"/>
                <w:sz w:val="16"/>
              </w:rPr>
              <w:t>-37%..+60%</w:t>
            </w:r>
          </w:p>
        </w:tc>
      </w:tr>
      <w:tr>
        <w:tc>
          <w:tcPr>
            <w:tcW w:type="dxa" w:w="1150"/>
            <w:shd w:val="clear" w:color="auto" w:fill="F2F5FB"/>
          </w:tcPr>
          <w:p>
            <w:pPr>
              <w:jc w:val="left"/>
            </w:pPr>
            <w:r>
              <w:rPr>
                <w:rFonts w:ascii="Calibri" w:hAnsi="Calibri"/>
                <w:b/>
                <w:i w:val="0"/>
                <w:sz w:val="16"/>
              </w:rPr>
              <w:t>BTW</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-82%..+453%</w:t>
            </w:r>
          </w:p>
        </w:tc>
      </w:tr>
      <w:tr>
        <w:tc>
          <w:tcPr>
            <w:tcW w:type="dxa" w:w="1150"/>
          </w:tcPr>
          <w:p>
            <w:pPr>
              <w:jc w:val="left"/>
            </w:pPr>
            <w:r>
              <w:rPr>
                <w:rFonts w:ascii="Calibri" w:hAnsi="Calibri"/>
                <w:b/>
                <w:i w:val="0"/>
                <w:sz w:val="16"/>
              </w:rPr>
              <w:t>CC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-32%..+48%</w:t>
            </w:r>
          </w:p>
        </w:tc>
      </w:tr>
      <w:tr>
        <w:tc>
          <w:tcPr>
            <w:tcW w:type="dxa" w:w="1150"/>
            <w:shd w:val="clear" w:color="auto" w:fill="F2F5FB"/>
          </w:tcPr>
          <w:p>
            <w:pPr>
              <w:jc w:val="left"/>
            </w:pPr>
            <w:r>
              <w:rPr>
                <w:rFonts w:ascii="Calibri" w:hAnsi="Calibri"/>
                <w:b/>
                <w:i w:val="0"/>
                <w:sz w:val="16"/>
              </w:rPr>
              <w:t>LTC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-24%..+32%</w:t>
            </w:r>
          </w:p>
        </w:tc>
      </w:tr>
      <w:tr>
        <w:tc>
          <w:tcPr>
            <w:tcW w:type="dxa" w:w="1150"/>
          </w:tcPr>
          <w:p>
            <w:pPr>
              <w:jc w:val="left"/>
            </w:pPr>
            <w:r>
              <w:rPr>
                <w:rFonts w:ascii="Calibri" w:hAnsi="Calibri"/>
                <w:b/>
                <w:i w:val="0"/>
                <w:sz w:val="16"/>
              </w:rPr>
              <w:t>UNI</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0.659</w:t>
            </w:r>
          </w:p>
        </w:tc>
        <w:tc>
          <w:tcPr>
            <w:tcW w:type="dxa" w:w="2100"/>
          </w:tcPr>
          <w:p>
            <w:pPr>
              <w:jc w:val="center"/>
            </w:pPr>
            <w:r>
              <w:rPr>
                <w:rFonts w:ascii="Calibri" w:hAnsi="Calibri"/>
                <w:b w:val="0"/>
                <w:i w:val="0"/>
                <w:sz w:val="16"/>
              </w:rPr>
              <w:t>-39%..+64%</w:t>
            </w:r>
          </w:p>
        </w:tc>
      </w:tr>
      <w:tr>
        <w:tc>
          <w:tcPr>
            <w:tcW w:type="dxa" w:w="1150"/>
            <w:shd w:val="clear" w:color="auto" w:fill="F2F5FB"/>
          </w:tcPr>
          <w:p>
            <w:pPr>
              <w:jc w:val="left"/>
            </w:pPr>
            <w:r>
              <w:rPr>
                <w:rFonts w:ascii="Calibri" w:hAnsi="Calibri"/>
                <w:b/>
                <w:i w:val="0"/>
                <w:sz w:val="16"/>
              </w:rPr>
              <w:t>AVAX</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-33%..+48%</w:t>
            </w:r>
          </w:p>
        </w:tc>
      </w:tr>
      <w:tr>
        <w:tc>
          <w:tcPr>
            <w:tcW w:type="dxa" w:w="1150"/>
          </w:tcPr>
          <w:p>
            <w:pPr>
              <w:jc w:val="left"/>
            </w:pPr>
            <w:r>
              <w:rPr>
                <w:rFonts w:ascii="Calibri" w:hAnsi="Calibri"/>
                <w:b/>
                <w:i w:val="0"/>
                <w:sz w:val="16"/>
              </w:rPr>
              <w:t>SUI</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-36%..+57%</w:t>
            </w:r>
          </w:p>
        </w:tc>
      </w:tr>
      <w:tr>
        <w:tc>
          <w:tcPr>
            <w:tcW w:type="dxa" w:w="1150"/>
            <w:shd w:val="clear" w:color="auto" w:fill="F2F5FB"/>
          </w:tcPr>
          <w:p>
            <w:pPr>
              <w:jc w:val="left"/>
            </w:pPr>
            <w:r>
              <w:rPr>
                <w:rFonts w:ascii="Calibri" w:hAnsi="Calibri"/>
                <w:b/>
                <w:i w:val="0"/>
                <w:sz w:val="16"/>
              </w:rPr>
              <w:t>GRAM</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0.55</w:t>
            </w:r>
          </w:p>
        </w:tc>
        <w:tc>
          <w:tcPr>
            <w:tcW w:type="dxa" w:w="2100"/>
            <w:shd w:val="clear" w:color="auto" w:fill="F2F5FB"/>
          </w:tcPr>
          <w:p>
            <w:pPr>
              <w:jc w:val="center"/>
            </w:pPr>
            <w:r>
              <w:rPr>
                <w:rFonts w:ascii="Calibri" w:hAnsi="Calibri"/>
                <w:b w:val="0"/>
                <w:i w:val="0"/>
                <w:sz w:val="16"/>
              </w:rPr>
              <w:t>-39%..+63%</w:t>
            </w:r>
          </w:p>
        </w:tc>
      </w:tr>
      <w:tr>
        <w:tc>
          <w:tcPr>
            <w:tcW w:type="dxa" w:w="1150"/>
          </w:tcPr>
          <w:p>
            <w:pPr>
              <w:jc w:val="left"/>
            </w:pPr>
            <w:r>
              <w:rPr>
                <w:rFonts w:ascii="Calibri" w:hAnsi="Calibri"/>
                <w:b/>
                <w:i w:val="0"/>
                <w:sz w:val="16"/>
              </w:rPr>
              <w:t>HBAR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0.704</w:t>
            </w:r>
          </w:p>
        </w:tc>
        <w:tc>
          <w:tcPr>
            <w:tcW w:type="dxa" w:w="2100"/>
          </w:tcPr>
          <w:p>
            <w:pPr>
              <w:jc w:val="center"/>
            </w:pPr>
            <w:r>
              <w:rPr>
                <w:rFonts w:ascii="Calibri" w:hAnsi="Calibri"/>
                <w:b w:val="0"/>
                <w:i w:val="0"/>
                <w:sz w:val="16"/>
              </w:rPr>
              <w:t>-32%..+46%</w:t>
            </w:r>
          </w:p>
        </w:tc>
      </w:tr>
      <w:tr>
        <w:tc>
          <w:tcPr>
            <w:tcW w:type="dxa" w:w="1150"/>
            <w:shd w:val="clear" w:color="auto" w:fill="F2F5FB"/>
          </w:tcPr>
          <w:p>
            <w:pPr>
              <w:jc w:val="left"/>
            </w:pPr>
            <w:r>
              <w:rPr>
                <w:rFonts w:ascii="Calibri" w:hAnsi="Calibri"/>
                <w:b/>
                <w:i w:val="0"/>
                <w:sz w:val="16"/>
              </w:rPr>
              <w:t>XAUT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0.602</w:t>
            </w:r>
          </w:p>
        </w:tc>
        <w:tc>
          <w:tcPr>
            <w:tcW w:type="dxa" w:w="2100"/>
            <w:shd w:val="clear" w:color="auto" w:fill="F2F5FB"/>
          </w:tcPr>
          <w:p>
            <w:pPr>
              <w:jc w:val="center"/>
            </w:pPr>
            <w:r>
              <w:rPr>
                <w:rFonts w:ascii="Calibri" w:hAnsi="Calibri"/>
                <w:b w:val="0"/>
                <w:i w:val="0"/>
                <w:sz w:val="16"/>
              </w:rPr>
              <w:t>-12%..+14%</w:t>
            </w:r>
          </w:p>
        </w:tc>
      </w:tr>
      <w:tr>
        <w:tc>
          <w:tcPr>
            <w:tcW w:type="dxa" w:w="1150"/>
          </w:tcPr>
          <w:p>
            <w:pPr>
              <w:jc w:val="left"/>
            </w:pPr>
            <w:r>
              <w:rPr>
                <w:rFonts w:ascii="Calibri" w:hAnsi="Calibri"/>
                <w:b/>
                <w:i w:val="0"/>
                <w:sz w:val="16"/>
              </w:rPr>
              <w:t>TAO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0.607</w:t>
            </w:r>
          </w:p>
        </w:tc>
        <w:tc>
          <w:tcPr>
            <w:tcW w:type="dxa" w:w="2100"/>
          </w:tcPr>
          <w:p>
            <w:pPr>
              <w:jc w:val="center"/>
            </w:pPr>
            <w:r>
              <w:rPr>
                <w:rFonts w:ascii="Calibri" w:hAnsi="Calibri"/>
                <w:b w:val="0"/>
                <w:i w:val="0"/>
                <w:sz w:val="16"/>
              </w:rPr>
              <w:t>-37%..+59%</w:t>
            </w:r>
          </w:p>
        </w:tc>
      </w:tr>
      <w:tr>
        <w:tc>
          <w:tcPr>
            <w:tcW w:type="dxa" w:w="1150"/>
            <w:shd w:val="clear" w:color="auto" w:fill="F2F5FB"/>
          </w:tcPr>
          <w:p>
            <w:pPr>
              <w:jc w:val="left"/>
            </w:pPr>
            <w:r>
              <w:rPr>
                <w:rFonts w:ascii="Calibri" w:hAnsi="Calibri"/>
                <w:b/>
                <w:i w:val="0"/>
                <w:sz w:val="16"/>
              </w:rPr>
              <w:t>SHIB</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-30%..+43%</w:t>
            </w:r>
          </w:p>
        </w:tc>
      </w:tr>
      <w:tr>
        <w:tc>
          <w:tcPr>
            <w:tcW w:type="dxa" w:w="1150"/>
          </w:tcPr>
          <w:p>
            <w:pPr>
              <w:jc w:val="left"/>
            </w:pPr>
            <w:r>
              <w:rPr>
                <w:rFonts w:ascii="Calibri" w:hAnsi="Calibri"/>
                <w:b/>
                <w:i w:val="0"/>
                <w:sz w:val="16"/>
              </w:rPr>
              <w:t>QNT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-53%..+112%</w:t>
            </w:r>
          </w:p>
        </w:tc>
      </w:tr>
      <w:tr>
        <w:tc>
          <w:tcPr>
            <w:tcW w:type="dxa" w:w="1150"/>
            <w:shd w:val="clear" w:color="auto" w:fill="F2F5FB"/>
          </w:tcPr>
          <w:p>
            <w:pPr>
              <w:jc w:val="left"/>
            </w:pPr>
            <w:r>
              <w:rPr>
                <w:rFonts w:ascii="Calibri" w:hAnsi="Calibri"/>
                <w:b/>
                <w:i w:val="0"/>
                <w:sz w:val="16"/>
              </w:rPr>
              <w:t>CRO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0.63</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ENA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-48%..+91%</w:t>
            </w:r>
          </w:p>
        </w:tc>
      </w:tr>
      <w:tr>
        <w:tc>
          <w:tcPr>
            <w:tcW w:type="dxa" w:w="1150"/>
            <w:shd w:val="clear" w:color="auto" w:fill="F2F5FB"/>
          </w:tcPr>
          <w:p>
            <w:pPr>
              <w:jc w:val="left"/>
            </w:pPr>
            <w:r>
              <w:rPr>
                <w:rFonts w:ascii="Calibri" w:hAnsi="Calibri"/>
                <w:b/>
                <w:i w:val="0"/>
                <w:sz w:val="16"/>
              </w:rPr>
              <w:t>OKB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0.58</w:t>
            </w:r>
          </w:p>
        </w:tc>
        <w:tc>
          <w:tcPr>
            <w:tcW w:type="dxa" w:w="2100"/>
            <w:shd w:val="clear" w:color="auto" w:fill="F2F5FB"/>
          </w:tcPr>
          <w:p>
            <w:pPr>
              <w:jc w:val="center"/>
            </w:pPr>
            <w:r>
              <w:rPr>
                <w:rFonts w:ascii="Calibri" w:hAnsi="Calibri"/>
                <w:b w:val="0"/>
                <w:i w:val="0"/>
                <w:sz w:val="16"/>
              </w:rPr>
              <w:t>-23%..+29%</w:t>
            </w:r>
          </w:p>
        </w:tc>
      </w:tr>
      <w:tr>
        <w:tc>
          <w:tcPr>
            <w:tcW w:type="dxa" w:w="1150"/>
          </w:tcPr>
          <w:p>
            <w:pPr>
              <w:jc w:val="left"/>
            </w:pPr>
            <w:r>
              <w:rPr>
                <w:rFonts w:ascii="Calibri" w:hAnsi="Calibri"/>
                <w:b/>
                <w:i w:val="0"/>
                <w:sz w:val="16"/>
              </w:rPr>
              <w:t>AAVE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0.598</w:t>
            </w:r>
          </w:p>
        </w:tc>
        <w:tc>
          <w:tcPr>
            <w:tcW w:type="dxa" w:w="2100"/>
          </w:tcPr>
          <w:p>
            <w:pPr>
              <w:jc w:val="center"/>
            </w:pPr>
            <w:r>
              <w:rPr>
                <w:rFonts w:ascii="Calibri" w:hAnsi="Calibri"/>
                <w:b w:val="0"/>
                <w:i w:val="0"/>
                <w:sz w:val="16"/>
              </w:rPr>
              <w:t>-37%..+59%</w:t>
            </w:r>
          </w:p>
        </w:tc>
      </w:tr>
      <w:tr>
        <w:tc>
          <w:tcPr>
            <w:tcW w:type="dxa" w:w="1150"/>
            <w:shd w:val="clear" w:color="auto" w:fill="F2F5FB"/>
          </w:tcPr>
          <w:p>
            <w:pPr>
              <w:jc w:val="left"/>
            </w:pPr>
            <w:r>
              <w:rPr>
                <w:rFonts w:ascii="Calibri" w:hAnsi="Calibri"/>
                <w:b/>
                <w:i w:val="0"/>
                <w:sz w:val="16"/>
              </w:rPr>
              <w:t>RLUSD</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0.761</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USYC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-1%..+1%</w:t>
            </w:r>
          </w:p>
        </w:tc>
      </w:tr>
      <w:tr>
        <w:tc>
          <w:tcPr>
            <w:tcW w:type="dxa" w:w="1150"/>
            <w:shd w:val="clear" w:color="auto" w:fill="F2F5FB"/>
          </w:tcPr>
          <w:p>
            <w:pPr>
              <w:jc w:val="left"/>
            </w:pPr>
            <w:r>
              <w:rPr>
                <w:rFonts w:ascii="Calibri" w:hAnsi="Calibri"/>
                <w:b/>
                <w:i w:val="0"/>
                <w:sz w:val="16"/>
              </w:rPr>
              <w:t>USDY</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0.652</w:t>
            </w:r>
          </w:p>
        </w:tc>
        <w:tc>
          <w:tcPr>
            <w:tcW w:type="dxa" w:w="2100"/>
            <w:shd w:val="clear" w:color="auto" w:fill="F2F5FB"/>
          </w:tcPr>
          <w:p>
            <w:pPr>
              <w:jc w:val="center"/>
            </w:pPr>
            <w:r>
              <w:rPr>
                <w:rFonts w:ascii="Calibri" w:hAnsi="Calibri"/>
                <w:b w:val="0"/>
                <w:i w:val="0"/>
                <w:sz w:val="16"/>
              </w:rPr>
              <w:t>-9%..+10%</w:t>
            </w:r>
          </w:p>
        </w:tc>
      </w:tr>
      <w:tr>
        <w:tc>
          <w:tcPr>
            <w:tcW w:type="dxa" w:w="1150"/>
          </w:tcPr>
          <w:p>
            <w:pPr>
              <w:jc w:val="left"/>
            </w:pPr>
            <w:r>
              <w:rPr>
                <w:rFonts w:ascii="Calibri" w:hAnsi="Calibri"/>
                <w:b/>
                <w:i w:val="0"/>
                <w:sz w:val="16"/>
              </w:rPr>
              <w:t>PUMP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0.441</w:t>
            </w:r>
          </w:p>
        </w:tc>
        <w:tc>
          <w:tcPr>
            <w:tcW w:type="dxa" w:w="2100"/>
          </w:tcPr>
          <w:p>
            <w:pPr>
              <w:jc w:val="center"/>
            </w:pPr>
            <w:r>
              <w:rPr>
                <w:rFonts w:ascii="Calibri" w:hAnsi="Calibri"/>
                <w:b w:val="0"/>
                <w:i w:val="0"/>
                <w:sz w:val="16"/>
              </w:rPr>
              <w:t>-50%..+98%</w:t>
            </w:r>
          </w:p>
        </w:tc>
      </w:tr>
      <w:tr>
        <w:tc>
          <w:tcPr>
            <w:tcW w:type="dxa" w:w="1150"/>
            <w:shd w:val="clear" w:color="auto" w:fill="F2F5FB"/>
          </w:tcPr>
          <w:p>
            <w:pPr>
              <w:jc w:val="left"/>
            </w:pPr>
            <w:r>
              <w:rPr>
                <w:rFonts w:ascii="Calibri" w:hAnsi="Calibri"/>
                <w:b/>
                <w:i w:val="0"/>
                <w:sz w:val="16"/>
              </w:rPr>
              <w:t>ONDO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0.578</w:t>
            </w:r>
          </w:p>
        </w:tc>
        <w:tc>
          <w:tcPr>
            <w:tcW w:type="dxa" w:w="2100"/>
            <w:shd w:val="clear" w:color="auto" w:fill="F2F5FB"/>
          </w:tcPr>
          <w:p>
            <w:pPr>
              <w:jc w:val="center"/>
            </w:pPr>
            <w:r>
              <w:rPr>
                <w:rFonts w:ascii="Calibri" w:hAnsi="Calibri"/>
                <w:b w:val="0"/>
                <w:i w:val="0"/>
                <w:sz w:val="16"/>
              </w:rPr>
              <w:t>-42%..+74%</w:t>
            </w:r>
          </w:p>
        </w:tc>
      </w:tr>
      <w:tr>
        <w:tc>
          <w:tcPr>
            <w:tcW w:type="dxa" w:w="1150"/>
          </w:tcPr>
          <w:p>
            <w:pPr>
              <w:jc w:val="left"/>
            </w:pPr>
            <w:r>
              <w:rPr>
                <w:rFonts w:ascii="Calibri" w:hAnsi="Calibri"/>
                <w:b/>
                <w:i w:val="0"/>
                <w:sz w:val="16"/>
              </w:rPr>
              <w:t>BUIDL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DOT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0.672</w:t>
            </w:r>
          </w:p>
        </w:tc>
        <w:tc>
          <w:tcPr>
            <w:tcW w:type="dxa" w:w="2100"/>
            <w:shd w:val="clear" w:color="auto" w:fill="F2F5FB"/>
          </w:tcPr>
          <w:p>
            <w:pPr>
              <w:jc w:val="center"/>
            </w:pPr>
            <w:r>
              <w:rPr>
                <w:rFonts w:ascii="Calibri" w:hAnsi="Calibri"/>
                <w:b w:val="0"/>
                <w:i w:val="0"/>
                <w:sz w:val="16"/>
              </w:rPr>
              <w:t>-33%..+49%</w:t>
            </w:r>
          </w:p>
        </w:tc>
      </w:tr>
      <w:tr>
        <w:tc>
          <w:tcPr>
            <w:tcW w:type="dxa" w:w="1150"/>
          </w:tcPr>
          <w:p>
            <w:pPr>
              <w:jc w:val="left"/>
            </w:pPr>
            <w:r>
              <w:rPr>
                <w:rFonts w:ascii="Calibri" w:hAnsi="Calibri"/>
                <w:b/>
                <w:i w:val="0"/>
                <w:sz w:val="16"/>
              </w:rPr>
              <w:t>M</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0.537</w:t>
            </w:r>
          </w:p>
        </w:tc>
        <w:tc>
          <w:tcPr>
            <w:tcW w:type="dxa" w:w="2100"/>
          </w:tcPr>
          <w:p>
            <w:pPr>
              <w:jc w:val="center"/>
            </w:pPr>
            <w:r>
              <w:rPr>
                <w:rFonts w:ascii="Calibri" w:hAnsi="Calibri"/>
                <w:b w:val="0"/>
                <w:i w:val="0"/>
                <w:sz w:val="16"/>
              </w:rPr>
              <w:t>-68%..+217%</w:t>
            </w:r>
          </w:p>
        </w:tc>
      </w:tr>
      <w:tr>
        <w:tc>
          <w:tcPr>
            <w:tcW w:type="dxa" w:w="1150"/>
            <w:shd w:val="clear" w:color="auto" w:fill="F2F5FB"/>
          </w:tcPr>
          <w:p>
            <w:pPr>
              <w:jc w:val="left"/>
            </w:pPr>
            <w:r>
              <w:rPr>
                <w:rFonts w:ascii="Calibri" w:hAnsi="Calibri"/>
                <w:b/>
                <w:i w:val="0"/>
                <w:sz w:val="16"/>
              </w:rPr>
              <w:t>WLD</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-53%..+113%</w:t>
            </w:r>
          </w:p>
        </w:tc>
      </w:tr>
      <w:tr>
        <w:tc>
          <w:tcPr>
            <w:tcW w:type="dxa" w:w="1150"/>
          </w:tcPr>
          <w:p>
            <w:pPr>
              <w:jc w:val="left"/>
            </w:pPr>
            <w:r>
              <w:rPr>
                <w:rFonts w:ascii="Calibri" w:hAnsi="Calibri"/>
                <w:b/>
                <w:i w:val="0"/>
                <w:sz w:val="16"/>
              </w:rPr>
              <w:t>ASTER</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-25%..+33%</w:t>
            </w:r>
          </w:p>
        </w:tc>
      </w:tr>
      <w:tr>
        <w:tc>
          <w:tcPr>
            <w:tcW w:type="dxa" w:w="1150"/>
            <w:shd w:val="clear" w:color="auto" w:fill="F2F5FB"/>
          </w:tcPr>
          <w:p>
            <w:pPr>
              <w:jc w:val="left"/>
            </w:pPr>
            <w:r>
              <w:rPr>
                <w:rFonts w:ascii="Calibri" w:hAnsi="Calibri"/>
                <w:b/>
                <w:i w:val="0"/>
                <w:sz w:val="16"/>
              </w:rPr>
              <w:t>PAXG</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0.583</w:t>
            </w:r>
          </w:p>
        </w:tc>
        <w:tc>
          <w:tcPr>
            <w:tcW w:type="dxa" w:w="2100"/>
            <w:shd w:val="clear" w:color="auto" w:fill="F2F5FB"/>
          </w:tcPr>
          <w:p>
            <w:pPr>
              <w:jc w:val="center"/>
            </w:pPr>
            <w:r>
              <w:rPr>
                <w:rFonts w:ascii="Calibri" w:hAnsi="Calibri"/>
                <w:b w:val="0"/>
                <w:i w:val="0"/>
                <w:sz w:val="16"/>
              </w:rPr>
              <w:t>-12%..+14%</w:t>
            </w:r>
          </w:p>
        </w:tc>
      </w:tr>
      <w:tr>
        <w:tc>
          <w:tcPr>
            <w:tcW w:type="dxa" w:w="1150"/>
          </w:tcPr>
          <w:p>
            <w:pPr>
              <w:jc w:val="left"/>
            </w:pPr>
            <w:r>
              <w:rPr>
                <w:rFonts w:ascii="Calibri" w:hAnsi="Calibri"/>
                <w:b/>
                <w:i w:val="0"/>
                <w:sz w:val="16"/>
              </w:rPr>
              <w:t>WLFI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0.568</w:t>
            </w:r>
          </w:p>
        </w:tc>
        <w:tc>
          <w:tcPr>
            <w:tcW w:type="dxa" w:w="2100"/>
          </w:tcPr>
          <w:p>
            <w:pPr>
              <w:jc w:val="center"/>
            </w:pPr>
            <w:r>
              <w:rPr>
                <w:rFonts w:ascii="Calibri" w:hAnsi="Calibri"/>
                <w:b w:val="0"/>
                <w:i w:val="0"/>
                <w:sz w:val="16"/>
              </w:rPr>
              <w:t>-27%..+37%</w:t>
            </w:r>
          </w:p>
        </w:tc>
      </w:tr>
      <w:tr>
        <w:tc>
          <w:tcPr>
            <w:tcW w:type="dxa" w:w="1150"/>
            <w:shd w:val="clear" w:color="auto" w:fill="F2F5FB"/>
          </w:tcPr>
          <w:p>
            <w:pPr>
              <w:jc w:val="left"/>
            </w:pPr>
            <w:r>
              <w:rPr>
                <w:rFonts w:ascii="Calibri" w:hAnsi="Calibri"/>
                <w:b/>
                <w:i w:val="0"/>
                <w:sz w:val="16"/>
              </w:rPr>
              <w:t>USDF</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SKY</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0.61</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MNT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0.509</w:t>
            </w:r>
          </w:p>
        </w:tc>
        <w:tc>
          <w:tcPr>
            <w:tcW w:type="dxa" w:w="2100"/>
            <w:shd w:val="clear" w:color="auto" w:fill="F2F5FB"/>
          </w:tcPr>
          <w:p>
            <w:pPr>
              <w:jc w:val="center"/>
            </w:pPr>
            <w:r>
              <w:rPr>
                <w:rFonts w:ascii="Calibri" w:hAnsi="Calibri"/>
                <w:b w:val="0"/>
                <w:i w:val="0"/>
                <w:sz w:val="16"/>
              </w:rPr>
              <w:t>-30%..+42%</w:t>
            </w:r>
          </w:p>
        </w:tc>
      </w:tr>
      <w:tr>
        <w:tc>
          <w:tcPr>
            <w:tcW w:type="dxa" w:w="1150"/>
          </w:tcPr>
          <w:p>
            <w:pPr>
              <w:jc w:val="left"/>
            </w:pPr>
            <w:r>
              <w:rPr>
                <w:rFonts w:ascii="Calibri" w:hAnsi="Calibri"/>
                <w:b/>
                <w:i w:val="0"/>
                <w:sz w:val="16"/>
              </w:rPr>
              <w:t>ICP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-38%..+60%</w:t>
            </w:r>
          </w:p>
        </w:tc>
      </w:tr>
      <w:tr>
        <w:tc>
          <w:tcPr>
            <w:tcW w:type="dxa" w:w="1150"/>
            <w:shd w:val="clear" w:color="auto" w:fill="F2F5FB"/>
          </w:tcPr>
          <w:p>
            <w:pPr>
              <w:jc w:val="left"/>
            </w:pPr>
            <w:r>
              <w:rPr>
                <w:rFonts w:ascii="Calibri" w:hAnsi="Calibri"/>
                <w:b/>
                <w:i w:val="0"/>
                <w:sz w:val="16"/>
              </w:rPr>
              <w:t>PEPE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0.502</w:t>
            </w:r>
          </w:p>
        </w:tc>
        <w:tc>
          <w:tcPr>
            <w:tcW w:type="dxa" w:w="2100"/>
            <w:shd w:val="clear" w:color="auto" w:fill="F2F5FB"/>
          </w:tcPr>
          <w:p>
            <w:pPr>
              <w:jc w:val="center"/>
            </w:pPr>
            <w:r>
              <w:rPr>
                <w:rFonts w:ascii="Calibri" w:hAnsi="Calibri"/>
                <w:b w:val="0"/>
                <w:i w:val="0"/>
                <w:sz w:val="16"/>
              </w:rPr>
              <w:t>-37%..+58%</w:t>
            </w:r>
          </w:p>
        </w:tc>
      </w:tr>
      <w:tr>
        <w:tc>
          <w:tcPr>
            <w:tcW w:type="dxa" w:w="1150"/>
          </w:tcPr>
          <w:p>
            <w:pPr>
              <w:jc w:val="left"/>
            </w:pPr>
            <w:r>
              <w:rPr>
                <w:rFonts w:ascii="Calibri" w:hAnsi="Calibri"/>
                <w:b/>
                <w:i w:val="0"/>
                <w:sz w:val="16"/>
              </w:rPr>
              <w:t>MORPHO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-37%..+58%</w:t>
            </w:r>
          </w:p>
        </w:tc>
      </w:tr>
      <w:tr>
        <w:tc>
          <w:tcPr>
            <w:tcW w:type="dxa" w:w="1150"/>
            <w:shd w:val="clear" w:color="auto" w:fill="F2F5FB"/>
          </w:tcPr>
          <w:p>
            <w:pPr>
              <w:jc w:val="left"/>
            </w:pPr>
            <w:r>
              <w:rPr>
                <w:rFonts w:ascii="Calibri" w:hAnsi="Calibri"/>
                <w:b/>
                <w:i w:val="0"/>
                <w:sz w:val="16"/>
              </w:rPr>
              <w:t>EURSAFO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w:t>
            </w:r>
          </w:p>
        </w:tc>
      </w:tr>
      <w:tr>
        <w:tc>
          <w:tcPr>
            <w:tcW w:type="dxa" w:w="1150"/>
          </w:tcPr>
          <w:p>
            <w:pPr>
              <w:jc w:val="left"/>
            </w:pPr>
            <w:r>
              <w:rPr>
                <w:rFonts w:ascii="Calibri" w:hAnsi="Calibri"/>
                <w:b/>
                <w:i w:val="0"/>
                <w:sz w:val="16"/>
              </w:rPr>
              <w:t>U</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0.743</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HTX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-13%..+15%</w:t>
            </w:r>
          </w:p>
        </w:tc>
      </w:tr>
      <w:tr>
        <w:tc>
          <w:tcPr>
            <w:tcW w:type="dxa" w:w="1150"/>
          </w:tcPr>
          <w:p>
            <w:pPr>
              <w:jc w:val="left"/>
            </w:pPr>
            <w:r>
              <w:rPr>
                <w:rFonts w:ascii="Calibri" w:hAnsi="Calibri"/>
                <w:b/>
                <w:i w:val="0"/>
                <w:sz w:val="16"/>
              </w:rPr>
              <w:t>BGB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0.584</w:t>
            </w:r>
          </w:p>
        </w:tc>
        <w:tc>
          <w:tcPr>
            <w:tcW w:type="dxa" w:w="2100"/>
          </w:tcPr>
          <w:p>
            <w:pPr>
              <w:jc w:val="center"/>
            </w:pPr>
            <w:r>
              <w:rPr>
                <w:rFonts w:ascii="Calibri" w:hAnsi="Calibri"/>
                <w:b w:val="0"/>
                <w:i w:val="0"/>
                <w:sz w:val="16"/>
              </w:rPr>
              <w:t>-19%..+23%</w:t>
            </w:r>
          </w:p>
        </w:tc>
      </w:tr>
      <w:tr>
        <w:tc>
          <w:tcPr>
            <w:tcW w:type="dxa" w:w="1150"/>
            <w:shd w:val="clear" w:color="auto" w:fill="F2F5FB"/>
          </w:tcPr>
          <w:p>
            <w:pPr>
              <w:jc w:val="left"/>
            </w:pPr>
            <w:r>
              <w:rPr>
                <w:rFonts w:ascii="Calibri" w:hAnsi="Calibri"/>
                <w:b/>
                <w:i w:val="0"/>
                <w:sz w:val="16"/>
              </w:rPr>
              <w:t>BFUSD</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ETC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-28%..+40%</w:t>
            </w:r>
          </w:p>
        </w:tc>
      </w:tr>
      <w:tr>
        <w:tc>
          <w:tcPr>
            <w:tcW w:type="dxa" w:w="1150"/>
            <w:shd w:val="clear" w:color="auto" w:fill="F2F5FB"/>
          </w:tcPr>
          <w:p>
            <w:pPr>
              <w:jc w:val="left"/>
            </w:pPr>
            <w:r>
              <w:rPr>
                <w:rFonts w:ascii="Calibri" w:hAnsi="Calibri"/>
                <w:b/>
                <w:i w:val="0"/>
                <w:sz w:val="16"/>
              </w:rPr>
              <w:t>USDGO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ARB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-45%..+83%</w:t>
            </w:r>
          </w:p>
        </w:tc>
      </w:tr>
      <w:tr>
        <w:tc>
          <w:tcPr>
            <w:tcW w:type="dxa" w:w="1150"/>
            <w:shd w:val="clear" w:color="auto" w:fill="F2F5FB"/>
          </w:tcPr>
          <w:p>
            <w:pPr>
              <w:jc w:val="left"/>
            </w:pPr>
            <w:r>
              <w:rPr>
                <w:rFonts w:ascii="Calibri" w:hAnsi="Calibri"/>
                <w:b/>
                <w:i w:val="0"/>
                <w:sz w:val="16"/>
              </w:rPr>
              <w:t>JST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0.651</w:t>
            </w:r>
          </w:p>
        </w:tc>
        <w:tc>
          <w:tcPr>
            <w:tcW w:type="dxa" w:w="2100"/>
            <w:shd w:val="clear" w:color="auto" w:fill="F2F5FB"/>
          </w:tcPr>
          <w:p>
            <w:pPr>
              <w:jc w:val="center"/>
            </w:pPr>
            <w:r>
              <w:rPr>
                <w:rFonts w:ascii="Calibri" w:hAnsi="Calibri"/>
                <w:b w:val="0"/>
                <w:i w:val="0"/>
                <w:sz w:val="16"/>
              </w:rPr>
              <w:t>-28%..+39%</w:t>
            </w:r>
          </w:p>
        </w:tc>
      </w:tr>
      <w:tr>
        <w:tc>
          <w:tcPr>
            <w:tcW w:type="dxa" w:w="1150"/>
          </w:tcPr>
          <w:p>
            <w:pPr>
              <w:jc w:val="left"/>
            </w:pPr>
            <w:r>
              <w:rPr>
                <w:rFonts w:ascii="Calibri" w:hAnsi="Calibri"/>
                <w:b/>
                <w:i w:val="0"/>
                <w:sz w:val="16"/>
              </w:rPr>
              <w:t>GT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JUP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0.507</w:t>
            </w:r>
          </w:p>
        </w:tc>
        <w:tc>
          <w:tcPr>
            <w:tcW w:type="dxa" w:w="2100"/>
            <w:shd w:val="clear" w:color="auto" w:fill="F2F5FB"/>
          </w:tcPr>
          <w:p>
            <w:pPr>
              <w:jc w:val="center"/>
            </w:pPr>
            <w:r>
              <w:rPr>
                <w:rFonts w:ascii="Calibri" w:hAnsi="Calibri"/>
                <w:b w:val="0"/>
                <w:i w:val="0"/>
                <w:sz w:val="16"/>
              </w:rPr>
              <w:t>-43%..+75%</w:t>
            </w:r>
          </w:p>
        </w:tc>
      </w:tr>
      <w:tr>
        <w:tc>
          <w:tcPr>
            <w:tcW w:type="dxa" w:w="1150"/>
          </w:tcPr>
          <w:p>
            <w:pPr>
              <w:jc w:val="left"/>
            </w:pPr>
            <w:r>
              <w:rPr>
                <w:rFonts w:ascii="Calibri" w:hAnsi="Calibri"/>
                <w:b/>
                <w:i w:val="0"/>
                <w:sz w:val="16"/>
              </w:rPr>
              <w:t>KCS</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0.705</w:t>
            </w:r>
          </w:p>
        </w:tc>
        <w:tc>
          <w:tcPr>
            <w:tcW w:type="dxa" w:w="2100"/>
          </w:tcPr>
          <w:p>
            <w:pPr>
              <w:jc w:val="center"/>
            </w:pPr>
            <w:r>
              <w:rPr>
                <w:rFonts w:ascii="Calibri" w:hAnsi="Calibri"/>
                <w:b w:val="0"/>
                <w:i w:val="0"/>
                <w:sz w:val="16"/>
              </w:rPr>
              <w:t>-21%..+27%</w:t>
            </w:r>
          </w:p>
        </w:tc>
      </w:tr>
      <w:tr>
        <w:tc>
          <w:tcPr>
            <w:tcW w:type="dxa" w:w="1150"/>
            <w:shd w:val="clear" w:color="auto" w:fill="F2F5FB"/>
          </w:tcPr>
          <w:p>
            <w:pPr>
              <w:jc w:val="left"/>
            </w:pPr>
            <w:r>
              <w:rPr>
                <w:rFonts w:ascii="Calibri" w:hAnsi="Calibri"/>
                <w:b/>
                <w:i w:val="0"/>
                <w:sz w:val="16"/>
              </w:rPr>
              <w:t>ALGO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0.511</w:t>
            </w:r>
          </w:p>
        </w:tc>
        <w:tc>
          <w:tcPr>
            <w:tcW w:type="dxa" w:w="2100"/>
            <w:shd w:val="clear" w:color="auto" w:fill="F2F5FB"/>
          </w:tcPr>
          <w:p>
            <w:pPr>
              <w:jc w:val="center"/>
            </w:pPr>
            <w:r>
              <w:rPr>
                <w:rFonts w:ascii="Calibri" w:hAnsi="Calibri"/>
                <w:b w:val="0"/>
                <w:i w:val="0"/>
                <w:sz w:val="16"/>
              </w:rPr>
              <w:t>-33%..+49%</w:t>
            </w:r>
          </w:p>
        </w:tc>
      </w:tr>
      <w:tr>
        <w:tc>
          <w:tcPr>
            <w:tcW w:type="dxa" w:w="1150"/>
          </w:tcPr>
          <w:p>
            <w:pPr>
              <w:jc w:val="left"/>
            </w:pPr>
            <w:r>
              <w:rPr>
                <w:rFonts w:ascii="Calibri" w:hAnsi="Calibri"/>
                <w:b/>
                <w:i w:val="0"/>
                <w:sz w:val="16"/>
              </w:rPr>
              <w:t>POL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-31%..+44%</w:t>
            </w:r>
          </w:p>
        </w:tc>
      </w:tr>
      <w:tr>
        <w:tc>
          <w:tcPr>
            <w:tcW w:type="dxa" w:w="1150"/>
            <w:shd w:val="clear" w:color="auto" w:fill="F2F5FB"/>
          </w:tcPr>
          <w:p>
            <w:pPr>
              <w:jc w:val="left"/>
            </w:pPr>
            <w:r>
              <w:rPr>
                <w:rFonts w:ascii="Calibri" w:hAnsi="Calibri"/>
                <w:b/>
                <w:i w:val="0"/>
                <w:sz w:val="16"/>
              </w:rPr>
              <w:t>RENDER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0.663</w:t>
            </w:r>
          </w:p>
        </w:tc>
        <w:tc>
          <w:tcPr>
            <w:tcW w:type="dxa" w:w="2100"/>
            <w:shd w:val="clear" w:color="auto" w:fill="F2F5FB"/>
          </w:tcPr>
          <w:p>
            <w:pPr>
              <w:jc w:val="center"/>
            </w:pPr>
            <w:r>
              <w:rPr>
                <w:rFonts w:ascii="Calibri" w:hAnsi="Calibri"/>
                <w:b w:val="0"/>
                <w:i w:val="0"/>
                <w:sz w:val="16"/>
              </w:rPr>
              <w:t>-32%..+48%</w:t>
            </w:r>
          </w:p>
        </w:tc>
      </w:tr>
      <w:tr>
        <w:tc>
          <w:tcPr>
            <w:tcW w:type="dxa" w:w="1150"/>
          </w:tcPr>
          <w:p>
            <w:pPr>
              <w:jc w:val="left"/>
            </w:pPr>
            <w:r>
              <w:rPr>
                <w:rFonts w:ascii="Calibri" w:hAnsi="Calibri"/>
                <w:b/>
                <w:i w:val="0"/>
                <w:sz w:val="16"/>
              </w:rPr>
              <w:t>VVV</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0.565</w:t>
            </w:r>
          </w:p>
        </w:tc>
        <w:tc>
          <w:tcPr>
            <w:tcW w:type="dxa" w:w="2100"/>
          </w:tcPr>
          <w:p>
            <w:pPr>
              <w:jc w:val="center"/>
            </w:pPr>
            <w:r>
              <w:rPr>
                <w:rFonts w:ascii="Calibri" w:hAnsi="Calibri"/>
                <w:b w:val="0"/>
                <w:i w:val="0"/>
                <w:sz w:val="16"/>
              </w:rPr>
              <w:t>-52%..+109%</w:t>
            </w:r>
          </w:p>
        </w:tc>
      </w:tr>
      <w:tr>
        <w:tc>
          <w:tcPr>
            <w:tcW w:type="dxa" w:w="1150"/>
            <w:shd w:val="clear" w:color="auto" w:fill="F2F5FB"/>
          </w:tcPr>
          <w:p>
            <w:pPr>
              <w:jc w:val="left"/>
            </w:pPr>
            <w:r>
              <w:rPr>
                <w:rFonts w:ascii="Calibri" w:hAnsi="Calibri"/>
                <w:b/>
                <w:i w:val="0"/>
                <w:sz w:val="16"/>
              </w:rPr>
              <w:t>KAS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0.642</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FIL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0.569</w:t>
            </w:r>
          </w:p>
        </w:tc>
        <w:tc>
          <w:tcPr>
            <w:tcW w:type="dxa" w:w="2100"/>
          </w:tcPr>
          <w:p>
            <w:pPr>
              <w:jc w:val="center"/>
            </w:pPr>
            <w:r>
              <w:rPr>
                <w:rFonts w:ascii="Calibri" w:hAnsi="Calibri"/>
                <w:b w:val="0"/>
                <w:i w:val="0"/>
                <w:sz w:val="16"/>
              </w:rPr>
              <w:t>-40%..+65%</w:t>
            </w:r>
          </w:p>
        </w:tc>
      </w:tr>
      <w:tr>
        <w:tc>
          <w:tcPr>
            <w:tcW w:type="dxa" w:w="1150"/>
            <w:shd w:val="clear" w:color="auto" w:fill="F2F5FB"/>
          </w:tcPr>
          <w:p>
            <w:pPr>
              <w:jc w:val="left"/>
            </w:pPr>
            <w:r>
              <w:rPr>
                <w:rFonts w:ascii="Calibri" w:hAnsi="Calibri"/>
                <w:b/>
                <w:i w:val="0"/>
                <w:sz w:val="16"/>
              </w:rPr>
              <w:t>ATOM</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-32%..+46%</w:t>
            </w:r>
          </w:p>
        </w:tc>
      </w:tr>
      <w:tr>
        <w:tc>
          <w:tcPr>
            <w:tcW w:type="dxa" w:w="1150"/>
          </w:tcPr>
          <w:p>
            <w:pPr>
              <w:jc w:val="left"/>
            </w:pPr>
            <w:r>
              <w:rPr>
                <w:rFonts w:ascii="Calibri" w:hAnsi="Calibri"/>
                <w:b/>
                <w:i w:val="0"/>
                <w:sz w:val="16"/>
              </w:rPr>
              <w:t>BCAP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27</w:t>
            </w:r>
          </w:p>
        </w:tc>
        <w:tc>
          <w:tcPr>
            <w:tcW w:type="dxa" w:w="700"/>
          </w:tcPr>
          <w:p>
            <w:pPr>
              <w:jc w:val="center"/>
            </w:pPr>
            <w:r>
              <w:rPr>
                <w:rFonts w:ascii="Calibri" w:hAnsi="Calibri"/>
                <w:b w:val="0"/>
                <w:i w:val="0"/>
                <w:sz w:val="16"/>
              </w:rPr>
              <w:t>0.646</w:t>
            </w:r>
          </w:p>
        </w:tc>
        <w:tc>
          <w:tcPr>
            <w:tcW w:type="dxa" w:w="2100"/>
          </w:tcPr>
          <w:p>
            <w:pPr>
              <w:jc w:val="center"/>
            </w:pPr>
            <w:r>
              <w:rPr>
                <w:rFonts w:ascii="Calibri" w:hAnsi="Calibri"/>
                <w:b w:val="0"/>
                <w:i w:val="0"/>
                <w:sz w:val="16"/>
              </w:rPr>
              <w:t>-18%..+22%</w:t>
            </w:r>
          </w:p>
        </w:tc>
      </w:tr>
      <w:tr>
        <w:tc>
          <w:tcPr>
            <w:tcW w:type="dxa" w:w="1150"/>
            <w:shd w:val="clear" w:color="auto" w:fill="F2F5FB"/>
          </w:tcPr>
          <w:p>
            <w:pPr>
              <w:jc w:val="left"/>
            </w:pPr>
            <w:r>
              <w:rPr>
                <w:rFonts w:ascii="Calibri" w:hAnsi="Calibri"/>
                <w:b/>
                <w:i w:val="0"/>
                <w:sz w:val="16"/>
              </w:rPr>
              <w:t>PI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0.57</w:t>
            </w:r>
          </w:p>
        </w:tc>
        <w:tc>
          <w:tcPr>
            <w:tcW w:type="dxa" w:w="2100"/>
            <w:shd w:val="clear" w:color="auto" w:fill="F2F5FB"/>
          </w:tcPr>
          <w:p>
            <w:pPr>
              <w:jc w:val="center"/>
            </w:pPr>
            <w:r>
              <w:rPr>
                <w:rFonts w:ascii="Calibri" w:hAnsi="Calibri"/>
                <w:b w:val="0"/>
                <w:i w:val="0"/>
                <w:sz w:val="16"/>
              </w:rPr>
              <w:t>-30%..+42%</w:t>
            </w:r>
          </w:p>
        </w:tc>
      </w:tr>
      <w:tr>
        <w:tc>
          <w:tcPr>
            <w:tcW w:type="dxa" w:w="1150"/>
          </w:tcPr>
          <w:p>
            <w:pPr>
              <w:jc w:val="left"/>
            </w:pPr>
            <w:r>
              <w:rPr>
                <w:rFonts w:ascii="Calibri" w:hAnsi="Calibri"/>
                <w:b/>
                <w:i w:val="0"/>
                <w:sz w:val="16"/>
              </w:rPr>
              <w:t>AERO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-43%..+75%</w:t>
            </w:r>
          </w:p>
        </w:tc>
      </w:tr>
      <w:tr>
        <w:tc>
          <w:tcPr>
            <w:tcW w:type="dxa" w:w="1150"/>
            <w:shd w:val="clear" w:color="auto" w:fill="F2F5FB"/>
          </w:tcPr>
          <w:p>
            <w:pPr>
              <w:jc w:val="left"/>
            </w:pPr>
            <w:r>
              <w:rPr>
                <w:rFonts w:ascii="Calibri" w:hAnsi="Calibri"/>
                <w:b/>
                <w:i w:val="0"/>
                <w:sz w:val="16"/>
              </w:rPr>
              <w:t>NEXO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0.435</w:t>
            </w:r>
          </w:p>
        </w:tc>
        <w:tc>
          <w:tcPr>
            <w:tcW w:type="dxa" w:w="2100"/>
            <w:shd w:val="clear" w:color="auto" w:fill="F2F5FB"/>
          </w:tcPr>
          <w:p>
            <w:pPr>
              <w:jc w:val="center"/>
            </w:pPr>
            <w:r>
              <w:rPr>
                <w:rFonts w:ascii="Calibri" w:hAnsi="Calibri"/>
                <w:b w:val="0"/>
                <w:i w:val="0"/>
                <w:sz w:val="16"/>
              </w:rPr>
              <w:t>-19%..+24%</w:t>
            </w:r>
          </w:p>
        </w:tc>
      </w:tr>
      <w:tr>
        <w:tc>
          <w:tcPr>
            <w:tcW w:type="dxa" w:w="1150"/>
          </w:tcPr>
          <w:p>
            <w:pPr>
              <w:jc w:val="left"/>
            </w:pPr>
            <w:r>
              <w:rPr>
                <w:rFonts w:ascii="Calibri" w:hAnsi="Calibri"/>
                <w:b/>
                <w:i w:val="0"/>
                <w:sz w:val="16"/>
              </w:rPr>
              <w:t>LIT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-50%..+99%</w:t>
            </w:r>
          </w:p>
        </w:tc>
      </w:tr>
      <w:tr>
        <w:tc>
          <w:tcPr>
            <w:tcW w:type="dxa" w:w="1150"/>
            <w:shd w:val="clear" w:color="auto" w:fill="F2F5FB"/>
          </w:tcPr>
          <w:p>
            <w:pPr>
              <w:jc w:val="left"/>
            </w:pPr>
            <w:r>
              <w:rPr>
                <w:rFonts w:ascii="Calibri" w:hAnsi="Calibri"/>
                <w:b/>
                <w:i w:val="0"/>
                <w:sz w:val="16"/>
              </w:rPr>
              <w:t>ZRO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0.453</w:t>
            </w:r>
          </w:p>
        </w:tc>
        <w:tc>
          <w:tcPr>
            <w:tcW w:type="dxa" w:w="2100"/>
            <w:shd w:val="clear" w:color="auto" w:fill="F2F5FB"/>
          </w:tcPr>
          <w:p>
            <w:pPr>
              <w:jc w:val="center"/>
            </w:pPr>
            <w:r>
              <w:rPr>
                <w:rFonts w:ascii="Calibri" w:hAnsi="Calibri"/>
                <w:b w:val="0"/>
                <w:i w:val="0"/>
                <w:sz w:val="16"/>
              </w:rPr>
              <w:t>-43%..+74%</w:t>
            </w:r>
          </w:p>
        </w:tc>
      </w:tr>
      <w:tr>
        <w:tc>
          <w:tcPr>
            <w:tcW w:type="dxa" w:w="1150"/>
          </w:tcPr>
          <w:p>
            <w:pPr>
              <w:jc w:val="left"/>
            </w:pPr>
            <w:r>
              <w:rPr>
                <w:rFonts w:ascii="Calibri" w:hAnsi="Calibri"/>
                <w:b/>
                <w:i w:val="0"/>
                <w:sz w:val="16"/>
              </w:rPr>
              <w:t>USTB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27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OUSD</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INJ</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0.431</w:t>
            </w:r>
          </w:p>
        </w:tc>
        <w:tc>
          <w:tcPr>
            <w:tcW w:type="dxa" w:w="2100"/>
          </w:tcPr>
          <w:p>
            <w:pPr>
              <w:jc w:val="center"/>
            </w:pPr>
            <w:r>
              <w:rPr>
                <w:rFonts w:ascii="Calibri" w:hAnsi="Calibri"/>
                <w:b w:val="0"/>
                <w:i w:val="0"/>
                <w:sz w:val="16"/>
              </w:rPr>
              <w:t>-43%..+74%</w:t>
            </w:r>
          </w:p>
        </w:tc>
      </w:tr>
      <w:tr>
        <w:tc>
          <w:tcPr>
            <w:tcW w:type="dxa" w:w="1150"/>
            <w:shd w:val="clear" w:color="auto" w:fill="F2F5FB"/>
          </w:tcPr>
          <w:p>
            <w:pPr>
              <w:jc w:val="left"/>
            </w:pPr>
            <w:r>
              <w:rPr>
                <w:rFonts w:ascii="Calibri" w:hAnsi="Calibri"/>
                <w:b/>
                <w:i w:val="0"/>
                <w:sz w:val="16"/>
              </w:rPr>
              <w:t>STX</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0.562</w:t>
            </w:r>
          </w:p>
        </w:tc>
        <w:tc>
          <w:tcPr>
            <w:tcW w:type="dxa" w:w="2100"/>
            <w:shd w:val="clear" w:color="auto" w:fill="F2F5FB"/>
          </w:tcPr>
          <w:p>
            <w:pPr>
              <w:jc w:val="center"/>
            </w:pPr>
            <w:r>
              <w:rPr>
                <w:rFonts w:ascii="Calibri" w:hAnsi="Calibri"/>
                <w:b w:val="0"/>
                <w:i w:val="0"/>
                <w:sz w:val="16"/>
              </w:rPr>
              <w:t>-39%..+65%</w:t>
            </w:r>
          </w:p>
        </w:tc>
      </w:tr>
      <w:tr>
        <w:tc>
          <w:tcPr>
            <w:tcW w:type="dxa" w:w="1150"/>
          </w:tcPr>
          <w:p>
            <w:pPr>
              <w:jc w:val="left"/>
            </w:pPr>
            <w:r>
              <w:rPr>
                <w:rFonts w:ascii="Calibri" w:hAnsi="Calibri"/>
                <w:b/>
                <w:i w:val="0"/>
                <w:sz w:val="16"/>
              </w:rPr>
              <w:t>NIGHT</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0.45</w:t>
            </w:r>
          </w:p>
        </w:tc>
        <w:tc>
          <w:tcPr>
            <w:tcW w:type="dxa" w:w="2100"/>
          </w:tcPr>
          <w:p>
            <w:pPr>
              <w:jc w:val="center"/>
            </w:pPr>
            <w:r>
              <w:rPr>
                <w:rFonts w:ascii="Calibri" w:hAnsi="Calibri"/>
                <w:b w:val="0"/>
                <w:i w:val="0"/>
                <w:sz w:val="16"/>
              </w:rPr>
              <w:t>-49%..+95%</w:t>
            </w:r>
          </w:p>
        </w:tc>
      </w:tr>
      <w:tr>
        <w:tc>
          <w:tcPr>
            <w:tcW w:type="dxa" w:w="1150"/>
            <w:shd w:val="clear" w:color="auto" w:fill="F2F5FB"/>
          </w:tcPr>
          <w:p>
            <w:pPr>
              <w:jc w:val="left"/>
            </w:pPr>
            <w:r>
              <w:rPr>
                <w:rFonts w:ascii="Calibri" w:hAnsi="Calibri"/>
                <w:b/>
                <w:i w:val="0"/>
                <w:sz w:val="16"/>
              </w:rPr>
              <w:t>APT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-36%..+57%</w:t>
            </w:r>
          </w:p>
        </w:tc>
      </w:tr>
      <w:tr>
        <w:tc>
          <w:tcPr>
            <w:tcW w:type="dxa" w:w="1150"/>
          </w:tcPr>
          <w:p>
            <w:pPr>
              <w:jc w:val="left"/>
            </w:pPr>
            <w:r>
              <w:rPr>
                <w:rFonts w:ascii="Calibri" w:hAnsi="Calibri"/>
                <w:b/>
                <w:i w:val="0"/>
                <w:sz w:val="16"/>
              </w:rPr>
              <w:t>STABLE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0.624</w:t>
            </w:r>
          </w:p>
        </w:tc>
        <w:tc>
          <w:tcPr>
            <w:tcW w:type="dxa" w:w="2100"/>
          </w:tcPr>
          <w:p>
            <w:pPr>
              <w:jc w:val="center"/>
            </w:pPr>
            <w:r>
              <w:rPr>
                <w:rFonts w:ascii="Calibri" w:hAnsi="Calibri"/>
                <w:b w:val="0"/>
                <w:i w:val="0"/>
                <w:sz w:val="16"/>
              </w:rPr>
              <w:t>-42%..+72%</w:t>
            </w:r>
          </w:p>
        </w:tc>
      </w:tr>
      <w:tr>
        <w:tc>
          <w:tcPr>
            <w:tcW w:type="dxa" w:w="1150"/>
            <w:shd w:val="clear" w:color="auto" w:fill="F2F5FB"/>
          </w:tcPr>
          <w:p>
            <w:pPr>
              <w:jc w:val="left"/>
            </w:pPr>
            <w:r>
              <w:rPr>
                <w:rFonts w:ascii="Calibri" w:hAnsi="Calibri"/>
                <w:b/>
                <w:i w:val="0"/>
                <w:sz w:val="16"/>
              </w:rPr>
              <w:t>CAKE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0.577</w:t>
            </w:r>
          </w:p>
        </w:tc>
        <w:tc>
          <w:tcPr>
            <w:tcW w:type="dxa" w:w="2100"/>
            <w:shd w:val="clear" w:color="auto" w:fill="F2F5FB"/>
          </w:tcPr>
          <w:p>
            <w:pPr>
              <w:jc w:val="center"/>
            </w:pPr>
            <w:r>
              <w:rPr>
                <w:rFonts w:ascii="Calibri" w:hAnsi="Calibri"/>
                <w:b w:val="0"/>
                <w:i w:val="0"/>
                <w:sz w:val="16"/>
              </w:rPr>
              <w:t>-28%..+39%</w:t>
            </w:r>
          </w:p>
        </w:tc>
      </w:tr>
      <w:tr>
        <w:tc>
          <w:tcPr>
            <w:tcW w:type="dxa" w:w="1150"/>
          </w:tcPr>
          <w:p>
            <w:pPr>
              <w:jc w:val="left"/>
            </w:pPr>
            <w:r>
              <w:rPr>
                <w:rFonts w:ascii="Calibri" w:hAnsi="Calibri"/>
                <w:b/>
                <w:i w:val="0"/>
                <w:sz w:val="16"/>
              </w:rPr>
              <w:t>GHO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BDX</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32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-38%..+60%</w:t>
            </w:r>
          </w:p>
        </w:tc>
      </w:tr>
      <w:tr>
        <w:tc>
          <w:tcPr>
            <w:tcW w:type="dxa" w:w="1150"/>
          </w:tcPr>
          <w:p>
            <w:pPr>
              <w:jc w:val="left"/>
            </w:pPr>
            <w:r>
              <w:rPr>
                <w:rFonts w:ascii="Calibri" w:hAnsi="Calibri"/>
                <w:b/>
                <w:i w:val="0"/>
                <w:sz w:val="16"/>
              </w:rPr>
              <w:t>XDC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0.654</w:t>
            </w:r>
          </w:p>
        </w:tc>
        <w:tc>
          <w:tcPr>
            <w:tcW w:type="dxa" w:w="2100"/>
          </w:tcPr>
          <w:p>
            <w:pPr>
              <w:jc w:val="center"/>
            </w:pPr>
            <w:r>
              <w:rPr>
                <w:rFonts w:ascii="Calibri" w:hAnsi="Calibri"/>
                <w:b w:val="0"/>
                <w:i w:val="0"/>
                <w:sz w:val="16"/>
              </w:rPr>
              <w:t>-24%..+32%</w:t>
            </w:r>
          </w:p>
        </w:tc>
      </w:tr>
      <w:tr>
        <w:tc>
          <w:tcPr>
            <w:tcW w:type="dxa" w:w="1150"/>
            <w:shd w:val="clear" w:color="auto" w:fill="F2F5FB"/>
          </w:tcPr>
          <w:p>
            <w:pPr>
              <w:jc w:val="left"/>
            </w:pPr>
            <w:r>
              <w:rPr>
                <w:rFonts w:ascii="Calibri" w:hAnsi="Calibri"/>
                <w:b/>
                <w:i w:val="0"/>
                <w:sz w:val="16"/>
              </w:rPr>
              <w:t>ETHFI</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0.63</w:t>
            </w:r>
          </w:p>
        </w:tc>
        <w:tc>
          <w:tcPr>
            <w:tcW w:type="dxa" w:w="2100"/>
            <w:shd w:val="clear" w:color="auto" w:fill="F2F5FB"/>
          </w:tcPr>
          <w:p>
            <w:pPr>
              <w:jc w:val="center"/>
            </w:pPr>
            <w:r>
              <w:rPr>
                <w:rFonts w:ascii="Calibri" w:hAnsi="Calibri"/>
                <w:b w:val="0"/>
                <w:i w:val="0"/>
                <w:sz w:val="16"/>
              </w:rPr>
              <w:t>-42%..+72%</w:t>
            </w:r>
          </w:p>
        </w:tc>
      </w:tr>
      <w:tr>
        <w:tc>
          <w:tcPr>
            <w:tcW w:type="dxa" w:w="1150"/>
          </w:tcPr>
          <w:p>
            <w:pPr>
              <w:jc w:val="left"/>
            </w:pPr>
            <w:r>
              <w:rPr>
                <w:rFonts w:ascii="Calibri" w:hAnsi="Calibri"/>
                <w:b/>
                <w:i w:val="0"/>
                <w:sz w:val="16"/>
              </w:rPr>
              <w:t>STRK</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0.598</w:t>
            </w:r>
          </w:p>
        </w:tc>
        <w:tc>
          <w:tcPr>
            <w:tcW w:type="dxa" w:w="2100"/>
          </w:tcPr>
          <w:p>
            <w:pPr>
              <w:jc w:val="center"/>
            </w:pPr>
            <w:r>
              <w:rPr>
                <w:rFonts w:ascii="Calibri" w:hAnsi="Calibri"/>
                <w:b w:val="0"/>
                <w:i w:val="0"/>
                <w:sz w:val="16"/>
              </w:rPr>
              <w:t>-65%..+183%</w:t>
            </w:r>
          </w:p>
        </w:tc>
      </w:tr>
      <w:tr>
        <w:tc>
          <w:tcPr>
            <w:tcW w:type="dxa" w:w="1150"/>
            <w:shd w:val="clear" w:color="auto" w:fill="F2F5FB"/>
          </w:tcPr>
          <w:p>
            <w:pPr>
              <w:jc w:val="left"/>
            </w:pPr>
            <w:r>
              <w:rPr>
                <w:rFonts w:ascii="Calibri" w:hAnsi="Calibri"/>
                <w:b/>
                <w:i w:val="0"/>
                <w:sz w:val="16"/>
              </w:rPr>
              <w:t>PYTH</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-39%..+63%</w:t>
            </w:r>
          </w:p>
        </w:tc>
      </w:tr>
      <w:tr>
        <w:tc>
          <w:tcPr>
            <w:tcW w:type="dxa" w:w="1150"/>
          </w:tcPr>
          <w:p>
            <w:pPr>
              <w:jc w:val="left"/>
            </w:pPr>
            <w:r>
              <w:rPr>
                <w:rFonts w:ascii="Calibri" w:hAnsi="Calibri"/>
                <w:b/>
                <w:i w:val="0"/>
                <w:sz w:val="16"/>
              </w:rPr>
              <w:t>EUTBL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19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w:t>
            </w:r>
          </w:p>
        </w:tc>
      </w:tr>
      <w:tr>
        <w:tc>
          <w:tcPr>
            <w:tcW w:type="dxa" w:w="1150"/>
            <w:shd w:val="clear" w:color="auto" w:fill="F2F5FB"/>
          </w:tcPr>
          <w:p>
            <w:pPr>
              <w:jc w:val="left"/>
            </w:pPr>
            <w:r>
              <w:rPr>
                <w:rFonts w:ascii="Calibri" w:hAnsi="Calibri"/>
                <w:b/>
                <w:i w:val="0"/>
                <w:sz w:val="16"/>
              </w:rPr>
              <w:t>DASH</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-45%..+81%</w:t>
            </w:r>
          </w:p>
        </w:tc>
      </w:tr>
      <w:tr>
        <w:tc>
          <w:tcPr>
            <w:tcW w:type="dxa" w:w="1150"/>
          </w:tcPr>
          <w:p>
            <w:pPr>
              <w:jc w:val="left"/>
            </w:pPr>
            <w:r>
              <w:rPr>
                <w:rFonts w:ascii="Calibri" w:hAnsi="Calibri"/>
                <w:b/>
                <w:i w:val="0"/>
                <w:sz w:val="16"/>
              </w:rPr>
              <w:t>VET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0.596</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FLR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0.488</w:t>
            </w:r>
          </w:p>
        </w:tc>
        <w:tc>
          <w:tcPr>
            <w:tcW w:type="dxa" w:w="2100"/>
            <w:shd w:val="clear" w:color="auto" w:fill="F2F5FB"/>
          </w:tcPr>
          <w:p>
            <w:pPr>
              <w:jc w:val="center"/>
            </w:pPr>
            <w:r>
              <w:rPr>
                <w:rFonts w:ascii="Calibri" w:hAnsi="Calibri"/>
                <w:b w:val="0"/>
                <w:i w:val="0"/>
                <w:sz w:val="16"/>
              </w:rPr>
              <w:t>-26%..+36%</w:t>
            </w:r>
          </w:p>
        </w:tc>
      </w:tr>
      <w:tr>
        <w:tc>
          <w:tcPr>
            <w:tcW w:type="dxa" w:w="1150"/>
          </w:tcPr>
          <w:p>
            <w:pPr>
              <w:jc w:val="left"/>
            </w:pPr>
            <w:r>
              <w:rPr>
                <w:rFonts w:ascii="Calibri" w:hAnsi="Calibri"/>
                <w:b/>
                <w:i w:val="0"/>
                <w:sz w:val="16"/>
              </w:rPr>
              <w:t>TIA</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0.571</w:t>
            </w:r>
          </w:p>
        </w:tc>
        <w:tc>
          <w:tcPr>
            <w:tcW w:type="dxa" w:w="2100"/>
          </w:tcPr>
          <w:p>
            <w:pPr>
              <w:jc w:val="center"/>
            </w:pPr>
            <w:r>
              <w:rPr>
                <w:rFonts w:ascii="Calibri" w:hAnsi="Calibri"/>
                <w:b w:val="0"/>
                <w:i w:val="0"/>
                <w:sz w:val="16"/>
              </w:rPr>
              <w:t>-45%..+80%</w:t>
            </w:r>
          </w:p>
        </w:tc>
      </w:tr>
      <w:tr>
        <w:tc>
          <w:tcPr>
            <w:tcW w:type="dxa" w:w="1150"/>
            <w:shd w:val="clear" w:color="auto" w:fill="F2F5FB"/>
          </w:tcPr>
          <w:p>
            <w:pPr>
              <w:jc w:val="left"/>
            </w:pPr>
            <w:r>
              <w:rPr>
                <w:rFonts w:ascii="Calibri" w:hAnsi="Calibri"/>
                <w:b/>
                <w:i w:val="0"/>
                <w:sz w:val="16"/>
              </w:rPr>
              <w:t>JAAA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0.599</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PRL</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-67%..+201%</w:t>
            </w:r>
          </w:p>
        </w:tc>
      </w:tr>
      <w:tr>
        <w:tc>
          <w:tcPr>
            <w:tcW w:type="dxa" w:w="1150"/>
            <w:shd w:val="clear" w:color="auto" w:fill="F2F5FB"/>
          </w:tcPr>
          <w:p>
            <w:pPr>
              <w:jc w:val="left"/>
            </w:pPr>
            <w:r>
              <w:rPr>
                <w:rFonts w:ascii="Calibri" w:hAnsi="Calibri"/>
                <w:b/>
                <w:i w:val="0"/>
                <w:sz w:val="16"/>
              </w:rPr>
              <w:t>RAY</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0.526</w:t>
            </w:r>
          </w:p>
        </w:tc>
        <w:tc>
          <w:tcPr>
            <w:tcW w:type="dxa" w:w="2100"/>
            <w:shd w:val="clear" w:color="auto" w:fill="F2F5FB"/>
          </w:tcPr>
          <w:p>
            <w:pPr>
              <w:jc w:val="center"/>
            </w:pPr>
            <w:r>
              <w:rPr>
                <w:rFonts w:ascii="Calibri" w:hAnsi="Calibri"/>
                <w:b w:val="0"/>
                <w:i w:val="0"/>
                <w:sz w:val="16"/>
              </w:rPr>
              <w:t>-43%..+76%</w:t>
            </w:r>
          </w:p>
        </w:tc>
      </w:tr>
      <w:tr>
        <w:tc>
          <w:tcPr>
            <w:tcW w:type="dxa" w:w="1150"/>
          </w:tcPr>
          <w:p>
            <w:pPr>
              <w:jc w:val="left"/>
            </w:pPr>
            <w:r>
              <w:rPr>
                <w:rFonts w:ascii="Calibri" w:hAnsi="Calibri"/>
                <w:b/>
                <w:i w:val="0"/>
                <w:sz w:val="16"/>
              </w:rPr>
              <w:t>BAT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0.694</w:t>
            </w:r>
          </w:p>
        </w:tc>
        <w:tc>
          <w:tcPr>
            <w:tcW w:type="dxa" w:w="2100"/>
          </w:tcPr>
          <w:p>
            <w:pPr>
              <w:jc w:val="center"/>
            </w:pPr>
            <w:r>
              <w:rPr>
                <w:rFonts w:ascii="Calibri" w:hAnsi="Calibri"/>
                <w:b w:val="0"/>
                <w:i w:val="0"/>
                <w:sz w:val="16"/>
              </w:rPr>
              <w:t>-37%..+58%</w:t>
            </w:r>
          </w:p>
        </w:tc>
      </w:tr>
      <w:tr>
        <w:tc>
          <w:tcPr>
            <w:tcW w:type="dxa" w:w="1150"/>
            <w:shd w:val="clear" w:color="auto" w:fill="F2F5FB"/>
          </w:tcPr>
          <w:p>
            <w:pPr>
              <w:jc w:val="left"/>
            </w:pPr>
            <w:r>
              <w:rPr>
                <w:rFonts w:ascii="Calibri" w:hAnsi="Calibri"/>
                <w:b/>
                <w:i w:val="0"/>
                <w:sz w:val="16"/>
              </w:rPr>
              <w:t>S</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-45%..+81%</w:t>
            </w:r>
          </w:p>
        </w:tc>
      </w:tr>
      <w:tr>
        <w:tc>
          <w:tcPr>
            <w:tcW w:type="dxa" w:w="1150"/>
          </w:tcPr>
          <w:p>
            <w:pPr>
              <w:jc w:val="left"/>
            </w:pPr>
            <w:r>
              <w:rPr>
                <w:rFonts w:ascii="Calibri" w:hAnsi="Calibri"/>
                <w:b/>
                <w:i w:val="0"/>
                <w:sz w:val="16"/>
              </w:rPr>
              <w:t>Q</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0.587</w:t>
            </w:r>
          </w:p>
        </w:tc>
        <w:tc>
          <w:tcPr>
            <w:tcW w:type="dxa" w:w="2100"/>
          </w:tcPr>
          <w:p>
            <w:pPr>
              <w:jc w:val="center"/>
            </w:pPr>
            <w:r>
              <w:rPr>
                <w:rFonts w:ascii="Calibri" w:hAnsi="Calibri"/>
                <w:b w:val="0"/>
                <w:i w:val="0"/>
                <w:sz w:val="16"/>
              </w:rPr>
              <w:t>-58%..+140%</w:t>
            </w:r>
          </w:p>
        </w:tc>
      </w:tr>
      <w:tr>
        <w:tc>
          <w:tcPr>
            <w:tcW w:type="dxa" w:w="1150"/>
            <w:shd w:val="clear" w:color="auto" w:fill="F2F5FB"/>
          </w:tcPr>
          <w:p>
            <w:pPr>
              <w:jc w:val="left"/>
            </w:pPr>
            <w:r>
              <w:rPr>
                <w:rFonts w:ascii="Calibri" w:hAnsi="Calibri"/>
                <w:b/>
                <w:i w:val="0"/>
                <w:sz w:val="16"/>
              </w:rPr>
              <w:t>DRV</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0.582</w:t>
            </w:r>
          </w:p>
        </w:tc>
        <w:tc>
          <w:tcPr>
            <w:tcW w:type="dxa" w:w="2100"/>
            <w:shd w:val="clear" w:color="auto" w:fill="F2F5FB"/>
          </w:tcPr>
          <w:p>
            <w:pPr>
              <w:jc w:val="center"/>
            </w:pPr>
            <w:r>
              <w:rPr>
                <w:rFonts w:ascii="Calibri" w:hAnsi="Calibri"/>
                <w:b w:val="0"/>
                <w:i w:val="0"/>
                <w:sz w:val="16"/>
              </w:rPr>
              <w:t>-61%..+156%</w:t>
            </w:r>
          </w:p>
        </w:tc>
      </w:tr>
      <w:tr>
        <w:tc>
          <w:tcPr>
            <w:tcW w:type="dxa" w:w="1150"/>
          </w:tcPr>
          <w:p>
            <w:pPr>
              <w:jc w:val="left"/>
            </w:pPr>
            <w:r>
              <w:rPr>
                <w:rFonts w:ascii="Calibri" w:hAnsi="Calibri"/>
                <w:b/>
                <w:i w:val="0"/>
                <w:sz w:val="16"/>
              </w:rPr>
              <w:t>CAP</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-68%..+216%</w:t>
            </w:r>
          </w:p>
        </w:tc>
      </w:tr>
      <w:tr>
        <w:tc>
          <w:tcPr>
            <w:tcW w:type="dxa" w:w="1150"/>
            <w:shd w:val="clear" w:color="auto" w:fill="F2F5FB"/>
          </w:tcPr>
          <w:p>
            <w:pPr>
              <w:jc w:val="left"/>
            </w:pPr>
            <w:r>
              <w:rPr>
                <w:rFonts w:ascii="Calibri" w:hAnsi="Calibri"/>
                <w:b/>
                <w:i w:val="0"/>
                <w:sz w:val="16"/>
              </w:rPr>
              <w:t>W</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36</w:t>
            </w:r>
          </w:p>
        </w:tc>
        <w:tc>
          <w:tcPr>
            <w:tcW w:type="dxa" w:w="700"/>
            <w:shd w:val="clear" w:color="auto" w:fill="F2F5FB"/>
          </w:tcPr>
          <w:p>
            <w:pPr>
              <w:jc w:val="center"/>
            </w:pPr>
            <w:r>
              <w:rPr>
                <w:rFonts w:ascii="Calibri" w:hAnsi="Calibri"/>
                <w:b w:val="0"/>
                <w:i w:val="0"/>
                <w:sz w:val="16"/>
              </w:rPr>
              <w:t>0.595</w:t>
            </w:r>
          </w:p>
        </w:tc>
        <w:tc>
          <w:tcPr>
            <w:tcW w:type="dxa" w:w="2100"/>
            <w:shd w:val="clear" w:color="auto" w:fill="F2F5FB"/>
          </w:tcPr>
          <w:p>
            <w:pPr>
              <w:jc w:val="center"/>
            </w:pPr>
            <w:r>
              <w:rPr>
                <w:rFonts w:ascii="Calibri" w:hAnsi="Calibri"/>
                <w:b w:val="0"/>
                <w:i w:val="0"/>
                <w:sz w:val="16"/>
              </w:rPr>
              <w:t>-43%..+75%</w:t>
            </w:r>
          </w:p>
        </w:tc>
      </w:tr>
      <w:tr>
        <w:tc>
          <w:tcPr>
            <w:tcW w:type="dxa" w:w="1150"/>
          </w:tcPr>
          <w:p>
            <w:pPr>
              <w:jc w:val="left"/>
            </w:pPr>
            <w:r>
              <w:rPr>
                <w:rFonts w:ascii="Calibri" w:hAnsi="Calibri"/>
                <w:b/>
                <w:i w:val="0"/>
                <w:sz w:val="16"/>
              </w:rPr>
              <w:t>ANVL</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19</w:t>
            </w:r>
          </w:p>
        </w:tc>
        <w:tc>
          <w:tcPr>
            <w:tcW w:type="dxa" w:w="700"/>
          </w:tcPr>
          <w:p>
            <w:pPr>
              <w:jc w:val="center"/>
            </w:pPr>
            <w:r>
              <w:rPr>
                <w:rFonts w:ascii="Calibri" w:hAnsi="Calibri"/>
                <w:b w:val="0"/>
                <w:i w:val="0"/>
                <w:sz w:val="16"/>
              </w:rPr>
              <w:t>0.573</w:t>
            </w:r>
          </w:p>
        </w:tc>
        <w:tc>
          <w:tcPr>
            <w:tcW w:type="dxa" w:w="2100"/>
          </w:tcPr>
          <w:p>
            <w:pPr>
              <w:jc w:val="center"/>
            </w:pPr>
            <w:r>
              <w:rPr>
                <w:rFonts w:ascii="Calibri" w:hAnsi="Calibri"/>
                <w:b w:val="0"/>
                <w:i w:val="0"/>
                <w:sz w:val="16"/>
              </w:rPr>
              <w:t>-52%..+110%</w:t>
            </w:r>
          </w:p>
        </w:tc>
      </w:tr>
      <w:tr>
        <w:tc>
          <w:tcPr>
            <w:tcW w:type="dxa" w:w="1150"/>
            <w:shd w:val="clear" w:color="auto" w:fill="F2F5FB"/>
          </w:tcPr>
          <w:p>
            <w:pPr>
              <w:jc w:val="left"/>
            </w:pPr>
            <w:r>
              <w:rPr>
                <w:rFonts w:ascii="Calibri" w:hAnsi="Calibri"/>
                <w:b/>
                <w:i w:val="0"/>
                <w:sz w:val="16"/>
              </w:rPr>
              <w:t>BP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-60%..+152%</w:t>
            </w:r>
          </w:p>
        </w:tc>
      </w:tr>
      <w:tr>
        <w:tc>
          <w:tcPr>
            <w:tcW w:type="dxa" w:w="1150"/>
          </w:tcPr>
          <w:p>
            <w:pPr>
              <w:jc w:val="left"/>
            </w:pPr>
            <w:r>
              <w:rPr>
                <w:rFonts w:ascii="Calibri" w:hAnsi="Calibri"/>
                <w:b/>
                <w:i w:val="0"/>
                <w:sz w:val="16"/>
              </w:rPr>
              <w:t>GRASS</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0.679</w:t>
            </w:r>
          </w:p>
        </w:tc>
        <w:tc>
          <w:tcPr>
            <w:tcW w:type="dxa" w:w="2100"/>
          </w:tcPr>
          <w:p>
            <w:pPr>
              <w:jc w:val="center"/>
            </w:pPr>
            <w:r>
              <w:rPr>
                <w:rFonts w:ascii="Calibri" w:hAnsi="Calibri"/>
                <w:b w:val="0"/>
                <w:i w:val="0"/>
                <w:sz w:val="16"/>
              </w:rPr>
              <w:t>-55%..+122%</w:t>
            </w:r>
          </w:p>
        </w:tc>
      </w:tr>
      <w:tr>
        <w:tc>
          <w:tcPr>
            <w:tcW w:type="dxa" w:w="1150"/>
            <w:shd w:val="clear" w:color="auto" w:fill="F2F5FB"/>
          </w:tcPr>
          <w:p>
            <w:pPr>
              <w:jc w:val="left"/>
            </w:pPr>
            <w:r>
              <w:rPr>
                <w:rFonts w:ascii="Calibri" w:hAnsi="Calibri"/>
                <w:b/>
                <w:i w:val="0"/>
                <w:sz w:val="16"/>
              </w:rPr>
              <w:t>CARDS</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0.538</w:t>
            </w:r>
          </w:p>
        </w:tc>
        <w:tc>
          <w:tcPr>
            <w:tcW w:type="dxa" w:w="2100"/>
            <w:shd w:val="clear" w:color="auto" w:fill="F2F5FB"/>
          </w:tcPr>
          <w:p>
            <w:pPr>
              <w:jc w:val="center"/>
            </w:pPr>
            <w:r>
              <w:rPr>
                <w:rFonts w:ascii="Calibri" w:hAnsi="Calibri"/>
                <w:b w:val="0"/>
                <w:i w:val="0"/>
                <w:sz w:val="16"/>
              </w:rPr>
              <w:t>-73%..+268%</w:t>
            </w:r>
          </w:p>
        </w:tc>
      </w:tr>
      <w:tr>
        <w:tc>
          <w:tcPr>
            <w:tcW w:type="dxa" w:w="1150"/>
          </w:tcPr>
          <w:p>
            <w:pPr>
              <w:jc w:val="left"/>
            </w:pPr>
            <w:r>
              <w:rPr>
                <w:rFonts w:ascii="Calibri" w:hAnsi="Calibri"/>
                <w:b/>
                <w:i w:val="0"/>
                <w:sz w:val="16"/>
              </w:rPr>
              <w:t>SHX</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0.606</w:t>
            </w:r>
          </w:p>
        </w:tc>
        <w:tc>
          <w:tcPr>
            <w:tcW w:type="dxa" w:w="2100"/>
          </w:tcPr>
          <w:p>
            <w:pPr>
              <w:jc w:val="center"/>
            </w:pPr>
            <w:r>
              <w:rPr>
                <w:rFonts w:ascii="Calibri" w:hAnsi="Calibri"/>
                <w:b w:val="0"/>
                <w:i w:val="0"/>
                <w:sz w:val="16"/>
              </w:rPr>
              <w:t>-43%..+77%</w:t>
            </w:r>
          </w:p>
        </w:tc>
      </w:tr>
      <w:tr>
        <w:tc>
          <w:tcPr>
            <w:tcW w:type="dxa" w:w="1150"/>
            <w:shd w:val="clear" w:color="auto" w:fill="F2F5FB"/>
          </w:tcPr>
          <w:p>
            <w:pPr>
              <w:jc w:val="left"/>
            </w:pPr>
            <w:r>
              <w:rPr>
                <w:rFonts w:ascii="Calibri" w:hAnsi="Calibri"/>
                <w:b/>
                <w:i w:val="0"/>
                <w:sz w:val="16"/>
              </w:rPr>
              <w:t>SHFL</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0.597</w:t>
            </w:r>
          </w:p>
        </w:tc>
        <w:tc>
          <w:tcPr>
            <w:tcW w:type="dxa" w:w="2100"/>
            <w:shd w:val="clear" w:color="auto" w:fill="F2F5FB"/>
          </w:tcPr>
          <w:p>
            <w:pPr>
              <w:jc w:val="center"/>
            </w:pPr>
            <w:r>
              <w:rPr>
                <w:rFonts w:ascii="Calibri" w:hAnsi="Calibri"/>
                <w:b w:val="0"/>
                <w:i w:val="0"/>
                <w:sz w:val="16"/>
              </w:rPr>
              <w:t>-44%..+79%</w:t>
            </w:r>
          </w:p>
        </w:tc>
      </w:tr>
      <w:tr>
        <w:tc>
          <w:tcPr>
            <w:tcW w:type="dxa" w:w="1150"/>
          </w:tcPr>
          <w:p>
            <w:pPr>
              <w:jc w:val="left"/>
            </w:pPr>
            <w:r>
              <w:rPr>
                <w:rFonts w:ascii="Calibri" w:hAnsi="Calibri"/>
                <w:b/>
                <w:i w:val="0"/>
                <w:sz w:val="16"/>
              </w:rPr>
              <w:t>FLUID</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0.635</w:t>
            </w:r>
          </w:p>
        </w:tc>
        <w:tc>
          <w:tcPr>
            <w:tcW w:type="dxa" w:w="2100"/>
          </w:tcPr>
          <w:p>
            <w:pPr>
              <w:jc w:val="center"/>
            </w:pPr>
            <w:r>
              <w:rPr>
                <w:rFonts w:ascii="Calibri" w:hAnsi="Calibri"/>
                <w:b w:val="0"/>
                <w:i w:val="0"/>
                <w:sz w:val="16"/>
              </w:rPr>
              <w:t>-41%..+69%</w:t>
            </w:r>
          </w:p>
        </w:tc>
      </w:tr>
      <w:tr>
        <w:tc>
          <w:tcPr>
            <w:tcW w:type="dxa" w:w="1150"/>
            <w:shd w:val="clear" w:color="auto" w:fill="F2F5FB"/>
          </w:tcPr>
          <w:p>
            <w:pPr>
              <w:jc w:val="left"/>
            </w:pPr>
            <w:r>
              <w:rPr>
                <w:rFonts w:ascii="Calibri" w:hAnsi="Calibri"/>
                <w:b/>
                <w:i w:val="0"/>
                <w:sz w:val="16"/>
              </w:rPr>
              <w:t>MINA</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0.556</w:t>
            </w:r>
          </w:p>
        </w:tc>
        <w:tc>
          <w:tcPr>
            <w:tcW w:type="dxa" w:w="2100"/>
            <w:shd w:val="clear" w:color="auto" w:fill="F2F5FB"/>
          </w:tcPr>
          <w:p>
            <w:pPr>
              <w:jc w:val="center"/>
            </w:pPr>
            <w:r>
              <w:rPr>
                <w:rFonts w:ascii="Calibri" w:hAnsi="Calibri"/>
                <w:b w:val="0"/>
                <w:i w:val="0"/>
                <w:sz w:val="16"/>
              </w:rPr>
              <w:t>-45%..+80%</w:t>
            </w:r>
          </w:p>
        </w:tc>
      </w:tr>
      <w:tr>
        <w:tc>
          <w:tcPr>
            <w:tcW w:type="dxa" w:w="1150"/>
          </w:tcPr>
          <w:p>
            <w:pPr>
              <w:jc w:val="left"/>
            </w:pPr>
            <w:r>
              <w:rPr>
                <w:rFonts w:ascii="Calibri" w:hAnsi="Calibri"/>
                <w:b/>
                <w:i w:val="0"/>
                <w:sz w:val="16"/>
              </w:rPr>
              <w:t>ORCA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-47%..+88%</w:t>
            </w:r>
          </w:p>
        </w:tc>
      </w:tr>
      <w:tr>
        <w:tc>
          <w:tcPr>
            <w:tcW w:type="dxa" w:w="1150"/>
            <w:shd w:val="clear" w:color="auto" w:fill="F2F5FB"/>
          </w:tcPr>
          <w:p>
            <w:pPr>
              <w:jc w:val="left"/>
            </w:pPr>
            <w:r>
              <w:rPr>
                <w:rFonts w:ascii="Calibri" w:hAnsi="Calibri"/>
                <w:b/>
                <w:i w:val="0"/>
                <w:sz w:val="16"/>
              </w:rPr>
              <w:t>CASHCAT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-94%..+1692%</w:t>
            </w:r>
          </w:p>
        </w:tc>
      </w:tr>
      <w:tr>
        <w:tc>
          <w:tcPr>
            <w:tcW w:type="dxa" w:w="1150"/>
          </w:tcPr>
          <w:p>
            <w:pPr>
              <w:jc w:val="left"/>
            </w:pPr>
            <w:r>
              <w:rPr>
                <w:rFonts w:ascii="Calibri" w:hAnsi="Calibri"/>
                <w:b/>
                <w:i w:val="0"/>
                <w:sz w:val="16"/>
              </w:rPr>
              <w:t>MET</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-50%..+100%</w:t>
            </w:r>
          </w:p>
        </w:tc>
      </w:tr>
      <w:tr>
        <w:tc>
          <w:tcPr>
            <w:tcW w:type="dxa" w:w="1150"/>
            <w:shd w:val="clear" w:color="auto" w:fill="F2F5FB"/>
          </w:tcPr>
          <w:p>
            <w:pPr>
              <w:jc w:val="left"/>
            </w:pPr>
            <w:r>
              <w:rPr>
                <w:rFonts w:ascii="Calibri" w:hAnsi="Calibri"/>
                <w:b/>
                <w:i w:val="0"/>
                <w:sz w:val="16"/>
              </w:rPr>
              <w:t>H</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0.46</w:t>
            </w:r>
          </w:p>
        </w:tc>
        <w:tc>
          <w:tcPr>
            <w:tcW w:type="dxa" w:w="2100"/>
            <w:shd w:val="clear" w:color="auto" w:fill="F2F5FB"/>
          </w:tcPr>
          <w:p>
            <w:pPr>
              <w:jc w:val="center"/>
            </w:pPr>
            <w:r>
              <w:rPr>
                <w:rFonts w:ascii="Calibri" w:hAnsi="Calibri"/>
                <w:b w:val="0"/>
                <w:i w:val="0"/>
                <w:sz w:val="16"/>
              </w:rPr>
              <w:t>-88%..+724%</w:t>
            </w:r>
          </w:p>
        </w:tc>
      </w:tr>
      <w:tr>
        <w:tc>
          <w:tcPr>
            <w:tcW w:type="dxa" w:w="1150"/>
          </w:tcPr>
          <w:p>
            <w:pPr>
              <w:jc w:val="left"/>
            </w:pPr>
            <w:r>
              <w:rPr>
                <w:rFonts w:ascii="Calibri" w:hAnsi="Calibri"/>
                <w:b/>
                <w:i w:val="0"/>
                <w:sz w:val="16"/>
              </w:rPr>
              <w:t>EDGE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-58%..+137%</w:t>
            </w:r>
          </w:p>
        </w:tc>
      </w:tr>
      <w:tr>
        <w:tc>
          <w:tcPr>
            <w:tcW w:type="dxa" w:w="1150"/>
            <w:shd w:val="clear" w:color="auto" w:fill="F2F5FB"/>
          </w:tcPr>
          <w:p>
            <w:pPr>
              <w:jc w:val="left"/>
            </w:pPr>
            <w:r>
              <w:rPr>
                <w:rFonts w:ascii="Calibri" w:hAnsi="Calibri"/>
                <w:b/>
                <w:i w:val="0"/>
                <w:sz w:val="16"/>
              </w:rPr>
              <w:t>AKE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0.524</w:t>
            </w:r>
          </w:p>
        </w:tc>
        <w:tc>
          <w:tcPr>
            <w:tcW w:type="dxa" w:w="2100"/>
            <w:shd w:val="clear" w:color="auto" w:fill="F2F5FB"/>
          </w:tcPr>
          <w:p>
            <w:pPr>
              <w:jc w:val="center"/>
            </w:pPr>
            <w:r>
              <w:rPr>
                <w:rFonts w:ascii="Calibri" w:hAnsi="Calibri"/>
                <w:b w:val="0"/>
                <w:i w:val="0"/>
                <w:sz w:val="16"/>
              </w:rPr>
              <w:t>-86%..+632%</w:t>
            </w:r>
          </w:p>
        </w:tc>
      </w:tr>
      <w:tr>
        <w:tc>
          <w:tcPr>
            <w:tcW w:type="dxa" w:w="1150"/>
          </w:tcPr>
          <w:p>
            <w:pPr>
              <w:jc w:val="left"/>
            </w:pPr>
            <w:r>
              <w:rPr>
                <w:rFonts w:ascii="Calibri" w:hAnsi="Calibri"/>
                <w:b/>
                <w:i w:val="0"/>
                <w:sz w:val="16"/>
              </w:rPr>
              <w:t>USELESS</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0.514</w:t>
            </w:r>
          </w:p>
        </w:tc>
        <w:tc>
          <w:tcPr>
            <w:tcW w:type="dxa" w:w="2100"/>
          </w:tcPr>
          <w:p>
            <w:pPr>
              <w:jc w:val="center"/>
            </w:pPr>
            <w:r>
              <w:rPr>
                <w:rFonts w:ascii="Calibri" w:hAnsi="Calibri"/>
                <w:b w:val="0"/>
                <w:i w:val="0"/>
                <w:sz w:val="16"/>
              </w:rPr>
              <w:t>-66%..+190%</w:t>
            </w:r>
          </w:p>
        </w:tc>
      </w:tr>
      <w:tr>
        <w:tc>
          <w:tcPr>
            <w:tcW w:type="dxa" w:w="1150"/>
            <w:shd w:val="clear" w:color="auto" w:fill="F2F5FB"/>
          </w:tcPr>
          <w:p>
            <w:pPr>
              <w:jc w:val="left"/>
            </w:pPr>
            <w:r>
              <w:rPr>
                <w:rFonts w:ascii="Calibri" w:hAnsi="Calibri"/>
                <w:b/>
                <w:i w:val="0"/>
                <w:sz w:val="16"/>
              </w:rPr>
              <w:t>SUPER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0.544</w:t>
            </w:r>
          </w:p>
        </w:tc>
        <w:tc>
          <w:tcPr>
            <w:tcW w:type="dxa" w:w="2100"/>
            <w:shd w:val="clear" w:color="auto" w:fill="F2F5FB"/>
          </w:tcPr>
          <w:p>
            <w:pPr>
              <w:jc w:val="center"/>
            </w:pPr>
            <w:r>
              <w:rPr>
                <w:rFonts w:ascii="Calibri" w:hAnsi="Calibri"/>
                <w:b w:val="0"/>
                <w:i w:val="0"/>
                <w:sz w:val="16"/>
              </w:rPr>
              <w:t>-35%..+54%</w:t>
            </w:r>
          </w:p>
        </w:tc>
      </w:tr>
      <w:tr>
        <w:tc>
          <w:tcPr>
            <w:tcW w:type="dxa" w:w="1150"/>
          </w:tcPr>
          <w:p>
            <w:pPr>
              <w:jc w:val="left"/>
            </w:pPr>
            <w:r>
              <w:rPr>
                <w:rFonts w:ascii="Calibri" w:hAnsi="Calibri"/>
                <w:b/>
                <w:i w:val="0"/>
                <w:sz w:val="16"/>
              </w:rPr>
              <w:t>BR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0.571</w:t>
            </w:r>
          </w:p>
        </w:tc>
        <w:tc>
          <w:tcPr>
            <w:tcW w:type="dxa" w:w="2100"/>
          </w:tcPr>
          <w:p>
            <w:pPr>
              <w:jc w:val="center"/>
            </w:pPr>
            <w:r>
              <w:rPr>
                <w:rFonts w:ascii="Calibri" w:hAnsi="Calibri"/>
                <w:b w:val="0"/>
                <w:i w:val="0"/>
                <w:sz w:val="16"/>
              </w:rPr>
              <w:t>-82%..+454%</w:t>
            </w:r>
          </w:p>
        </w:tc>
      </w:tr>
      <w:tr>
        <w:tc>
          <w:tcPr>
            <w:tcW w:type="dxa" w:w="1150"/>
            <w:shd w:val="clear" w:color="auto" w:fill="F2F5FB"/>
          </w:tcPr>
          <w:p>
            <w:pPr>
              <w:jc w:val="left"/>
            </w:pPr>
            <w:r>
              <w:rPr>
                <w:rFonts w:ascii="Calibri" w:hAnsi="Calibri"/>
                <w:b/>
                <w:i w:val="0"/>
                <w:sz w:val="16"/>
              </w:rPr>
              <w:t>GRX</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-85%..+546%</w:t>
            </w:r>
          </w:p>
        </w:tc>
      </w:tr>
      <w:tr>
        <w:tc>
          <w:tcPr>
            <w:tcW w:type="dxa" w:w="1150"/>
          </w:tcPr>
          <w:p>
            <w:pPr>
              <w:jc w:val="left"/>
            </w:pPr>
            <w:r>
              <w:rPr>
                <w:rFonts w:ascii="Calibri" w:hAnsi="Calibri"/>
                <w:b/>
                <w:i w:val="0"/>
                <w:sz w:val="16"/>
              </w:rPr>
              <w:t>SAND</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+0.25</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0.669</w:t>
            </w:r>
          </w:p>
        </w:tc>
        <w:tc>
          <w:tcPr>
            <w:tcW w:type="dxa" w:w="2100"/>
          </w:tcPr>
          <w:p>
            <w:pPr>
              <w:jc w:val="center"/>
            </w:pPr>
            <w:r>
              <w:rPr>
                <w:rFonts w:ascii="Calibri" w:hAnsi="Calibri"/>
                <w:b w:val="0"/>
                <w:i w:val="0"/>
                <w:sz w:val="16"/>
              </w:rPr>
              <w:t>-43%..+76%</w:t>
            </w:r>
          </w:p>
        </w:tc>
      </w:tr>
      <w:tr>
        <w:tc>
          <w:tcPr>
            <w:tcW w:type="dxa" w:w="1150"/>
            <w:shd w:val="clear" w:color="auto" w:fill="F2F5FB"/>
          </w:tcPr>
          <w:p>
            <w:pPr>
              <w:jc w:val="left"/>
            </w:pPr>
            <w:r>
              <w:rPr>
                <w:rFonts w:ascii="Calibri" w:hAnsi="Calibri"/>
                <w:b/>
                <w:i w:val="0"/>
                <w:sz w:val="16"/>
              </w:rPr>
              <w:t>PONS</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-92%..+1125%</w:t>
            </w:r>
          </w:p>
        </w:tc>
      </w:tr>
      <w:tr>
        <w:tc>
          <w:tcPr>
            <w:tcW w:type="dxa" w:w="1150"/>
          </w:tcPr>
          <w:p>
            <w:pPr>
              <w:jc w:val="left"/>
            </w:pPr>
            <w:r>
              <w:rPr>
                <w:rFonts w:ascii="Calibri" w:hAnsi="Calibri"/>
                <w:b/>
                <w:i w:val="0"/>
                <w:sz w:val="16"/>
              </w:rPr>
              <w:t>AR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-46%..+84%</w:t>
            </w:r>
          </w:p>
        </w:tc>
      </w:tr>
      <w:tr>
        <w:tc>
          <w:tcPr>
            <w:tcW w:type="dxa" w:w="1150"/>
            <w:shd w:val="clear" w:color="auto" w:fill="F2F5FB"/>
          </w:tcPr>
          <w:p>
            <w:pPr>
              <w:jc w:val="left"/>
            </w:pPr>
            <w:r>
              <w:rPr>
                <w:rFonts w:ascii="Calibri" w:hAnsi="Calibri"/>
                <w:b/>
                <w:i w:val="0"/>
                <w:sz w:val="16"/>
              </w:rPr>
              <w:t>PEAQ</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0.544</w:t>
            </w:r>
          </w:p>
        </w:tc>
        <w:tc>
          <w:tcPr>
            <w:tcW w:type="dxa" w:w="2100"/>
            <w:shd w:val="clear" w:color="auto" w:fill="F2F5FB"/>
          </w:tcPr>
          <w:p>
            <w:pPr>
              <w:jc w:val="center"/>
            </w:pPr>
            <w:r>
              <w:rPr>
                <w:rFonts w:ascii="Calibri" w:hAnsi="Calibri"/>
                <w:b w:val="0"/>
                <w:i w:val="0"/>
                <w:sz w:val="16"/>
              </w:rPr>
              <w:t>-55%..+124%</w:t>
            </w:r>
          </w:p>
        </w:tc>
      </w:tr>
      <w:tr>
        <w:tc>
          <w:tcPr>
            <w:tcW w:type="dxa" w:w="1150"/>
          </w:tcPr>
          <w:p>
            <w:pPr>
              <w:jc w:val="left"/>
            </w:pPr>
            <w:r>
              <w:rPr>
                <w:rFonts w:ascii="Calibri" w:hAnsi="Calibri"/>
                <w:b/>
                <w:i w:val="0"/>
                <w:sz w:val="16"/>
              </w:rPr>
              <w:t>RSR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0.577</w:t>
            </w:r>
          </w:p>
        </w:tc>
        <w:tc>
          <w:tcPr>
            <w:tcW w:type="dxa" w:w="2100"/>
          </w:tcPr>
          <w:p>
            <w:pPr>
              <w:jc w:val="center"/>
            </w:pPr>
            <w:r>
              <w:rPr>
                <w:rFonts w:ascii="Calibri" w:hAnsi="Calibri"/>
                <w:b w:val="0"/>
                <w:i w:val="0"/>
                <w:sz w:val="16"/>
              </w:rPr>
              <w:t>-37%..+59%</w:t>
            </w:r>
          </w:p>
        </w:tc>
      </w:tr>
      <w:tr>
        <w:tc>
          <w:tcPr>
            <w:tcW w:type="dxa" w:w="1150"/>
            <w:shd w:val="clear" w:color="auto" w:fill="F2F5FB"/>
          </w:tcPr>
          <w:p>
            <w:pPr>
              <w:jc w:val="left"/>
            </w:pPr>
            <w:r>
              <w:rPr>
                <w:rFonts w:ascii="Calibri" w:hAnsi="Calibri"/>
                <w:b/>
                <w:i w:val="0"/>
                <w:sz w:val="16"/>
              </w:rPr>
              <w:t>SOON</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-0.25</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0.535</w:t>
            </w:r>
          </w:p>
        </w:tc>
        <w:tc>
          <w:tcPr>
            <w:tcW w:type="dxa" w:w="2100"/>
            <w:shd w:val="clear" w:color="auto" w:fill="F2F5FB"/>
          </w:tcPr>
          <w:p>
            <w:pPr>
              <w:jc w:val="center"/>
            </w:pPr>
            <w:r>
              <w:rPr>
                <w:rFonts w:ascii="Calibri" w:hAnsi="Calibri"/>
                <w:b w:val="0"/>
                <w:i w:val="0"/>
                <w:sz w:val="16"/>
              </w:rPr>
              <w:t>-54%..+117%</w:t>
            </w:r>
          </w:p>
        </w:tc>
      </w:tr>
    </w:tbl>
    <w:p>
      <w:r>
        <w:rPr>
          <w:rFonts w:ascii="Calibri" w:hAnsi="Calibri"/>
          <w:b w:val="0"/>
          <w:i w:val="0"/>
          <w:color w:val="555555"/>
          <w:sz w:val="16"/>
        </w:rPr>
        <w:t>Composite = moyenne des indicateurs actifs (−1 à +1). Fond. = score fondamental /100. AUC = pouvoir prédictif mesuré (0,5 = hasard). Projection = fourchette de plausibilité à 30 jours, pas une prévision.</w:t>
      </w:r>
    </w:p>
    <w:p>
      <w:r>
        <w:br w:type="page"/>
      </w:r>
    </w:p>
    <w:p>
      <w:pPr>
        <w:pStyle w:val="Heading1"/>
      </w:pPr>
      <w:r>
        <w:t>3. Plan de trade — niveaux indicatifs</w:t>
      </w:r>
    </w:p>
    <w:p>
      <w:r>
        <w:rPr>
          <w:rFonts w:ascii="Calibri" w:hAnsi="Calibri"/>
          <w:b w:val="0"/>
          <w:i/>
          <w:color w:val="555555"/>
          <w:sz w:val="18"/>
        </w:rPr>
        <w:t>Niveaux dérivés de la VOLATILITÉ (pas d'une prévision) : objectif à +1,5σ, stop à −1,0σ sur la durée indiquée. Prix d'achat = prix actuel (référence, ordre au marché). Durée = fenêtre de détention avant revue, d'autant plus courte que l'actif est volatil. À ajuster selon votre tolérance au risque.</w:t>
      </w:r>
    </w:p>
    <w:tbl>
      <w:tblPr>
        <w:tblW w:type="auto" w:w="0"/>
        <w:jc w:val="center"/>
        <w:tblLook w:firstColumn="1" w:firstRow="1" w:lastColumn="0" w:lastRow="0" w:noHBand="0" w:noVBand="1" w:val="04A0"/>
      </w:tblPr>
      <w:tblGrid>
        <w:gridCol w:w="1463"/>
        <w:gridCol w:w="1463"/>
        <w:gridCol w:w="1463"/>
        <w:gridCol w:w="1463"/>
        <w:gridCol w:w="1463"/>
        <w:gridCol w:w="1463"/>
        <w:gridCol w:w="1463"/>
      </w:tblGrid>
      <w:tr>
        <w:tc>
          <w:tcPr>
            <w:tcW w:type="dxa" w:w="1150"/>
            <w:shd w:val="clear" w:color="auto" w:fill="2E5496"/>
          </w:tcPr>
          <w:p>
            <w:pPr>
              <w:jc w:val="center"/>
            </w:pPr>
            <w:r>
              <w:rPr>
                <w:rFonts w:ascii="Calibri" w:hAnsi="Calibri"/>
                <w:b/>
                <w:i w:val="0"/>
                <w:color w:val="FFFFFF"/>
                <w:sz w:val="16"/>
              </w:rPr>
              <w:t>Crypto</w:t>
            </w:r>
          </w:p>
        </w:tc>
        <w:tc>
          <w:tcPr>
            <w:tcW w:type="dxa" w:w="1300"/>
            <w:shd w:val="clear" w:color="auto" w:fill="2E5496"/>
          </w:tcPr>
          <w:p>
            <w:pPr>
              <w:jc w:val="center"/>
            </w:pPr>
            <w:r>
              <w:rPr>
                <w:rFonts w:ascii="Calibri" w:hAnsi="Calibri"/>
                <w:b/>
                <w:i w:val="0"/>
                <w:color w:val="FFFFFF"/>
                <w:sz w:val="16"/>
              </w:rPr>
              <w:t>Décision</w:t>
            </w:r>
          </w:p>
        </w:tc>
        <w:tc>
          <w:tcPr>
            <w:tcW w:type="dxa" w:w="1500"/>
            <w:shd w:val="clear" w:color="auto" w:fill="2E5496"/>
          </w:tcPr>
          <w:p>
            <w:pPr>
              <w:jc w:val="center"/>
            </w:pPr>
            <w:r>
              <w:rPr>
                <w:rFonts w:ascii="Calibri" w:hAnsi="Calibri"/>
                <w:b/>
                <w:i w:val="0"/>
                <w:color w:val="FFFFFF"/>
                <w:sz w:val="16"/>
              </w:rPr>
              <w:t>Prix d'achat</w:t>
            </w:r>
          </w:p>
        </w:tc>
        <w:tc>
          <w:tcPr>
            <w:tcW w:type="dxa" w:w="1700"/>
            <w:shd w:val="clear" w:color="auto" w:fill="2E5496"/>
          </w:tcPr>
          <w:p>
            <w:pPr>
              <w:jc w:val="center"/>
            </w:pPr>
            <w:r>
              <w:rPr>
                <w:rFonts w:ascii="Calibri" w:hAnsi="Calibri"/>
                <w:b/>
                <w:i w:val="0"/>
                <w:color w:val="FFFFFF"/>
                <w:sz w:val="16"/>
              </w:rPr>
              <w:t>Vente ↑ (objectif)</w:t>
            </w:r>
          </w:p>
        </w:tc>
        <w:tc>
          <w:tcPr>
            <w:tcW w:type="dxa" w:w="1600"/>
            <w:shd w:val="clear" w:color="auto" w:fill="2E5496"/>
          </w:tcPr>
          <w:p>
            <w:pPr>
              <w:jc w:val="center"/>
            </w:pPr>
            <w:r>
              <w:rPr>
                <w:rFonts w:ascii="Calibri" w:hAnsi="Calibri"/>
                <w:b/>
                <w:i w:val="0"/>
                <w:color w:val="FFFFFF"/>
                <w:sz w:val="16"/>
              </w:rPr>
              <w:t>Vente ↓ (stop)</w:t>
            </w:r>
          </w:p>
        </w:tc>
        <w:tc>
          <w:tcPr>
            <w:tcW w:type="dxa" w:w="900"/>
            <w:shd w:val="clear" w:color="auto" w:fill="2E5496"/>
          </w:tcPr>
          <w:p>
            <w:pPr>
              <w:jc w:val="center"/>
            </w:pPr>
            <w:r>
              <w:rPr>
                <w:rFonts w:ascii="Calibri" w:hAnsi="Calibri"/>
                <w:b/>
                <w:i w:val="0"/>
                <w:color w:val="FFFFFF"/>
                <w:sz w:val="16"/>
              </w:rPr>
              <w:t>Durée (j)</w:t>
            </w:r>
          </w:p>
        </w:tc>
        <w:tc>
          <w:tcPr>
            <w:tcW w:type="dxa" w:w="900"/>
            <w:shd w:val="clear" w:color="auto" w:fill="2E5496"/>
          </w:tcPr>
          <w:p>
            <w:pPr>
              <w:jc w:val="center"/>
            </w:pPr>
            <w:r>
              <w:rPr>
                <w:rFonts w:ascii="Calibri" w:hAnsi="Calibri"/>
                <w:b/>
                <w:i w:val="0"/>
                <w:color w:val="FFFFFF"/>
                <w:sz w:val="16"/>
              </w:rPr>
              <w:t>Ratio G/P</w:t>
            </w:r>
          </w:p>
        </w:tc>
      </w:tr>
      <w:tr>
        <w:tc>
          <w:tcPr>
            <w:tcW w:type="dxa" w:w="1150"/>
          </w:tcPr>
          <w:p>
            <w:pPr>
              <w:jc w:val="left"/>
            </w:pPr>
            <w:r>
              <w:rPr>
                <w:rFonts w:ascii="Calibri" w:hAnsi="Calibri"/>
                <w:b/>
                <w:i w:val="0"/>
                <w:sz w:val="16"/>
              </w:rPr>
              <w:t>BTC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$81 794.85</w:t>
            </w:r>
          </w:p>
        </w:tc>
        <w:tc>
          <w:tcPr>
            <w:tcW w:type="dxa" w:w="1700"/>
          </w:tcPr>
          <w:p>
            <w:pPr>
              <w:jc w:val="center"/>
            </w:pPr>
            <w:r>
              <w:rPr>
                <w:rFonts w:ascii="Calibri" w:hAnsi="Calibri"/>
                <w:b w:val="0"/>
                <w:i w:val="0"/>
                <w:color w:val="1E7D32"/>
                <w:sz w:val="16"/>
              </w:rPr>
              <w:t>$99 366.92  (+21%)</w:t>
            </w:r>
          </w:p>
        </w:tc>
        <w:tc>
          <w:tcPr>
            <w:tcW w:type="dxa" w:w="1600"/>
          </w:tcPr>
          <w:p>
            <w:pPr>
              <w:jc w:val="center"/>
            </w:pPr>
            <w:r>
              <w:rPr>
                <w:rFonts w:ascii="Calibri" w:hAnsi="Calibri"/>
                <w:b w:val="0"/>
                <w:i w:val="0"/>
                <w:color w:val="C62828"/>
                <w:sz w:val="16"/>
              </w:rPr>
              <w:t>$71 842.60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ETH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$2 445.89</w:t>
            </w:r>
          </w:p>
        </w:tc>
        <w:tc>
          <w:tcPr>
            <w:tcW w:type="dxa" w:w="1700"/>
            <w:shd w:val="clear" w:color="auto" w:fill="F2F5FB"/>
          </w:tcPr>
          <w:p>
            <w:pPr>
              <w:jc w:val="center"/>
            </w:pPr>
            <w:r>
              <w:rPr>
                <w:rFonts w:ascii="Calibri" w:hAnsi="Calibri"/>
                <w:b w:val="0"/>
                <w:i w:val="0"/>
                <w:color w:val="1E7D32"/>
                <w:sz w:val="16"/>
              </w:rPr>
              <w:t>$3 087.66  (+26%)</w:t>
            </w:r>
          </w:p>
        </w:tc>
        <w:tc>
          <w:tcPr>
            <w:tcW w:type="dxa" w:w="1600"/>
            <w:shd w:val="clear" w:color="auto" w:fill="F2F5FB"/>
          </w:tcPr>
          <w:p>
            <w:pPr>
              <w:jc w:val="center"/>
            </w:pPr>
            <w:r>
              <w:rPr>
                <w:rFonts w:ascii="Calibri" w:hAnsi="Calibri"/>
                <w:b w:val="0"/>
                <w:i w:val="0"/>
                <w:color w:val="C62828"/>
                <w:sz w:val="16"/>
              </w:rPr>
              <w:t>$2 093.99  (-14%)</w:t>
            </w:r>
          </w:p>
        </w:tc>
        <w:tc>
          <w:tcPr>
            <w:tcW w:type="dxa" w:w="900"/>
            <w:shd w:val="clear" w:color="auto" w:fill="F2F5FB"/>
          </w:tcPr>
          <w:p>
            <w:pPr>
              <w:jc w:val="center"/>
            </w:pPr>
            <w:r>
              <w:rPr>
                <w:rFonts w:ascii="Calibri" w:hAnsi="Calibri"/>
                <w:b w:val="0"/>
                <w:i w:val="0"/>
                <w:sz w:val="16"/>
              </w:rPr>
              <w:t>34</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BNB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$732.3112</w:t>
            </w:r>
          </w:p>
        </w:tc>
        <w:tc>
          <w:tcPr>
            <w:tcW w:type="dxa" w:w="1700"/>
          </w:tcPr>
          <w:p>
            <w:pPr>
              <w:jc w:val="center"/>
            </w:pPr>
            <w:r>
              <w:rPr>
                <w:rFonts w:ascii="Calibri" w:hAnsi="Calibri"/>
                <w:b w:val="0"/>
                <w:i w:val="0"/>
                <w:color w:val="1E7D32"/>
                <w:sz w:val="16"/>
              </w:rPr>
              <w:t>$898.7218  (+23%)</w:t>
            </w:r>
          </w:p>
        </w:tc>
        <w:tc>
          <w:tcPr>
            <w:tcW w:type="dxa" w:w="1600"/>
          </w:tcPr>
          <w:p>
            <w:pPr>
              <w:jc w:val="center"/>
            </w:pPr>
            <w:r>
              <w:rPr>
                <w:rFonts w:ascii="Calibri" w:hAnsi="Calibri"/>
                <w:b w:val="0"/>
                <w:i w:val="0"/>
                <w:color w:val="C62828"/>
                <w:sz w:val="16"/>
              </w:rPr>
              <w:t>$638.8653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XRP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$1.3410</w:t>
            </w:r>
          </w:p>
        </w:tc>
        <w:tc>
          <w:tcPr>
            <w:tcW w:type="dxa" w:w="1700"/>
            <w:shd w:val="clear" w:color="auto" w:fill="F2F5FB"/>
          </w:tcPr>
          <w:p>
            <w:pPr>
              <w:jc w:val="center"/>
            </w:pPr>
            <w:r>
              <w:rPr>
                <w:rFonts w:ascii="Calibri" w:hAnsi="Calibri"/>
                <w:b w:val="0"/>
                <w:i w:val="0"/>
                <w:color w:val="1E7D32"/>
                <w:sz w:val="16"/>
              </w:rPr>
              <w:t>$1.7266  (+29%)</w:t>
            </w:r>
          </w:p>
        </w:tc>
        <w:tc>
          <w:tcPr>
            <w:tcW w:type="dxa" w:w="1600"/>
            <w:shd w:val="clear" w:color="auto" w:fill="F2F5FB"/>
          </w:tcPr>
          <w:p>
            <w:pPr>
              <w:jc w:val="center"/>
            </w:pPr>
            <w:r>
              <w:rPr>
                <w:rFonts w:ascii="Calibri" w:hAnsi="Calibri"/>
                <w:b w:val="0"/>
                <w:i w:val="0"/>
                <w:color w:val="C62828"/>
                <w:sz w:val="16"/>
              </w:rPr>
              <w:t>$1.1330  (-16%)</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SOL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$105.6365</w:t>
            </w:r>
          </w:p>
        </w:tc>
        <w:tc>
          <w:tcPr>
            <w:tcW w:type="dxa" w:w="1700"/>
          </w:tcPr>
          <w:p>
            <w:pPr>
              <w:jc w:val="center"/>
            </w:pPr>
            <w:r>
              <w:rPr>
                <w:rFonts w:ascii="Calibri" w:hAnsi="Calibri"/>
                <w:b w:val="0"/>
                <w:i w:val="0"/>
                <w:color w:val="1E7D32"/>
                <w:sz w:val="16"/>
              </w:rPr>
              <w:t>$135.3679  (+28%)</w:t>
            </w:r>
          </w:p>
        </w:tc>
        <w:tc>
          <w:tcPr>
            <w:tcW w:type="dxa" w:w="1600"/>
          </w:tcPr>
          <w:p>
            <w:pPr>
              <w:jc w:val="center"/>
            </w:pPr>
            <w:r>
              <w:rPr>
                <w:rFonts w:ascii="Calibri" w:hAnsi="Calibri"/>
                <w:b w:val="0"/>
                <w:i w:val="0"/>
                <w:color w:val="C62828"/>
                <w:sz w:val="16"/>
              </w:rPr>
              <w:t>$89.5391  (-15%)</w:t>
            </w:r>
          </w:p>
        </w:tc>
        <w:tc>
          <w:tcPr>
            <w:tcW w:type="dxa" w:w="900"/>
          </w:tcPr>
          <w:p>
            <w:pPr>
              <w:jc w:val="center"/>
            </w:pPr>
            <w:r>
              <w:rPr>
                <w:rFonts w:ascii="Calibri" w:hAnsi="Calibri"/>
                <w:b w:val="0"/>
                <w:i w:val="0"/>
                <w:sz w:val="16"/>
              </w:rPr>
              <w:t>33</w:t>
            </w:r>
          </w:p>
        </w:tc>
        <w:tc>
          <w:tcPr>
            <w:tcW w:type="dxa" w:w="900"/>
          </w:tcPr>
          <w:p>
            <w:pPr>
              <w:jc w:val="center"/>
            </w:pPr>
            <w:r>
              <w:rPr>
                <w:rFonts w:ascii="Calibri" w:hAnsi="Calibri"/>
                <w:b w:val="0"/>
                <w:i w:val="0"/>
                <w:sz w:val="16"/>
              </w:rPr>
              <w:t>1.85</w:t>
            </w:r>
          </w:p>
        </w:tc>
      </w:tr>
      <w:tr>
        <w:tc>
          <w:tcPr>
            <w:tcW w:type="dxa" w:w="1150"/>
            <w:shd w:val="clear" w:color="auto" w:fill="F2F5FB"/>
          </w:tcPr>
          <w:p>
            <w:pPr>
              <w:jc w:val="left"/>
            </w:pPr>
            <w:r>
              <w:rPr>
                <w:rFonts w:ascii="Calibri" w:hAnsi="Calibri"/>
                <w:b/>
                <w:i w:val="0"/>
                <w:sz w:val="16"/>
              </w:rPr>
              <w:t>TRX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$0.328946</w:t>
            </w:r>
          </w:p>
        </w:tc>
        <w:tc>
          <w:tcPr>
            <w:tcW w:type="dxa" w:w="1700"/>
            <w:shd w:val="clear" w:color="auto" w:fill="F2F5FB"/>
          </w:tcPr>
          <w:p>
            <w:pPr>
              <w:jc w:val="center"/>
            </w:pPr>
            <w:r>
              <w:rPr>
                <w:rFonts w:ascii="Calibri" w:hAnsi="Calibri"/>
                <w:b w:val="0"/>
                <w:i w:val="0"/>
                <w:color w:val="1E7D32"/>
                <w:sz w:val="16"/>
              </w:rPr>
              <w:t>$0.364171  (+11%)</w:t>
            </w:r>
          </w:p>
        </w:tc>
        <w:tc>
          <w:tcPr>
            <w:tcW w:type="dxa" w:w="1600"/>
            <w:shd w:val="clear" w:color="auto" w:fill="F2F5FB"/>
          </w:tcPr>
          <w:p>
            <w:pPr>
              <w:jc w:val="center"/>
            </w:pPr>
            <w:r>
              <w:rPr>
                <w:rFonts w:ascii="Calibri" w:hAnsi="Calibri"/>
                <w:b w:val="0"/>
                <w:i w:val="0"/>
                <w:color w:val="C62828"/>
                <w:sz w:val="16"/>
              </w:rPr>
              <w:t>$0.307377  (-7%)</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1.63</w:t>
            </w:r>
          </w:p>
        </w:tc>
      </w:tr>
      <w:tr>
        <w:tc>
          <w:tcPr>
            <w:tcW w:type="dxa" w:w="1150"/>
          </w:tcPr>
          <w:p>
            <w:pPr>
              <w:jc w:val="left"/>
            </w:pPr>
            <w:r>
              <w:rPr>
                <w:rFonts w:ascii="Calibri" w:hAnsi="Calibri"/>
                <w:b/>
                <w:i w:val="0"/>
                <w:sz w:val="16"/>
              </w:rPr>
              <w:t>FIGR_HELOC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$1.0640</w:t>
            </w:r>
          </w:p>
        </w:tc>
        <w:tc>
          <w:tcPr>
            <w:tcW w:type="dxa" w:w="1700"/>
          </w:tcPr>
          <w:p>
            <w:pPr>
              <w:jc w:val="center"/>
            </w:pPr>
            <w:r>
              <w:rPr>
                <w:rFonts w:ascii="Calibri" w:hAnsi="Calibri"/>
                <w:b w:val="0"/>
                <w:i w:val="0"/>
                <w:color w:val="1E7D32"/>
                <w:sz w:val="16"/>
              </w:rPr>
              <w:t>$1.1621  (+9%)</w:t>
            </w:r>
          </w:p>
        </w:tc>
        <w:tc>
          <w:tcPr>
            <w:tcW w:type="dxa" w:w="1600"/>
          </w:tcPr>
          <w:p>
            <w:pPr>
              <w:jc w:val="center"/>
            </w:pPr>
            <w:r>
              <w:rPr>
                <w:rFonts w:ascii="Calibri" w:hAnsi="Calibri"/>
                <w:b w:val="0"/>
                <w:i w:val="0"/>
                <w:color w:val="C62828"/>
                <w:sz w:val="16"/>
              </w:rPr>
              <w:t>$1.0033  (-6%)</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1.61</w:t>
            </w:r>
          </w:p>
        </w:tc>
      </w:tr>
      <w:tr>
        <w:tc>
          <w:tcPr>
            <w:tcW w:type="dxa" w:w="1150"/>
            <w:shd w:val="clear" w:color="auto" w:fill="F2F5FB"/>
          </w:tcPr>
          <w:p>
            <w:pPr>
              <w:jc w:val="left"/>
            </w:pPr>
            <w:r>
              <w:rPr>
                <w:rFonts w:ascii="Calibri" w:hAnsi="Calibri"/>
                <w:b/>
                <w:i w:val="0"/>
                <w:sz w:val="16"/>
              </w:rPr>
              <w:t>ZEC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$1 166.91</w:t>
            </w:r>
          </w:p>
        </w:tc>
        <w:tc>
          <w:tcPr>
            <w:tcW w:type="dxa" w:w="1700"/>
            <w:shd w:val="clear" w:color="auto" w:fill="F2F5FB"/>
          </w:tcPr>
          <w:p>
            <w:pPr>
              <w:jc w:val="center"/>
            </w:pPr>
            <w:r>
              <w:rPr>
                <w:rFonts w:ascii="Calibri" w:hAnsi="Calibri"/>
                <w:b w:val="0"/>
                <w:i w:val="0"/>
                <w:color w:val="1E7D32"/>
                <w:sz w:val="16"/>
              </w:rPr>
              <w:t>$1 734.34  (+49%)</w:t>
            </w:r>
          </w:p>
        </w:tc>
        <w:tc>
          <w:tcPr>
            <w:tcW w:type="dxa" w:w="1600"/>
            <w:shd w:val="clear" w:color="auto" w:fill="F2F5FB"/>
          </w:tcPr>
          <w:p>
            <w:pPr>
              <w:jc w:val="center"/>
            </w:pPr>
            <w:r>
              <w:rPr>
                <w:rFonts w:ascii="Calibri" w:hAnsi="Calibri"/>
                <w:b w:val="0"/>
                <w:i w:val="0"/>
                <w:color w:val="C62828"/>
                <w:sz w:val="16"/>
              </w:rPr>
              <w:t>$896.0006  (-23%)</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2.09</w:t>
            </w:r>
          </w:p>
        </w:tc>
      </w:tr>
      <w:tr>
        <w:tc>
          <w:tcPr>
            <w:tcW w:type="dxa" w:w="1150"/>
          </w:tcPr>
          <w:p>
            <w:pPr>
              <w:jc w:val="left"/>
            </w:pPr>
            <w:r>
              <w:rPr>
                <w:rFonts w:ascii="Calibri" w:hAnsi="Calibri"/>
                <w:b/>
                <w:i w:val="0"/>
                <w:sz w:val="16"/>
              </w:rPr>
              <w:t>HYPE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$80.9666</w:t>
            </w:r>
          </w:p>
        </w:tc>
        <w:tc>
          <w:tcPr>
            <w:tcW w:type="dxa" w:w="1700"/>
          </w:tcPr>
          <w:p>
            <w:pPr>
              <w:jc w:val="center"/>
            </w:pPr>
            <w:r>
              <w:rPr>
                <w:rFonts w:ascii="Calibri" w:hAnsi="Calibri"/>
                <w:b w:val="0"/>
                <w:i w:val="0"/>
                <w:color w:val="1E7D32"/>
                <w:sz w:val="16"/>
              </w:rPr>
              <w:t>$111.4428  (+38%)</w:t>
            </w:r>
          </w:p>
        </w:tc>
        <w:tc>
          <w:tcPr>
            <w:tcW w:type="dxa" w:w="1600"/>
          </w:tcPr>
          <w:p>
            <w:pPr>
              <w:jc w:val="center"/>
            </w:pPr>
            <w:r>
              <w:rPr>
                <w:rFonts w:ascii="Calibri" w:hAnsi="Calibri"/>
                <w:b w:val="0"/>
                <w:i w:val="0"/>
                <w:color w:val="C62828"/>
                <w:sz w:val="16"/>
              </w:rPr>
              <w:t>$65.4348  (-19%)</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DOGE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$0.082182</w:t>
            </w:r>
          </w:p>
        </w:tc>
        <w:tc>
          <w:tcPr>
            <w:tcW w:type="dxa" w:w="1700"/>
            <w:shd w:val="clear" w:color="auto" w:fill="F2F5FB"/>
          </w:tcPr>
          <w:p>
            <w:pPr>
              <w:jc w:val="center"/>
            </w:pPr>
            <w:r>
              <w:rPr>
                <w:rFonts w:ascii="Calibri" w:hAnsi="Calibri"/>
                <w:b w:val="0"/>
                <w:i w:val="0"/>
                <w:color w:val="1E7D32"/>
                <w:sz w:val="16"/>
              </w:rPr>
              <w:t>$0.105502  (+28%)</w:t>
            </w:r>
          </w:p>
        </w:tc>
        <w:tc>
          <w:tcPr>
            <w:tcW w:type="dxa" w:w="1600"/>
            <w:shd w:val="clear" w:color="auto" w:fill="F2F5FB"/>
          </w:tcPr>
          <w:p>
            <w:pPr>
              <w:jc w:val="center"/>
            </w:pPr>
            <w:r>
              <w:rPr>
                <w:rFonts w:ascii="Calibri" w:hAnsi="Calibri"/>
                <w:b w:val="0"/>
                <w:i w:val="0"/>
                <w:color w:val="C62828"/>
                <w:sz w:val="16"/>
              </w:rPr>
              <w:t>$0.069575  (-15%)</w:t>
            </w:r>
          </w:p>
        </w:tc>
        <w:tc>
          <w:tcPr>
            <w:tcW w:type="dxa" w:w="900"/>
            <w:shd w:val="clear" w:color="auto" w:fill="F2F5FB"/>
          </w:tcPr>
          <w:p>
            <w:pPr>
              <w:jc w:val="center"/>
            </w:pPr>
            <w:r>
              <w:rPr>
                <w:rFonts w:ascii="Calibri" w:hAnsi="Calibri"/>
                <w:b w:val="0"/>
                <w:i w:val="0"/>
                <w:sz w:val="16"/>
              </w:rPr>
              <w:t>31</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XMR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$526.8518</w:t>
            </w:r>
          </w:p>
        </w:tc>
        <w:tc>
          <w:tcPr>
            <w:tcW w:type="dxa" w:w="1700"/>
          </w:tcPr>
          <w:p>
            <w:pPr>
              <w:jc w:val="center"/>
            </w:pPr>
            <w:r>
              <w:rPr>
                <w:rFonts w:ascii="Calibri" w:hAnsi="Calibri"/>
                <w:b w:val="0"/>
                <w:i w:val="0"/>
                <w:color w:val="1E7D32"/>
                <w:sz w:val="16"/>
              </w:rPr>
              <w:t>$695.4050  (+32%)</w:t>
            </w:r>
          </w:p>
        </w:tc>
        <w:tc>
          <w:tcPr>
            <w:tcW w:type="dxa" w:w="1600"/>
          </w:tcPr>
          <w:p>
            <w:pPr>
              <w:jc w:val="center"/>
            </w:pPr>
            <w:r>
              <w:rPr>
                <w:rFonts w:ascii="Calibri" w:hAnsi="Calibri"/>
                <w:b w:val="0"/>
                <w:i w:val="0"/>
                <w:color w:val="C62828"/>
                <w:sz w:val="16"/>
              </w:rPr>
              <w:t>$437.8469  (-17%)</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LINK</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$12.6123</w:t>
            </w:r>
          </w:p>
        </w:tc>
        <w:tc>
          <w:tcPr>
            <w:tcW w:type="dxa" w:w="1700"/>
            <w:shd w:val="clear" w:color="auto" w:fill="F2F5FB"/>
          </w:tcPr>
          <w:p>
            <w:pPr>
              <w:jc w:val="center"/>
            </w:pPr>
            <w:r>
              <w:rPr>
                <w:rFonts w:ascii="Calibri" w:hAnsi="Calibri"/>
                <w:b w:val="0"/>
                <w:i w:val="0"/>
                <w:color w:val="1E7D32"/>
                <w:sz w:val="16"/>
              </w:rPr>
              <w:t>$16.2641  (+29%)</w:t>
            </w:r>
          </w:p>
        </w:tc>
        <w:tc>
          <w:tcPr>
            <w:tcW w:type="dxa" w:w="1600"/>
            <w:shd w:val="clear" w:color="auto" w:fill="F2F5FB"/>
          </w:tcPr>
          <w:p>
            <w:pPr>
              <w:jc w:val="center"/>
            </w:pPr>
            <w:r>
              <w:rPr>
                <w:rFonts w:ascii="Calibri" w:hAnsi="Calibri"/>
                <w:b w:val="0"/>
                <w:i w:val="0"/>
                <w:color w:val="C62828"/>
                <w:sz w:val="16"/>
              </w:rPr>
              <w:t>$10.6456  (-16%)</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WBT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$80.2129</w:t>
            </w:r>
          </w:p>
        </w:tc>
        <w:tc>
          <w:tcPr>
            <w:tcW w:type="dxa" w:w="1700"/>
          </w:tcPr>
          <w:p>
            <w:pPr>
              <w:jc w:val="center"/>
            </w:pPr>
            <w:r>
              <w:rPr>
                <w:rFonts w:ascii="Calibri" w:hAnsi="Calibri"/>
                <w:b w:val="0"/>
                <w:i w:val="0"/>
                <w:color w:val="1E7D32"/>
                <w:sz w:val="16"/>
              </w:rPr>
              <w:t>$102.6698  (+28%)</w:t>
            </w:r>
          </w:p>
        </w:tc>
        <w:tc>
          <w:tcPr>
            <w:tcW w:type="dxa" w:w="1600"/>
          </w:tcPr>
          <w:p>
            <w:pPr>
              <w:jc w:val="center"/>
            </w:pPr>
            <w:r>
              <w:rPr>
                <w:rFonts w:ascii="Calibri" w:hAnsi="Calibri"/>
                <w:b w:val="0"/>
                <w:i w:val="0"/>
                <w:color w:val="C62828"/>
                <w:sz w:val="16"/>
              </w:rPr>
              <w:t>$68.0422  (-15%)</w:t>
            </w:r>
          </w:p>
        </w:tc>
        <w:tc>
          <w:tcPr>
            <w:tcW w:type="dxa" w:w="900"/>
          </w:tcPr>
          <w:p>
            <w:pPr>
              <w:jc w:val="center"/>
            </w:pPr>
            <w:r>
              <w:rPr>
                <w:rFonts w:ascii="Calibri" w:hAnsi="Calibri"/>
                <w:b w:val="0"/>
                <w:i w:val="0"/>
                <w:sz w:val="16"/>
              </w:rPr>
              <w:t>39</w:t>
            </w:r>
          </w:p>
        </w:tc>
        <w:tc>
          <w:tcPr>
            <w:tcW w:type="dxa" w:w="900"/>
          </w:tcPr>
          <w:p>
            <w:pPr>
              <w:jc w:val="center"/>
            </w:pPr>
            <w:r>
              <w:rPr>
                <w:rFonts w:ascii="Calibri" w:hAnsi="Calibri"/>
                <w:b w:val="0"/>
                <w:i w:val="0"/>
                <w:sz w:val="16"/>
              </w:rPr>
              <w:t>1.85</w:t>
            </w:r>
          </w:p>
        </w:tc>
      </w:tr>
      <w:tr>
        <w:tc>
          <w:tcPr>
            <w:tcW w:type="dxa" w:w="1150"/>
            <w:shd w:val="clear" w:color="auto" w:fill="F2F5FB"/>
          </w:tcPr>
          <w:p>
            <w:pPr>
              <w:jc w:val="left"/>
            </w:pPr>
            <w:r>
              <w:rPr>
                <w:rFonts w:ascii="Calibri" w:hAnsi="Calibri"/>
                <w:b/>
                <w:i w:val="0"/>
                <w:sz w:val="16"/>
              </w:rPr>
              <w:t>ADA</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$0.232856</w:t>
            </w:r>
          </w:p>
        </w:tc>
        <w:tc>
          <w:tcPr>
            <w:tcW w:type="dxa" w:w="1700"/>
            <w:shd w:val="clear" w:color="auto" w:fill="F2F5FB"/>
          </w:tcPr>
          <w:p>
            <w:pPr>
              <w:jc w:val="center"/>
            </w:pPr>
            <w:r>
              <w:rPr>
                <w:rFonts w:ascii="Calibri" w:hAnsi="Calibri"/>
                <w:b w:val="0"/>
                <w:i w:val="0"/>
                <w:color w:val="1E7D32"/>
                <w:sz w:val="16"/>
              </w:rPr>
              <w:t>$0.312661  (+34%)</w:t>
            </w:r>
          </w:p>
        </w:tc>
        <w:tc>
          <w:tcPr>
            <w:tcW w:type="dxa" w:w="1600"/>
            <w:shd w:val="clear" w:color="auto" w:fill="F2F5FB"/>
          </w:tcPr>
          <w:p>
            <w:pPr>
              <w:jc w:val="center"/>
            </w:pPr>
            <w:r>
              <w:rPr>
                <w:rFonts w:ascii="Calibri" w:hAnsi="Calibri"/>
                <w:b w:val="0"/>
                <w:i w:val="0"/>
                <w:color w:val="C62828"/>
                <w:sz w:val="16"/>
              </w:rPr>
              <w:t>$0.191321  (-18%)</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LEO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$8.8956</w:t>
            </w:r>
          </w:p>
        </w:tc>
        <w:tc>
          <w:tcPr>
            <w:tcW w:type="dxa" w:w="1700"/>
          </w:tcPr>
          <w:p>
            <w:pPr>
              <w:jc w:val="center"/>
            </w:pPr>
            <w:r>
              <w:rPr>
                <w:rFonts w:ascii="Calibri" w:hAnsi="Calibri"/>
                <w:b w:val="0"/>
                <w:i w:val="0"/>
                <w:color w:val="1E7D32"/>
                <w:sz w:val="16"/>
              </w:rPr>
              <w:t>$10.0142  (+13%)</w:t>
            </w:r>
          </w:p>
        </w:tc>
        <w:tc>
          <w:tcPr>
            <w:tcW w:type="dxa" w:w="1600"/>
          </w:tcPr>
          <w:p>
            <w:pPr>
              <w:jc w:val="center"/>
            </w:pPr>
            <w:r>
              <w:rPr>
                <w:rFonts w:ascii="Calibri" w:hAnsi="Calibri"/>
                <w:b w:val="0"/>
                <w:i w:val="0"/>
                <w:color w:val="C62828"/>
                <w:sz w:val="16"/>
              </w:rPr>
              <w:t>$8.2201  (-8%)</w:t>
            </w:r>
          </w:p>
        </w:tc>
        <w:tc>
          <w:tcPr>
            <w:tcW w:type="dxa" w:w="900"/>
          </w:tcPr>
          <w:p>
            <w:pPr>
              <w:jc w:val="center"/>
            </w:pPr>
            <w:r>
              <w:rPr>
                <w:rFonts w:ascii="Calibri" w:hAnsi="Calibri"/>
                <w:b w:val="0"/>
                <w:i w:val="0"/>
                <w:sz w:val="16"/>
              </w:rPr>
              <w:t>38</w:t>
            </w:r>
          </w:p>
        </w:tc>
        <w:tc>
          <w:tcPr>
            <w:tcW w:type="dxa" w:w="900"/>
          </w:tcPr>
          <w:p>
            <w:pPr>
              <w:jc w:val="center"/>
            </w:pPr>
            <w:r>
              <w:rPr>
                <w:rFonts w:ascii="Calibri" w:hAnsi="Calibri"/>
                <w:b w:val="0"/>
                <w:i w:val="0"/>
                <w:sz w:val="16"/>
              </w:rPr>
              <w:t>1.66</w:t>
            </w:r>
          </w:p>
        </w:tc>
      </w:tr>
      <w:tr>
        <w:tc>
          <w:tcPr>
            <w:tcW w:type="dxa" w:w="1150"/>
            <w:shd w:val="clear" w:color="auto" w:fill="F2F5FB"/>
          </w:tcPr>
          <w:p>
            <w:pPr>
              <w:jc w:val="left"/>
            </w:pPr>
            <w:r>
              <w:rPr>
                <w:rFonts w:ascii="Calibri" w:hAnsi="Calibri"/>
                <w:b/>
                <w:i w:val="0"/>
                <w:sz w:val="16"/>
              </w:rPr>
              <w:t>RAIN</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$0.009843</w:t>
            </w:r>
          </w:p>
        </w:tc>
        <w:tc>
          <w:tcPr>
            <w:tcW w:type="dxa" w:w="1700"/>
            <w:shd w:val="clear" w:color="auto" w:fill="F2F5FB"/>
          </w:tcPr>
          <w:p>
            <w:pPr>
              <w:jc w:val="center"/>
            </w:pPr>
            <w:r>
              <w:rPr>
                <w:rFonts w:ascii="Calibri" w:hAnsi="Calibri"/>
                <w:b w:val="0"/>
                <w:i w:val="0"/>
                <w:color w:val="1E7D32"/>
                <w:sz w:val="16"/>
              </w:rPr>
              <w:t>$0.013473  (+37%)</w:t>
            </w:r>
          </w:p>
        </w:tc>
        <w:tc>
          <w:tcPr>
            <w:tcW w:type="dxa" w:w="1600"/>
            <w:shd w:val="clear" w:color="auto" w:fill="F2F5FB"/>
          </w:tcPr>
          <w:p>
            <w:pPr>
              <w:jc w:val="center"/>
            </w:pPr>
            <w:r>
              <w:rPr>
                <w:rFonts w:ascii="Calibri" w:hAnsi="Calibri"/>
                <w:b w:val="0"/>
                <w:i w:val="0"/>
                <w:color w:val="C62828"/>
                <w:sz w:val="16"/>
              </w:rPr>
              <w:t>$0.007984  (-19%)</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XLM</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$0.190340</w:t>
            </w:r>
          </w:p>
        </w:tc>
        <w:tc>
          <w:tcPr>
            <w:tcW w:type="dxa" w:w="1700"/>
          </w:tcPr>
          <w:p>
            <w:pPr>
              <w:jc w:val="center"/>
            </w:pPr>
            <w:r>
              <w:rPr>
                <w:rFonts w:ascii="Calibri" w:hAnsi="Calibri"/>
                <w:b w:val="0"/>
                <w:i w:val="0"/>
                <w:color w:val="1E7D32"/>
                <w:sz w:val="16"/>
              </w:rPr>
              <w:t>$0.270284  (+42%)</w:t>
            </w:r>
          </w:p>
        </w:tc>
        <w:tc>
          <w:tcPr>
            <w:tcW w:type="dxa" w:w="1600"/>
          </w:tcPr>
          <w:p>
            <w:pPr>
              <w:jc w:val="center"/>
            </w:pPr>
            <w:r>
              <w:rPr>
                <w:rFonts w:ascii="Calibri" w:hAnsi="Calibri"/>
                <w:b w:val="0"/>
                <w:i w:val="0"/>
                <w:color w:val="C62828"/>
                <w:sz w:val="16"/>
              </w:rPr>
              <w:t>$0.150661  (-21%)</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NEAR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$5.0862</w:t>
            </w:r>
          </w:p>
        </w:tc>
        <w:tc>
          <w:tcPr>
            <w:tcW w:type="dxa" w:w="1700"/>
            <w:shd w:val="clear" w:color="auto" w:fill="F2F5FB"/>
          </w:tcPr>
          <w:p>
            <w:pPr>
              <w:jc w:val="center"/>
            </w:pPr>
            <w:r>
              <w:rPr>
                <w:rFonts w:ascii="Calibri" w:hAnsi="Calibri"/>
                <w:b w:val="0"/>
                <w:i w:val="0"/>
                <w:color w:val="1E7D32"/>
                <w:sz w:val="16"/>
              </w:rPr>
              <w:t>$7.5669  (+49%)</w:t>
            </w:r>
          </w:p>
        </w:tc>
        <w:tc>
          <w:tcPr>
            <w:tcW w:type="dxa" w:w="1600"/>
            <w:shd w:val="clear" w:color="auto" w:fill="F2F5FB"/>
          </w:tcPr>
          <w:p>
            <w:pPr>
              <w:jc w:val="center"/>
            </w:pPr>
            <w:r>
              <w:rPr>
                <w:rFonts w:ascii="Calibri" w:hAnsi="Calibri"/>
                <w:b w:val="0"/>
                <w:i w:val="0"/>
                <w:color w:val="C62828"/>
                <w:sz w:val="16"/>
              </w:rPr>
              <w:t>$3.9028  (-23%)</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BCH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$265.4749</w:t>
            </w:r>
          </w:p>
        </w:tc>
        <w:tc>
          <w:tcPr>
            <w:tcW w:type="dxa" w:w="1700"/>
          </w:tcPr>
          <w:p>
            <w:pPr>
              <w:jc w:val="center"/>
            </w:pPr>
            <w:r>
              <w:rPr>
                <w:rFonts w:ascii="Calibri" w:hAnsi="Calibri"/>
                <w:b w:val="0"/>
                <w:i w:val="0"/>
                <w:color w:val="1E7D32"/>
                <w:sz w:val="16"/>
              </w:rPr>
              <w:t>$375.5450  (+41%)</w:t>
            </w:r>
          </w:p>
        </w:tc>
        <w:tc>
          <w:tcPr>
            <w:tcW w:type="dxa" w:w="1600"/>
          </w:tcPr>
          <w:p>
            <w:pPr>
              <w:jc w:val="center"/>
            </w:pPr>
            <w:r>
              <w:rPr>
                <w:rFonts w:ascii="Calibri" w:hAnsi="Calibri"/>
                <w:b w:val="0"/>
                <w:i w:val="0"/>
                <w:color w:val="C62828"/>
                <w:sz w:val="16"/>
              </w:rPr>
              <w:t>$210.6676  (-21%)</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BTW</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$1.7468</w:t>
            </w:r>
          </w:p>
        </w:tc>
        <w:tc>
          <w:tcPr>
            <w:tcW w:type="dxa" w:w="1700"/>
            <w:shd w:val="clear" w:color="auto" w:fill="F2F5FB"/>
          </w:tcPr>
          <w:p>
            <w:pPr>
              <w:jc w:val="center"/>
            </w:pPr>
            <w:r>
              <w:rPr>
                <w:rFonts w:ascii="Calibri" w:hAnsi="Calibri"/>
                <w:b w:val="0"/>
                <w:i w:val="0"/>
                <w:color w:val="1E7D32"/>
                <w:sz w:val="16"/>
              </w:rPr>
              <w:t>$3.2865  (+88%)</w:t>
            </w:r>
          </w:p>
        </w:tc>
        <w:tc>
          <w:tcPr>
            <w:tcW w:type="dxa" w:w="1600"/>
            <w:shd w:val="clear" w:color="auto" w:fill="F2F5FB"/>
          </w:tcPr>
          <w:p>
            <w:pPr>
              <w:jc w:val="center"/>
            </w:pPr>
            <w:r>
              <w:rPr>
                <w:rFonts w:ascii="Calibri" w:hAnsi="Calibri"/>
                <w:b w:val="0"/>
                <w:i w:val="0"/>
                <w:color w:val="C62828"/>
                <w:sz w:val="16"/>
              </w:rPr>
              <w:t>$1.1461  (-34%)</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2.56</w:t>
            </w:r>
          </w:p>
        </w:tc>
      </w:tr>
      <w:tr>
        <w:tc>
          <w:tcPr>
            <w:tcW w:type="dxa" w:w="1150"/>
          </w:tcPr>
          <w:p>
            <w:pPr>
              <w:jc w:val="left"/>
            </w:pPr>
            <w:r>
              <w:rPr>
                <w:rFonts w:ascii="Calibri" w:hAnsi="Calibri"/>
                <w:b/>
                <w:i w:val="0"/>
                <w:sz w:val="16"/>
              </w:rPr>
              <w:t>CC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$0.119744</w:t>
            </w:r>
          </w:p>
        </w:tc>
        <w:tc>
          <w:tcPr>
            <w:tcW w:type="dxa" w:w="1700"/>
          </w:tcPr>
          <w:p>
            <w:pPr>
              <w:jc w:val="center"/>
            </w:pPr>
            <w:r>
              <w:rPr>
                <w:rFonts w:ascii="Calibri" w:hAnsi="Calibri"/>
                <w:b w:val="0"/>
                <w:i w:val="0"/>
                <w:color w:val="1E7D32"/>
                <w:sz w:val="16"/>
              </w:rPr>
              <w:t>$0.154619  (+29%)</w:t>
            </w:r>
          </w:p>
        </w:tc>
        <w:tc>
          <w:tcPr>
            <w:tcW w:type="dxa" w:w="1600"/>
          </w:tcPr>
          <w:p>
            <w:pPr>
              <w:jc w:val="center"/>
            </w:pPr>
            <w:r>
              <w:rPr>
                <w:rFonts w:ascii="Calibri" w:hAnsi="Calibri"/>
                <w:b w:val="0"/>
                <w:i w:val="0"/>
                <w:color w:val="C62828"/>
                <w:sz w:val="16"/>
              </w:rPr>
              <w:t>$0.100983  (-16%)</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1.86</w:t>
            </w:r>
          </w:p>
        </w:tc>
      </w:tr>
      <w:tr>
        <w:tc>
          <w:tcPr>
            <w:tcW w:type="dxa" w:w="1150"/>
            <w:shd w:val="clear" w:color="auto" w:fill="F2F5FB"/>
          </w:tcPr>
          <w:p>
            <w:pPr>
              <w:jc w:val="left"/>
            </w:pPr>
            <w:r>
              <w:rPr>
                <w:rFonts w:ascii="Calibri" w:hAnsi="Calibri"/>
                <w:b/>
                <w:i w:val="0"/>
                <w:sz w:val="16"/>
              </w:rPr>
              <w:t>LTC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$60.9832</w:t>
            </w:r>
          </w:p>
        </w:tc>
        <w:tc>
          <w:tcPr>
            <w:tcW w:type="dxa" w:w="1700"/>
            <w:shd w:val="clear" w:color="auto" w:fill="F2F5FB"/>
          </w:tcPr>
          <w:p>
            <w:pPr>
              <w:jc w:val="center"/>
            </w:pPr>
            <w:r>
              <w:rPr>
                <w:rFonts w:ascii="Calibri" w:hAnsi="Calibri"/>
                <w:b w:val="0"/>
                <w:i w:val="0"/>
                <w:color w:val="1E7D32"/>
                <w:sz w:val="16"/>
              </w:rPr>
              <w:t>$76.9433  (+26%)</w:t>
            </w:r>
          </w:p>
        </w:tc>
        <w:tc>
          <w:tcPr>
            <w:tcW w:type="dxa" w:w="1600"/>
            <w:shd w:val="clear" w:color="auto" w:fill="F2F5FB"/>
          </w:tcPr>
          <w:p>
            <w:pPr>
              <w:jc w:val="center"/>
            </w:pPr>
            <w:r>
              <w:rPr>
                <w:rFonts w:ascii="Calibri" w:hAnsi="Calibri"/>
                <w:b w:val="0"/>
                <w:i w:val="0"/>
                <w:color w:val="C62828"/>
                <w:sz w:val="16"/>
              </w:rPr>
              <w:t>$52.2280  (-14%)</w:t>
            </w:r>
          </w:p>
        </w:tc>
        <w:tc>
          <w:tcPr>
            <w:tcW w:type="dxa" w:w="900"/>
            <w:shd w:val="clear" w:color="auto" w:fill="F2F5FB"/>
          </w:tcPr>
          <w:p>
            <w:pPr>
              <w:jc w:val="center"/>
            </w:pPr>
            <w:r>
              <w:rPr>
                <w:rFonts w:ascii="Calibri" w:hAnsi="Calibri"/>
                <w:b w:val="0"/>
                <w:i w:val="0"/>
                <w:sz w:val="16"/>
              </w:rPr>
              <w:t>36</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UNI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$6.9729</w:t>
            </w:r>
          </w:p>
        </w:tc>
        <w:tc>
          <w:tcPr>
            <w:tcW w:type="dxa" w:w="1700"/>
          </w:tcPr>
          <w:p>
            <w:pPr>
              <w:jc w:val="center"/>
            </w:pPr>
            <w:r>
              <w:rPr>
                <w:rFonts w:ascii="Calibri" w:hAnsi="Calibri"/>
                <w:b w:val="0"/>
                <w:i w:val="0"/>
                <w:color w:val="1E7D32"/>
                <w:sz w:val="16"/>
              </w:rPr>
              <w:t>$9.6620  (+39%)</w:t>
            </w:r>
          </w:p>
        </w:tc>
        <w:tc>
          <w:tcPr>
            <w:tcW w:type="dxa" w:w="1600"/>
          </w:tcPr>
          <w:p>
            <w:pPr>
              <w:jc w:val="center"/>
            </w:pPr>
            <w:r>
              <w:rPr>
                <w:rFonts w:ascii="Calibri" w:hAnsi="Calibri"/>
                <w:b w:val="0"/>
                <w:i w:val="0"/>
                <w:color w:val="C62828"/>
                <w:sz w:val="16"/>
              </w:rPr>
              <w:t>$5.6102  (-20%)</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AVAX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$10.1397</w:t>
            </w:r>
          </w:p>
        </w:tc>
        <w:tc>
          <w:tcPr>
            <w:tcW w:type="dxa" w:w="1700"/>
            <w:shd w:val="clear" w:color="auto" w:fill="F2F5FB"/>
          </w:tcPr>
          <w:p>
            <w:pPr>
              <w:jc w:val="center"/>
            </w:pPr>
            <w:r>
              <w:rPr>
                <w:rFonts w:ascii="Calibri" w:hAnsi="Calibri"/>
                <w:b w:val="0"/>
                <w:i w:val="0"/>
                <w:color w:val="1E7D32"/>
                <w:sz w:val="16"/>
              </w:rPr>
              <w:t>$13.6442  (+35%)</w:t>
            </w:r>
          </w:p>
        </w:tc>
        <w:tc>
          <w:tcPr>
            <w:tcW w:type="dxa" w:w="1600"/>
            <w:shd w:val="clear" w:color="auto" w:fill="F2F5FB"/>
          </w:tcPr>
          <w:p>
            <w:pPr>
              <w:jc w:val="center"/>
            </w:pPr>
            <w:r>
              <w:rPr>
                <w:rFonts w:ascii="Calibri" w:hAnsi="Calibri"/>
                <w:b w:val="0"/>
                <w:i w:val="0"/>
                <w:color w:val="C62828"/>
                <w:sz w:val="16"/>
              </w:rPr>
              <w:t>$8.3191  (-18%)</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SUI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$1.0278</w:t>
            </w:r>
          </w:p>
        </w:tc>
        <w:tc>
          <w:tcPr>
            <w:tcW w:type="dxa" w:w="1700"/>
          </w:tcPr>
          <w:p>
            <w:pPr>
              <w:jc w:val="center"/>
            </w:pPr>
            <w:r>
              <w:rPr>
                <w:rFonts w:ascii="Calibri" w:hAnsi="Calibri"/>
                <w:b w:val="0"/>
                <w:i w:val="0"/>
                <w:color w:val="1E7D32"/>
                <w:sz w:val="16"/>
              </w:rPr>
              <w:t>$1.4110  (+37%)</w:t>
            </w:r>
          </w:p>
        </w:tc>
        <w:tc>
          <w:tcPr>
            <w:tcW w:type="dxa" w:w="1600"/>
          </w:tcPr>
          <w:p>
            <w:pPr>
              <w:jc w:val="center"/>
            </w:pPr>
            <w:r>
              <w:rPr>
                <w:rFonts w:ascii="Calibri" w:hAnsi="Calibri"/>
                <w:b w:val="0"/>
                <w:i w:val="0"/>
                <w:color w:val="C62828"/>
                <w:sz w:val="16"/>
              </w:rPr>
              <w:t>$0.832074  (-19%)</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GRAM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$1.3616</w:t>
            </w:r>
          </w:p>
        </w:tc>
        <w:tc>
          <w:tcPr>
            <w:tcW w:type="dxa" w:w="1700"/>
            <w:shd w:val="clear" w:color="auto" w:fill="F2F5FB"/>
          </w:tcPr>
          <w:p>
            <w:pPr>
              <w:jc w:val="center"/>
            </w:pPr>
            <w:r>
              <w:rPr>
                <w:rFonts w:ascii="Calibri" w:hAnsi="Calibri"/>
                <w:b w:val="0"/>
                <w:i w:val="0"/>
                <w:color w:val="1E7D32"/>
                <w:sz w:val="16"/>
              </w:rPr>
              <w:t>$1.9521  (+43%)</w:t>
            </w:r>
          </w:p>
        </w:tc>
        <w:tc>
          <w:tcPr>
            <w:tcW w:type="dxa" w:w="1600"/>
            <w:shd w:val="clear" w:color="auto" w:fill="F2F5FB"/>
          </w:tcPr>
          <w:p>
            <w:pPr>
              <w:jc w:val="center"/>
            </w:pPr>
            <w:r>
              <w:rPr>
                <w:rFonts w:ascii="Calibri" w:hAnsi="Calibri"/>
                <w:b w:val="0"/>
                <w:i w:val="0"/>
                <w:color w:val="C62828"/>
                <w:sz w:val="16"/>
              </w:rPr>
              <w:t>$1.0709  (-21%)</w:t>
            </w:r>
          </w:p>
        </w:tc>
        <w:tc>
          <w:tcPr>
            <w:tcW w:type="dxa" w:w="900"/>
            <w:shd w:val="clear" w:color="auto" w:fill="F2F5FB"/>
          </w:tcPr>
          <w:p>
            <w:pPr>
              <w:jc w:val="center"/>
            </w:pPr>
            <w:r>
              <w:rPr>
                <w:rFonts w:ascii="Calibri" w:hAnsi="Calibri"/>
                <w:b w:val="0"/>
                <w:i w:val="0"/>
                <w:sz w:val="16"/>
              </w:rPr>
              <w:t>28</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HBAR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$0.086848</w:t>
            </w:r>
          </w:p>
        </w:tc>
        <w:tc>
          <w:tcPr>
            <w:tcW w:type="dxa" w:w="1700"/>
          </w:tcPr>
          <w:p>
            <w:pPr>
              <w:jc w:val="center"/>
            </w:pPr>
            <w:r>
              <w:rPr>
                <w:rFonts w:ascii="Calibri" w:hAnsi="Calibri"/>
                <w:b w:val="0"/>
                <w:i w:val="0"/>
                <w:color w:val="1E7D32"/>
                <w:sz w:val="16"/>
              </w:rPr>
              <w:t>$0.116106  (+34%)</w:t>
            </w:r>
          </w:p>
        </w:tc>
        <w:tc>
          <w:tcPr>
            <w:tcW w:type="dxa" w:w="1600"/>
          </w:tcPr>
          <w:p>
            <w:pPr>
              <w:jc w:val="center"/>
            </w:pPr>
            <w:r>
              <w:rPr>
                <w:rFonts w:ascii="Calibri" w:hAnsi="Calibri"/>
                <w:b w:val="0"/>
                <w:i w:val="0"/>
                <w:color w:val="C62828"/>
                <w:sz w:val="16"/>
              </w:rPr>
              <w:t>$0.071564  (-18%)</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1.91</w:t>
            </w:r>
          </w:p>
        </w:tc>
      </w:tr>
      <w:tr>
        <w:tc>
          <w:tcPr>
            <w:tcW w:type="dxa" w:w="1150"/>
            <w:shd w:val="clear" w:color="auto" w:fill="F2F5FB"/>
          </w:tcPr>
          <w:p>
            <w:pPr>
              <w:jc w:val="left"/>
            </w:pPr>
            <w:r>
              <w:rPr>
                <w:rFonts w:ascii="Calibri" w:hAnsi="Calibri"/>
                <w:b/>
                <w:i w:val="0"/>
                <w:sz w:val="16"/>
              </w:rPr>
              <w:t>XAUT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$4 165.96</w:t>
            </w:r>
          </w:p>
        </w:tc>
        <w:tc>
          <w:tcPr>
            <w:tcW w:type="dxa" w:w="1700"/>
            <w:shd w:val="clear" w:color="auto" w:fill="F2F5FB"/>
          </w:tcPr>
          <w:p>
            <w:pPr>
              <w:jc w:val="center"/>
            </w:pPr>
            <w:r>
              <w:rPr>
                <w:rFonts w:ascii="Calibri" w:hAnsi="Calibri"/>
                <w:b w:val="0"/>
                <w:i w:val="0"/>
                <w:color w:val="1E7D32"/>
                <w:sz w:val="16"/>
              </w:rPr>
              <w:t>$4 701.57  (+13%)</w:t>
            </w:r>
          </w:p>
        </w:tc>
        <w:tc>
          <w:tcPr>
            <w:tcW w:type="dxa" w:w="1600"/>
            <w:shd w:val="clear" w:color="auto" w:fill="F2F5FB"/>
          </w:tcPr>
          <w:p>
            <w:pPr>
              <w:jc w:val="center"/>
            </w:pPr>
            <w:r>
              <w:rPr>
                <w:rFonts w:ascii="Calibri" w:hAnsi="Calibri"/>
                <w:b w:val="0"/>
                <w:i w:val="0"/>
                <w:color w:val="C62828"/>
                <w:sz w:val="16"/>
              </w:rPr>
              <w:t>$3 843.23  (-8%)</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1.66</w:t>
            </w:r>
          </w:p>
        </w:tc>
      </w:tr>
      <w:tr>
        <w:tc>
          <w:tcPr>
            <w:tcW w:type="dxa" w:w="1150"/>
          </w:tcPr>
          <w:p>
            <w:pPr>
              <w:jc w:val="left"/>
            </w:pPr>
            <w:r>
              <w:rPr>
                <w:rFonts w:ascii="Calibri" w:hAnsi="Calibri"/>
                <w:b/>
                <w:i w:val="0"/>
                <w:sz w:val="16"/>
              </w:rPr>
              <w:t>TAO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$271.6865</w:t>
            </w:r>
          </w:p>
        </w:tc>
        <w:tc>
          <w:tcPr>
            <w:tcW w:type="dxa" w:w="1700"/>
          </w:tcPr>
          <w:p>
            <w:pPr>
              <w:jc w:val="center"/>
            </w:pPr>
            <w:r>
              <w:rPr>
                <w:rFonts w:ascii="Calibri" w:hAnsi="Calibri"/>
                <w:b w:val="0"/>
                <w:i w:val="0"/>
                <w:color w:val="1E7D32"/>
                <w:sz w:val="16"/>
              </w:rPr>
              <w:t>$366.0494  (+35%)</w:t>
            </w:r>
          </w:p>
        </w:tc>
        <w:tc>
          <w:tcPr>
            <w:tcW w:type="dxa" w:w="1600"/>
          </w:tcPr>
          <w:p>
            <w:pPr>
              <w:jc w:val="center"/>
            </w:pPr>
            <w:r>
              <w:rPr>
                <w:rFonts w:ascii="Calibri" w:hAnsi="Calibri"/>
                <w:b w:val="0"/>
                <w:i w:val="0"/>
                <w:color w:val="C62828"/>
                <w:sz w:val="16"/>
              </w:rPr>
              <w:t>$222.7171  (-18%)</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SHIB</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$0.000005</w:t>
            </w:r>
          </w:p>
        </w:tc>
        <w:tc>
          <w:tcPr>
            <w:tcW w:type="dxa" w:w="1700"/>
            <w:shd w:val="clear" w:color="auto" w:fill="F2F5FB"/>
          </w:tcPr>
          <w:p>
            <w:pPr>
              <w:jc w:val="center"/>
            </w:pPr>
            <w:r>
              <w:rPr>
                <w:rFonts w:ascii="Calibri" w:hAnsi="Calibri"/>
                <w:b w:val="0"/>
                <w:i w:val="0"/>
                <w:color w:val="1E7D32"/>
                <w:sz w:val="16"/>
              </w:rPr>
              <w:t>$0.000007  (+32%)</w:t>
            </w:r>
          </w:p>
        </w:tc>
        <w:tc>
          <w:tcPr>
            <w:tcW w:type="dxa" w:w="1600"/>
            <w:shd w:val="clear" w:color="auto" w:fill="F2F5FB"/>
          </w:tcPr>
          <w:p>
            <w:pPr>
              <w:jc w:val="center"/>
            </w:pPr>
            <w:r>
              <w:rPr>
                <w:rFonts w:ascii="Calibri" w:hAnsi="Calibri"/>
                <w:b w:val="0"/>
                <w:i w:val="0"/>
                <w:color w:val="C62828"/>
                <w:sz w:val="16"/>
              </w:rPr>
              <w:t>$0.000004  (-17%)</w:t>
            </w:r>
          </w:p>
        </w:tc>
        <w:tc>
          <w:tcPr>
            <w:tcW w:type="dxa" w:w="900"/>
            <w:shd w:val="clear" w:color="auto" w:fill="F2F5FB"/>
          </w:tcPr>
          <w:p>
            <w:pPr>
              <w:jc w:val="center"/>
            </w:pPr>
            <w:r>
              <w:rPr>
                <w:rFonts w:ascii="Calibri" w:hAnsi="Calibri"/>
                <w:b w:val="0"/>
                <w:i w:val="0"/>
                <w:sz w:val="16"/>
              </w:rPr>
              <w:t>31</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QNT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$225.8458</w:t>
            </w:r>
          </w:p>
        </w:tc>
        <w:tc>
          <w:tcPr>
            <w:tcW w:type="dxa" w:w="1700"/>
          </w:tcPr>
          <w:p>
            <w:pPr>
              <w:jc w:val="center"/>
            </w:pPr>
            <w:r>
              <w:rPr>
                <w:rFonts w:ascii="Calibri" w:hAnsi="Calibri"/>
                <w:b w:val="0"/>
                <w:i w:val="0"/>
                <w:color w:val="1E7D32"/>
                <w:sz w:val="16"/>
              </w:rPr>
              <w:t>$356.9056  (+58%)</w:t>
            </w:r>
          </w:p>
        </w:tc>
        <w:tc>
          <w:tcPr>
            <w:tcW w:type="dxa" w:w="1600"/>
          </w:tcPr>
          <w:p>
            <w:pPr>
              <w:jc w:val="center"/>
            </w:pPr>
            <w:r>
              <w:rPr>
                <w:rFonts w:ascii="Calibri" w:hAnsi="Calibri"/>
                <w:b w:val="0"/>
                <w:i w:val="0"/>
                <w:color w:val="C62828"/>
                <w:sz w:val="16"/>
              </w:rPr>
              <w:t>$166.4630  (-26%)</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2.21</w:t>
            </w:r>
          </w:p>
        </w:tc>
      </w:tr>
      <w:tr>
        <w:tc>
          <w:tcPr>
            <w:tcW w:type="dxa" w:w="1150"/>
            <w:shd w:val="clear" w:color="auto" w:fill="F2F5FB"/>
          </w:tcPr>
          <w:p>
            <w:pPr>
              <w:jc w:val="left"/>
            </w:pPr>
            <w:r>
              <w:rPr>
                <w:rFonts w:ascii="Calibri" w:hAnsi="Calibri"/>
                <w:b/>
                <w:i w:val="0"/>
                <w:sz w:val="16"/>
              </w:rPr>
              <w:t>CRO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$0.058631</w:t>
            </w:r>
          </w:p>
        </w:tc>
        <w:tc>
          <w:tcPr>
            <w:tcW w:type="dxa" w:w="1700"/>
            <w:shd w:val="clear" w:color="auto" w:fill="F2F5FB"/>
          </w:tcPr>
          <w:p>
            <w:pPr>
              <w:jc w:val="center"/>
            </w:pPr>
            <w:r>
              <w:rPr>
                <w:rFonts w:ascii="Calibri" w:hAnsi="Calibri"/>
                <w:b w:val="0"/>
                <w:i w:val="0"/>
                <w:color w:val="1E7D32"/>
                <w:sz w:val="16"/>
              </w:rPr>
              <w:t>$0.074429  (+27%)</w:t>
            </w:r>
          </w:p>
        </w:tc>
        <w:tc>
          <w:tcPr>
            <w:tcW w:type="dxa" w:w="1600"/>
            <w:shd w:val="clear" w:color="auto" w:fill="F2F5FB"/>
          </w:tcPr>
          <w:p>
            <w:pPr>
              <w:jc w:val="center"/>
            </w:pPr>
            <w:r>
              <w:rPr>
                <w:rFonts w:ascii="Calibri" w:hAnsi="Calibri"/>
                <w:b w:val="0"/>
                <w:i w:val="0"/>
                <w:color w:val="C62828"/>
                <w:sz w:val="16"/>
              </w:rPr>
              <w:t>$0.050009  (-15%)</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ENA</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$0.205788</w:t>
            </w:r>
          </w:p>
        </w:tc>
        <w:tc>
          <w:tcPr>
            <w:tcW w:type="dxa" w:w="1700"/>
          </w:tcPr>
          <w:p>
            <w:pPr>
              <w:jc w:val="center"/>
            </w:pPr>
            <w:r>
              <w:rPr>
                <w:rFonts w:ascii="Calibri" w:hAnsi="Calibri"/>
                <w:b w:val="0"/>
                <w:i w:val="0"/>
                <w:color w:val="1E7D32"/>
                <w:sz w:val="16"/>
              </w:rPr>
              <w:t>$0.307932  (+50%)</w:t>
            </w:r>
          </w:p>
        </w:tc>
        <w:tc>
          <w:tcPr>
            <w:tcW w:type="dxa" w:w="1600"/>
          </w:tcPr>
          <w:p>
            <w:pPr>
              <w:jc w:val="center"/>
            </w:pPr>
            <w:r>
              <w:rPr>
                <w:rFonts w:ascii="Calibri" w:hAnsi="Calibri"/>
                <w:b w:val="0"/>
                <w:i w:val="0"/>
                <w:color w:val="C62828"/>
                <w:sz w:val="16"/>
              </w:rPr>
              <w:t>$0.157301  (-24%)</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2.11</w:t>
            </w:r>
          </w:p>
        </w:tc>
      </w:tr>
      <w:tr>
        <w:tc>
          <w:tcPr>
            <w:tcW w:type="dxa" w:w="1150"/>
            <w:shd w:val="clear" w:color="auto" w:fill="F2F5FB"/>
          </w:tcPr>
          <w:p>
            <w:pPr>
              <w:jc w:val="left"/>
            </w:pPr>
            <w:r>
              <w:rPr>
                <w:rFonts w:ascii="Calibri" w:hAnsi="Calibri"/>
                <w:b/>
                <w:i w:val="0"/>
                <w:sz w:val="16"/>
              </w:rPr>
              <w:t>OKB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$120.9469</w:t>
            </w:r>
          </w:p>
        </w:tc>
        <w:tc>
          <w:tcPr>
            <w:tcW w:type="dxa" w:w="1700"/>
            <w:shd w:val="clear" w:color="auto" w:fill="F2F5FB"/>
          </w:tcPr>
          <w:p>
            <w:pPr>
              <w:jc w:val="center"/>
            </w:pPr>
            <w:r>
              <w:rPr>
                <w:rFonts w:ascii="Calibri" w:hAnsi="Calibri"/>
                <w:b w:val="0"/>
                <w:i w:val="0"/>
                <w:color w:val="1E7D32"/>
                <w:sz w:val="16"/>
              </w:rPr>
              <w:t>$145.8486  (+21%)</w:t>
            </w:r>
          </w:p>
        </w:tc>
        <w:tc>
          <w:tcPr>
            <w:tcW w:type="dxa" w:w="1600"/>
            <w:shd w:val="clear" w:color="auto" w:fill="F2F5FB"/>
          </w:tcPr>
          <w:p>
            <w:pPr>
              <w:jc w:val="center"/>
            </w:pPr>
            <w:r>
              <w:rPr>
                <w:rFonts w:ascii="Calibri" w:hAnsi="Calibri"/>
                <w:b w:val="0"/>
                <w:i w:val="0"/>
                <w:color w:val="C62828"/>
                <w:sz w:val="16"/>
              </w:rPr>
              <w:t>$106.7554  (-12%)</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1.75</w:t>
            </w:r>
          </w:p>
        </w:tc>
      </w:tr>
      <w:tr>
        <w:tc>
          <w:tcPr>
            <w:tcW w:type="dxa" w:w="1150"/>
          </w:tcPr>
          <w:p>
            <w:pPr>
              <w:jc w:val="left"/>
            </w:pPr>
            <w:r>
              <w:rPr>
                <w:rFonts w:ascii="Calibri" w:hAnsi="Calibri"/>
                <w:b/>
                <w:i w:val="0"/>
                <w:sz w:val="16"/>
              </w:rPr>
              <w:t>AAVE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$156.8380</w:t>
            </w:r>
          </w:p>
        </w:tc>
        <w:tc>
          <w:tcPr>
            <w:tcW w:type="dxa" w:w="1700"/>
          </w:tcPr>
          <w:p>
            <w:pPr>
              <w:jc w:val="center"/>
            </w:pPr>
            <w:r>
              <w:rPr>
                <w:rFonts w:ascii="Calibri" w:hAnsi="Calibri"/>
                <w:b w:val="0"/>
                <w:i w:val="0"/>
                <w:color w:val="1E7D32"/>
                <w:sz w:val="16"/>
              </w:rPr>
              <w:t>$215.8488  (+38%)</w:t>
            </w:r>
          </w:p>
        </w:tc>
        <w:tc>
          <w:tcPr>
            <w:tcW w:type="dxa" w:w="1600"/>
          </w:tcPr>
          <w:p>
            <w:pPr>
              <w:jc w:val="center"/>
            </w:pPr>
            <w:r>
              <w:rPr>
                <w:rFonts w:ascii="Calibri" w:hAnsi="Calibri"/>
                <w:b w:val="0"/>
                <w:i w:val="0"/>
                <w:color w:val="C62828"/>
                <w:sz w:val="16"/>
              </w:rPr>
              <w:t>$126.7611  (-19%)</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RLUSD</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$1.0003</w:t>
            </w:r>
          </w:p>
        </w:tc>
        <w:tc>
          <w:tcPr>
            <w:tcW w:type="dxa" w:w="1700"/>
            <w:shd w:val="clear" w:color="auto" w:fill="F2F5FB"/>
          </w:tcPr>
          <w:p>
            <w:pPr>
              <w:jc w:val="center"/>
            </w:pPr>
            <w:r>
              <w:rPr>
                <w:rFonts w:ascii="Calibri" w:hAnsi="Calibri"/>
                <w:b w:val="0"/>
                <w:i w:val="0"/>
                <w:color w:val="1E7D32"/>
                <w:sz w:val="16"/>
              </w:rPr>
              <w:t>$1.0016  (+0%)</w:t>
            </w:r>
          </w:p>
        </w:tc>
        <w:tc>
          <w:tcPr>
            <w:tcW w:type="dxa" w:w="1600"/>
            <w:shd w:val="clear" w:color="auto" w:fill="F2F5FB"/>
          </w:tcPr>
          <w:p>
            <w:pPr>
              <w:jc w:val="center"/>
            </w:pPr>
            <w:r>
              <w:rPr>
                <w:rFonts w:ascii="Calibri" w:hAnsi="Calibri"/>
                <w:b w:val="0"/>
                <w:i w:val="0"/>
                <w:color w:val="C62828"/>
                <w:sz w:val="16"/>
              </w:rPr>
              <w:t>$0.999385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USYC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$1.1402</w:t>
            </w:r>
          </w:p>
        </w:tc>
        <w:tc>
          <w:tcPr>
            <w:tcW w:type="dxa" w:w="1700"/>
          </w:tcPr>
          <w:p>
            <w:pPr>
              <w:jc w:val="center"/>
            </w:pPr>
            <w:r>
              <w:rPr>
                <w:rFonts w:ascii="Calibri" w:hAnsi="Calibri"/>
                <w:b w:val="0"/>
                <w:i w:val="0"/>
                <w:color w:val="1E7D32"/>
                <w:sz w:val="16"/>
              </w:rPr>
              <w:t>$1.1477  (+1%)</w:t>
            </w:r>
          </w:p>
        </w:tc>
        <w:tc>
          <w:tcPr>
            <w:tcW w:type="dxa" w:w="1600"/>
          </w:tcPr>
          <w:p>
            <w:pPr>
              <w:jc w:val="center"/>
            </w:pPr>
            <w:r>
              <w:rPr>
                <w:rFonts w:ascii="Calibri" w:hAnsi="Calibri"/>
                <w:b w:val="0"/>
                <w:i w:val="0"/>
                <w:color w:val="C62828"/>
                <w:sz w:val="16"/>
              </w:rPr>
              <w:t>$1.1353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USDY</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$1.1453</w:t>
            </w:r>
          </w:p>
        </w:tc>
        <w:tc>
          <w:tcPr>
            <w:tcW w:type="dxa" w:w="1700"/>
            <w:shd w:val="clear" w:color="auto" w:fill="F2F5FB"/>
          </w:tcPr>
          <w:p>
            <w:pPr>
              <w:jc w:val="center"/>
            </w:pPr>
            <w:r>
              <w:rPr>
                <w:rFonts w:ascii="Calibri" w:hAnsi="Calibri"/>
                <w:b w:val="0"/>
                <w:i w:val="0"/>
                <w:color w:val="1E7D32"/>
                <w:sz w:val="16"/>
              </w:rPr>
              <w:t>$1.2517  (+9%)</w:t>
            </w:r>
          </w:p>
        </w:tc>
        <w:tc>
          <w:tcPr>
            <w:tcW w:type="dxa" w:w="1600"/>
            <w:shd w:val="clear" w:color="auto" w:fill="F2F5FB"/>
          </w:tcPr>
          <w:p>
            <w:pPr>
              <w:jc w:val="center"/>
            </w:pPr>
            <w:r>
              <w:rPr>
                <w:rFonts w:ascii="Calibri" w:hAnsi="Calibri"/>
                <w:b w:val="0"/>
                <w:i w:val="0"/>
                <w:color w:val="C62828"/>
                <w:sz w:val="16"/>
              </w:rPr>
              <w:t>$1.0794  (-6%)</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1.62</w:t>
            </w:r>
          </w:p>
        </w:tc>
      </w:tr>
      <w:tr>
        <w:tc>
          <w:tcPr>
            <w:tcW w:type="dxa" w:w="1150"/>
          </w:tcPr>
          <w:p>
            <w:pPr>
              <w:jc w:val="left"/>
            </w:pPr>
            <w:r>
              <w:rPr>
                <w:rFonts w:ascii="Calibri" w:hAnsi="Calibri"/>
                <w:b/>
                <w:i w:val="0"/>
                <w:sz w:val="16"/>
              </w:rPr>
              <w:t>PUMP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$0.004969</w:t>
            </w:r>
          </w:p>
        </w:tc>
        <w:tc>
          <w:tcPr>
            <w:tcW w:type="dxa" w:w="1700"/>
          </w:tcPr>
          <w:p>
            <w:pPr>
              <w:jc w:val="center"/>
            </w:pPr>
            <w:r>
              <w:rPr>
                <w:rFonts w:ascii="Calibri" w:hAnsi="Calibri"/>
                <w:b w:val="0"/>
                <w:i w:val="0"/>
                <w:color w:val="1E7D32"/>
                <w:sz w:val="16"/>
              </w:rPr>
              <w:t>$0.007367  (+48%)</w:t>
            </w:r>
          </w:p>
        </w:tc>
        <w:tc>
          <w:tcPr>
            <w:tcW w:type="dxa" w:w="1600"/>
          </w:tcPr>
          <w:p>
            <w:pPr>
              <w:jc w:val="center"/>
            </w:pPr>
            <w:r>
              <w:rPr>
                <w:rFonts w:ascii="Calibri" w:hAnsi="Calibri"/>
                <w:b w:val="0"/>
                <w:i w:val="0"/>
                <w:color w:val="C62828"/>
                <w:sz w:val="16"/>
              </w:rPr>
              <w:t>$0.003822  (-23%)</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2.09</w:t>
            </w:r>
          </w:p>
        </w:tc>
      </w:tr>
      <w:tr>
        <w:tc>
          <w:tcPr>
            <w:tcW w:type="dxa" w:w="1150"/>
            <w:shd w:val="clear" w:color="auto" w:fill="F2F5FB"/>
          </w:tcPr>
          <w:p>
            <w:pPr>
              <w:jc w:val="left"/>
            </w:pPr>
            <w:r>
              <w:rPr>
                <w:rFonts w:ascii="Calibri" w:hAnsi="Calibri"/>
                <w:b/>
                <w:i w:val="0"/>
                <w:sz w:val="16"/>
              </w:rPr>
              <w:t>ONDO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$0.469270</w:t>
            </w:r>
          </w:p>
        </w:tc>
        <w:tc>
          <w:tcPr>
            <w:tcW w:type="dxa" w:w="1700"/>
            <w:shd w:val="clear" w:color="auto" w:fill="F2F5FB"/>
          </w:tcPr>
          <w:p>
            <w:pPr>
              <w:jc w:val="center"/>
            </w:pPr>
            <w:r>
              <w:rPr>
                <w:rFonts w:ascii="Calibri" w:hAnsi="Calibri"/>
                <w:b w:val="0"/>
                <w:i w:val="0"/>
                <w:color w:val="1E7D32"/>
                <w:sz w:val="16"/>
              </w:rPr>
              <w:t>$0.662473  (+41%)</w:t>
            </w:r>
          </w:p>
        </w:tc>
        <w:tc>
          <w:tcPr>
            <w:tcW w:type="dxa" w:w="1600"/>
            <w:shd w:val="clear" w:color="auto" w:fill="F2F5FB"/>
          </w:tcPr>
          <w:p>
            <w:pPr>
              <w:jc w:val="center"/>
            </w:pPr>
            <w:r>
              <w:rPr>
                <w:rFonts w:ascii="Calibri" w:hAnsi="Calibri"/>
                <w:b w:val="0"/>
                <w:i w:val="0"/>
                <w:color w:val="C62828"/>
                <w:sz w:val="16"/>
              </w:rPr>
              <w:t>$0.372900  (-21%)</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w:t>
            </w:r>
          </w:p>
        </w:tc>
      </w:tr>
      <w:tr>
        <w:tc>
          <w:tcPr>
            <w:tcW w:type="dxa" w:w="1150"/>
          </w:tcPr>
          <w:p>
            <w:pPr>
              <w:jc w:val="left"/>
            </w:pPr>
            <w:r>
              <w:rPr>
                <w:rFonts w:ascii="Calibri" w:hAnsi="Calibri"/>
                <w:b/>
                <w:i w:val="0"/>
                <w:sz w:val="16"/>
              </w:rPr>
              <w:t>BUIDL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$1.000000</w:t>
            </w:r>
          </w:p>
        </w:tc>
        <w:tc>
          <w:tcPr>
            <w:tcW w:type="dxa" w:w="1700"/>
          </w:tcPr>
          <w:p>
            <w:pPr>
              <w:jc w:val="center"/>
            </w:pPr>
            <w:r>
              <w:rPr>
                <w:rFonts w:ascii="Calibri" w:hAnsi="Calibri"/>
                <w:b w:val="0"/>
                <w:i w:val="0"/>
                <w:color w:val="1E7D32"/>
                <w:sz w:val="16"/>
              </w:rPr>
              <w:t>$1.0000  (+0%)</w:t>
            </w:r>
          </w:p>
        </w:tc>
        <w:tc>
          <w:tcPr>
            <w:tcW w:type="dxa" w:w="1600"/>
          </w:tcPr>
          <w:p>
            <w:pPr>
              <w:jc w:val="center"/>
            </w:pPr>
            <w:r>
              <w:rPr>
                <w:rFonts w:ascii="Calibri" w:hAnsi="Calibri"/>
                <w:b w:val="0"/>
                <w:i w:val="0"/>
                <w:color w:val="C62828"/>
                <w:sz w:val="16"/>
              </w:rPr>
              <w:t>$1.000000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DOT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$1.1679</w:t>
            </w:r>
          </w:p>
        </w:tc>
        <w:tc>
          <w:tcPr>
            <w:tcW w:type="dxa" w:w="1700"/>
            <w:shd w:val="clear" w:color="auto" w:fill="F2F5FB"/>
          </w:tcPr>
          <w:p>
            <w:pPr>
              <w:jc w:val="center"/>
            </w:pPr>
            <w:r>
              <w:rPr>
                <w:rFonts w:ascii="Calibri" w:hAnsi="Calibri"/>
                <w:b w:val="0"/>
                <w:i w:val="0"/>
                <w:color w:val="1E7D32"/>
                <w:sz w:val="16"/>
              </w:rPr>
              <w:t>$1.5531  (+33%)</w:t>
            </w:r>
          </w:p>
        </w:tc>
        <w:tc>
          <w:tcPr>
            <w:tcW w:type="dxa" w:w="1600"/>
            <w:shd w:val="clear" w:color="auto" w:fill="F2F5FB"/>
          </w:tcPr>
          <w:p>
            <w:pPr>
              <w:jc w:val="center"/>
            </w:pPr>
            <w:r>
              <w:rPr>
                <w:rFonts w:ascii="Calibri" w:hAnsi="Calibri"/>
                <w:b w:val="0"/>
                <w:i w:val="0"/>
                <w:color w:val="C62828"/>
                <w:sz w:val="16"/>
              </w:rPr>
              <w:t>$0.965739  (-17%)</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1.91</w:t>
            </w:r>
          </w:p>
        </w:tc>
      </w:tr>
      <w:tr>
        <w:tc>
          <w:tcPr>
            <w:tcW w:type="dxa" w:w="1150"/>
          </w:tcPr>
          <w:p>
            <w:pPr>
              <w:jc w:val="left"/>
            </w:pPr>
            <w:r>
              <w:rPr>
                <w:rFonts w:ascii="Calibri" w:hAnsi="Calibri"/>
                <w:b/>
                <w:i w:val="0"/>
                <w:sz w:val="16"/>
              </w:rPr>
              <w:t>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$0.904633</w:t>
            </w:r>
          </w:p>
        </w:tc>
        <w:tc>
          <w:tcPr>
            <w:tcW w:type="dxa" w:w="1700"/>
          </w:tcPr>
          <w:p>
            <w:pPr>
              <w:jc w:val="center"/>
            </w:pPr>
            <w:r>
              <w:rPr>
                <w:rFonts w:ascii="Calibri" w:hAnsi="Calibri"/>
                <w:b w:val="0"/>
                <w:i w:val="0"/>
                <w:color w:val="1E7D32"/>
                <w:sz w:val="16"/>
              </w:rPr>
              <w:t>$1.5818  (+75%)</w:t>
            </w:r>
          </w:p>
        </w:tc>
        <w:tc>
          <w:tcPr>
            <w:tcW w:type="dxa" w:w="1600"/>
          </w:tcPr>
          <w:p>
            <w:pPr>
              <w:jc w:val="center"/>
            </w:pPr>
            <w:r>
              <w:rPr>
                <w:rFonts w:ascii="Calibri" w:hAnsi="Calibri"/>
                <w:b w:val="0"/>
                <w:i w:val="0"/>
                <w:color w:val="C62828"/>
                <w:sz w:val="16"/>
              </w:rPr>
              <w:t>$0.623283  (-31%)</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2.41</w:t>
            </w:r>
          </w:p>
        </w:tc>
      </w:tr>
      <w:tr>
        <w:tc>
          <w:tcPr>
            <w:tcW w:type="dxa" w:w="1150"/>
            <w:shd w:val="clear" w:color="auto" w:fill="F2F5FB"/>
          </w:tcPr>
          <w:p>
            <w:pPr>
              <w:jc w:val="left"/>
            </w:pPr>
            <w:r>
              <w:rPr>
                <w:rFonts w:ascii="Calibri" w:hAnsi="Calibri"/>
                <w:b/>
                <w:i w:val="0"/>
                <w:sz w:val="16"/>
              </w:rPr>
              <w:t>WLD</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$0.498306</w:t>
            </w:r>
          </w:p>
        </w:tc>
        <w:tc>
          <w:tcPr>
            <w:tcW w:type="dxa" w:w="1700"/>
            <w:shd w:val="clear" w:color="auto" w:fill="F2F5FB"/>
          </w:tcPr>
          <w:p>
            <w:pPr>
              <w:jc w:val="center"/>
            </w:pPr>
            <w:r>
              <w:rPr>
                <w:rFonts w:ascii="Calibri" w:hAnsi="Calibri"/>
                <w:b w:val="0"/>
                <w:i w:val="0"/>
                <w:color w:val="1E7D32"/>
                <w:sz w:val="16"/>
              </w:rPr>
              <w:t>$0.779162  (+56%)</w:t>
            </w:r>
          </w:p>
        </w:tc>
        <w:tc>
          <w:tcPr>
            <w:tcW w:type="dxa" w:w="1600"/>
            <w:shd w:val="clear" w:color="auto" w:fill="F2F5FB"/>
          </w:tcPr>
          <w:p>
            <w:pPr>
              <w:jc w:val="center"/>
            </w:pPr>
            <w:r>
              <w:rPr>
                <w:rFonts w:ascii="Calibri" w:hAnsi="Calibri"/>
                <w:b w:val="0"/>
                <w:i w:val="0"/>
                <w:color w:val="C62828"/>
                <w:sz w:val="16"/>
              </w:rPr>
              <w:t>$0.369892  (-26%)</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2.19</w:t>
            </w:r>
          </w:p>
        </w:tc>
      </w:tr>
      <w:tr>
        <w:tc>
          <w:tcPr>
            <w:tcW w:type="dxa" w:w="1150"/>
          </w:tcPr>
          <w:p>
            <w:pPr>
              <w:jc w:val="left"/>
            </w:pPr>
            <w:r>
              <w:rPr>
                <w:rFonts w:ascii="Calibri" w:hAnsi="Calibri"/>
                <w:b/>
                <w:i w:val="0"/>
                <w:sz w:val="16"/>
              </w:rPr>
              <w:t>ASTER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$0.684677</w:t>
            </w:r>
          </w:p>
        </w:tc>
        <w:tc>
          <w:tcPr>
            <w:tcW w:type="dxa" w:w="1700"/>
          </w:tcPr>
          <w:p>
            <w:pPr>
              <w:jc w:val="center"/>
            </w:pPr>
            <w:r>
              <w:rPr>
                <w:rFonts w:ascii="Calibri" w:hAnsi="Calibri"/>
                <w:b w:val="0"/>
                <w:i w:val="0"/>
                <w:color w:val="1E7D32"/>
                <w:sz w:val="16"/>
              </w:rPr>
              <w:t>$0.837480  (+22%)</w:t>
            </w:r>
          </w:p>
        </w:tc>
        <w:tc>
          <w:tcPr>
            <w:tcW w:type="dxa" w:w="1600"/>
          </w:tcPr>
          <w:p>
            <w:pPr>
              <w:jc w:val="center"/>
            </w:pPr>
            <w:r>
              <w:rPr>
                <w:rFonts w:ascii="Calibri" w:hAnsi="Calibri"/>
                <w:b w:val="0"/>
                <w:i w:val="0"/>
                <w:color w:val="C62828"/>
                <w:sz w:val="16"/>
              </w:rPr>
              <w:t>$0.598632  (-13%)</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PAXG</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$4 168.60</w:t>
            </w:r>
          </w:p>
        </w:tc>
        <w:tc>
          <w:tcPr>
            <w:tcW w:type="dxa" w:w="1700"/>
            <w:shd w:val="clear" w:color="auto" w:fill="F2F5FB"/>
          </w:tcPr>
          <w:p>
            <w:pPr>
              <w:jc w:val="center"/>
            </w:pPr>
            <w:r>
              <w:rPr>
                <w:rFonts w:ascii="Calibri" w:hAnsi="Calibri"/>
                <w:b w:val="0"/>
                <w:i w:val="0"/>
                <w:color w:val="1E7D32"/>
                <w:sz w:val="16"/>
              </w:rPr>
              <w:t>$4 711.18  (+13%)</w:t>
            </w:r>
          </w:p>
        </w:tc>
        <w:tc>
          <w:tcPr>
            <w:tcW w:type="dxa" w:w="1600"/>
            <w:shd w:val="clear" w:color="auto" w:fill="F2F5FB"/>
          </w:tcPr>
          <w:p>
            <w:pPr>
              <w:jc w:val="center"/>
            </w:pPr>
            <w:r>
              <w:rPr>
                <w:rFonts w:ascii="Calibri" w:hAnsi="Calibri"/>
                <w:b w:val="0"/>
                <w:i w:val="0"/>
                <w:color w:val="C62828"/>
                <w:sz w:val="16"/>
              </w:rPr>
              <w:t>$3 842.06  (-8%)</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1.66</w:t>
            </w:r>
          </w:p>
        </w:tc>
      </w:tr>
      <w:tr>
        <w:tc>
          <w:tcPr>
            <w:tcW w:type="dxa" w:w="1150"/>
          </w:tcPr>
          <w:p>
            <w:pPr>
              <w:jc w:val="left"/>
            </w:pPr>
            <w:r>
              <w:rPr>
                <w:rFonts w:ascii="Calibri" w:hAnsi="Calibri"/>
                <w:b/>
                <w:i w:val="0"/>
                <w:sz w:val="16"/>
              </w:rPr>
              <w:t>WLFI</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$0.056696</w:t>
            </w:r>
          </w:p>
        </w:tc>
        <w:tc>
          <w:tcPr>
            <w:tcW w:type="dxa" w:w="1700"/>
          </w:tcPr>
          <w:p>
            <w:pPr>
              <w:jc w:val="center"/>
            </w:pPr>
            <w:r>
              <w:rPr>
                <w:rFonts w:ascii="Calibri" w:hAnsi="Calibri"/>
                <w:b w:val="0"/>
                <w:i w:val="0"/>
                <w:color w:val="1E7D32"/>
                <w:sz w:val="16"/>
              </w:rPr>
              <w:t>$0.071917  (+27%)</w:t>
            </w:r>
          </w:p>
        </w:tc>
        <w:tc>
          <w:tcPr>
            <w:tcW w:type="dxa" w:w="1600"/>
          </w:tcPr>
          <w:p>
            <w:pPr>
              <w:jc w:val="center"/>
            </w:pPr>
            <w:r>
              <w:rPr>
                <w:rFonts w:ascii="Calibri" w:hAnsi="Calibri"/>
                <w:b w:val="0"/>
                <w:i w:val="0"/>
                <w:color w:val="C62828"/>
                <w:sz w:val="16"/>
              </w:rPr>
              <w:t>$0.048384  (-15%)</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USDF</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$0.994481</w:t>
            </w:r>
          </w:p>
        </w:tc>
        <w:tc>
          <w:tcPr>
            <w:tcW w:type="dxa" w:w="1700"/>
            <w:shd w:val="clear" w:color="auto" w:fill="F2F5FB"/>
          </w:tcPr>
          <w:p>
            <w:pPr>
              <w:jc w:val="center"/>
            </w:pPr>
            <w:r>
              <w:rPr>
                <w:rFonts w:ascii="Calibri" w:hAnsi="Calibri"/>
                <w:b w:val="0"/>
                <w:i w:val="0"/>
                <w:color w:val="1E7D32"/>
                <w:sz w:val="16"/>
              </w:rPr>
              <w:t>$0.999095  (+0%)</w:t>
            </w:r>
          </w:p>
        </w:tc>
        <w:tc>
          <w:tcPr>
            <w:tcW w:type="dxa" w:w="1600"/>
            <w:shd w:val="clear" w:color="auto" w:fill="F2F5FB"/>
          </w:tcPr>
          <w:p>
            <w:pPr>
              <w:jc w:val="center"/>
            </w:pPr>
            <w:r>
              <w:rPr>
                <w:rFonts w:ascii="Calibri" w:hAnsi="Calibri"/>
                <w:b w:val="0"/>
                <w:i w:val="0"/>
                <w:color w:val="C62828"/>
                <w:sz w:val="16"/>
              </w:rPr>
              <w:t>$0.991417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SKY</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$0.075763</w:t>
            </w:r>
          </w:p>
        </w:tc>
        <w:tc>
          <w:tcPr>
            <w:tcW w:type="dxa" w:w="1700"/>
          </w:tcPr>
          <w:p>
            <w:pPr>
              <w:jc w:val="center"/>
            </w:pPr>
            <w:r>
              <w:rPr>
                <w:rFonts w:ascii="Calibri" w:hAnsi="Calibri"/>
                <w:b w:val="0"/>
                <w:i w:val="0"/>
                <w:color w:val="1E7D32"/>
                <w:sz w:val="16"/>
              </w:rPr>
              <w:t>$0.102023  (+35%)</w:t>
            </w:r>
          </w:p>
        </w:tc>
        <w:tc>
          <w:tcPr>
            <w:tcW w:type="dxa" w:w="1600"/>
          </w:tcPr>
          <w:p>
            <w:pPr>
              <w:jc w:val="center"/>
            </w:pPr>
            <w:r>
              <w:rPr>
                <w:rFonts w:ascii="Calibri" w:hAnsi="Calibri"/>
                <w:b w:val="0"/>
                <w:i w:val="0"/>
                <w:color w:val="C62828"/>
                <w:sz w:val="16"/>
              </w:rPr>
              <w:t>$0.062130  (-18%)</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MNT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$0.536882</w:t>
            </w:r>
          </w:p>
        </w:tc>
        <w:tc>
          <w:tcPr>
            <w:tcW w:type="dxa" w:w="1700"/>
            <w:shd w:val="clear" w:color="auto" w:fill="F2F5FB"/>
          </w:tcPr>
          <w:p>
            <w:pPr>
              <w:jc w:val="center"/>
            </w:pPr>
            <w:r>
              <w:rPr>
                <w:rFonts w:ascii="Calibri" w:hAnsi="Calibri"/>
                <w:b w:val="0"/>
                <w:i w:val="0"/>
                <w:color w:val="1E7D32"/>
                <w:sz w:val="16"/>
              </w:rPr>
              <w:t>$0.696426  (+30%)</w:t>
            </w:r>
          </w:p>
        </w:tc>
        <w:tc>
          <w:tcPr>
            <w:tcW w:type="dxa" w:w="1600"/>
            <w:shd w:val="clear" w:color="auto" w:fill="F2F5FB"/>
          </w:tcPr>
          <w:p>
            <w:pPr>
              <w:jc w:val="center"/>
            </w:pPr>
            <w:r>
              <w:rPr>
                <w:rFonts w:ascii="Calibri" w:hAnsi="Calibri"/>
                <w:b w:val="0"/>
                <w:i w:val="0"/>
                <w:color w:val="C62828"/>
                <w:sz w:val="16"/>
              </w:rPr>
              <w:t>$0.451386  (-16%)</w:t>
            </w:r>
          </w:p>
        </w:tc>
        <w:tc>
          <w:tcPr>
            <w:tcW w:type="dxa" w:w="900"/>
            <w:shd w:val="clear" w:color="auto" w:fill="F2F5FB"/>
          </w:tcPr>
          <w:p>
            <w:pPr>
              <w:jc w:val="center"/>
            </w:pPr>
            <w:r>
              <w:rPr>
                <w:rFonts w:ascii="Calibri" w:hAnsi="Calibri"/>
                <w:b w:val="0"/>
                <w:i w:val="0"/>
                <w:sz w:val="16"/>
              </w:rPr>
              <w:t>28</w:t>
            </w:r>
          </w:p>
        </w:tc>
        <w:tc>
          <w:tcPr>
            <w:tcW w:type="dxa" w:w="900"/>
            <w:shd w:val="clear" w:color="auto" w:fill="F2F5FB"/>
          </w:tcPr>
          <w:p>
            <w:pPr>
              <w:jc w:val="center"/>
            </w:pPr>
            <w:r>
              <w:rPr>
                <w:rFonts w:ascii="Calibri" w:hAnsi="Calibri"/>
                <w:b w:val="0"/>
                <w:i w:val="0"/>
                <w:sz w:val="16"/>
              </w:rPr>
              <w:t>1.87</w:t>
            </w:r>
          </w:p>
        </w:tc>
      </w:tr>
      <w:tr>
        <w:tc>
          <w:tcPr>
            <w:tcW w:type="dxa" w:w="1150"/>
          </w:tcPr>
          <w:p>
            <w:pPr>
              <w:jc w:val="left"/>
            </w:pPr>
            <w:r>
              <w:rPr>
                <w:rFonts w:ascii="Calibri" w:hAnsi="Calibri"/>
                <w:b/>
                <w:i w:val="0"/>
                <w:sz w:val="16"/>
              </w:rPr>
              <w:t>ICP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$3.1160</w:t>
            </w:r>
          </w:p>
        </w:tc>
        <w:tc>
          <w:tcPr>
            <w:tcW w:type="dxa" w:w="1700"/>
          </w:tcPr>
          <w:p>
            <w:pPr>
              <w:jc w:val="center"/>
            </w:pPr>
            <w:r>
              <w:rPr>
                <w:rFonts w:ascii="Calibri" w:hAnsi="Calibri"/>
                <w:b w:val="0"/>
                <w:i w:val="0"/>
                <w:color w:val="1E7D32"/>
                <w:sz w:val="16"/>
              </w:rPr>
              <w:t>$4.1853  (+34%)</w:t>
            </w:r>
          </w:p>
        </w:tc>
        <w:tc>
          <w:tcPr>
            <w:tcW w:type="dxa" w:w="1600"/>
          </w:tcPr>
          <w:p>
            <w:pPr>
              <w:jc w:val="center"/>
            </w:pPr>
            <w:r>
              <w:rPr>
                <w:rFonts w:ascii="Calibri" w:hAnsi="Calibri"/>
                <w:b w:val="0"/>
                <w:i w:val="0"/>
                <w:color w:val="C62828"/>
                <w:sz w:val="16"/>
              </w:rPr>
              <w:t>$2.5596  (-18%)</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PEPE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$0.000004</w:t>
            </w:r>
          </w:p>
        </w:tc>
        <w:tc>
          <w:tcPr>
            <w:tcW w:type="dxa" w:w="1700"/>
            <w:shd w:val="clear" w:color="auto" w:fill="F2F5FB"/>
          </w:tcPr>
          <w:p>
            <w:pPr>
              <w:jc w:val="center"/>
            </w:pPr>
            <w:r>
              <w:rPr>
                <w:rFonts w:ascii="Calibri" w:hAnsi="Calibri"/>
                <w:b w:val="0"/>
                <w:i w:val="0"/>
                <w:color w:val="1E7D32"/>
                <w:sz w:val="16"/>
              </w:rPr>
              <w:t>$0.000005  (+35%)</w:t>
            </w:r>
          </w:p>
        </w:tc>
        <w:tc>
          <w:tcPr>
            <w:tcW w:type="dxa" w:w="1600"/>
            <w:shd w:val="clear" w:color="auto" w:fill="F2F5FB"/>
          </w:tcPr>
          <w:p>
            <w:pPr>
              <w:jc w:val="center"/>
            </w:pPr>
            <w:r>
              <w:rPr>
                <w:rFonts w:ascii="Calibri" w:hAnsi="Calibri"/>
                <w:b w:val="0"/>
                <w:i w:val="0"/>
                <w:color w:val="C62828"/>
                <w:sz w:val="16"/>
              </w:rPr>
              <w:t>$0.000003  (-18%)</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MORPHO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$2.3051</w:t>
            </w:r>
          </w:p>
        </w:tc>
        <w:tc>
          <w:tcPr>
            <w:tcW w:type="dxa" w:w="1700"/>
          </w:tcPr>
          <w:p>
            <w:pPr>
              <w:jc w:val="center"/>
            </w:pPr>
            <w:r>
              <w:rPr>
                <w:rFonts w:ascii="Calibri" w:hAnsi="Calibri"/>
                <w:b w:val="0"/>
                <w:i w:val="0"/>
                <w:color w:val="1E7D32"/>
                <w:sz w:val="16"/>
              </w:rPr>
              <w:t>$3.1473  (+37%)</w:t>
            </w:r>
          </w:p>
        </w:tc>
        <w:tc>
          <w:tcPr>
            <w:tcW w:type="dxa" w:w="1600"/>
          </w:tcPr>
          <w:p>
            <w:pPr>
              <w:jc w:val="center"/>
            </w:pPr>
            <w:r>
              <w:rPr>
                <w:rFonts w:ascii="Calibri" w:hAnsi="Calibri"/>
                <w:b w:val="0"/>
                <w:i w:val="0"/>
                <w:color w:val="C62828"/>
                <w:sz w:val="16"/>
              </w:rPr>
              <w:t>$1.8729  (-19%)</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EURSAFO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$1.1325</w:t>
            </w:r>
          </w:p>
        </w:tc>
        <w:tc>
          <w:tcPr>
            <w:tcW w:type="dxa" w:w="1700"/>
            <w:shd w:val="clear" w:color="auto" w:fill="F2F5FB"/>
          </w:tcPr>
          <w:p>
            <w:pPr>
              <w:jc w:val="center"/>
            </w:pPr>
            <w:r>
              <w:rPr>
                <w:rFonts w:ascii="Calibri" w:hAnsi="Calibri"/>
                <w:b w:val="0"/>
                <w:i w:val="0"/>
                <w:color w:val="1E7D32"/>
                <w:sz w:val="16"/>
              </w:rPr>
              <w:t>$1.1611  (+3%)</w:t>
            </w:r>
          </w:p>
        </w:tc>
        <w:tc>
          <w:tcPr>
            <w:tcW w:type="dxa" w:w="1600"/>
            <w:shd w:val="clear" w:color="auto" w:fill="F2F5FB"/>
          </w:tcPr>
          <w:p>
            <w:pPr>
              <w:jc w:val="center"/>
            </w:pPr>
            <w:r>
              <w:rPr>
                <w:rFonts w:ascii="Calibri" w:hAnsi="Calibri"/>
                <w:b w:val="0"/>
                <w:i w:val="0"/>
                <w:color w:val="C62828"/>
                <w:sz w:val="16"/>
              </w:rPr>
              <w:t>$1.1138  (-2%)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1.53</w:t>
            </w:r>
          </w:p>
        </w:tc>
      </w:tr>
      <w:tr>
        <w:tc>
          <w:tcPr>
            <w:tcW w:type="dxa" w:w="1150"/>
          </w:tcPr>
          <w:p>
            <w:pPr>
              <w:jc w:val="left"/>
            </w:pPr>
            <w:r>
              <w:rPr>
                <w:rFonts w:ascii="Calibri" w:hAnsi="Calibri"/>
                <w:b/>
                <w:i w:val="0"/>
                <w:sz w:val="16"/>
              </w:rPr>
              <w:t>U</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$0.999149</w:t>
            </w:r>
          </w:p>
        </w:tc>
        <w:tc>
          <w:tcPr>
            <w:tcW w:type="dxa" w:w="1700"/>
          </w:tcPr>
          <w:p>
            <w:pPr>
              <w:jc w:val="center"/>
            </w:pPr>
            <w:r>
              <w:rPr>
                <w:rFonts w:ascii="Calibri" w:hAnsi="Calibri"/>
                <w:b w:val="0"/>
                <w:i w:val="0"/>
                <w:color w:val="1E7D32"/>
                <w:sz w:val="16"/>
              </w:rPr>
              <w:t>$1.0010  (+0%)</w:t>
            </w:r>
          </w:p>
        </w:tc>
        <w:tc>
          <w:tcPr>
            <w:tcW w:type="dxa" w:w="1600"/>
          </w:tcPr>
          <w:p>
            <w:pPr>
              <w:jc w:val="center"/>
            </w:pPr>
            <w:r>
              <w:rPr>
                <w:rFonts w:ascii="Calibri" w:hAnsi="Calibri"/>
                <w:b w:val="0"/>
                <w:i w:val="0"/>
                <w:color w:val="C62828"/>
                <w:sz w:val="16"/>
              </w:rPr>
              <w:t>$0.997944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HTX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$0.000002</w:t>
            </w:r>
          </w:p>
        </w:tc>
        <w:tc>
          <w:tcPr>
            <w:tcW w:type="dxa" w:w="1700"/>
            <w:shd w:val="clear" w:color="auto" w:fill="F2F5FB"/>
          </w:tcPr>
          <w:p>
            <w:pPr>
              <w:jc w:val="center"/>
            </w:pPr>
            <w:r>
              <w:rPr>
                <w:rFonts w:ascii="Calibri" w:hAnsi="Calibri"/>
                <w:b w:val="0"/>
                <w:i w:val="0"/>
                <w:color w:val="1E7D32"/>
                <w:sz w:val="16"/>
              </w:rPr>
              <w:t>$0.000002  (+14%)</w:t>
            </w:r>
          </w:p>
        </w:tc>
        <w:tc>
          <w:tcPr>
            <w:tcW w:type="dxa" w:w="1600"/>
            <w:shd w:val="clear" w:color="auto" w:fill="F2F5FB"/>
          </w:tcPr>
          <w:p>
            <w:pPr>
              <w:jc w:val="center"/>
            </w:pPr>
            <w:r>
              <w:rPr>
                <w:rFonts w:ascii="Calibri" w:hAnsi="Calibri"/>
                <w:b w:val="0"/>
                <w:i w:val="0"/>
                <w:color w:val="C62828"/>
                <w:sz w:val="16"/>
              </w:rPr>
              <w:t>$0.000002  (-9%)</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BGB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$1.9407</w:t>
            </w:r>
          </w:p>
        </w:tc>
        <w:tc>
          <w:tcPr>
            <w:tcW w:type="dxa" w:w="1700"/>
          </w:tcPr>
          <w:p>
            <w:pPr>
              <w:jc w:val="center"/>
            </w:pPr>
            <w:r>
              <w:rPr>
                <w:rFonts w:ascii="Calibri" w:hAnsi="Calibri"/>
                <w:b w:val="0"/>
                <w:i w:val="0"/>
                <w:color w:val="1E7D32"/>
                <w:sz w:val="16"/>
              </w:rPr>
              <w:t>$2.3650  (+22%)</w:t>
            </w:r>
          </w:p>
        </w:tc>
        <w:tc>
          <w:tcPr>
            <w:tcW w:type="dxa" w:w="1600"/>
          </w:tcPr>
          <w:p>
            <w:pPr>
              <w:jc w:val="center"/>
            </w:pPr>
            <w:r>
              <w:rPr>
                <w:rFonts w:ascii="Calibri" w:hAnsi="Calibri"/>
                <w:b w:val="0"/>
                <w:i w:val="0"/>
                <w:color w:val="C62828"/>
                <w:sz w:val="16"/>
              </w:rPr>
              <w:t>$1.7010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BFUSD</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$0.998225</w:t>
            </w:r>
          </w:p>
        </w:tc>
        <w:tc>
          <w:tcPr>
            <w:tcW w:type="dxa" w:w="1700"/>
            <w:shd w:val="clear" w:color="auto" w:fill="F2F5FB"/>
          </w:tcPr>
          <w:p>
            <w:pPr>
              <w:jc w:val="center"/>
            </w:pPr>
            <w:r>
              <w:rPr>
                <w:rFonts w:ascii="Calibri" w:hAnsi="Calibri"/>
                <w:b w:val="0"/>
                <w:i w:val="0"/>
                <w:color w:val="1E7D32"/>
                <w:sz w:val="16"/>
              </w:rPr>
              <w:t>$1.0009  (+0%)</w:t>
            </w:r>
          </w:p>
        </w:tc>
        <w:tc>
          <w:tcPr>
            <w:tcW w:type="dxa" w:w="1600"/>
            <w:shd w:val="clear" w:color="auto" w:fill="F2F5FB"/>
          </w:tcPr>
          <w:p>
            <w:pPr>
              <w:jc w:val="center"/>
            </w:pPr>
            <w:r>
              <w:rPr>
                <w:rFonts w:ascii="Calibri" w:hAnsi="Calibri"/>
                <w:b w:val="0"/>
                <w:i w:val="0"/>
                <w:color w:val="C62828"/>
                <w:sz w:val="16"/>
              </w:rPr>
              <w:t>$0.996419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ETC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$7.9994</w:t>
            </w:r>
          </w:p>
        </w:tc>
        <w:tc>
          <w:tcPr>
            <w:tcW w:type="dxa" w:w="1700"/>
          </w:tcPr>
          <w:p>
            <w:pPr>
              <w:jc w:val="center"/>
            </w:pPr>
            <w:r>
              <w:rPr>
                <w:rFonts w:ascii="Calibri" w:hAnsi="Calibri"/>
                <w:b w:val="0"/>
                <w:i w:val="0"/>
                <w:color w:val="1E7D32"/>
                <w:sz w:val="16"/>
              </w:rPr>
              <w:t>$10.3393  (+29%)</w:t>
            </w:r>
          </w:p>
        </w:tc>
        <w:tc>
          <w:tcPr>
            <w:tcW w:type="dxa" w:w="1600"/>
          </w:tcPr>
          <w:p>
            <w:pPr>
              <w:jc w:val="center"/>
            </w:pPr>
            <w:r>
              <w:rPr>
                <w:rFonts w:ascii="Calibri" w:hAnsi="Calibri"/>
                <w:b w:val="0"/>
                <w:i w:val="0"/>
                <w:color w:val="C62828"/>
                <w:sz w:val="16"/>
              </w:rPr>
              <w:t>$6.7417  (-16%)</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1.86</w:t>
            </w:r>
          </w:p>
        </w:tc>
      </w:tr>
      <w:tr>
        <w:tc>
          <w:tcPr>
            <w:tcW w:type="dxa" w:w="1150"/>
            <w:shd w:val="clear" w:color="auto" w:fill="F2F5FB"/>
          </w:tcPr>
          <w:p>
            <w:pPr>
              <w:jc w:val="left"/>
            </w:pPr>
            <w:r>
              <w:rPr>
                <w:rFonts w:ascii="Calibri" w:hAnsi="Calibri"/>
                <w:b/>
                <w:i w:val="0"/>
                <w:sz w:val="16"/>
              </w:rPr>
              <w:t>USDGO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$0.999995</w:t>
            </w:r>
          </w:p>
        </w:tc>
        <w:tc>
          <w:tcPr>
            <w:tcW w:type="dxa" w:w="1700"/>
            <w:shd w:val="clear" w:color="auto" w:fill="F2F5FB"/>
          </w:tcPr>
          <w:p>
            <w:pPr>
              <w:jc w:val="center"/>
            </w:pPr>
            <w:r>
              <w:rPr>
                <w:rFonts w:ascii="Calibri" w:hAnsi="Calibri"/>
                <w:b w:val="0"/>
                <w:i w:val="0"/>
                <w:color w:val="1E7D32"/>
                <w:sz w:val="16"/>
              </w:rPr>
              <w:t>$1.0023  (+0%)</w:t>
            </w:r>
          </w:p>
        </w:tc>
        <w:tc>
          <w:tcPr>
            <w:tcW w:type="dxa" w:w="1600"/>
            <w:shd w:val="clear" w:color="auto" w:fill="F2F5FB"/>
          </w:tcPr>
          <w:p>
            <w:pPr>
              <w:jc w:val="center"/>
            </w:pPr>
            <w:r>
              <w:rPr>
                <w:rFonts w:ascii="Calibri" w:hAnsi="Calibri"/>
                <w:b w:val="0"/>
                <w:i w:val="0"/>
                <w:color w:val="C62828"/>
                <w:sz w:val="16"/>
              </w:rPr>
              <w:t>$0.998453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ARB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$0.179479</w:t>
            </w:r>
          </w:p>
        </w:tc>
        <w:tc>
          <w:tcPr>
            <w:tcW w:type="dxa" w:w="1700"/>
          </w:tcPr>
          <w:p>
            <w:pPr>
              <w:jc w:val="center"/>
            </w:pPr>
            <w:r>
              <w:rPr>
                <w:rFonts w:ascii="Calibri" w:hAnsi="Calibri"/>
                <w:b w:val="0"/>
                <w:i w:val="0"/>
                <w:color w:val="1E7D32"/>
                <w:sz w:val="16"/>
              </w:rPr>
              <w:t>$0.266503  (+48%)</w:t>
            </w:r>
          </w:p>
        </w:tc>
        <w:tc>
          <w:tcPr>
            <w:tcW w:type="dxa" w:w="1600"/>
          </w:tcPr>
          <w:p>
            <w:pPr>
              <w:jc w:val="center"/>
            </w:pPr>
            <w:r>
              <w:rPr>
                <w:rFonts w:ascii="Calibri" w:hAnsi="Calibri"/>
                <w:b w:val="0"/>
                <w:i w:val="0"/>
                <w:color w:val="C62828"/>
                <w:sz w:val="16"/>
              </w:rPr>
              <w:t>$0.137896  (-23%)</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2.09</w:t>
            </w:r>
          </w:p>
        </w:tc>
      </w:tr>
      <w:tr>
        <w:tc>
          <w:tcPr>
            <w:tcW w:type="dxa" w:w="1150"/>
            <w:shd w:val="clear" w:color="auto" w:fill="F2F5FB"/>
          </w:tcPr>
          <w:p>
            <w:pPr>
              <w:jc w:val="left"/>
            </w:pPr>
            <w:r>
              <w:rPr>
                <w:rFonts w:ascii="Calibri" w:hAnsi="Calibri"/>
                <w:b/>
                <w:i w:val="0"/>
                <w:sz w:val="16"/>
              </w:rPr>
              <w:t>JST</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$0.137855</w:t>
            </w:r>
          </w:p>
        </w:tc>
        <w:tc>
          <w:tcPr>
            <w:tcW w:type="dxa" w:w="1700"/>
            <w:shd w:val="clear" w:color="auto" w:fill="F2F5FB"/>
          </w:tcPr>
          <w:p>
            <w:pPr>
              <w:jc w:val="center"/>
            </w:pPr>
            <w:r>
              <w:rPr>
                <w:rFonts w:ascii="Calibri" w:hAnsi="Calibri"/>
                <w:b w:val="0"/>
                <w:i w:val="0"/>
                <w:color w:val="1E7D32"/>
                <w:sz w:val="16"/>
              </w:rPr>
              <w:t>$0.181042  (+31%)</w:t>
            </w:r>
          </w:p>
        </w:tc>
        <w:tc>
          <w:tcPr>
            <w:tcW w:type="dxa" w:w="1600"/>
            <w:shd w:val="clear" w:color="auto" w:fill="F2F5FB"/>
          </w:tcPr>
          <w:p>
            <w:pPr>
              <w:jc w:val="center"/>
            </w:pPr>
            <w:r>
              <w:rPr>
                <w:rFonts w:ascii="Calibri" w:hAnsi="Calibri"/>
                <w:b w:val="0"/>
                <w:i w:val="0"/>
                <w:color w:val="C62828"/>
                <w:sz w:val="16"/>
              </w:rPr>
              <w:t>$0.114953  (-17%)</w:t>
            </w:r>
          </w:p>
        </w:tc>
        <w:tc>
          <w:tcPr>
            <w:tcW w:type="dxa" w:w="900"/>
            <w:shd w:val="clear" w:color="auto" w:fill="F2F5FB"/>
          </w:tcPr>
          <w:p>
            <w:pPr>
              <w:jc w:val="center"/>
            </w:pPr>
            <w:r>
              <w:rPr>
                <w:rFonts w:ascii="Calibri" w:hAnsi="Calibri"/>
                <w:b w:val="0"/>
                <w:i w:val="0"/>
                <w:sz w:val="16"/>
              </w:rPr>
              <w:t>35</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GT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$10.7136</w:t>
            </w:r>
          </w:p>
        </w:tc>
        <w:tc>
          <w:tcPr>
            <w:tcW w:type="dxa" w:w="1700"/>
          </w:tcPr>
          <w:p>
            <w:pPr>
              <w:jc w:val="center"/>
            </w:pPr>
            <w:r>
              <w:rPr>
                <w:rFonts w:ascii="Calibri" w:hAnsi="Calibri"/>
                <w:b w:val="0"/>
                <w:i w:val="0"/>
                <w:color w:val="1E7D32"/>
                <w:sz w:val="16"/>
              </w:rPr>
              <w:t>$13.0651  (+22%)</w:t>
            </w:r>
          </w:p>
        </w:tc>
        <w:tc>
          <w:tcPr>
            <w:tcW w:type="dxa" w:w="1600"/>
          </w:tcPr>
          <w:p>
            <w:pPr>
              <w:jc w:val="center"/>
            </w:pPr>
            <w:r>
              <w:rPr>
                <w:rFonts w:ascii="Calibri" w:hAnsi="Calibri"/>
                <w:b w:val="0"/>
                <w:i w:val="0"/>
                <w:color w:val="C62828"/>
                <w:sz w:val="16"/>
              </w:rPr>
              <w:t>$9.3861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JUP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$0.331672</w:t>
            </w:r>
          </w:p>
        </w:tc>
        <w:tc>
          <w:tcPr>
            <w:tcW w:type="dxa" w:w="1700"/>
            <w:shd w:val="clear" w:color="auto" w:fill="F2F5FB"/>
          </w:tcPr>
          <w:p>
            <w:pPr>
              <w:jc w:val="center"/>
            </w:pPr>
            <w:r>
              <w:rPr>
                <w:rFonts w:ascii="Calibri" w:hAnsi="Calibri"/>
                <w:b w:val="0"/>
                <w:i w:val="0"/>
                <w:color w:val="1E7D32"/>
                <w:sz w:val="16"/>
              </w:rPr>
              <w:t>$0.475028  (+43%)</w:t>
            </w:r>
          </w:p>
        </w:tc>
        <w:tc>
          <w:tcPr>
            <w:tcW w:type="dxa" w:w="1600"/>
            <w:shd w:val="clear" w:color="auto" w:fill="F2F5FB"/>
          </w:tcPr>
          <w:p>
            <w:pPr>
              <w:jc w:val="center"/>
            </w:pPr>
            <w:r>
              <w:rPr>
                <w:rFonts w:ascii="Calibri" w:hAnsi="Calibri"/>
                <w:b w:val="0"/>
                <w:i w:val="0"/>
                <w:color w:val="C62828"/>
                <w:sz w:val="16"/>
              </w:rPr>
              <w:t>$0.261037  (-21%)</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KCS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$7.7372</w:t>
            </w:r>
          </w:p>
        </w:tc>
        <w:tc>
          <w:tcPr>
            <w:tcW w:type="dxa" w:w="1700"/>
          </w:tcPr>
          <w:p>
            <w:pPr>
              <w:jc w:val="center"/>
            </w:pPr>
            <w:r>
              <w:rPr>
                <w:rFonts w:ascii="Calibri" w:hAnsi="Calibri"/>
                <w:b w:val="0"/>
                <w:i w:val="0"/>
                <w:color w:val="1E7D32"/>
                <w:sz w:val="16"/>
              </w:rPr>
              <w:t>$9.3260  (+21%)</w:t>
            </w:r>
          </w:p>
        </w:tc>
        <w:tc>
          <w:tcPr>
            <w:tcW w:type="dxa" w:w="1600"/>
          </w:tcPr>
          <w:p>
            <w:pPr>
              <w:jc w:val="center"/>
            </w:pPr>
            <w:r>
              <w:rPr>
                <w:rFonts w:ascii="Calibri" w:hAnsi="Calibri"/>
                <w:b w:val="0"/>
                <w:i w:val="0"/>
                <w:color w:val="C62828"/>
                <w:sz w:val="16"/>
              </w:rPr>
              <w:t>$6.8314  (-12%)</w:t>
            </w:r>
          </w:p>
        </w:tc>
        <w:tc>
          <w:tcPr>
            <w:tcW w:type="dxa" w:w="900"/>
          </w:tcPr>
          <w:p>
            <w:pPr>
              <w:jc w:val="center"/>
            </w:pPr>
            <w:r>
              <w:rPr>
                <w:rFonts w:ascii="Calibri" w:hAnsi="Calibri"/>
                <w:b w:val="0"/>
                <w:i w:val="0"/>
                <w:sz w:val="16"/>
              </w:rPr>
              <w:t>32</w:t>
            </w:r>
          </w:p>
        </w:tc>
        <w:tc>
          <w:tcPr>
            <w:tcW w:type="dxa" w:w="900"/>
          </w:tcPr>
          <w:p>
            <w:pPr>
              <w:jc w:val="center"/>
            </w:pPr>
            <w:r>
              <w:rPr>
                <w:rFonts w:ascii="Calibri" w:hAnsi="Calibri"/>
                <w:b w:val="0"/>
                <w:i w:val="0"/>
                <w:sz w:val="16"/>
              </w:rPr>
              <w:t>1.75</w:t>
            </w:r>
          </w:p>
        </w:tc>
      </w:tr>
      <w:tr>
        <w:tc>
          <w:tcPr>
            <w:tcW w:type="dxa" w:w="1150"/>
            <w:shd w:val="clear" w:color="auto" w:fill="F2F5FB"/>
          </w:tcPr>
          <w:p>
            <w:pPr>
              <w:jc w:val="left"/>
            </w:pPr>
            <w:r>
              <w:rPr>
                <w:rFonts w:ascii="Calibri" w:hAnsi="Calibri"/>
                <w:b/>
                <w:i w:val="0"/>
                <w:sz w:val="16"/>
              </w:rPr>
              <w:t>ALGO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$0.119179</w:t>
            </w:r>
          </w:p>
        </w:tc>
        <w:tc>
          <w:tcPr>
            <w:tcW w:type="dxa" w:w="1700"/>
            <w:shd w:val="clear" w:color="auto" w:fill="F2F5FB"/>
          </w:tcPr>
          <w:p>
            <w:pPr>
              <w:jc w:val="center"/>
            </w:pPr>
            <w:r>
              <w:rPr>
                <w:rFonts w:ascii="Calibri" w:hAnsi="Calibri"/>
                <w:b w:val="0"/>
                <w:i w:val="0"/>
                <w:color w:val="1E7D32"/>
                <w:sz w:val="16"/>
              </w:rPr>
              <w:t>$0.146710  (+23%)</w:t>
            </w:r>
          </w:p>
        </w:tc>
        <w:tc>
          <w:tcPr>
            <w:tcW w:type="dxa" w:w="1600"/>
            <w:shd w:val="clear" w:color="auto" w:fill="F2F5FB"/>
          </w:tcPr>
          <w:p>
            <w:pPr>
              <w:jc w:val="center"/>
            </w:pPr>
            <w:r>
              <w:rPr>
                <w:rFonts w:ascii="Calibri" w:hAnsi="Calibri"/>
                <w:b w:val="0"/>
                <w:i w:val="0"/>
                <w:color w:val="C62828"/>
                <w:sz w:val="16"/>
              </w:rPr>
              <w:t>$0.103759  (-13%)</w:t>
            </w:r>
          </w:p>
        </w:tc>
        <w:tc>
          <w:tcPr>
            <w:tcW w:type="dxa" w:w="900"/>
            <w:shd w:val="clear" w:color="auto" w:fill="F2F5FB"/>
          </w:tcPr>
          <w:p>
            <w:pPr>
              <w:jc w:val="center"/>
            </w:pPr>
            <w:r>
              <w:rPr>
                <w:rFonts w:ascii="Calibri" w:hAnsi="Calibri"/>
                <w:b w:val="0"/>
                <w:i w:val="0"/>
                <w:sz w:val="16"/>
              </w:rPr>
              <w:t>14</w:t>
            </w:r>
          </w:p>
        </w:tc>
        <w:tc>
          <w:tcPr>
            <w:tcW w:type="dxa" w:w="900"/>
            <w:shd w:val="clear" w:color="auto" w:fill="F2F5FB"/>
          </w:tcPr>
          <w:p>
            <w:pPr>
              <w:jc w:val="center"/>
            </w:pPr>
            <w:r>
              <w:rPr>
                <w:rFonts w:ascii="Calibri" w:hAnsi="Calibri"/>
                <w:b w:val="0"/>
                <w:i w:val="0"/>
                <w:sz w:val="16"/>
              </w:rPr>
              <w:t>1.79</w:t>
            </w:r>
          </w:p>
        </w:tc>
      </w:tr>
      <w:tr>
        <w:tc>
          <w:tcPr>
            <w:tcW w:type="dxa" w:w="1150"/>
          </w:tcPr>
          <w:p>
            <w:pPr>
              <w:jc w:val="left"/>
            </w:pPr>
            <w:r>
              <w:rPr>
                <w:rFonts w:ascii="Calibri" w:hAnsi="Calibri"/>
                <w:b/>
                <w:i w:val="0"/>
                <w:sz w:val="16"/>
              </w:rPr>
              <w:t>POL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$0.098787</w:t>
            </w:r>
          </w:p>
        </w:tc>
        <w:tc>
          <w:tcPr>
            <w:tcW w:type="dxa" w:w="1700"/>
          </w:tcPr>
          <w:p>
            <w:pPr>
              <w:jc w:val="center"/>
            </w:pPr>
            <w:r>
              <w:rPr>
                <w:rFonts w:ascii="Calibri" w:hAnsi="Calibri"/>
                <w:b w:val="0"/>
                <w:i w:val="0"/>
                <w:color w:val="1E7D32"/>
                <w:sz w:val="16"/>
              </w:rPr>
              <w:t>$0.130157  (+32%)</w:t>
            </w:r>
          </w:p>
        </w:tc>
        <w:tc>
          <w:tcPr>
            <w:tcW w:type="dxa" w:w="1600"/>
          </w:tcPr>
          <w:p>
            <w:pPr>
              <w:jc w:val="center"/>
            </w:pPr>
            <w:r>
              <w:rPr>
                <w:rFonts w:ascii="Calibri" w:hAnsi="Calibri"/>
                <w:b w:val="0"/>
                <w:i w:val="0"/>
                <w:color w:val="C62828"/>
                <w:sz w:val="16"/>
              </w:rPr>
              <w:t>$0.082197  (-17%)</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RENDER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$2.0854</w:t>
            </w:r>
          </w:p>
        </w:tc>
        <w:tc>
          <w:tcPr>
            <w:tcW w:type="dxa" w:w="1700"/>
            <w:shd w:val="clear" w:color="auto" w:fill="F2F5FB"/>
          </w:tcPr>
          <w:p>
            <w:pPr>
              <w:jc w:val="center"/>
            </w:pPr>
            <w:r>
              <w:rPr>
                <w:rFonts w:ascii="Calibri" w:hAnsi="Calibri"/>
                <w:b w:val="0"/>
                <w:i w:val="0"/>
                <w:color w:val="1E7D32"/>
                <w:sz w:val="16"/>
              </w:rPr>
              <w:t>$2.7261  (+31%)</w:t>
            </w:r>
          </w:p>
        </w:tc>
        <w:tc>
          <w:tcPr>
            <w:tcW w:type="dxa" w:w="1600"/>
            <w:shd w:val="clear" w:color="auto" w:fill="F2F5FB"/>
          </w:tcPr>
          <w:p>
            <w:pPr>
              <w:jc w:val="center"/>
            </w:pPr>
            <w:r>
              <w:rPr>
                <w:rFonts w:ascii="Calibri" w:hAnsi="Calibri"/>
                <w:b w:val="0"/>
                <w:i w:val="0"/>
                <w:color w:val="C62828"/>
                <w:sz w:val="16"/>
              </w:rPr>
              <w:t>$1.7443  (-16%)</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1.88</w:t>
            </w:r>
          </w:p>
        </w:tc>
      </w:tr>
      <w:tr>
        <w:tc>
          <w:tcPr>
            <w:tcW w:type="dxa" w:w="1150"/>
          </w:tcPr>
          <w:p>
            <w:pPr>
              <w:jc w:val="left"/>
            </w:pPr>
            <w:r>
              <w:rPr>
                <w:rFonts w:ascii="Calibri" w:hAnsi="Calibri"/>
                <w:b/>
                <w:i w:val="0"/>
                <w:sz w:val="16"/>
              </w:rPr>
              <w:t>VVV</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$22.3597</w:t>
            </w:r>
          </w:p>
        </w:tc>
        <w:tc>
          <w:tcPr>
            <w:tcW w:type="dxa" w:w="1700"/>
          </w:tcPr>
          <w:p>
            <w:pPr>
              <w:jc w:val="center"/>
            </w:pPr>
            <w:r>
              <w:rPr>
                <w:rFonts w:ascii="Calibri" w:hAnsi="Calibri"/>
                <w:b w:val="0"/>
                <w:i w:val="0"/>
                <w:color w:val="1E7D32"/>
                <w:sz w:val="16"/>
              </w:rPr>
              <w:t>$33.3348  (+49%)</w:t>
            </w:r>
          </w:p>
        </w:tc>
        <w:tc>
          <w:tcPr>
            <w:tcW w:type="dxa" w:w="1600"/>
          </w:tcPr>
          <w:p>
            <w:pPr>
              <w:jc w:val="center"/>
            </w:pPr>
            <w:r>
              <w:rPr>
                <w:rFonts w:ascii="Calibri" w:hAnsi="Calibri"/>
                <w:b w:val="0"/>
                <w:i w:val="0"/>
                <w:color w:val="C62828"/>
                <w:sz w:val="16"/>
              </w:rPr>
              <w:t>$17.1334  (-23%)</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2.1</w:t>
            </w:r>
          </w:p>
        </w:tc>
      </w:tr>
      <w:tr>
        <w:tc>
          <w:tcPr>
            <w:tcW w:type="dxa" w:w="1150"/>
            <w:shd w:val="clear" w:color="auto" w:fill="F2F5FB"/>
          </w:tcPr>
          <w:p>
            <w:pPr>
              <w:jc w:val="left"/>
            </w:pPr>
            <w:r>
              <w:rPr>
                <w:rFonts w:ascii="Calibri" w:hAnsi="Calibri"/>
                <w:b/>
                <w:i w:val="0"/>
                <w:sz w:val="16"/>
              </w:rPr>
              <w:t>KAS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$0.038451</w:t>
            </w:r>
          </w:p>
        </w:tc>
        <w:tc>
          <w:tcPr>
            <w:tcW w:type="dxa" w:w="1700"/>
            <w:shd w:val="clear" w:color="auto" w:fill="F2F5FB"/>
          </w:tcPr>
          <w:p>
            <w:pPr>
              <w:jc w:val="center"/>
            </w:pPr>
            <w:r>
              <w:rPr>
                <w:rFonts w:ascii="Calibri" w:hAnsi="Calibri"/>
                <w:b w:val="0"/>
                <w:i w:val="0"/>
                <w:color w:val="1E7D32"/>
                <w:sz w:val="16"/>
              </w:rPr>
              <w:t>$0.046700  (+21%)</w:t>
            </w:r>
          </w:p>
        </w:tc>
        <w:tc>
          <w:tcPr>
            <w:tcW w:type="dxa" w:w="1600"/>
            <w:shd w:val="clear" w:color="auto" w:fill="F2F5FB"/>
          </w:tcPr>
          <w:p>
            <w:pPr>
              <w:jc w:val="center"/>
            </w:pPr>
            <w:r>
              <w:rPr>
                <w:rFonts w:ascii="Calibri" w:hAnsi="Calibri"/>
                <w:b w:val="0"/>
                <w:i w:val="0"/>
                <w:color w:val="C62828"/>
                <w:sz w:val="16"/>
              </w:rPr>
              <w:t>$0.033778  (-12%)</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1.77</w:t>
            </w:r>
          </w:p>
        </w:tc>
      </w:tr>
      <w:tr>
        <w:tc>
          <w:tcPr>
            <w:tcW w:type="dxa" w:w="1150"/>
          </w:tcPr>
          <w:p>
            <w:pPr>
              <w:jc w:val="left"/>
            </w:pPr>
            <w:r>
              <w:rPr>
                <w:rFonts w:ascii="Calibri" w:hAnsi="Calibri"/>
                <w:b/>
                <w:i w:val="0"/>
                <w:sz w:val="16"/>
              </w:rPr>
              <w:t>FIL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$1.0975</w:t>
            </w:r>
          </w:p>
        </w:tc>
        <w:tc>
          <w:tcPr>
            <w:tcW w:type="dxa" w:w="1700"/>
          </w:tcPr>
          <w:p>
            <w:pPr>
              <w:jc w:val="center"/>
            </w:pPr>
            <w:r>
              <w:rPr>
                <w:rFonts w:ascii="Calibri" w:hAnsi="Calibri"/>
                <w:b w:val="0"/>
                <w:i w:val="0"/>
                <w:color w:val="1E7D32"/>
                <w:sz w:val="16"/>
              </w:rPr>
              <w:t>$1.4788  (+35%)</w:t>
            </w:r>
          </w:p>
        </w:tc>
        <w:tc>
          <w:tcPr>
            <w:tcW w:type="dxa" w:w="1600"/>
          </w:tcPr>
          <w:p>
            <w:pPr>
              <w:jc w:val="center"/>
            </w:pPr>
            <w:r>
              <w:rPr>
                <w:rFonts w:ascii="Calibri" w:hAnsi="Calibri"/>
                <w:b w:val="0"/>
                <w:i w:val="0"/>
                <w:color w:val="C62828"/>
                <w:sz w:val="16"/>
              </w:rPr>
              <w:t>$0.899612  (-18%)</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ATOM</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$1.8095</w:t>
            </w:r>
          </w:p>
        </w:tc>
        <w:tc>
          <w:tcPr>
            <w:tcW w:type="dxa" w:w="1700"/>
            <w:shd w:val="clear" w:color="auto" w:fill="F2F5FB"/>
          </w:tcPr>
          <w:p>
            <w:pPr>
              <w:jc w:val="center"/>
            </w:pPr>
            <w:r>
              <w:rPr>
                <w:rFonts w:ascii="Calibri" w:hAnsi="Calibri"/>
                <w:b w:val="0"/>
                <w:i w:val="0"/>
                <w:color w:val="1E7D32"/>
                <w:sz w:val="16"/>
              </w:rPr>
              <w:t>$2.3693  (+31%)</w:t>
            </w:r>
          </w:p>
        </w:tc>
        <w:tc>
          <w:tcPr>
            <w:tcW w:type="dxa" w:w="1600"/>
            <w:shd w:val="clear" w:color="auto" w:fill="F2F5FB"/>
          </w:tcPr>
          <w:p>
            <w:pPr>
              <w:jc w:val="center"/>
            </w:pPr>
            <w:r>
              <w:rPr>
                <w:rFonts w:ascii="Calibri" w:hAnsi="Calibri"/>
                <w:b w:val="0"/>
                <w:i w:val="0"/>
                <w:color w:val="C62828"/>
                <w:sz w:val="16"/>
              </w:rPr>
              <w:t>$1.5119  (-16%)</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1.88</w:t>
            </w:r>
          </w:p>
        </w:tc>
      </w:tr>
      <w:tr>
        <w:tc>
          <w:tcPr>
            <w:tcW w:type="dxa" w:w="1150"/>
          </w:tcPr>
          <w:p>
            <w:pPr>
              <w:jc w:val="left"/>
            </w:pPr>
            <w:r>
              <w:rPr>
                <w:rFonts w:ascii="Calibri" w:hAnsi="Calibri"/>
                <w:b/>
                <w:i w:val="0"/>
                <w:sz w:val="16"/>
              </w:rPr>
              <w:t>BCAP</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$105.7400</w:t>
            </w:r>
          </w:p>
        </w:tc>
        <w:tc>
          <w:tcPr>
            <w:tcW w:type="dxa" w:w="1700"/>
          </w:tcPr>
          <w:p>
            <w:pPr>
              <w:jc w:val="center"/>
            </w:pPr>
            <w:r>
              <w:rPr>
                <w:rFonts w:ascii="Calibri" w:hAnsi="Calibri"/>
                <w:b w:val="0"/>
                <w:i w:val="0"/>
                <w:color w:val="1E7D32"/>
                <w:sz w:val="16"/>
              </w:rPr>
              <w:t>$118.0896  (+12%)</w:t>
            </w:r>
          </w:p>
        </w:tc>
        <w:tc>
          <w:tcPr>
            <w:tcW w:type="dxa" w:w="1600"/>
          </w:tcPr>
          <w:p>
            <w:pPr>
              <w:jc w:val="center"/>
            </w:pPr>
            <w:r>
              <w:rPr>
                <w:rFonts w:ascii="Calibri" w:hAnsi="Calibri"/>
                <w:b w:val="0"/>
                <w:i w:val="0"/>
                <w:color w:val="C62828"/>
                <w:sz w:val="16"/>
              </w:rPr>
              <w:t>$98.2331  (-7%)</w:t>
            </w:r>
          </w:p>
        </w:tc>
        <w:tc>
          <w:tcPr>
            <w:tcW w:type="dxa" w:w="900"/>
          </w:tcPr>
          <w:p>
            <w:pPr>
              <w:jc w:val="center"/>
            </w:pPr>
            <w:r>
              <w:rPr>
                <w:rFonts w:ascii="Calibri" w:hAnsi="Calibri"/>
                <w:b w:val="0"/>
                <w:i w:val="0"/>
                <w:sz w:val="16"/>
              </w:rPr>
              <w:t>16</w:t>
            </w:r>
          </w:p>
        </w:tc>
        <w:tc>
          <w:tcPr>
            <w:tcW w:type="dxa" w:w="900"/>
          </w:tcPr>
          <w:p>
            <w:pPr>
              <w:jc w:val="center"/>
            </w:pPr>
            <w:r>
              <w:rPr>
                <w:rFonts w:ascii="Calibri" w:hAnsi="Calibri"/>
                <w:b w:val="0"/>
                <w:i w:val="0"/>
                <w:sz w:val="16"/>
              </w:rPr>
              <w:t>1.65</w:t>
            </w:r>
          </w:p>
        </w:tc>
      </w:tr>
      <w:tr>
        <w:tc>
          <w:tcPr>
            <w:tcW w:type="dxa" w:w="1150"/>
            <w:shd w:val="clear" w:color="auto" w:fill="F2F5FB"/>
          </w:tcPr>
          <w:p>
            <w:pPr>
              <w:jc w:val="left"/>
            </w:pPr>
            <w:r>
              <w:rPr>
                <w:rFonts w:ascii="Calibri" w:hAnsi="Calibri"/>
                <w:b/>
                <w:i w:val="0"/>
                <w:sz w:val="16"/>
              </w:rPr>
              <w:t>PI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$0.078657</w:t>
            </w:r>
          </w:p>
        </w:tc>
        <w:tc>
          <w:tcPr>
            <w:tcW w:type="dxa" w:w="1700"/>
            <w:shd w:val="clear" w:color="auto" w:fill="F2F5FB"/>
          </w:tcPr>
          <w:p>
            <w:pPr>
              <w:jc w:val="center"/>
            </w:pPr>
            <w:r>
              <w:rPr>
                <w:rFonts w:ascii="Calibri" w:hAnsi="Calibri"/>
                <w:b w:val="0"/>
                <w:i w:val="0"/>
                <w:color w:val="1E7D32"/>
                <w:sz w:val="16"/>
              </w:rPr>
              <w:t>$0.099985  (+27%)</w:t>
            </w:r>
          </w:p>
        </w:tc>
        <w:tc>
          <w:tcPr>
            <w:tcW w:type="dxa" w:w="1600"/>
            <w:shd w:val="clear" w:color="auto" w:fill="F2F5FB"/>
          </w:tcPr>
          <w:p>
            <w:pPr>
              <w:jc w:val="center"/>
            </w:pPr>
            <w:r>
              <w:rPr>
                <w:rFonts w:ascii="Calibri" w:hAnsi="Calibri"/>
                <w:b w:val="0"/>
                <w:i w:val="0"/>
                <w:color w:val="C62828"/>
                <w:sz w:val="16"/>
              </w:rPr>
              <w:t>$0.067030  (-15%)</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AERO</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$0.876497</w:t>
            </w:r>
          </w:p>
        </w:tc>
        <w:tc>
          <w:tcPr>
            <w:tcW w:type="dxa" w:w="1700"/>
          </w:tcPr>
          <w:p>
            <w:pPr>
              <w:jc w:val="center"/>
            </w:pPr>
            <w:r>
              <w:rPr>
                <w:rFonts w:ascii="Calibri" w:hAnsi="Calibri"/>
                <w:b w:val="0"/>
                <w:i w:val="0"/>
                <w:color w:val="1E7D32"/>
                <w:sz w:val="16"/>
              </w:rPr>
              <w:t>$1.1865  (+35%)</w:t>
            </w:r>
          </w:p>
        </w:tc>
        <w:tc>
          <w:tcPr>
            <w:tcW w:type="dxa" w:w="1600"/>
          </w:tcPr>
          <w:p>
            <w:pPr>
              <w:jc w:val="center"/>
            </w:pPr>
            <w:r>
              <w:rPr>
                <w:rFonts w:ascii="Calibri" w:hAnsi="Calibri"/>
                <w:b w:val="0"/>
                <w:i w:val="0"/>
                <w:color w:val="C62828"/>
                <w:sz w:val="16"/>
              </w:rPr>
              <w:t>$0.716281  (-18%)</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NEXO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$0.828838</w:t>
            </w:r>
          </w:p>
        </w:tc>
        <w:tc>
          <w:tcPr>
            <w:tcW w:type="dxa" w:w="1700"/>
            <w:shd w:val="clear" w:color="auto" w:fill="F2F5FB"/>
          </w:tcPr>
          <w:p>
            <w:pPr>
              <w:jc w:val="center"/>
            </w:pPr>
            <w:r>
              <w:rPr>
                <w:rFonts w:ascii="Calibri" w:hAnsi="Calibri"/>
                <w:b w:val="0"/>
                <w:i w:val="0"/>
                <w:color w:val="1E7D32"/>
                <w:sz w:val="16"/>
              </w:rPr>
              <w:t>$1.0145  (+22%)</w:t>
            </w:r>
          </w:p>
        </w:tc>
        <w:tc>
          <w:tcPr>
            <w:tcW w:type="dxa" w:w="1600"/>
            <w:shd w:val="clear" w:color="auto" w:fill="F2F5FB"/>
          </w:tcPr>
          <w:p>
            <w:pPr>
              <w:jc w:val="center"/>
            </w:pPr>
            <w:r>
              <w:rPr>
                <w:rFonts w:ascii="Calibri" w:hAnsi="Calibri"/>
                <w:b w:val="0"/>
                <w:i w:val="0"/>
                <w:color w:val="C62828"/>
                <w:sz w:val="16"/>
              </w:rPr>
              <w:t>$0.724337  (-13%)</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1.78</w:t>
            </w:r>
          </w:p>
        </w:tc>
      </w:tr>
      <w:tr>
        <w:tc>
          <w:tcPr>
            <w:tcW w:type="dxa" w:w="1150"/>
          </w:tcPr>
          <w:p>
            <w:pPr>
              <w:jc w:val="left"/>
            </w:pPr>
            <w:r>
              <w:rPr>
                <w:rFonts w:ascii="Calibri" w:hAnsi="Calibri"/>
                <w:b/>
                <w:i w:val="0"/>
                <w:sz w:val="16"/>
              </w:rPr>
              <w:t>LIT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$3.3840</w:t>
            </w:r>
          </w:p>
        </w:tc>
        <w:tc>
          <w:tcPr>
            <w:tcW w:type="dxa" w:w="1700"/>
          </w:tcPr>
          <w:p>
            <w:pPr>
              <w:jc w:val="center"/>
            </w:pPr>
            <w:r>
              <w:rPr>
                <w:rFonts w:ascii="Calibri" w:hAnsi="Calibri"/>
                <w:b w:val="0"/>
                <w:i w:val="0"/>
                <w:color w:val="1E7D32"/>
                <w:sz w:val="16"/>
              </w:rPr>
              <w:t>$5.0357  (+49%)</w:t>
            </w:r>
          </w:p>
        </w:tc>
        <w:tc>
          <w:tcPr>
            <w:tcW w:type="dxa" w:w="1600"/>
          </w:tcPr>
          <w:p>
            <w:pPr>
              <w:jc w:val="center"/>
            </w:pPr>
            <w:r>
              <w:rPr>
                <w:rFonts w:ascii="Calibri" w:hAnsi="Calibri"/>
                <w:b w:val="0"/>
                <w:i w:val="0"/>
                <w:color w:val="C62828"/>
                <w:sz w:val="16"/>
              </w:rPr>
              <w:t>$2.5963  (-23%)</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2.1</w:t>
            </w:r>
          </w:p>
        </w:tc>
      </w:tr>
      <w:tr>
        <w:tc>
          <w:tcPr>
            <w:tcW w:type="dxa" w:w="1150"/>
            <w:shd w:val="clear" w:color="auto" w:fill="F2F5FB"/>
          </w:tcPr>
          <w:p>
            <w:pPr>
              <w:jc w:val="left"/>
            </w:pPr>
            <w:r>
              <w:rPr>
                <w:rFonts w:ascii="Calibri" w:hAnsi="Calibri"/>
                <w:b/>
                <w:i w:val="0"/>
                <w:sz w:val="16"/>
              </w:rPr>
              <w:t>ZRO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$2.0695</w:t>
            </w:r>
          </w:p>
        </w:tc>
        <w:tc>
          <w:tcPr>
            <w:tcW w:type="dxa" w:w="1700"/>
            <w:shd w:val="clear" w:color="auto" w:fill="F2F5FB"/>
          </w:tcPr>
          <w:p>
            <w:pPr>
              <w:jc w:val="center"/>
            </w:pPr>
            <w:r>
              <w:rPr>
                <w:rFonts w:ascii="Calibri" w:hAnsi="Calibri"/>
                <w:b w:val="0"/>
                <w:i w:val="0"/>
                <w:color w:val="1E7D32"/>
                <w:sz w:val="16"/>
              </w:rPr>
              <w:t>$2.9555  (+43%)</w:t>
            </w:r>
          </w:p>
        </w:tc>
        <w:tc>
          <w:tcPr>
            <w:tcW w:type="dxa" w:w="1600"/>
            <w:shd w:val="clear" w:color="auto" w:fill="F2F5FB"/>
          </w:tcPr>
          <w:p>
            <w:pPr>
              <w:jc w:val="center"/>
            </w:pPr>
            <w:r>
              <w:rPr>
                <w:rFonts w:ascii="Calibri" w:hAnsi="Calibri"/>
                <w:b w:val="0"/>
                <w:i w:val="0"/>
                <w:color w:val="C62828"/>
                <w:sz w:val="16"/>
              </w:rPr>
              <w:t>$1.6319  (-21%)</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2.02</w:t>
            </w:r>
          </w:p>
        </w:tc>
      </w:tr>
      <w:tr>
        <w:tc>
          <w:tcPr>
            <w:tcW w:type="dxa" w:w="1150"/>
          </w:tcPr>
          <w:p>
            <w:pPr>
              <w:jc w:val="left"/>
            </w:pPr>
            <w:r>
              <w:rPr>
                <w:rFonts w:ascii="Calibri" w:hAnsi="Calibri"/>
                <w:b/>
                <w:i w:val="0"/>
                <w:sz w:val="16"/>
              </w:rPr>
              <w:t>USTB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$11.2389</w:t>
            </w:r>
          </w:p>
        </w:tc>
        <w:tc>
          <w:tcPr>
            <w:tcW w:type="dxa" w:w="1700"/>
          </w:tcPr>
          <w:p>
            <w:pPr>
              <w:jc w:val="center"/>
            </w:pPr>
            <w:r>
              <w:rPr>
                <w:rFonts w:ascii="Calibri" w:hAnsi="Calibri"/>
                <w:b w:val="0"/>
                <w:i w:val="0"/>
                <w:color w:val="1E7D32"/>
                <w:sz w:val="16"/>
              </w:rPr>
              <w:t>$11.2491  (+0%)</w:t>
            </w:r>
          </w:p>
        </w:tc>
        <w:tc>
          <w:tcPr>
            <w:tcW w:type="dxa" w:w="1600"/>
          </w:tcPr>
          <w:p>
            <w:pPr>
              <w:jc w:val="center"/>
            </w:pPr>
            <w:r>
              <w:rPr>
                <w:rFonts w:ascii="Calibri" w:hAnsi="Calibri"/>
                <w:b w:val="0"/>
                <w:i w:val="0"/>
                <w:color w:val="C62828"/>
                <w:sz w:val="16"/>
              </w:rPr>
              <w:t>$11.2321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OUSD</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$0.999372</w:t>
            </w:r>
          </w:p>
        </w:tc>
        <w:tc>
          <w:tcPr>
            <w:tcW w:type="dxa" w:w="1700"/>
            <w:shd w:val="clear" w:color="auto" w:fill="F2F5FB"/>
          </w:tcPr>
          <w:p>
            <w:pPr>
              <w:jc w:val="center"/>
            </w:pPr>
            <w:r>
              <w:rPr>
                <w:rFonts w:ascii="Calibri" w:hAnsi="Calibri"/>
                <w:b w:val="0"/>
                <w:i w:val="0"/>
                <w:color w:val="1E7D32"/>
                <w:sz w:val="16"/>
              </w:rPr>
              <w:t>$1.0130  (+1%)</w:t>
            </w:r>
          </w:p>
        </w:tc>
        <w:tc>
          <w:tcPr>
            <w:tcW w:type="dxa" w:w="1600"/>
            <w:shd w:val="clear" w:color="auto" w:fill="F2F5FB"/>
          </w:tcPr>
          <w:p>
            <w:pPr>
              <w:jc w:val="center"/>
            </w:pPr>
            <w:r>
              <w:rPr>
                <w:rFonts w:ascii="Calibri" w:hAnsi="Calibri"/>
                <w:b w:val="0"/>
                <w:i w:val="0"/>
                <w:color w:val="C62828"/>
                <w:sz w:val="16"/>
              </w:rPr>
              <w:t>$0.990363  (-1%)</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1.52</w:t>
            </w:r>
          </w:p>
        </w:tc>
      </w:tr>
      <w:tr>
        <w:tc>
          <w:tcPr>
            <w:tcW w:type="dxa" w:w="1150"/>
          </w:tcPr>
          <w:p>
            <w:pPr>
              <w:jc w:val="left"/>
            </w:pPr>
            <w:r>
              <w:rPr>
                <w:rFonts w:ascii="Calibri" w:hAnsi="Calibri"/>
                <w:b/>
                <w:i w:val="0"/>
                <w:sz w:val="16"/>
              </w:rPr>
              <w:t>INJ</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$7.3006</w:t>
            </w:r>
          </w:p>
        </w:tc>
        <w:tc>
          <w:tcPr>
            <w:tcW w:type="dxa" w:w="1700"/>
          </w:tcPr>
          <w:p>
            <w:pPr>
              <w:jc w:val="center"/>
            </w:pPr>
            <w:r>
              <w:rPr>
                <w:rFonts w:ascii="Calibri" w:hAnsi="Calibri"/>
                <w:b w:val="0"/>
                <w:i w:val="0"/>
                <w:color w:val="1E7D32"/>
                <w:sz w:val="16"/>
              </w:rPr>
              <w:t>$10.3209  (+41%)</w:t>
            </w:r>
          </w:p>
        </w:tc>
        <w:tc>
          <w:tcPr>
            <w:tcW w:type="dxa" w:w="1600"/>
          </w:tcPr>
          <w:p>
            <w:pPr>
              <w:jc w:val="center"/>
            </w:pPr>
            <w:r>
              <w:rPr>
                <w:rFonts w:ascii="Calibri" w:hAnsi="Calibri"/>
                <w:b w:val="0"/>
                <w:i w:val="0"/>
                <w:color w:val="C62828"/>
                <w:sz w:val="16"/>
              </w:rPr>
              <w:t>$5.7959  (-21%)</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STX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$0.410108</w:t>
            </w:r>
          </w:p>
        </w:tc>
        <w:tc>
          <w:tcPr>
            <w:tcW w:type="dxa" w:w="1700"/>
            <w:shd w:val="clear" w:color="auto" w:fill="F2F5FB"/>
          </w:tcPr>
          <w:p>
            <w:pPr>
              <w:jc w:val="center"/>
            </w:pPr>
            <w:r>
              <w:rPr>
                <w:rFonts w:ascii="Calibri" w:hAnsi="Calibri"/>
                <w:b w:val="0"/>
                <w:i w:val="0"/>
                <w:color w:val="1E7D32"/>
                <w:sz w:val="16"/>
              </w:rPr>
              <w:t>$0.565186  (+38%)</w:t>
            </w:r>
          </w:p>
        </w:tc>
        <w:tc>
          <w:tcPr>
            <w:tcW w:type="dxa" w:w="1600"/>
            <w:shd w:val="clear" w:color="auto" w:fill="F2F5FB"/>
          </w:tcPr>
          <w:p>
            <w:pPr>
              <w:jc w:val="center"/>
            </w:pPr>
            <w:r>
              <w:rPr>
                <w:rFonts w:ascii="Calibri" w:hAnsi="Calibri"/>
                <w:b w:val="0"/>
                <w:i w:val="0"/>
                <w:color w:val="C62828"/>
                <w:sz w:val="16"/>
              </w:rPr>
              <w:t>$0.331159  (-19%)</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NIGHT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$0.044827</w:t>
            </w:r>
          </w:p>
        </w:tc>
        <w:tc>
          <w:tcPr>
            <w:tcW w:type="dxa" w:w="1700"/>
          </w:tcPr>
          <w:p>
            <w:pPr>
              <w:jc w:val="center"/>
            </w:pPr>
            <w:r>
              <w:rPr>
                <w:rFonts w:ascii="Calibri" w:hAnsi="Calibri"/>
                <w:b w:val="0"/>
                <w:i w:val="0"/>
                <w:color w:val="1E7D32"/>
                <w:sz w:val="16"/>
              </w:rPr>
              <w:t>$0.061949  (+38%)</w:t>
            </w:r>
          </w:p>
        </w:tc>
        <w:tc>
          <w:tcPr>
            <w:tcW w:type="dxa" w:w="1600"/>
          </w:tcPr>
          <w:p>
            <w:pPr>
              <w:jc w:val="center"/>
            </w:pPr>
            <w:r>
              <w:rPr>
                <w:rFonts w:ascii="Calibri" w:hAnsi="Calibri"/>
                <w:b w:val="0"/>
                <w:i w:val="0"/>
                <w:color w:val="C62828"/>
                <w:sz w:val="16"/>
              </w:rPr>
              <w:t>$0.036130  (-19%)</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APT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$0.794035</w:t>
            </w:r>
          </w:p>
        </w:tc>
        <w:tc>
          <w:tcPr>
            <w:tcW w:type="dxa" w:w="1700"/>
            <w:shd w:val="clear" w:color="auto" w:fill="F2F5FB"/>
          </w:tcPr>
          <w:p>
            <w:pPr>
              <w:jc w:val="center"/>
            </w:pPr>
            <w:r>
              <w:rPr>
                <w:rFonts w:ascii="Calibri" w:hAnsi="Calibri"/>
                <w:b w:val="0"/>
                <w:i w:val="0"/>
                <w:color w:val="1E7D32"/>
                <w:sz w:val="16"/>
              </w:rPr>
              <w:t>$1.0534  (+33%)</w:t>
            </w:r>
          </w:p>
        </w:tc>
        <w:tc>
          <w:tcPr>
            <w:tcW w:type="dxa" w:w="1600"/>
            <w:shd w:val="clear" w:color="auto" w:fill="F2F5FB"/>
          </w:tcPr>
          <w:p>
            <w:pPr>
              <w:jc w:val="center"/>
            </w:pPr>
            <w:r>
              <w:rPr>
                <w:rFonts w:ascii="Calibri" w:hAnsi="Calibri"/>
                <w:b w:val="0"/>
                <w:i w:val="0"/>
                <w:color w:val="C62828"/>
                <w:sz w:val="16"/>
              </w:rPr>
              <w:t>$0.657649  (-17%)</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1.9</w:t>
            </w:r>
          </w:p>
        </w:tc>
      </w:tr>
      <w:tr>
        <w:tc>
          <w:tcPr>
            <w:tcW w:type="dxa" w:w="1150"/>
          </w:tcPr>
          <w:p>
            <w:pPr>
              <w:jc w:val="left"/>
            </w:pPr>
            <w:r>
              <w:rPr>
                <w:rFonts w:ascii="Calibri" w:hAnsi="Calibri"/>
                <w:b/>
                <w:i w:val="0"/>
                <w:sz w:val="16"/>
              </w:rPr>
              <w:t>STABLE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$0.026864</w:t>
            </w:r>
          </w:p>
        </w:tc>
        <w:tc>
          <w:tcPr>
            <w:tcW w:type="dxa" w:w="1700"/>
          </w:tcPr>
          <w:p>
            <w:pPr>
              <w:jc w:val="center"/>
            </w:pPr>
            <w:r>
              <w:rPr>
                <w:rFonts w:ascii="Calibri" w:hAnsi="Calibri"/>
                <w:b w:val="0"/>
                <w:i w:val="0"/>
                <w:color w:val="1E7D32"/>
                <w:sz w:val="16"/>
              </w:rPr>
              <w:t>$0.036665  (+36%)</w:t>
            </w:r>
          </w:p>
        </w:tc>
        <w:tc>
          <w:tcPr>
            <w:tcW w:type="dxa" w:w="1600"/>
          </w:tcPr>
          <w:p>
            <w:pPr>
              <w:jc w:val="center"/>
            </w:pPr>
            <w:r>
              <w:rPr>
                <w:rFonts w:ascii="Calibri" w:hAnsi="Calibri"/>
                <w:b w:val="0"/>
                <w:i w:val="0"/>
                <w:color w:val="C62828"/>
                <w:sz w:val="16"/>
              </w:rPr>
              <w:t>$0.021833  (-19%)</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CAKE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$2.2576</w:t>
            </w:r>
          </w:p>
        </w:tc>
        <w:tc>
          <w:tcPr>
            <w:tcW w:type="dxa" w:w="1700"/>
            <w:shd w:val="clear" w:color="auto" w:fill="F2F5FB"/>
          </w:tcPr>
          <w:p>
            <w:pPr>
              <w:jc w:val="center"/>
            </w:pPr>
            <w:r>
              <w:rPr>
                <w:rFonts w:ascii="Calibri" w:hAnsi="Calibri"/>
                <w:b w:val="0"/>
                <w:i w:val="0"/>
                <w:color w:val="1E7D32"/>
                <w:sz w:val="16"/>
              </w:rPr>
              <w:t>$2.8547  (+26%)</w:t>
            </w:r>
          </w:p>
        </w:tc>
        <w:tc>
          <w:tcPr>
            <w:tcW w:type="dxa" w:w="1600"/>
            <w:shd w:val="clear" w:color="auto" w:fill="F2F5FB"/>
          </w:tcPr>
          <w:p>
            <w:pPr>
              <w:jc w:val="center"/>
            </w:pPr>
            <w:r>
              <w:rPr>
                <w:rFonts w:ascii="Calibri" w:hAnsi="Calibri"/>
                <w:b w:val="0"/>
                <w:i w:val="0"/>
                <w:color w:val="C62828"/>
                <w:sz w:val="16"/>
              </w:rPr>
              <w:t>$1.9307  (-14%)</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GHO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$0.998122</w:t>
            </w:r>
          </w:p>
        </w:tc>
        <w:tc>
          <w:tcPr>
            <w:tcW w:type="dxa" w:w="1700"/>
          </w:tcPr>
          <w:p>
            <w:pPr>
              <w:jc w:val="center"/>
            </w:pPr>
            <w:r>
              <w:rPr>
                <w:rFonts w:ascii="Calibri" w:hAnsi="Calibri"/>
                <w:b w:val="0"/>
                <w:i w:val="0"/>
                <w:color w:val="1E7D32"/>
                <w:sz w:val="16"/>
              </w:rPr>
              <w:t>$1.0007  (+0%)</w:t>
            </w:r>
          </w:p>
        </w:tc>
        <w:tc>
          <w:tcPr>
            <w:tcW w:type="dxa" w:w="1600"/>
          </w:tcPr>
          <w:p>
            <w:pPr>
              <w:jc w:val="center"/>
            </w:pPr>
            <w:r>
              <w:rPr>
                <w:rFonts w:ascii="Calibri" w:hAnsi="Calibri"/>
                <w:b w:val="0"/>
                <w:i w:val="0"/>
                <w:color w:val="C62828"/>
                <w:sz w:val="16"/>
              </w:rPr>
              <w:t>$0.996382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BDX</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$0.089041</w:t>
            </w:r>
          </w:p>
        </w:tc>
        <w:tc>
          <w:tcPr>
            <w:tcW w:type="dxa" w:w="1700"/>
            <w:shd w:val="clear" w:color="auto" w:fill="F2F5FB"/>
          </w:tcPr>
          <w:p>
            <w:pPr>
              <w:jc w:val="center"/>
            </w:pPr>
            <w:r>
              <w:rPr>
                <w:rFonts w:ascii="Calibri" w:hAnsi="Calibri"/>
                <w:b w:val="0"/>
                <w:i w:val="0"/>
                <w:color w:val="1E7D32"/>
                <w:sz w:val="16"/>
              </w:rPr>
              <w:t>$0.130159  (+46%)</w:t>
            </w:r>
          </w:p>
        </w:tc>
        <w:tc>
          <w:tcPr>
            <w:tcW w:type="dxa" w:w="1600"/>
            <w:shd w:val="clear" w:color="auto" w:fill="F2F5FB"/>
          </w:tcPr>
          <w:p>
            <w:pPr>
              <w:jc w:val="center"/>
            </w:pPr>
            <w:r>
              <w:rPr>
                <w:rFonts w:ascii="Calibri" w:hAnsi="Calibri"/>
                <w:b w:val="0"/>
                <w:i w:val="0"/>
                <w:color w:val="C62828"/>
                <w:sz w:val="16"/>
              </w:rPr>
              <w:t>$0.069130  (-22%)</w:t>
            </w:r>
          </w:p>
        </w:tc>
        <w:tc>
          <w:tcPr>
            <w:tcW w:type="dxa" w:w="900"/>
            <w:shd w:val="clear" w:color="auto" w:fill="F2F5FB"/>
          </w:tcPr>
          <w:p>
            <w:pPr>
              <w:jc w:val="center"/>
            </w:pPr>
            <w:r>
              <w:rPr>
                <w:rFonts w:ascii="Calibri" w:hAnsi="Calibri"/>
                <w:b w:val="0"/>
                <w:i w:val="0"/>
                <w:sz w:val="16"/>
              </w:rPr>
              <w:t>33</w:t>
            </w:r>
          </w:p>
        </w:tc>
        <w:tc>
          <w:tcPr>
            <w:tcW w:type="dxa" w:w="900"/>
            <w:shd w:val="clear" w:color="auto" w:fill="F2F5FB"/>
          </w:tcPr>
          <w:p>
            <w:pPr>
              <w:jc w:val="center"/>
            </w:pPr>
            <w:r>
              <w:rPr>
                <w:rFonts w:ascii="Calibri" w:hAnsi="Calibri"/>
                <w:b w:val="0"/>
                <w:i w:val="0"/>
                <w:sz w:val="16"/>
              </w:rPr>
              <w:t>2.07</w:t>
            </w:r>
          </w:p>
        </w:tc>
      </w:tr>
      <w:tr>
        <w:tc>
          <w:tcPr>
            <w:tcW w:type="dxa" w:w="1150"/>
          </w:tcPr>
          <w:p>
            <w:pPr>
              <w:jc w:val="left"/>
            </w:pPr>
            <w:r>
              <w:rPr>
                <w:rFonts w:ascii="Calibri" w:hAnsi="Calibri"/>
                <w:b/>
                <w:i w:val="0"/>
                <w:sz w:val="16"/>
              </w:rPr>
              <w:t>XDC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$0.033790</w:t>
            </w:r>
          </w:p>
        </w:tc>
        <w:tc>
          <w:tcPr>
            <w:tcW w:type="dxa" w:w="1700"/>
          </w:tcPr>
          <w:p>
            <w:pPr>
              <w:jc w:val="center"/>
            </w:pPr>
            <w:r>
              <w:rPr>
                <w:rFonts w:ascii="Calibri" w:hAnsi="Calibri"/>
                <w:b w:val="0"/>
                <w:i w:val="0"/>
                <w:color w:val="1E7D32"/>
                <w:sz w:val="16"/>
              </w:rPr>
              <w:t>$0.041840  (+24%)</w:t>
            </w:r>
          </w:p>
        </w:tc>
        <w:tc>
          <w:tcPr>
            <w:tcW w:type="dxa" w:w="1600"/>
          </w:tcPr>
          <w:p>
            <w:pPr>
              <w:jc w:val="center"/>
            </w:pPr>
            <w:r>
              <w:rPr>
                <w:rFonts w:ascii="Calibri" w:hAnsi="Calibri"/>
                <w:b w:val="0"/>
                <w:i w:val="0"/>
                <w:color w:val="C62828"/>
                <w:sz w:val="16"/>
              </w:rPr>
              <w:t>$0.029303  (-13%)</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1.79</w:t>
            </w:r>
          </w:p>
        </w:tc>
      </w:tr>
      <w:tr>
        <w:tc>
          <w:tcPr>
            <w:tcW w:type="dxa" w:w="1150"/>
            <w:shd w:val="clear" w:color="auto" w:fill="F2F5FB"/>
          </w:tcPr>
          <w:p>
            <w:pPr>
              <w:jc w:val="left"/>
            </w:pPr>
            <w:r>
              <w:rPr>
                <w:rFonts w:ascii="Calibri" w:hAnsi="Calibri"/>
                <w:b/>
                <w:i w:val="0"/>
                <w:sz w:val="16"/>
              </w:rPr>
              <w:t>ETHFI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$0.678779</w:t>
            </w:r>
          </w:p>
        </w:tc>
        <w:tc>
          <w:tcPr>
            <w:tcW w:type="dxa" w:w="1700"/>
            <w:shd w:val="clear" w:color="auto" w:fill="F2F5FB"/>
          </w:tcPr>
          <w:p>
            <w:pPr>
              <w:jc w:val="center"/>
            </w:pPr>
            <w:r>
              <w:rPr>
                <w:rFonts w:ascii="Calibri" w:hAnsi="Calibri"/>
                <w:b w:val="0"/>
                <w:i w:val="0"/>
                <w:color w:val="1E7D32"/>
                <w:sz w:val="16"/>
              </w:rPr>
              <w:t>$0.926357  (+36%)</w:t>
            </w:r>
          </w:p>
        </w:tc>
        <w:tc>
          <w:tcPr>
            <w:tcW w:type="dxa" w:w="1600"/>
            <w:shd w:val="clear" w:color="auto" w:fill="F2F5FB"/>
          </w:tcPr>
          <w:p>
            <w:pPr>
              <w:jc w:val="center"/>
            </w:pPr>
            <w:r>
              <w:rPr>
                <w:rFonts w:ascii="Calibri" w:hAnsi="Calibri"/>
                <w:b w:val="0"/>
                <w:i w:val="0"/>
                <w:color w:val="C62828"/>
                <w:sz w:val="16"/>
              </w:rPr>
              <w:t>$0.551689  (-19%)</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STRK</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$0.085145</w:t>
            </w:r>
          </w:p>
        </w:tc>
        <w:tc>
          <w:tcPr>
            <w:tcW w:type="dxa" w:w="1700"/>
          </w:tcPr>
          <w:p>
            <w:pPr>
              <w:jc w:val="center"/>
            </w:pPr>
            <w:r>
              <w:rPr>
                <w:rFonts w:ascii="Calibri" w:hAnsi="Calibri"/>
                <w:b w:val="0"/>
                <w:i w:val="0"/>
                <w:color w:val="1E7D32"/>
                <w:sz w:val="16"/>
              </w:rPr>
              <w:t>$0.125021  (+47%)</w:t>
            </w:r>
          </w:p>
        </w:tc>
        <w:tc>
          <w:tcPr>
            <w:tcW w:type="dxa" w:w="1600"/>
          </w:tcPr>
          <w:p>
            <w:pPr>
              <w:jc w:val="center"/>
            </w:pPr>
            <w:r>
              <w:rPr>
                <w:rFonts w:ascii="Calibri" w:hAnsi="Calibri"/>
                <w:b w:val="0"/>
                <w:i w:val="0"/>
                <w:color w:val="C62828"/>
                <w:sz w:val="16"/>
              </w:rPr>
              <w:t>$0.065909  (-23%)</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2.07</w:t>
            </w:r>
          </w:p>
        </w:tc>
      </w:tr>
      <w:tr>
        <w:tc>
          <w:tcPr>
            <w:tcW w:type="dxa" w:w="1150"/>
            <w:shd w:val="clear" w:color="auto" w:fill="F2F5FB"/>
          </w:tcPr>
          <w:p>
            <w:pPr>
              <w:jc w:val="left"/>
            </w:pPr>
            <w:r>
              <w:rPr>
                <w:rFonts w:ascii="Calibri" w:hAnsi="Calibri"/>
                <w:b/>
                <w:i w:val="0"/>
                <w:sz w:val="16"/>
              </w:rPr>
              <w:t>PYTH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$0.081481</w:t>
            </w:r>
          </w:p>
        </w:tc>
        <w:tc>
          <w:tcPr>
            <w:tcW w:type="dxa" w:w="1700"/>
            <w:shd w:val="clear" w:color="auto" w:fill="F2F5FB"/>
          </w:tcPr>
          <w:p>
            <w:pPr>
              <w:jc w:val="center"/>
            </w:pPr>
            <w:r>
              <w:rPr>
                <w:rFonts w:ascii="Calibri" w:hAnsi="Calibri"/>
                <w:b w:val="0"/>
                <w:i w:val="0"/>
                <w:color w:val="1E7D32"/>
                <w:sz w:val="16"/>
              </w:rPr>
              <w:t>$0.109755  (+35%)</w:t>
            </w:r>
          </w:p>
        </w:tc>
        <w:tc>
          <w:tcPr>
            <w:tcW w:type="dxa" w:w="1600"/>
            <w:shd w:val="clear" w:color="auto" w:fill="F2F5FB"/>
          </w:tcPr>
          <w:p>
            <w:pPr>
              <w:jc w:val="center"/>
            </w:pPr>
            <w:r>
              <w:rPr>
                <w:rFonts w:ascii="Calibri" w:hAnsi="Calibri"/>
                <w:b w:val="0"/>
                <w:i w:val="0"/>
                <w:color w:val="C62828"/>
                <w:sz w:val="16"/>
              </w:rPr>
              <w:t>$0.066805  (-18%)</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EUTBL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$1.1838</w:t>
            </w:r>
          </w:p>
        </w:tc>
        <w:tc>
          <w:tcPr>
            <w:tcW w:type="dxa" w:w="1700"/>
          </w:tcPr>
          <w:p>
            <w:pPr>
              <w:jc w:val="center"/>
            </w:pPr>
            <w:r>
              <w:rPr>
                <w:rFonts w:ascii="Calibri" w:hAnsi="Calibri"/>
                <w:b w:val="0"/>
                <w:i w:val="0"/>
                <w:color w:val="1E7D32"/>
                <w:sz w:val="16"/>
              </w:rPr>
              <w:t>$1.2145  (+3%)</w:t>
            </w:r>
          </w:p>
        </w:tc>
        <w:tc>
          <w:tcPr>
            <w:tcW w:type="dxa" w:w="1600"/>
          </w:tcPr>
          <w:p>
            <w:pPr>
              <w:jc w:val="center"/>
            </w:pPr>
            <w:r>
              <w:rPr>
                <w:rFonts w:ascii="Calibri" w:hAnsi="Calibri"/>
                <w:b w:val="0"/>
                <w:i w:val="0"/>
                <w:color w:val="C62828"/>
                <w:sz w:val="16"/>
              </w:rPr>
              <w:t>$1.1638  (-2%)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1.53</w:t>
            </w:r>
          </w:p>
        </w:tc>
      </w:tr>
      <w:tr>
        <w:tc>
          <w:tcPr>
            <w:tcW w:type="dxa" w:w="1150"/>
            <w:shd w:val="clear" w:color="auto" w:fill="F2F5FB"/>
          </w:tcPr>
          <w:p>
            <w:pPr>
              <w:jc w:val="left"/>
            </w:pPr>
            <w:r>
              <w:rPr>
                <w:rFonts w:ascii="Calibri" w:hAnsi="Calibri"/>
                <w:b/>
                <w:i w:val="0"/>
                <w:sz w:val="16"/>
              </w:rPr>
              <w:t>DASH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$49.0812</w:t>
            </w:r>
          </w:p>
        </w:tc>
        <w:tc>
          <w:tcPr>
            <w:tcW w:type="dxa" w:w="1700"/>
            <w:shd w:val="clear" w:color="auto" w:fill="F2F5FB"/>
          </w:tcPr>
          <w:p>
            <w:pPr>
              <w:jc w:val="center"/>
            </w:pPr>
            <w:r>
              <w:rPr>
                <w:rFonts w:ascii="Calibri" w:hAnsi="Calibri"/>
                <w:b w:val="0"/>
                <w:i w:val="0"/>
                <w:color w:val="1E7D32"/>
                <w:sz w:val="16"/>
              </w:rPr>
              <w:t>$67.6609  (+38%)</w:t>
            </w:r>
          </w:p>
        </w:tc>
        <w:tc>
          <w:tcPr>
            <w:tcW w:type="dxa" w:w="1600"/>
            <w:shd w:val="clear" w:color="auto" w:fill="F2F5FB"/>
          </w:tcPr>
          <w:p>
            <w:pPr>
              <w:jc w:val="center"/>
            </w:pPr>
            <w:r>
              <w:rPr>
                <w:rFonts w:ascii="Calibri" w:hAnsi="Calibri"/>
                <w:b w:val="0"/>
                <w:i w:val="0"/>
                <w:color w:val="C62828"/>
                <w:sz w:val="16"/>
              </w:rPr>
              <w:t>$39.6248  (-19%)</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VET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$0.007291</w:t>
            </w:r>
          </w:p>
        </w:tc>
        <w:tc>
          <w:tcPr>
            <w:tcW w:type="dxa" w:w="1700"/>
          </w:tcPr>
          <w:p>
            <w:pPr>
              <w:jc w:val="center"/>
            </w:pPr>
            <w:r>
              <w:rPr>
                <w:rFonts w:ascii="Calibri" w:hAnsi="Calibri"/>
                <w:b w:val="0"/>
                <w:i w:val="0"/>
                <w:color w:val="1E7D32"/>
                <w:sz w:val="16"/>
              </w:rPr>
              <w:t>$0.009220  (+26%)</w:t>
            </w:r>
          </w:p>
        </w:tc>
        <w:tc>
          <w:tcPr>
            <w:tcW w:type="dxa" w:w="1600"/>
          </w:tcPr>
          <w:p>
            <w:pPr>
              <w:jc w:val="center"/>
            </w:pPr>
            <w:r>
              <w:rPr>
                <w:rFonts w:ascii="Calibri" w:hAnsi="Calibri"/>
                <w:b w:val="0"/>
                <w:i w:val="0"/>
                <w:color w:val="C62828"/>
                <w:sz w:val="16"/>
              </w:rPr>
              <w:t>$0.006235  (-14%)</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FLR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$0.006851</w:t>
            </w:r>
          </w:p>
        </w:tc>
        <w:tc>
          <w:tcPr>
            <w:tcW w:type="dxa" w:w="1700"/>
            <w:shd w:val="clear" w:color="auto" w:fill="F2F5FB"/>
          </w:tcPr>
          <w:p>
            <w:pPr>
              <w:jc w:val="center"/>
            </w:pPr>
            <w:r>
              <w:rPr>
                <w:rFonts w:ascii="Calibri" w:hAnsi="Calibri"/>
                <w:b w:val="0"/>
                <w:i w:val="0"/>
                <w:color w:val="1E7D32"/>
                <w:sz w:val="16"/>
              </w:rPr>
              <w:t>$0.007838  (+14%)</w:t>
            </w:r>
          </w:p>
        </w:tc>
        <w:tc>
          <w:tcPr>
            <w:tcW w:type="dxa" w:w="1600"/>
            <w:shd w:val="clear" w:color="auto" w:fill="F2F5FB"/>
          </w:tcPr>
          <w:p>
            <w:pPr>
              <w:jc w:val="center"/>
            </w:pPr>
            <w:r>
              <w:rPr>
                <w:rFonts w:ascii="Calibri" w:hAnsi="Calibri"/>
                <w:b w:val="0"/>
                <w:i w:val="0"/>
                <w:color w:val="C62828"/>
                <w:sz w:val="16"/>
              </w:rPr>
              <w:t>$0.006263  (-9%)</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TIA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$0.529712</w:t>
            </w:r>
          </w:p>
        </w:tc>
        <w:tc>
          <w:tcPr>
            <w:tcW w:type="dxa" w:w="1700"/>
          </w:tcPr>
          <w:p>
            <w:pPr>
              <w:jc w:val="center"/>
            </w:pPr>
            <w:r>
              <w:rPr>
                <w:rFonts w:ascii="Calibri" w:hAnsi="Calibri"/>
                <w:b w:val="0"/>
                <w:i w:val="0"/>
                <w:color w:val="1E7D32"/>
                <w:sz w:val="16"/>
              </w:rPr>
              <w:t>$0.744380  (+41%)</w:t>
            </w:r>
          </w:p>
        </w:tc>
        <w:tc>
          <w:tcPr>
            <w:tcW w:type="dxa" w:w="1600"/>
          </w:tcPr>
          <w:p>
            <w:pPr>
              <w:jc w:val="center"/>
            </w:pPr>
            <w:r>
              <w:rPr>
                <w:rFonts w:ascii="Calibri" w:hAnsi="Calibri"/>
                <w:b w:val="0"/>
                <w:i w:val="0"/>
                <w:color w:val="C62828"/>
                <w:sz w:val="16"/>
              </w:rPr>
              <w:t>$0.422218  (-20%)</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JAAA</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$1.0519</w:t>
            </w:r>
          </w:p>
        </w:tc>
        <w:tc>
          <w:tcPr>
            <w:tcW w:type="dxa" w:w="1700"/>
            <w:shd w:val="clear" w:color="auto" w:fill="F2F5FB"/>
          </w:tcPr>
          <w:p>
            <w:pPr>
              <w:jc w:val="center"/>
            </w:pPr>
            <w:r>
              <w:rPr>
                <w:rFonts w:ascii="Calibri" w:hAnsi="Calibri"/>
                <w:b w:val="0"/>
                <w:i w:val="0"/>
                <w:color w:val="1E7D32"/>
                <w:sz w:val="16"/>
              </w:rPr>
              <w:t>$1.0548  (+0%)</w:t>
            </w:r>
          </w:p>
        </w:tc>
        <w:tc>
          <w:tcPr>
            <w:tcW w:type="dxa" w:w="1600"/>
            <w:shd w:val="clear" w:color="auto" w:fill="F2F5FB"/>
          </w:tcPr>
          <w:p>
            <w:pPr>
              <w:jc w:val="center"/>
            </w:pPr>
            <w:r>
              <w:rPr>
                <w:rFonts w:ascii="Calibri" w:hAnsi="Calibri"/>
                <w:b w:val="0"/>
                <w:i w:val="0"/>
                <w:color w:val="C62828"/>
                <w:sz w:val="16"/>
              </w:rPr>
              <w:t>$1.0500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PRL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$1.5316</w:t>
            </w:r>
          </w:p>
        </w:tc>
        <w:tc>
          <w:tcPr>
            <w:tcW w:type="dxa" w:w="1700"/>
          </w:tcPr>
          <w:p>
            <w:pPr>
              <w:jc w:val="center"/>
            </w:pPr>
            <w:r>
              <w:rPr>
                <w:rFonts w:ascii="Calibri" w:hAnsi="Calibri"/>
                <w:b w:val="0"/>
                <w:i w:val="0"/>
                <w:color w:val="1E7D32"/>
                <w:sz w:val="16"/>
              </w:rPr>
              <w:t>$2.5511  (+67%)</w:t>
            </w:r>
          </w:p>
        </w:tc>
        <w:tc>
          <w:tcPr>
            <w:tcW w:type="dxa" w:w="1600"/>
          </w:tcPr>
          <w:p>
            <w:pPr>
              <w:jc w:val="center"/>
            </w:pPr>
            <w:r>
              <w:rPr>
                <w:rFonts w:ascii="Calibri" w:hAnsi="Calibri"/>
                <w:b w:val="0"/>
                <w:i w:val="0"/>
                <w:color w:val="C62828"/>
                <w:sz w:val="16"/>
              </w:rPr>
              <w:t>$1.0899  (-29%)</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2.31</w:t>
            </w:r>
          </w:p>
        </w:tc>
      </w:tr>
      <w:tr>
        <w:tc>
          <w:tcPr>
            <w:tcW w:type="dxa" w:w="1150"/>
            <w:shd w:val="clear" w:color="auto" w:fill="F2F5FB"/>
          </w:tcPr>
          <w:p>
            <w:pPr>
              <w:jc w:val="left"/>
            </w:pPr>
            <w:r>
              <w:rPr>
                <w:rFonts w:ascii="Calibri" w:hAnsi="Calibri"/>
                <w:b/>
                <w:i w:val="0"/>
                <w:sz w:val="16"/>
              </w:rPr>
              <w:t>RAY</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$2.1346</w:t>
            </w:r>
          </w:p>
        </w:tc>
        <w:tc>
          <w:tcPr>
            <w:tcW w:type="dxa" w:w="1700"/>
            <w:shd w:val="clear" w:color="auto" w:fill="F2F5FB"/>
          </w:tcPr>
          <w:p>
            <w:pPr>
              <w:jc w:val="center"/>
            </w:pPr>
            <w:r>
              <w:rPr>
                <w:rFonts w:ascii="Calibri" w:hAnsi="Calibri"/>
                <w:b w:val="0"/>
                <w:i w:val="0"/>
                <w:color w:val="1E7D32"/>
                <w:sz w:val="16"/>
              </w:rPr>
              <w:t>$3.0443  (+43%)</w:t>
            </w:r>
          </w:p>
        </w:tc>
        <w:tc>
          <w:tcPr>
            <w:tcW w:type="dxa" w:w="1600"/>
            <w:shd w:val="clear" w:color="auto" w:fill="F2F5FB"/>
          </w:tcPr>
          <w:p>
            <w:pPr>
              <w:jc w:val="center"/>
            </w:pPr>
            <w:r>
              <w:rPr>
                <w:rFonts w:ascii="Calibri" w:hAnsi="Calibri"/>
                <w:b w:val="0"/>
                <w:i w:val="0"/>
                <w:color w:val="C62828"/>
                <w:sz w:val="16"/>
              </w:rPr>
              <w:t>$1.6847  (-21%)</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2.02</w:t>
            </w:r>
          </w:p>
        </w:tc>
      </w:tr>
      <w:tr>
        <w:tc>
          <w:tcPr>
            <w:tcW w:type="dxa" w:w="1150"/>
          </w:tcPr>
          <w:p>
            <w:pPr>
              <w:jc w:val="left"/>
            </w:pPr>
            <w:r>
              <w:rPr>
                <w:rFonts w:ascii="Calibri" w:hAnsi="Calibri"/>
                <w:b/>
                <w:i w:val="0"/>
                <w:sz w:val="16"/>
              </w:rPr>
              <w:t>BAT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$0.153653</w:t>
            </w:r>
          </w:p>
        </w:tc>
        <w:tc>
          <w:tcPr>
            <w:tcW w:type="dxa" w:w="1700"/>
          </w:tcPr>
          <w:p>
            <w:pPr>
              <w:jc w:val="center"/>
            </w:pPr>
            <w:r>
              <w:rPr>
                <w:rFonts w:ascii="Calibri" w:hAnsi="Calibri"/>
                <w:b w:val="0"/>
                <w:i w:val="0"/>
                <w:color w:val="1E7D32"/>
                <w:sz w:val="16"/>
              </w:rPr>
              <w:t>$0.209039  (+36%)</w:t>
            </w:r>
          </w:p>
        </w:tc>
        <w:tc>
          <w:tcPr>
            <w:tcW w:type="dxa" w:w="1600"/>
          </w:tcPr>
          <w:p>
            <w:pPr>
              <w:jc w:val="center"/>
            </w:pPr>
            <w:r>
              <w:rPr>
                <w:rFonts w:ascii="Calibri" w:hAnsi="Calibri"/>
                <w:b w:val="0"/>
                <w:i w:val="0"/>
                <w:color w:val="C62828"/>
                <w:sz w:val="16"/>
              </w:rPr>
              <w:t>$0.125147  (-19%)</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$0.056473</w:t>
            </w:r>
          </w:p>
        </w:tc>
        <w:tc>
          <w:tcPr>
            <w:tcW w:type="dxa" w:w="1700"/>
            <w:shd w:val="clear" w:color="auto" w:fill="F2F5FB"/>
          </w:tcPr>
          <w:p>
            <w:pPr>
              <w:jc w:val="center"/>
            </w:pPr>
            <w:r>
              <w:rPr>
                <w:rFonts w:ascii="Calibri" w:hAnsi="Calibri"/>
                <w:b w:val="0"/>
                <w:i w:val="0"/>
                <w:color w:val="1E7D32"/>
                <w:sz w:val="16"/>
              </w:rPr>
              <w:t>$0.076054  (+35%)</w:t>
            </w:r>
          </w:p>
        </w:tc>
        <w:tc>
          <w:tcPr>
            <w:tcW w:type="dxa" w:w="1600"/>
            <w:shd w:val="clear" w:color="auto" w:fill="F2F5FB"/>
          </w:tcPr>
          <w:p>
            <w:pPr>
              <w:jc w:val="center"/>
            </w:pPr>
            <w:r>
              <w:rPr>
                <w:rFonts w:ascii="Calibri" w:hAnsi="Calibri"/>
                <w:b w:val="0"/>
                <w:i w:val="0"/>
                <w:color w:val="C62828"/>
                <w:sz w:val="16"/>
              </w:rPr>
              <w:t>$0.046308  (-18%)</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Q</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$0.030034</w:t>
            </w:r>
          </w:p>
        </w:tc>
        <w:tc>
          <w:tcPr>
            <w:tcW w:type="dxa" w:w="1700"/>
          </w:tcPr>
          <w:p>
            <w:pPr>
              <w:jc w:val="center"/>
            </w:pPr>
            <w:r>
              <w:rPr>
                <w:rFonts w:ascii="Calibri" w:hAnsi="Calibri"/>
                <w:b w:val="0"/>
                <w:i w:val="0"/>
                <w:color w:val="1E7D32"/>
                <w:sz w:val="16"/>
              </w:rPr>
              <w:t>$0.045100  (+50%)</w:t>
            </w:r>
          </w:p>
        </w:tc>
        <w:tc>
          <w:tcPr>
            <w:tcW w:type="dxa" w:w="1600"/>
          </w:tcPr>
          <w:p>
            <w:pPr>
              <w:jc w:val="center"/>
            </w:pPr>
            <w:r>
              <w:rPr>
                <w:rFonts w:ascii="Calibri" w:hAnsi="Calibri"/>
                <w:b w:val="0"/>
                <w:i w:val="0"/>
                <w:color w:val="C62828"/>
                <w:sz w:val="16"/>
              </w:rPr>
              <w:t>$0.022904  (-24%)</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2.11</w:t>
            </w:r>
          </w:p>
        </w:tc>
      </w:tr>
      <w:tr>
        <w:tc>
          <w:tcPr>
            <w:tcW w:type="dxa" w:w="1150"/>
            <w:shd w:val="clear" w:color="auto" w:fill="F2F5FB"/>
          </w:tcPr>
          <w:p>
            <w:pPr>
              <w:jc w:val="left"/>
            </w:pPr>
            <w:r>
              <w:rPr>
                <w:rFonts w:ascii="Calibri" w:hAnsi="Calibri"/>
                <w:b/>
                <w:i w:val="0"/>
                <w:sz w:val="16"/>
              </w:rPr>
              <w:t>DRV</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$0.442531</w:t>
            </w:r>
          </w:p>
        </w:tc>
        <w:tc>
          <w:tcPr>
            <w:tcW w:type="dxa" w:w="1700"/>
            <w:shd w:val="clear" w:color="auto" w:fill="F2F5FB"/>
          </w:tcPr>
          <w:p>
            <w:pPr>
              <w:jc w:val="center"/>
            </w:pPr>
            <w:r>
              <w:rPr>
                <w:rFonts w:ascii="Calibri" w:hAnsi="Calibri"/>
                <w:b w:val="0"/>
                <w:i w:val="0"/>
                <w:color w:val="1E7D32"/>
                <w:sz w:val="16"/>
              </w:rPr>
              <w:t>$0.710298  (+61%)</w:t>
            </w:r>
          </w:p>
        </w:tc>
        <w:tc>
          <w:tcPr>
            <w:tcW w:type="dxa" w:w="1600"/>
            <w:shd w:val="clear" w:color="auto" w:fill="F2F5FB"/>
          </w:tcPr>
          <w:p>
            <w:pPr>
              <w:jc w:val="center"/>
            </w:pPr>
            <w:r>
              <w:rPr>
                <w:rFonts w:ascii="Calibri" w:hAnsi="Calibri"/>
                <w:b w:val="0"/>
                <w:i w:val="0"/>
                <w:color w:val="C62828"/>
                <w:sz w:val="16"/>
              </w:rPr>
              <w:t>$0.322809  (-27%)</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2.24</w:t>
            </w:r>
          </w:p>
        </w:tc>
      </w:tr>
      <w:tr>
        <w:tc>
          <w:tcPr>
            <w:tcW w:type="dxa" w:w="1150"/>
          </w:tcPr>
          <w:p>
            <w:pPr>
              <w:jc w:val="left"/>
            </w:pPr>
            <w:r>
              <w:rPr>
                <w:rFonts w:ascii="Calibri" w:hAnsi="Calibri"/>
                <w:b/>
                <w:i w:val="0"/>
                <w:sz w:val="16"/>
              </w:rPr>
              <w:t>CAP</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$0.096969</w:t>
            </w:r>
          </w:p>
        </w:tc>
        <w:tc>
          <w:tcPr>
            <w:tcW w:type="dxa" w:w="1700"/>
          </w:tcPr>
          <w:p>
            <w:pPr>
              <w:jc w:val="center"/>
            </w:pPr>
            <w:r>
              <w:rPr>
                <w:rFonts w:ascii="Calibri" w:hAnsi="Calibri"/>
                <w:b w:val="0"/>
                <w:i w:val="0"/>
                <w:color w:val="1E7D32"/>
                <w:sz w:val="16"/>
              </w:rPr>
              <w:t>$0.161300  (+66%)</w:t>
            </w:r>
          </w:p>
        </w:tc>
        <w:tc>
          <w:tcPr>
            <w:tcW w:type="dxa" w:w="1600"/>
          </w:tcPr>
          <w:p>
            <w:pPr>
              <w:jc w:val="center"/>
            </w:pPr>
            <w:r>
              <w:rPr>
                <w:rFonts w:ascii="Calibri" w:hAnsi="Calibri"/>
                <w:b w:val="0"/>
                <w:i w:val="0"/>
                <w:color w:val="C62828"/>
                <w:sz w:val="16"/>
              </w:rPr>
              <w:t>$0.069072  (-29%)</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2.31</w:t>
            </w:r>
          </w:p>
        </w:tc>
      </w:tr>
      <w:tr>
        <w:tc>
          <w:tcPr>
            <w:tcW w:type="dxa" w:w="1150"/>
            <w:shd w:val="clear" w:color="auto" w:fill="F2F5FB"/>
          </w:tcPr>
          <w:p>
            <w:pPr>
              <w:jc w:val="left"/>
            </w:pPr>
            <w:r>
              <w:rPr>
                <w:rFonts w:ascii="Calibri" w:hAnsi="Calibri"/>
                <w:b/>
                <w:i w:val="0"/>
                <w:sz w:val="16"/>
              </w:rPr>
              <w:t>W</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$0.018932</w:t>
            </w:r>
          </w:p>
        </w:tc>
        <w:tc>
          <w:tcPr>
            <w:tcW w:type="dxa" w:w="1700"/>
            <w:shd w:val="clear" w:color="auto" w:fill="F2F5FB"/>
          </w:tcPr>
          <w:p>
            <w:pPr>
              <w:jc w:val="center"/>
            </w:pPr>
            <w:r>
              <w:rPr>
                <w:rFonts w:ascii="Calibri" w:hAnsi="Calibri"/>
                <w:b w:val="0"/>
                <w:i w:val="0"/>
                <w:color w:val="1E7D32"/>
                <w:sz w:val="16"/>
              </w:rPr>
              <w:t>$0.025855  (+37%)</w:t>
            </w:r>
          </w:p>
        </w:tc>
        <w:tc>
          <w:tcPr>
            <w:tcW w:type="dxa" w:w="1600"/>
            <w:shd w:val="clear" w:color="auto" w:fill="F2F5FB"/>
          </w:tcPr>
          <w:p>
            <w:pPr>
              <w:jc w:val="center"/>
            </w:pPr>
            <w:r>
              <w:rPr>
                <w:rFonts w:ascii="Calibri" w:hAnsi="Calibri"/>
                <w:b w:val="0"/>
                <w:i w:val="0"/>
                <w:color w:val="C62828"/>
                <w:sz w:val="16"/>
              </w:rPr>
              <w:t>$0.015381  (-19%)</w:t>
            </w:r>
          </w:p>
        </w:tc>
        <w:tc>
          <w:tcPr>
            <w:tcW w:type="dxa" w:w="900"/>
            <w:shd w:val="clear" w:color="auto" w:fill="F2F5FB"/>
          </w:tcPr>
          <w:p>
            <w:pPr>
              <w:jc w:val="center"/>
            </w:pPr>
            <w:r>
              <w:rPr>
                <w:rFonts w:ascii="Calibri" w:hAnsi="Calibri"/>
                <w:b w:val="0"/>
                <w:i w:val="0"/>
                <w:sz w:val="16"/>
              </w:rPr>
              <w:t>16</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ANVL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$0.001129</w:t>
            </w:r>
          </w:p>
        </w:tc>
        <w:tc>
          <w:tcPr>
            <w:tcW w:type="dxa" w:w="1700"/>
          </w:tcPr>
          <w:p>
            <w:pPr>
              <w:jc w:val="center"/>
            </w:pPr>
            <w:r>
              <w:rPr>
                <w:rFonts w:ascii="Calibri" w:hAnsi="Calibri"/>
                <w:b w:val="0"/>
                <w:i w:val="0"/>
                <w:color w:val="1E7D32"/>
                <w:sz w:val="16"/>
              </w:rPr>
              <w:t>$0.001618  (+43%)</w:t>
            </w:r>
          </w:p>
        </w:tc>
        <w:tc>
          <w:tcPr>
            <w:tcW w:type="dxa" w:w="1600"/>
          </w:tcPr>
          <w:p>
            <w:pPr>
              <w:jc w:val="center"/>
            </w:pPr>
            <w:r>
              <w:rPr>
                <w:rFonts w:ascii="Calibri" w:hAnsi="Calibri"/>
                <w:b w:val="0"/>
                <w:i w:val="0"/>
                <w:color w:val="C62828"/>
                <w:sz w:val="16"/>
              </w:rPr>
              <w:t>$0.000888  (-21%)</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BP</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$1.0974</w:t>
            </w:r>
          </w:p>
        </w:tc>
        <w:tc>
          <w:tcPr>
            <w:tcW w:type="dxa" w:w="1700"/>
            <w:shd w:val="clear" w:color="auto" w:fill="F2F5FB"/>
          </w:tcPr>
          <w:p>
            <w:pPr>
              <w:jc w:val="center"/>
            </w:pPr>
            <w:r>
              <w:rPr>
                <w:rFonts w:ascii="Calibri" w:hAnsi="Calibri"/>
                <w:b w:val="0"/>
                <w:i w:val="0"/>
                <w:color w:val="1E7D32"/>
                <w:sz w:val="16"/>
              </w:rPr>
              <w:t>$1.7162  (+56%)</w:t>
            </w:r>
          </w:p>
        </w:tc>
        <w:tc>
          <w:tcPr>
            <w:tcW w:type="dxa" w:w="1600"/>
            <w:shd w:val="clear" w:color="auto" w:fill="F2F5FB"/>
          </w:tcPr>
          <w:p>
            <w:pPr>
              <w:jc w:val="center"/>
            </w:pPr>
            <w:r>
              <w:rPr>
                <w:rFonts w:ascii="Calibri" w:hAnsi="Calibri"/>
                <w:b w:val="0"/>
                <w:i w:val="0"/>
                <w:color w:val="C62828"/>
                <w:sz w:val="16"/>
              </w:rPr>
              <w:t>$0.814541  (-26%)</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2.19</w:t>
            </w:r>
          </w:p>
        </w:tc>
      </w:tr>
      <w:tr>
        <w:tc>
          <w:tcPr>
            <w:tcW w:type="dxa" w:w="1150"/>
          </w:tcPr>
          <w:p>
            <w:pPr>
              <w:jc w:val="left"/>
            </w:pPr>
            <w:r>
              <w:rPr>
                <w:rFonts w:ascii="Calibri" w:hAnsi="Calibri"/>
                <w:b/>
                <w:i w:val="0"/>
                <w:sz w:val="16"/>
              </w:rPr>
              <w:t>GRASS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$0.767283</w:t>
            </w:r>
          </w:p>
        </w:tc>
        <w:tc>
          <w:tcPr>
            <w:tcW w:type="dxa" w:w="1700"/>
          </w:tcPr>
          <w:p>
            <w:pPr>
              <w:jc w:val="center"/>
            </w:pPr>
            <w:r>
              <w:rPr>
                <w:rFonts w:ascii="Calibri" w:hAnsi="Calibri"/>
                <w:b w:val="0"/>
                <w:i w:val="0"/>
                <w:color w:val="1E7D32"/>
                <w:sz w:val="16"/>
              </w:rPr>
              <w:t>$1.1104  (+45%)</w:t>
            </w:r>
          </w:p>
        </w:tc>
        <w:tc>
          <w:tcPr>
            <w:tcW w:type="dxa" w:w="1600"/>
          </w:tcPr>
          <w:p>
            <w:pPr>
              <w:jc w:val="center"/>
            </w:pPr>
            <w:r>
              <w:rPr>
                <w:rFonts w:ascii="Calibri" w:hAnsi="Calibri"/>
                <w:b w:val="0"/>
                <w:i w:val="0"/>
                <w:color w:val="C62828"/>
                <w:sz w:val="16"/>
              </w:rPr>
              <w:t>$0.599721  (-22%)</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2.05</w:t>
            </w:r>
          </w:p>
        </w:tc>
      </w:tr>
      <w:tr>
        <w:tc>
          <w:tcPr>
            <w:tcW w:type="dxa" w:w="1150"/>
            <w:shd w:val="clear" w:color="auto" w:fill="F2F5FB"/>
          </w:tcPr>
          <w:p>
            <w:pPr>
              <w:jc w:val="left"/>
            </w:pPr>
            <w:r>
              <w:rPr>
                <w:rFonts w:ascii="Calibri" w:hAnsi="Calibri"/>
                <w:b/>
                <w:i w:val="0"/>
                <w:sz w:val="16"/>
              </w:rPr>
              <w:t>CARDS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$0.273739</w:t>
            </w:r>
          </w:p>
        </w:tc>
        <w:tc>
          <w:tcPr>
            <w:tcW w:type="dxa" w:w="1700"/>
            <w:shd w:val="clear" w:color="auto" w:fill="F2F5FB"/>
          </w:tcPr>
          <w:p>
            <w:pPr>
              <w:jc w:val="center"/>
            </w:pPr>
            <w:r>
              <w:rPr>
                <w:rFonts w:ascii="Calibri" w:hAnsi="Calibri"/>
                <w:b w:val="0"/>
                <w:i w:val="0"/>
                <w:color w:val="1E7D32"/>
                <w:sz w:val="16"/>
              </w:rPr>
              <w:t>$0.472835  (+73%)</w:t>
            </w:r>
          </w:p>
        </w:tc>
        <w:tc>
          <w:tcPr>
            <w:tcW w:type="dxa" w:w="1600"/>
            <w:shd w:val="clear" w:color="auto" w:fill="F2F5FB"/>
          </w:tcPr>
          <w:p>
            <w:pPr>
              <w:jc w:val="center"/>
            </w:pPr>
            <w:r>
              <w:rPr>
                <w:rFonts w:ascii="Calibri" w:hAnsi="Calibri"/>
                <w:b w:val="0"/>
                <w:i w:val="0"/>
                <w:color w:val="C62828"/>
                <w:sz w:val="16"/>
              </w:rPr>
              <w:t>$0.190147  (-31%)</w:t>
            </w:r>
          </w:p>
        </w:tc>
        <w:tc>
          <w:tcPr>
            <w:tcW w:type="dxa" w:w="900"/>
            <w:shd w:val="clear" w:color="auto" w:fill="F2F5FB"/>
          </w:tcPr>
          <w:p>
            <w:pPr>
              <w:jc w:val="center"/>
            </w:pPr>
            <w:r>
              <w:rPr>
                <w:rFonts w:ascii="Calibri" w:hAnsi="Calibri"/>
                <w:b w:val="0"/>
                <w:i w:val="0"/>
                <w:sz w:val="16"/>
              </w:rPr>
              <w:t>9</w:t>
            </w:r>
          </w:p>
        </w:tc>
        <w:tc>
          <w:tcPr>
            <w:tcW w:type="dxa" w:w="900"/>
            <w:shd w:val="clear" w:color="auto" w:fill="F2F5FB"/>
          </w:tcPr>
          <w:p>
            <w:pPr>
              <w:jc w:val="center"/>
            </w:pPr>
            <w:r>
              <w:rPr>
                <w:rFonts w:ascii="Calibri" w:hAnsi="Calibri"/>
                <w:b w:val="0"/>
                <w:i w:val="0"/>
                <w:sz w:val="16"/>
              </w:rPr>
              <w:t>2.38</w:t>
            </w:r>
          </w:p>
        </w:tc>
      </w:tr>
      <w:tr>
        <w:tc>
          <w:tcPr>
            <w:tcW w:type="dxa" w:w="1150"/>
          </w:tcPr>
          <w:p>
            <w:pPr>
              <w:jc w:val="left"/>
            </w:pPr>
            <w:r>
              <w:rPr>
                <w:rFonts w:ascii="Calibri" w:hAnsi="Calibri"/>
                <w:b/>
                <w:i w:val="0"/>
                <w:sz w:val="16"/>
              </w:rPr>
              <w:t>SHX</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$0.006559</w:t>
            </w:r>
          </w:p>
        </w:tc>
        <w:tc>
          <w:tcPr>
            <w:tcW w:type="dxa" w:w="1700"/>
          </w:tcPr>
          <w:p>
            <w:pPr>
              <w:jc w:val="center"/>
            </w:pPr>
            <w:r>
              <w:rPr>
                <w:rFonts w:ascii="Calibri" w:hAnsi="Calibri"/>
                <w:b w:val="0"/>
                <w:i w:val="0"/>
                <w:color w:val="1E7D32"/>
                <w:sz w:val="16"/>
              </w:rPr>
              <w:t>$0.008095  (+23%)</w:t>
            </w:r>
          </w:p>
        </w:tc>
        <w:tc>
          <w:tcPr>
            <w:tcW w:type="dxa" w:w="1600"/>
          </w:tcPr>
          <w:p>
            <w:pPr>
              <w:jc w:val="center"/>
            </w:pPr>
            <w:r>
              <w:rPr>
                <w:rFonts w:ascii="Calibri" w:hAnsi="Calibri"/>
                <w:b w:val="0"/>
                <w:i w:val="0"/>
                <w:color w:val="C62828"/>
                <w:sz w:val="16"/>
              </w:rPr>
              <w:t>$0.005700  (-13%)</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1.79</w:t>
            </w:r>
          </w:p>
        </w:tc>
      </w:tr>
      <w:tr>
        <w:tc>
          <w:tcPr>
            <w:tcW w:type="dxa" w:w="1150"/>
            <w:shd w:val="clear" w:color="auto" w:fill="F2F5FB"/>
          </w:tcPr>
          <w:p>
            <w:pPr>
              <w:jc w:val="left"/>
            </w:pPr>
            <w:r>
              <w:rPr>
                <w:rFonts w:ascii="Calibri" w:hAnsi="Calibri"/>
                <w:b/>
                <w:i w:val="0"/>
                <w:sz w:val="16"/>
              </w:rPr>
              <w:t>SHFL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$0.514076</w:t>
            </w:r>
          </w:p>
        </w:tc>
        <w:tc>
          <w:tcPr>
            <w:tcW w:type="dxa" w:w="1700"/>
            <w:shd w:val="clear" w:color="auto" w:fill="F2F5FB"/>
          </w:tcPr>
          <w:p>
            <w:pPr>
              <w:jc w:val="center"/>
            </w:pPr>
            <w:r>
              <w:rPr>
                <w:rFonts w:ascii="Calibri" w:hAnsi="Calibri"/>
                <w:b w:val="0"/>
                <w:i w:val="0"/>
                <w:color w:val="1E7D32"/>
                <w:sz w:val="16"/>
              </w:rPr>
              <w:t>$0.745540  (+45%)</w:t>
            </w:r>
          </w:p>
        </w:tc>
        <w:tc>
          <w:tcPr>
            <w:tcW w:type="dxa" w:w="1600"/>
            <w:shd w:val="clear" w:color="auto" w:fill="F2F5FB"/>
          </w:tcPr>
          <w:p>
            <w:pPr>
              <w:jc w:val="center"/>
            </w:pPr>
            <w:r>
              <w:rPr>
                <w:rFonts w:ascii="Calibri" w:hAnsi="Calibri"/>
                <w:b w:val="0"/>
                <w:i w:val="0"/>
                <w:color w:val="C62828"/>
                <w:sz w:val="16"/>
              </w:rPr>
              <w:t>$0.401234  (-22%)</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2.05</w:t>
            </w:r>
          </w:p>
        </w:tc>
      </w:tr>
      <w:tr>
        <w:tc>
          <w:tcPr>
            <w:tcW w:type="dxa" w:w="1150"/>
          </w:tcPr>
          <w:p>
            <w:pPr>
              <w:jc w:val="left"/>
            </w:pPr>
            <w:r>
              <w:rPr>
                <w:rFonts w:ascii="Calibri" w:hAnsi="Calibri"/>
                <w:b/>
                <w:i w:val="0"/>
                <w:sz w:val="16"/>
              </w:rPr>
              <w:t>FLUID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$2.1810</w:t>
            </w:r>
          </w:p>
        </w:tc>
        <w:tc>
          <w:tcPr>
            <w:tcW w:type="dxa" w:w="1700"/>
          </w:tcPr>
          <w:p>
            <w:pPr>
              <w:jc w:val="center"/>
            </w:pPr>
            <w:r>
              <w:rPr>
                <w:rFonts w:ascii="Calibri" w:hAnsi="Calibri"/>
                <w:b w:val="0"/>
                <w:i w:val="0"/>
                <w:color w:val="1E7D32"/>
                <w:sz w:val="16"/>
              </w:rPr>
              <w:t>$3.0486  (+40%)</w:t>
            </w:r>
          </w:p>
        </w:tc>
        <w:tc>
          <w:tcPr>
            <w:tcW w:type="dxa" w:w="1600"/>
          </w:tcPr>
          <w:p>
            <w:pPr>
              <w:jc w:val="center"/>
            </w:pPr>
            <w:r>
              <w:rPr>
                <w:rFonts w:ascii="Calibri" w:hAnsi="Calibri"/>
                <w:b w:val="0"/>
                <w:i w:val="0"/>
                <w:color w:val="C62828"/>
                <w:sz w:val="16"/>
              </w:rPr>
              <w:t>$1.7446  (-20%)</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1.99</w:t>
            </w:r>
          </w:p>
        </w:tc>
      </w:tr>
      <w:tr>
        <w:tc>
          <w:tcPr>
            <w:tcW w:type="dxa" w:w="1150"/>
            <w:shd w:val="clear" w:color="auto" w:fill="F2F5FB"/>
          </w:tcPr>
          <w:p>
            <w:pPr>
              <w:jc w:val="left"/>
            </w:pPr>
            <w:r>
              <w:rPr>
                <w:rFonts w:ascii="Calibri" w:hAnsi="Calibri"/>
                <w:b/>
                <w:i w:val="0"/>
                <w:sz w:val="16"/>
              </w:rPr>
              <w:t>MINA</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$0.076901</w:t>
            </w:r>
          </w:p>
        </w:tc>
        <w:tc>
          <w:tcPr>
            <w:tcW w:type="dxa" w:w="1700"/>
            <w:shd w:val="clear" w:color="auto" w:fill="F2F5FB"/>
          </w:tcPr>
          <w:p>
            <w:pPr>
              <w:jc w:val="center"/>
            </w:pPr>
            <w:r>
              <w:rPr>
                <w:rFonts w:ascii="Calibri" w:hAnsi="Calibri"/>
                <w:b w:val="0"/>
                <w:i w:val="0"/>
                <w:color w:val="1E7D32"/>
                <w:sz w:val="16"/>
              </w:rPr>
              <w:t>$0.102335  (+33%)</w:t>
            </w:r>
          </w:p>
        </w:tc>
        <w:tc>
          <w:tcPr>
            <w:tcW w:type="dxa" w:w="1600"/>
            <w:shd w:val="clear" w:color="auto" w:fill="F2F5FB"/>
          </w:tcPr>
          <w:p>
            <w:pPr>
              <w:jc w:val="center"/>
            </w:pPr>
            <w:r>
              <w:rPr>
                <w:rFonts w:ascii="Calibri" w:hAnsi="Calibri"/>
                <w:b w:val="0"/>
                <w:i w:val="0"/>
                <w:color w:val="C62828"/>
                <w:sz w:val="16"/>
              </w:rPr>
              <w:t>$0.063562  (-17%)</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1.91</w:t>
            </w:r>
          </w:p>
        </w:tc>
      </w:tr>
      <w:tr>
        <w:tc>
          <w:tcPr>
            <w:tcW w:type="dxa" w:w="1150"/>
          </w:tcPr>
          <w:p>
            <w:pPr>
              <w:jc w:val="left"/>
            </w:pPr>
            <w:r>
              <w:rPr>
                <w:rFonts w:ascii="Calibri" w:hAnsi="Calibri"/>
                <w:b/>
                <w:i w:val="0"/>
                <w:sz w:val="16"/>
              </w:rPr>
              <w:t>ORCA</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$2.0777</w:t>
            </w:r>
          </w:p>
        </w:tc>
        <w:tc>
          <w:tcPr>
            <w:tcW w:type="dxa" w:w="1700"/>
          </w:tcPr>
          <w:p>
            <w:pPr>
              <w:jc w:val="center"/>
            </w:pPr>
            <w:r>
              <w:rPr>
                <w:rFonts w:ascii="Calibri" w:hAnsi="Calibri"/>
                <w:b w:val="0"/>
                <w:i w:val="0"/>
                <w:color w:val="1E7D32"/>
                <w:sz w:val="16"/>
              </w:rPr>
              <w:t>$2.8868  (+39%)</w:t>
            </w:r>
          </w:p>
        </w:tc>
        <w:tc>
          <w:tcPr>
            <w:tcW w:type="dxa" w:w="1600"/>
          </w:tcPr>
          <w:p>
            <w:pPr>
              <w:jc w:val="center"/>
            </w:pPr>
            <w:r>
              <w:rPr>
                <w:rFonts w:ascii="Calibri" w:hAnsi="Calibri"/>
                <w:b w:val="0"/>
                <w:i w:val="0"/>
                <w:color w:val="C62828"/>
                <w:sz w:val="16"/>
              </w:rPr>
              <w:t>$1.6686  (-20%)</w:t>
            </w:r>
          </w:p>
        </w:tc>
        <w:tc>
          <w:tcPr>
            <w:tcW w:type="dxa" w:w="900"/>
          </w:tcPr>
          <w:p>
            <w:pPr>
              <w:jc w:val="center"/>
            </w:pPr>
            <w:r>
              <w:rPr>
                <w:rFonts w:ascii="Calibri" w:hAnsi="Calibri"/>
                <w:b w:val="0"/>
                <w:i w:val="0"/>
                <w:sz w:val="16"/>
              </w:rPr>
              <w:t>14</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CASHCAT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$0.105384</w:t>
            </w:r>
          </w:p>
        </w:tc>
        <w:tc>
          <w:tcPr>
            <w:tcW w:type="dxa" w:w="1700"/>
            <w:shd w:val="clear" w:color="auto" w:fill="F2F5FB"/>
          </w:tcPr>
          <w:p>
            <w:pPr>
              <w:jc w:val="center"/>
            </w:pPr>
            <w:r>
              <w:rPr>
                <w:rFonts w:ascii="Calibri" w:hAnsi="Calibri"/>
                <w:b w:val="0"/>
                <w:i w:val="0"/>
                <w:color w:val="1E7D32"/>
                <w:sz w:val="16"/>
              </w:rPr>
              <w:t>$0.306255  (+191%)</w:t>
            </w:r>
          </w:p>
        </w:tc>
        <w:tc>
          <w:tcPr>
            <w:tcW w:type="dxa" w:w="1600"/>
            <w:shd w:val="clear" w:color="auto" w:fill="F2F5FB"/>
          </w:tcPr>
          <w:p>
            <w:pPr>
              <w:jc w:val="center"/>
            </w:pPr>
            <w:r>
              <w:rPr>
                <w:rFonts w:ascii="Calibri" w:hAnsi="Calibri"/>
                <w:b w:val="0"/>
                <w:i w:val="0"/>
                <w:color w:val="C62828"/>
                <w:sz w:val="16"/>
              </w:rPr>
              <w:t>$0.051749  (-51%)</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3.75</w:t>
            </w:r>
          </w:p>
        </w:tc>
      </w:tr>
      <w:tr>
        <w:tc>
          <w:tcPr>
            <w:tcW w:type="dxa" w:w="1150"/>
          </w:tcPr>
          <w:p>
            <w:pPr>
              <w:jc w:val="left"/>
            </w:pPr>
            <w:r>
              <w:rPr>
                <w:rFonts w:ascii="Calibri" w:hAnsi="Calibri"/>
                <w:b/>
                <w:i w:val="0"/>
                <w:sz w:val="16"/>
              </w:rPr>
              <w:t>MET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$0.383989</w:t>
            </w:r>
          </w:p>
        </w:tc>
        <w:tc>
          <w:tcPr>
            <w:tcW w:type="dxa" w:w="1700"/>
          </w:tcPr>
          <w:p>
            <w:pPr>
              <w:jc w:val="center"/>
            </w:pPr>
            <w:r>
              <w:rPr>
                <w:rFonts w:ascii="Calibri" w:hAnsi="Calibri"/>
                <w:b w:val="0"/>
                <w:i w:val="0"/>
                <w:color w:val="1E7D32"/>
                <w:sz w:val="16"/>
              </w:rPr>
              <w:t>$0.572929  (+49%)</w:t>
            </w:r>
          </w:p>
        </w:tc>
        <w:tc>
          <w:tcPr>
            <w:tcW w:type="dxa" w:w="1600"/>
          </w:tcPr>
          <w:p>
            <w:pPr>
              <w:jc w:val="center"/>
            </w:pPr>
            <w:r>
              <w:rPr>
                <w:rFonts w:ascii="Calibri" w:hAnsi="Calibri"/>
                <w:b w:val="0"/>
                <w:i w:val="0"/>
                <w:color w:val="C62828"/>
                <w:sz w:val="16"/>
              </w:rPr>
              <w:t>$0.294079  (-23%)</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2.1</w:t>
            </w:r>
          </w:p>
        </w:tc>
      </w:tr>
      <w:tr>
        <w:tc>
          <w:tcPr>
            <w:tcW w:type="dxa" w:w="1150"/>
            <w:shd w:val="clear" w:color="auto" w:fill="F2F5FB"/>
          </w:tcPr>
          <w:p>
            <w:pPr>
              <w:jc w:val="left"/>
            </w:pPr>
            <w:r>
              <w:rPr>
                <w:rFonts w:ascii="Calibri" w:hAnsi="Calibri"/>
                <w:b/>
                <w:i w:val="0"/>
                <w:sz w:val="16"/>
              </w:rPr>
              <w:t>H</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$0.057020</w:t>
            </w:r>
          </w:p>
        </w:tc>
        <w:tc>
          <w:tcPr>
            <w:tcW w:type="dxa" w:w="1700"/>
            <w:shd w:val="clear" w:color="auto" w:fill="F2F5FB"/>
          </w:tcPr>
          <w:p>
            <w:pPr>
              <w:jc w:val="center"/>
            </w:pPr>
            <w:r>
              <w:rPr>
                <w:rFonts w:ascii="Calibri" w:hAnsi="Calibri"/>
                <w:b w:val="0"/>
                <w:i w:val="0"/>
                <w:color w:val="1E7D32"/>
                <w:sz w:val="16"/>
              </w:rPr>
              <w:t>$0.124323  (+118%)</w:t>
            </w:r>
          </w:p>
        </w:tc>
        <w:tc>
          <w:tcPr>
            <w:tcW w:type="dxa" w:w="1600"/>
            <w:shd w:val="clear" w:color="auto" w:fill="F2F5FB"/>
          </w:tcPr>
          <w:p>
            <w:pPr>
              <w:jc w:val="center"/>
            </w:pPr>
            <w:r>
              <w:rPr>
                <w:rFonts w:ascii="Calibri" w:hAnsi="Calibri"/>
                <w:b w:val="0"/>
                <w:i w:val="0"/>
                <w:color w:val="C62828"/>
                <w:sz w:val="16"/>
              </w:rPr>
              <w:t>$0.033912  (-41%)</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2.91</w:t>
            </w:r>
          </w:p>
        </w:tc>
      </w:tr>
      <w:tr>
        <w:tc>
          <w:tcPr>
            <w:tcW w:type="dxa" w:w="1150"/>
          </w:tcPr>
          <w:p>
            <w:pPr>
              <w:jc w:val="left"/>
            </w:pPr>
            <w:r>
              <w:rPr>
                <w:rFonts w:ascii="Calibri" w:hAnsi="Calibri"/>
                <w:b/>
                <w:i w:val="0"/>
                <w:sz w:val="16"/>
              </w:rPr>
              <w:t>EDGE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$0.334510</w:t>
            </w:r>
          </w:p>
        </w:tc>
        <w:tc>
          <w:tcPr>
            <w:tcW w:type="dxa" w:w="1700"/>
          </w:tcPr>
          <w:p>
            <w:pPr>
              <w:jc w:val="center"/>
            </w:pPr>
            <w:r>
              <w:rPr>
                <w:rFonts w:ascii="Calibri" w:hAnsi="Calibri"/>
                <w:b w:val="0"/>
                <w:i w:val="0"/>
                <w:color w:val="1E7D32"/>
                <w:sz w:val="16"/>
              </w:rPr>
              <w:t>$0.516941  (+55%)</w:t>
            </w:r>
          </w:p>
        </w:tc>
        <w:tc>
          <w:tcPr>
            <w:tcW w:type="dxa" w:w="1600"/>
          </w:tcPr>
          <w:p>
            <w:pPr>
              <w:jc w:val="center"/>
            </w:pPr>
            <w:r>
              <w:rPr>
                <w:rFonts w:ascii="Calibri" w:hAnsi="Calibri"/>
                <w:b w:val="0"/>
                <w:i w:val="0"/>
                <w:color w:val="C62828"/>
                <w:sz w:val="16"/>
              </w:rPr>
              <w:t>$0.250258  (-25%)</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2.17</w:t>
            </w:r>
          </w:p>
        </w:tc>
      </w:tr>
      <w:tr>
        <w:tc>
          <w:tcPr>
            <w:tcW w:type="dxa" w:w="1150"/>
            <w:shd w:val="clear" w:color="auto" w:fill="F2F5FB"/>
          </w:tcPr>
          <w:p>
            <w:pPr>
              <w:jc w:val="left"/>
            </w:pPr>
            <w:r>
              <w:rPr>
                <w:rFonts w:ascii="Calibri" w:hAnsi="Calibri"/>
                <w:b/>
                <w:i w:val="0"/>
                <w:sz w:val="16"/>
              </w:rPr>
              <w:t>AKE</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$0.023868</w:t>
            </w:r>
          </w:p>
        </w:tc>
        <w:tc>
          <w:tcPr>
            <w:tcW w:type="dxa" w:w="1700"/>
            <w:shd w:val="clear" w:color="auto" w:fill="F2F5FB"/>
          </w:tcPr>
          <w:p>
            <w:pPr>
              <w:jc w:val="center"/>
            </w:pPr>
            <w:r>
              <w:rPr>
                <w:rFonts w:ascii="Calibri" w:hAnsi="Calibri"/>
                <w:b w:val="0"/>
                <w:i w:val="0"/>
                <w:color w:val="1E7D32"/>
                <w:sz w:val="16"/>
              </w:rPr>
              <w:t>$0.049809  (+109%)</w:t>
            </w:r>
          </w:p>
        </w:tc>
        <w:tc>
          <w:tcPr>
            <w:tcW w:type="dxa" w:w="1600"/>
            <w:shd w:val="clear" w:color="auto" w:fill="F2F5FB"/>
          </w:tcPr>
          <w:p>
            <w:pPr>
              <w:jc w:val="center"/>
            </w:pPr>
            <w:r>
              <w:rPr>
                <w:rFonts w:ascii="Calibri" w:hAnsi="Calibri"/>
                <w:b w:val="0"/>
                <w:i w:val="0"/>
                <w:color w:val="C62828"/>
                <w:sz w:val="16"/>
              </w:rPr>
              <w:t>$0.014616  (-39%)</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2.8</w:t>
            </w:r>
          </w:p>
        </w:tc>
      </w:tr>
      <w:tr>
        <w:tc>
          <w:tcPr>
            <w:tcW w:type="dxa" w:w="1150"/>
          </w:tcPr>
          <w:p>
            <w:pPr>
              <w:jc w:val="left"/>
            </w:pPr>
            <w:r>
              <w:rPr>
                <w:rFonts w:ascii="Calibri" w:hAnsi="Calibri"/>
                <w:b/>
                <w:i w:val="0"/>
                <w:sz w:val="16"/>
              </w:rPr>
              <w:t>USELESS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$0.173232</w:t>
            </w:r>
          </w:p>
        </w:tc>
        <w:tc>
          <w:tcPr>
            <w:tcW w:type="dxa" w:w="1700"/>
          </w:tcPr>
          <w:p>
            <w:pPr>
              <w:jc w:val="center"/>
            </w:pPr>
            <w:r>
              <w:rPr>
                <w:rFonts w:ascii="Calibri" w:hAnsi="Calibri"/>
                <w:b w:val="0"/>
                <w:i w:val="0"/>
                <w:color w:val="1E7D32"/>
                <w:sz w:val="16"/>
              </w:rPr>
              <w:t>$0.283822  (+64%)</w:t>
            </w:r>
          </w:p>
        </w:tc>
        <w:tc>
          <w:tcPr>
            <w:tcW w:type="dxa" w:w="1600"/>
          </w:tcPr>
          <w:p>
            <w:pPr>
              <w:jc w:val="center"/>
            </w:pPr>
            <w:r>
              <w:rPr>
                <w:rFonts w:ascii="Calibri" w:hAnsi="Calibri"/>
                <w:b w:val="0"/>
                <w:i w:val="0"/>
                <w:color w:val="C62828"/>
                <w:sz w:val="16"/>
              </w:rPr>
              <w:t>$0.124648  (-28%)</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2.28</w:t>
            </w:r>
          </w:p>
        </w:tc>
      </w:tr>
      <w:tr>
        <w:tc>
          <w:tcPr>
            <w:tcW w:type="dxa" w:w="1150"/>
            <w:shd w:val="clear" w:color="auto" w:fill="F2F5FB"/>
          </w:tcPr>
          <w:p>
            <w:pPr>
              <w:jc w:val="left"/>
            </w:pPr>
            <w:r>
              <w:rPr>
                <w:rFonts w:ascii="Calibri" w:hAnsi="Calibri"/>
                <w:b/>
                <w:i w:val="0"/>
                <w:sz w:val="16"/>
              </w:rPr>
              <w:t>SUPER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$0.206666</w:t>
            </w:r>
          </w:p>
        </w:tc>
        <w:tc>
          <w:tcPr>
            <w:tcW w:type="dxa" w:w="1700"/>
            <w:shd w:val="clear" w:color="auto" w:fill="F2F5FB"/>
          </w:tcPr>
          <w:p>
            <w:pPr>
              <w:jc w:val="center"/>
            </w:pPr>
            <w:r>
              <w:rPr>
                <w:rFonts w:ascii="Calibri" w:hAnsi="Calibri"/>
                <w:b w:val="0"/>
                <w:i w:val="0"/>
                <w:color w:val="1E7D32"/>
                <w:sz w:val="16"/>
              </w:rPr>
              <w:t>$0.277692  (+34%)</w:t>
            </w:r>
          </w:p>
        </w:tc>
        <w:tc>
          <w:tcPr>
            <w:tcW w:type="dxa" w:w="1600"/>
            <w:shd w:val="clear" w:color="auto" w:fill="F2F5FB"/>
          </w:tcPr>
          <w:p>
            <w:pPr>
              <w:jc w:val="center"/>
            </w:pPr>
            <w:r>
              <w:rPr>
                <w:rFonts w:ascii="Calibri" w:hAnsi="Calibri"/>
                <w:b w:val="0"/>
                <w:i w:val="0"/>
                <w:color w:val="C62828"/>
                <w:sz w:val="16"/>
              </w:rPr>
              <w:t>$0.169723  (-18%)</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BR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$0.449138</w:t>
            </w:r>
          </w:p>
        </w:tc>
        <w:tc>
          <w:tcPr>
            <w:tcW w:type="dxa" w:w="1700"/>
          </w:tcPr>
          <w:p>
            <w:pPr>
              <w:jc w:val="center"/>
            </w:pPr>
            <w:r>
              <w:rPr>
                <w:rFonts w:ascii="Calibri" w:hAnsi="Calibri"/>
                <w:b w:val="0"/>
                <w:i w:val="0"/>
                <w:color w:val="1E7D32"/>
                <w:sz w:val="16"/>
              </w:rPr>
              <w:t>$0.883661  (+97%)</w:t>
            </w:r>
          </w:p>
        </w:tc>
        <w:tc>
          <w:tcPr>
            <w:tcW w:type="dxa" w:w="1600"/>
          </w:tcPr>
          <w:p>
            <w:pPr>
              <w:jc w:val="center"/>
            </w:pPr>
            <w:r>
              <w:rPr>
                <w:rFonts w:ascii="Calibri" w:hAnsi="Calibri"/>
                <w:b w:val="0"/>
                <w:i w:val="0"/>
                <w:color w:val="C62828"/>
                <w:sz w:val="16"/>
              </w:rPr>
              <w:t>$0.286050  (-36%)</w:t>
            </w:r>
          </w:p>
        </w:tc>
        <w:tc>
          <w:tcPr>
            <w:tcW w:type="dxa" w:w="900"/>
          </w:tcPr>
          <w:p>
            <w:pPr>
              <w:jc w:val="center"/>
            </w:pPr>
            <w:r>
              <w:rPr>
                <w:rFonts w:ascii="Calibri" w:hAnsi="Calibri"/>
                <w:b w:val="0"/>
                <w:i w:val="0"/>
                <w:sz w:val="16"/>
              </w:rPr>
              <w:t>8</w:t>
            </w:r>
          </w:p>
        </w:tc>
        <w:tc>
          <w:tcPr>
            <w:tcW w:type="dxa" w:w="900"/>
          </w:tcPr>
          <w:p>
            <w:pPr>
              <w:jc w:val="center"/>
            </w:pPr>
            <w:r>
              <w:rPr>
                <w:rFonts w:ascii="Calibri" w:hAnsi="Calibri"/>
                <w:b w:val="0"/>
                <w:i w:val="0"/>
                <w:sz w:val="16"/>
              </w:rPr>
              <w:t>2.66</w:t>
            </w:r>
          </w:p>
        </w:tc>
      </w:tr>
      <w:tr>
        <w:tc>
          <w:tcPr>
            <w:tcW w:type="dxa" w:w="1150"/>
            <w:shd w:val="clear" w:color="auto" w:fill="F2F5FB"/>
          </w:tcPr>
          <w:p>
            <w:pPr>
              <w:jc w:val="left"/>
            </w:pPr>
            <w:r>
              <w:rPr>
                <w:rFonts w:ascii="Calibri" w:hAnsi="Calibri"/>
                <w:b/>
                <w:i w:val="0"/>
                <w:sz w:val="16"/>
              </w:rPr>
              <w:t>GRX</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$21.1490</w:t>
            </w:r>
          </w:p>
        </w:tc>
        <w:tc>
          <w:tcPr>
            <w:tcW w:type="dxa" w:w="1700"/>
            <w:shd w:val="clear" w:color="auto" w:fill="F2F5FB"/>
          </w:tcPr>
          <w:p>
            <w:pPr>
              <w:jc w:val="center"/>
            </w:pPr>
            <w:r>
              <w:rPr>
                <w:rFonts w:ascii="Calibri" w:hAnsi="Calibri"/>
                <w:b w:val="0"/>
                <w:i w:val="0"/>
                <w:color w:val="1E7D32"/>
                <w:sz w:val="16"/>
              </w:rPr>
              <w:t>$42.1562  (+99%)</w:t>
            </w:r>
          </w:p>
        </w:tc>
        <w:tc>
          <w:tcPr>
            <w:tcW w:type="dxa" w:w="1600"/>
            <w:shd w:val="clear" w:color="auto" w:fill="F2F5FB"/>
          </w:tcPr>
          <w:p>
            <w:pPr>
              <w:jc w:val="center"/>
            </w:pPr>
            <w:r>
              <w:rPr>
                <w:rFonts w:ascii="Calibri" w:hAnsi="Calibri"/>
                <w:b w:val="0"/>
                <w:i w:val="0"/>
                <w:color w:val="C62828"/>
                <w:sz w:val="16"/>
              </w:rPr>
              <w:t>$13.3529  (-37%)</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2.69</w:t>
            </w:r>
          </w:p>
        </w:tc>
      </w:tr>
      <w:tr>
        <w:tc>
          <w:tcPr>
            <w:tcW w:type="dxa" w:w="1150"/>
          </w:tcPr>
          <w:p>
            <w:pPr>
              <w:jc w:val="left"/>
            </w:pPr>
            <w:r>
              <w:rPr>
                <w:rFonts w:ascii="Calibri" w:hAnsi="Calibri"/>
                <w:b/>
                <w:i w:val="0"/>
                <w:sz w:val="16"/>
              </w:rPr>
              <w:t>SAND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$0.059811</w:t>
            </w:r>
          </w:p>
        </w:tc>
        <w:tc>
          <w:tcPr>
            <w:tcW w:type="dxa" w:w="1700"/>
          </w:tcPr>
          <w:p>
            <w:pPr>
              <w:jc w:val="center"/>
            </w:pPr>
            <w:r>
              <w:rPr>
                <w:rFonts w:ascii="Calibri" w:hAnsi="Calibri"/>
                <w:b w:val="0"/>
                <w:i w:val="0"/>
                <w:color w:val="1E7D32"/>
                <w:sz w:val="16"/>
              </w:rPr>
              <w:t>$0.083543  (+40%)</w:t>
            </w:r>
          </w:p>
        </w:tc>
        <w:tc>
          <w:tcPr>
            <w:tcW w:type="dxa" w:w="1600"/>
          </w:tcPr>
          <w:p>
            <w:pPr>
              <w:jc w:val="center"/>
            </w:pPr>
            <w:r>
              <w:rPr>
                <w:rFonts w:ascii="Calibri" w:hAnsi="Calibri"/>
                <w:b w:val="0"/>
                <w:i w:val="0"/>
                <w:color w:val="C62828"/>
                <w:sz w:val="16"/>
              </w:rPr>
              <w:t>$0.047866  (-20%)</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1.99</w:t>
            </w:r>
          </w:p>
        </w:tc>
      </w:tr>
      <w:tr>
        <w:tc>
          <w:tcPr>
            <w:tcW w:type="dxa" w:w="1150"/>
            <w:shd w:val="clear" w:color="auto" w:fill="F2F5FB"/>
          </w:tcPr>
          <w:p>
            <w:pPr>
              <w:jc w:val="left"/>
            </w:pPr>
            <w:r>
              <w:rPr>
                <w:rFonts w:ascii="Calibri" w:hAnsi="Calibri"/>
                <w:b/>
                <w:i w:val="0"/>
                <w:sz w:val="16"/>
              </w:rPr>
              <w:t>PONS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$0.282814</w:t>
            </w:r>
          </w:p>
        </w:tc>
        <w:tc>
          <w:tcPr>
            <w:tcW w:type="dxa" w:w="1700"/>
            <w:shd w:val="clear" w:color="auto" w:fill="F2F5FB"/>
          </w:tcPr>
          <w:p>
            <w:pPr>
              <w:jc w:val="center"/>
            </w:pPr>
            <w:r>
              <w:rPr>
                <w:rFonts w:ascii="Calibri" w:hAnsi="Calibri"/>
                <w:b w:val="0"/>
                <w:i w:val="0"/>
                <w:color w:val="1E7D32"/>
                <w:sz w:val="16"/>
              </w:rPr>
              <w:t>$0.714076  (+152%)</w:t>
            </w:r>
          </w:p>
        </w:tc>
        <w:tc>
          <w:tcPr>
            <w:tcW w:type="dxa" w:w="1600"/>
            <w:shd w:val="clear" w:color="auto" w:fill="F2F5FB"/>
          </w:tcPr>
          <w:p>
            <w:pPr>
              <w:jc w:val="center"/>
            </w:pPr>
            <w:r>
              <w:rPr>
                <w:rFonts w:ascii="Calibri" w:hAnsi="Calibri"/>
                <w:b w:val="0"/>
                <w:i w:val="0"/>
                <w:color w:val="C62828"/>
                <w:sz w:val="16"/>
              </w:rPr>
              <w:t>$0.152525  (-46%)</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3.31</w:t>
            </w:r>
          </w:p>
        </w:tc>
      </w:tr>
      <w:tr>
        <w:tc>
          <w:tcPr>
            <w:tcW w:type="dxa" w:w="1150"/>
          </w:tcPr>
          <w:p>
            <w:pPr>
              <w:jc w:val="left"/>
            </w:pPr>
            <w:r>
              <w:rPr>
                <w:rFonts w:ascii="Calibri" w:hAnsi="Calibri"/>
                <w:b/>
                <w:i w:val="0"/>
                <w:sz w:val="16"/>
              </w:rPr>
              <w:t>AR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$3.7438</w:t>
            </w:r>
          </w:p>
        </w:tc>
        <w:tc>
          <w:tcPr>
            <w:tcW w:type="dxa" w:w="1700"/>
          </w:tcPr>
          <w:p>
            <w:pPr>
              <w:jc w:val="center"/>
            </w:pPr>
            <w:r>
              <w:rPr>
                <w:rFonts w:ascii="Calibri" w:hAnsi="Calibri"/>
                <w:b w:val="0"/>
                <w:i w:val="0"/>
                <w:color w:val="1E7D32"/>
                <w:sz w:val="16"/>
              </w:rPr>
              <w:t>$5.0255  (+34%)</w:t>
            </w:r>
          </w:p>
        </w:tc>
        <w:tc>
          <w:tcPr>
            <w:tcW w:type="dxa" w:w="1600"/>
          </w:tcPr>
          <w:p>
            <w:pPr>
              <w:jc w:val="center"/>
            </w:pPr>
            <w:r>
              <w:rPr>
                <w:rFonts w:ascii="Calibri" w:hAnsi="Calibri"/>
                <w:b w:val="0"/>
                <w:i w:val="0"/>
                <w:color w:val="C62828"/>
                <w:sz w:val="16"/>
              </w:rPr>
              <w:t>$3.0766  (-18%)</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PEAQ</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$0.039729</w:t>
            </w:r>
          </w:p>
        </w:tc>
        <w:tc>
          <w:tcPr>
            <w:tcW w:type="dxa" w:w="1700"/>
            <w:shd w:val="clear" w:color="auto" w:fill="F2F5FB"/>
          </w:tcPr>
          <w:p>
            <w:pPr>
              <w:jc w:val="center"/>
            </w:pPr>
            <w:r>
              <w:rPr>
                <w:rFonts w:ascii="Calibri" w:hAnsi="Calibri"/>
                <w:b w:val="0"/>
                <w:i w:val="0"/>
                <w:color w:val="1E7D32"/>
                <w:sz w:val="16"/>
              </w:rPr>
              <w:t>$0.060574  (+52%)</w:t>
            </w:r>
          </w:p>
        </w:tc>
        <w:tc>
          <w:tcPr>
            <w:tcW w:type="dxa" w:w="1600"/>
            <w:shd w:val="clear" w:color="auto" w:fill="F2F5FB"/>
          </w:tcPr>
          <w:p>
            <w:pPr>
              <w:jc w:val="center"/>
            </w:pPr>
            <w:r>
              <w:rPr>
                <w:rFonts w:ascii="Calibri" w:hAnsi="Calibri"/>
                <w:b w:val="0"/>
                <w:i w:val="0"/>
                <w:color w:val="C62828"/>
                <w:sz w:val="16"/>
              </w:rPr>
              <w:t>$0.029991  (-25%)</w:t>
            </w:r>
          </w:p>
        </w:tc>
        <w:tc>
          <w:tcPr>
            <w:tcW w:type="dxa" w:w="900"/>
            <w:shd w:val="clear" w:color="auto" w:fill="F2F5FB"/>
          </w:tcPr>
          <w:p>
            <w:pPr>
              <w:jc w:val="center"/>
            </w:pPr>
            <w:r>
              <w:rPr>
                <w:rFonts w:ascii="Calibri" w:hAnsi="Calibri"/>
                <w:b w:val="0"/>
                <w:i w:val="0"/>
                <w:sz w:val="16"/>
              </w:rPr>
              <w:t>14</w:t>
            </w:r>
          </w:p>
        </w:tc>
        <w:tc>
          <w:tcPr>
            <w:tcW w:type="dxa" w:w="900"/>
            <w:shd w:val="clear" w:color="auto" w:fill="F2F5FB"/>
          </w:tcPr>
          <w:p>
            <w:pPr>
              <w:jc w:val="center"/>
            </w:pPr>
            <w:r>
              <w:rPr>
                <w:rFonts w:ascii="Calibri" w:hAnsi="Calibri"/>
                <w:b w:val="0"/>
                <w:i w:val="0"/>
                <w:sz w:val="16"/>
              </w:rPr>
              <w:t>2.14</w:t>
            </w:r>
          </w:p>
        </w:tc>
      </w:tr>
      <w:tr>
        <w:tc>
          <w:tcPr>
            <w:tcW w:type="dxa" w:w="1150"/>
          </w:tcPr>
          <w:p>
            <w:pPr>
              <w:jc w:val="left"/>
            </w:pPr>
            <w:r>
              <w:rPr>
                <w:rFonts w:ascii="Calibri" w:hAnsi="Calibri"/>
                <w:b/>
                <w:i w:val="0"/>
                <w:sz w:val="16"/>
              </w:rPr>
              <w:t>RSR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$0.002200</w:t>
            </w:r>
          </w:p>
        </w:tc>
        <w:tc>
          <w:tcPr>
            <w:tcW w:type="dxa" w:w="1700"/>
          </w:tcPr>
          <w:p>
            <w:pPr>
              <w:jc w:val="center"/>
            </w:pPr>
            <w:r>
              <w:rPr>
                <w:rFonts w:ascii="Calibri" w:hAnsi="Calibri"/>
                <w:b w:val="0"/>
                <w:i w:val="0"/>
                <w:color w:val="1E7D32"/>
                <w:sz w:val="16"/>
              </w:rPr>
              <w:t>$0.002673  (+21%)</w:t>
            </w:r>
          </w:p>
        </w:tc>
        <w:tc>
          <w:tcPr>
            <w:tcW w:type="dxa" w:w="1600"/>
          </w:tcPr>
          <w:p>
            <w:pPr>
              <w:jc w:val="center"/>
            </w:pPr>
            <w:r>
              <w:rPr>
                <w:rFonts w:ascii="Calibri" w:hAnsi="Calibri"/>
                <w:b w:val="0"/>
                <w:i w:val="0"/>
                <w:color w:val="C62828"/>
                <w:sz w:val="16"/>
              </w:rPr>
              <w:t>$0.001933  (-12%)</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SOON</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$0.301997</w:t>
            </w:r>
          </w:p>
        </w:tc>
        <w:tc>
          <w:tcPr>
            <w:tcW w:type="dxa" w:w="1700"/>
            <w:shd w:val="clear" w:color="auto" w:fill="F2F5FB"/>
          </w:tcPr>
          <w:p>
            <w:pPr>
              <w:jc w:val="center"/>
            </w:pPr>
            <w:r>
              <w:rPr>
                <w:rFonts w:ascii="Calibri" w:hAnsi="Calibri"/>
                <w:b w:val="0"/>
                <w:i w:val="0"/>
                <w:color w:val="1E7D32"/>
                <w:sz w:val="16"/>
              </w:rPr>
              <w:t>$0.439817  (+46%)</w:t>
            </w:r>
          </w:p>
        </w:tc>
        <w:tc>
          <w:tcPr>
            <w:tcW w:type="dxa" w:w="1600"/>
            <w:shd w:val="clear" w:color="auto" w:fill="F2F5FB"/>
          </w:tcPr>
          <w:p>
            <w:pPr>
              <w:jc w:val="center"/>
            </w:pPr>
            <w:r>
              <w:rPr>
                <w:rFonts w:ascii="Calibri" w:hAnsi="Calibri"/>
                <w:b w:val="0"/>
                <w:i w:val="0"/>
                <w:color w:val="C62828"/>
                <w:sz w:val="16"/>
              </w:rPr>
              <w:t>$0.235048  (-22%)</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2.06</w:t>
            </w:r>
          </w:p>
        </w:tc>
      </w:tr>
    </w:tbl>
    <w:p>
      <w:r>
        <w:rPr>
          <w:rFonts w:ascii="Calibri" w:hAnsi="Calibri"/>
          <w:b w:val="0"/>
          <w:i w:val="0"/>
          <w:color w:val="555555"/>
          <w:sz w:val="16"/>
        </w:rPr>
        <w:t>Ratio G/P = gain visé ÷ perte au stop (1,5 par défaut). Ces niveaux sont pleinement actionnables surtout quand la décision est INVESTIR ; pour CONSERVER/ÉVITER, ils servent de niveaux de surveillance. Ce ne sont pas des ordres ni un conseil.</w:t>
      </w:r>
    </w:p>
    <w:p>
      <w:r>
        <w:br w:type="page"/>
      </w:r>
    </w:p>
    <w:p>
      <w:pPr>
        <w:pStyle w:val="Heading1"/>
      </w:pPr>
      <w:r>
        <w:t>4. Analyse détaillée par crypto</w:t>
      </w:r>
    </w:p>
    <w:p>
      <w:pPr>
        <w:pStyle w:val="Heading2"/>
      </w:pPr>
      <w:r/>
      <w:r>
        <w:rPr>
          <w:rFonts w:ascii="Calibri" w:hAnsi="Calibri"/>
          <w:b/>
          <w:i w:val="0"/>
          <w:color w:val="1F3864"/>
          <w:sz w:val="26"/>
        </w:rPr>
        <w:t xml:space="preserve">BTC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$81 794.85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+1.2%  ·  volatilité annualisée +44.2%  ·  drawdown vs plus-haut -28.5%  ·  momentum 7j/30j/90j -4.6% / +5.9% / +25.9%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0.441)  ·  </w:t>
      </w:r>
      <w:r>
        <w:rPr>
          <w:rFonts w:ascii="Calibri" w:hAnsi="Calibri"/>
          <w:b w:val="0"/>
          <w:i w:val="0"/>
          <w:color w:val="1E7D32"/>
          <w:sz w:val="18"/>
        </w:rPr>
        <w:t>Risque vert (vol 0.44)</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~$81 794.85  ·  </w:t>
      </w:r>
      <w:r>
        <w:rPr>
          <w:rFonts w:ascii="Calibri" w:hAnsi="Calibri"/>
          <w:b w:val="0"/>
          <w:i w:val="0"/>
          <w:color w:val="1E7D32"/>
          <w:sz w:val="18"/>
        </w:rPr>
        <w:t>vente ↑ $99 366.92 (+21%)</w:t>
      </w:r>
      <w:r>
        <w:rPr>
          <w:rFonts w:ascii="Calibri" w:hAnsi="Calibri"/>
          <w:b w:val="0"/>
          <w:i w:val="0"/>
          <w:sz w:val="18"/>
        </w:rPr>
        <w:t xml:space="preserve">  ·  </w:t>
      </w:r>
      <w:r>
        <w:rPr>
          <w:rFonts w:ascii="Calibri" w:hAnsi="Calibri"/>
          <w:b w:val="0"/>
          <w:i w:val="0"/>
          <w:color w:val="C62828"/>
          <w:sz w:val="18"/>
        </w:rPr>
        <w:t>vente ↓ $71 842.60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ETH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$2 445.89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+1.7%  ·  volatilité annualisée +61.4%  ·  drawdown vs plus-haut -41.2%  ·  momentum 7j/30j/90j -9.8% / -3.1% / +29.4%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rouge (AUC 0.552)  ·  </w:t>
      </w:r>
      <w:r>
        <w:rPr>
          <w:rFonts w:ascii="Calibri" w:hAnsi="Calibri"/>
          <w:b w:val="0"/>
          <w:i w:val="0"/>
          <w:color w:val="1E7D32"/>
          <w:sz w:val="18"/>
        </w:rPr>
        <w:t>Risque vert (vol 0.61)</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~$2 445.89  ·  </w:t>
      </w:r>
      <w:r>
        <w:rPr>
          <w:rFonts w:ascii="Calibri" w:hAnsi="Calibri"/>
          <w:b w:val="0"/>
          <w:i w:val="0"/>
          <w:color w:val="1E7D32"/>
          <w:sz w:val="18"/>
        </w:rPr>
        <w:t>vente ↑ $3 087.66 (+26%)</w:t>
      </w:r>
      <w:r>
        <w:rPr>
          <w:rFonts w:ascii="Calibri" w:hAnsi="Calibri"/>
          <w:b w:val="0"/>
          <w:i w:val="0"/>
          <w:sz w:val="18"/>
        </w:rPr>
        <w:t xml:space="preserve">  ·  </w:t>
      </w:r>
      <w:r>
        <w:rPr>
          <w:rFonts w:ascii="Calibri" w:hAnsi="Calibri"/>
          <w:b w:val="0"/>
          <w:i w:val="0"/>
          <w:color w:val="C62828"/>
          <w:sz w:val="18"/>
        </w:rPr>
        <w:t>vente ↓ $2 093.99 (-14%)</w:t>
      </w:r>
      <w:r>
        <w:rPr>
          <w:rFonts w:ascii="Calibri" w:hAnsi="Calibri"/>
          <w:b w:val="0"/>
          <w:i w:val="0"/>
          <w:sz w:val="18"/>
        </w:rPr>
        <w:t xml:space="preserve">  ·  détention ~34 j  ·  ratio G/P 1.82</w:t>
      </w:r>
    </w:p>
    <w:p>
      <w:pPr>
        <w:pStyle w:val="Heading2"/>
      </w:pPr>
      <w:r/>
      <w:r>
        <w:rPr>
          <w:rFonts w:ascii="Calibri" w:hAnsi="Calibri"/>
          <w:b/>
          <w:i w:val="0"/>
          <w:color w:val="1F3864"/>
          <w:sz w:val="26"/>
        </w:rPr>
        <w:t xml:space="preserve">BNB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$732.3112   |   Composite -0.50   |   Indicateurs actifs : macd,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+1.6%  ·  volatilité annualisée +45.8%  ·  drawdown vs plus-haut -35.7%  ·  momentum 7j/30j/90j -6.9% / +0.7% / +26.0%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0.46)</w:t>
      </w:r>
    </w:p>
    <w:p>
      <w:r>
        <w:rPr>
          <w:rFonts w:ascii="Calibri" w:hAnsi="Calibri"/>
          <w:b/>
          <w:i w:val="0"/>
          <w:sz w:val="19"/>
        </w:rPr>
        <w:t xml:space="preserve">Projection 30j (fourchette, pas une prévision) : </w:t>
      </w:r>
      <w:r>
        <w:rPr>
          <w:rFonts w:ascii="Calibri" w:hAnsi="Calibri"/>
          <w:b w:val="0"/>
          <w:i w:val="0"/>
          <w:sz w:val="19"/>
        </w:rPr>
        <w:t>-20%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~$732.3112  ·  </w:t>
      </w:r>
      <w:r>
        <w:rPr>
          <w:rFonts w:ascii="Calibri" w:hAnsi="Calibri"/>
          <w:b w:val="0"/>
          <w:i w:val="0"/>
          <w:color w:val="1E7D32"/>
          <w:sz w:val="18"/>
        </w:rPr>
        <w:t>vente ↑ $898.7218 (+23%)</w:t>
      </w:r>
      <w:r>
        <w:rPr>
          <w:rFonts w:ascii="Calibri" w:hAnsi="Calibri"/>
          <w:b w:val="0"/>
          <w:i w:val="0"/>
          <w:sz w:val="18"/>
        </w:rPr>
        <w:t xml:space="preserve">  ·  </w:t>
      </w:r>
      <w:r>
        <w:rPr>
          <w:rFonts w:ascii="Calibri" w:hAnsi="Calibri"/>
          <w:b w:val="0"/>
          <w:i w:val="0"/>
          <w:color w:val="C62828"/>
          <w:sz w:val="18"/>
        </w:rPr>
        <w:t>vente ↓ $638.8653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XRP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$1.3410   |   Composite +0.00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+2.2%  ·  volatilité annualisée +64.9%  ·  drawdown vs plus-haut -49.3%  ·  momentum 7j/30j/90j -11.1% / -1.8% / +20.7%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0.65)</w:t>
      </w:r>
    </w:p>
    <w:p>
      <w:r>
        <w:rPr>
          <w:rFonts w:ascii="Calibri" w:hAnsi="Calibri"/>
          <w:b/>
          <w:i w:val="0"/>
          <w:sz w:val="19"/>
        </w:rPr>
        <w:t xml:space="preserve">Projection 30j (fourchette, pas une prévision) : </w:t>
      </w:r>
      <w:r>
        <w:rPr>
          <w:rFonts w:ascii="Calibri" w:hAnsi="Calibri"/>
          <w:b w:val="0"/>
          <w:i w:val="0"/>
          <w:sz w:val="19"/>
        </w:rPr>
        <w:t>-27%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~$1.3410  ·  </w:t>
      </w:r>
      <w:r>
        <w:rPr>
          <w:rFonts w:ascii="Calibri" w:hAnsi="Calibri"/>
          <w:b w:val="0"/>
          <w:i w:val="0"/>
          <w:color w:val="1E7D32"/>
          <w:sz w:val="18"/>
        </w:rPr>
        <w:t>vente ↑ $1.7266 (+29%)</w:t>
      </w:r>
      <w:r>
        <w:rPr>
          <w:rFonts w:ascii="Calibri" w:hAnsi="Calibri"/>
          <w:b w:val="0"/>
          <w:i w:val="0"/>
          <w:sz w:val="18"/>
        </w:rPr>
        <w:t xml:space="preserve">  ·  </w:t>
      </w:r>
      <w:r>
        <w:rPr>
          <w:rFonts w:ascii="Calibri" w:hAnsi="Calibri"/>
          <w:b w:val="0"/>
          <w:i w:val="0"/>
          <w:color w:val="C62828"/>
          <w:sz w:val="18"/>
        </w:rPr>
        <w:t>vente ↓ $1.1330 (-16%)</w:t>
      </w:r>
      <w:r>
        <w:rPr>
          <w:rFonts w:ascii="Calibri" w:hAnsi="Calibri"/>
          <w:b w:val="0"/>
          <w:i w:val="0"/>
          <w:sz w:val="18"/>
        </w:rPr>
        <w:t xml:space="preserve">  ·  détention ~32 j  ·  ratio G/P 1.85</w:t>
      </w:r>
    </w:p>
    <w:p>
      <w:pPr>
        <w:pStyle w:val="Heading2"/>
      </w:pPr>
      <w:r/>
      <w:r>
        <w:rPr>
          <w:rFonts w:ascii="Calibri" w:hAnsi="Calibri"/>
          <w:b/>
          <w:i w:val="0"/>
          <w:color w:val="1F3864"/>
          <w:sz w:val="26"/>
        </w:rPr>
        <w:t xml:space="preserve">SOL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$105.6365   |   Composite +0.00   |   Indicateurs actifs : macd,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+2.2%  ·  volatilité annualisée +64.4%  ·  drawdown vs plus-haut -47.2%  ·  momentum 7j/30j/90j -12.5% / +3.8% / +35.8%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-27%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~$105.6365  ·  </w:t>
      </w:r>
      <w:r>
        <w:rPr>
          <w:rFonts w:ascii="Calibri" w:hAnsi="Calibri"/>
          <w:b w:val="0"/>
          <w:i w:val="0"/>
          <w:color w:val="1E7D32"/>
          <w:sz w:val="18"/>
        </w:rPr>
        <w:t>vente ↑ $135.3679 (+28%)</w:t>
      </w:r>
      <w:r>
        <w:rPr>
          <w:rFonts w:ascii="Calibri" w:hAnsi="Calibri"/>
          <w:b w:val="0"/>
          <w:i w:val="0"/>
          <w:sz w:val="18"/>
        </w:rPr>
        <w:t xml:space="preserve">  ·  </w:t>
      </w:r>
      <w:r>
        <w:rPr>
          <w:rFonts w:ascii="Calibri" w:hAnsi="Calibri"/>
          <w:b w:val="0"/>
          <w:i w:val="0"/>
          <w:color w:val="C62828"/>
          <w:sz w:val="18"/>
        </w:rPr>
        <w:t>vente ↓ $89.5391 (-15%)</w:t>
      </w:r>
      <w:r>
        <w:rPr>
          <w:rFonts w:ascii="Calibri" w:hAnsi="Calibri"/>
          <w:b w:val="0"/>
          <w:i w:val="0"/>
          <w:sz w:val="18"/>
        </w:rPr>
        <w:t xml:space="preserve">  ·  détention ~33 j  ·  ratio G/P 1.85</w:t>
      </w:r>
    </w:p>
    <w:p>
      <w:pPr>
        <w:pStyle w:val="Heading2"/>
      </w:pPr>
      <w:r/>
      <w:r>
        <w:rPr>
          <w:rFonts w:ascii="Calibri" w:hAnsi="Calibri"/>
          <w:b/>
          <w:i w:val="0"/>
          <w:color w:val="1F3864"/>
          <w:sz w:val="26"/>
        </w:rPr>
        <w:t xml:space="preserve">TRX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$0.328946   |   Composite +0.33   |   Indicateurs actifs : rsi,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+0.4%  ·  volatilité annualisée +24.1%  ·  drawdown vs plus-haut -12.3%  ·  momentum 7j/30j/90j -2.1% / -3.2% / +1.0%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0.24)</w:t>
      </w:r>
    </w:p>
    <w:p>
      <w:r>
        <w:rPr>
          <w:rFonts w:ascii="Calibri" w:hAnsi="Calibri"/>
          <w:b/>
          <w:i w:val="0"/>
          <w:sz w:val="19"/>
        </w:rPr>
        <w:t xml:space="preserve">Projection 30j (fourchette, pas une prévision) : </w:t>
      </w:r>
      <w:r>
        <w:rPr>
          <w:rFonts w:ascii="Calibri" w:hAnsi="Calibri"/>
          <w:b w:val="0"/>
          <w:i w:val="0"/>
          <w:sz w:val="19"/>
        </w:rPr>
        <w:t>-10% à +11%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~$0.328946  ·  </w:t>
      </w:r>
      <w:r>
        <w:rPr>
          <w:rFonts w:ascii="Calibri" w:hAnsi="Calibri"/>
          <w:b w:val="0"/>
          <w:i w:val="0"/>
          <w:color w:val="1E7D32"/>
          <w:sz w:val="18"/>
        </w:rPr>
        <w:t>vente ↑ $0.364171 (+11%)</w:t>
      </w:r>
      <w:r>
        <w:rPr>
          <w:rFonts w:ascii="Calibri" w:hAnsi="Calibri"/>
          <w:b w:val="0"/>
          <w:i w:val="0"/>
          <w:sz w:val="18"/>
        </w:rPr>
        <w:t xml:space="preserve">  ·  </w:t>
      </w:r>
      <w:r>
        <w:rPr>
          <w:rFonts w:ascii="Calibri" w:hAnsi="Calibri"/>
          <w:b w:val="0"/>
          <w:i w:val="0"/>
          <w:color w:val="C62828"/>
          <w:sz w:val="18"/>
        </w:rPr>
        <w:t>vente ↓ $0.307377 (-7%)</w:t>
      </w:r>
      <w:r>
        <w:rPr>
          <w:rFonts w:ascii="Calibri" w:hAnsi="Calibri"/>
          <w:b w:val="0"/>
          <w:i w:val="0"/>
          <w:sz w:val="18"/>
        </w:rPr>
        <w:t xml:space="preserve">  ·  détention ~45 j  ·  ratio G/P 1.63</w:t>
      </w:r>
    </w:p>
    <w:p>
      <w:pPr>
        <w:pStyle w:val="Heading2"/>
      </w:pPr>
      <w:r/>
      <w:r>
        <w:rPr>
          <w:rFonts w:ascii="Calibri" w:hAnsi="Calibri"/>
          <w:b/>
          <w:i w:val="0"/>
          <w:color w:val="1F3864"/>
          <w:sz w:val="26"/>
        </w:rPr>
        <w:t xml:space="preserve">FIGR_HELOC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$1.0640   |   Composite +0.00   |   Indicateurs actifs :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+2.5%  ·  volatilité annualisée +246.8%  ·  drawdown vs plus-haut -1.0%  ·  momentum 7j/30j/90j +3.0% / +6.4% / +5.4%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2.47)</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~$1.0640  ·  </w:t>
      </w:r>
      <w:r>
        <w:rPr>
          <w:rFonts w:ascii="Calibri" w:hAnsi="Calibri"/>
          <w:b w:val="0"/>
          <w:i w:val="0"/>
          <w:color w:val="1E7D32"/>
          <w:sz w:val="18"/>
        </w:rPr>
        <w:t>vente ↑ $1.1621 (+9%)</w:t>
      </w:r>
      <w:r>
        <w:rPr>
          <w:rFonts w:ascii="Calibri" w:hAnsi="Calibri"/>
          <w:b w:val="0"/>
          <w:i w:val="0"/>
          <w:sz w:val="18"/>
        </w:rPr>
        <w:t xml:space="preserve">  ·  </w:t>
      </w:r>
      <w:r>
        <w:rPr>
          <w:rFonts w:ascii="Calibri" w:hAnsi="Calibri"/>
          <w:b w:val="0"/>
          <w:i w:val="0"/>
          <w:color w:val="C62828"/>
          <w:sz w:val="18"/>
        </w:rPr>
        <w:t>vente ↓ $1.0033 (-6%)</w:t>
      </w:r>
      <w:r>
        <w:rPr>
          <w:rFonts w:ascii="Calibri" w:hAnsi="Calibri"/>
          <w:b w:val="0"/>
          <w:i w:val="0"/>
          <w:sz w:val="18"/>
        </w:rPr>
        <w:t xml:space="preserve">  ·  détention ~9 j  ·  ratio G/P 1.61</w:t>
      </w:r>
    </w:p>
    <w:p>
      <w:pPr>
        <w:pStyle w:val="Heading2"/>
      </w:pPr>
      <w:r/>
      <w:r>
        <w:rPr>
          <w:rFonts w:ascii="Calibri" w:hAnsi="Calibri"/>
          <w:b/>
          <w:i w:val="0"/>
          <w:color w:val="1F3864"/>
          <w:sz w:val="26"/>
        </w:rPr>
        <w:t xml:space="preserve">ZEC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$1 166.91   |   Composite -1.00   |   Indicateurs actifs : ma,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+5.2%  ·  volatilité annualisée +139.3%  ·  drawdown vs plus-haut -29.4%  ·  momentum 7j/30j/90j -12.7% / +4.0% / +106.8%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rouge (AUC 0.555)  ·  </w:t>
      </w:r>
      <w:r>
        <w:rPr>
          <w:rFonts w:ascii="Calibri" w:hAnsi="Calibri"/>
          <w:b w:val="0"/>
          <w:i w:val="0"/>
          <w:color w:val="1E7D32"/>
          <w:sz w:val="18"/>
        </w:rPr>
        <w:t>Risque vert (vol 1.39)</w:t>
      </w:r>
    </w:p>
    <w:p>
      <w:r>
        <w:rPr>
          <w:rFonts w:ascii="Calibri" w:hAnsi="Calibri"/>
          <w:b/>
          <w:i w:val="0"/>
          <w:sz w:val="19"/>
        </w:rPr>
        <w:t xml:space="preserve">Projection 30j (fourchette, pas une prévision) : </w:t>
      </w:r>
      <w:r>
        <w:rPr>
          <w:rFonts w:ascii="Calibri" w:hAnsi="Calibri"/>
          <w:b w:val="0"/>
          <w:i w:val="0"/>
          <w:sz w:val="19"/>
        </w:rPr>
        <w:t>-52% à +108%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~$1 166.91  ·  </w:t>
      </w:r>
      <w:r>
        <w:rPr>
          <w:rFonts w:ascii="Calibri" w:hAnsi="Calibri"/>
          <w:b w:val="0"/>
          <w:i w:val="0"/>
          <w:color w:val="1E7D32"/>
          <w:sz w:val="18"/>
        </w:rPr>
        <w:t>vente ↑ $1 734.34 (+49%)</w:t>
      </w:r>
      <w:r>
        <w:rPr>
          <w:rFonts w:ascii="Calibri" w:hAnsi="Calibri"/>
          <w:b w:val="0"/>
          <w:i w:val="0"/>
          <w:sz w:val="18"/>
        </w:rPr>
        <w:t xml:space="preserve">  ·  </w:t>
      </w:r>
      <w:r>
        <w:rPr>
          <w:rFonts w:ascii="Calibri" w:hAnsi="Calibri"/>
          <w:b w:val="0"/>
          <w:i w:val="0"/>
          <w:color w:val="C62828"/>
          <w:sz w:val="18"/>
        </w:rPr>
        <w:t>vente ↓ $896.0006 (-23%)</w:t>
      </w:r>
      <w:r>
        <w:rPr>
          <w:rFonts w:ascii="Calibri" w:hAnsi="Calibri"/>
          <w:b w:val="0"/>
          <w:i w:val="0"/>
          <w:sz w:val="18"/>
        </w:rPr>
        <w:t xml:space="preserve">  ·  détention ~15 j  ·  ratio G/P 2.09</w:t>
      </w:r>
    </w:p>
    <w:p>
      <w:pPr>
        <w:pStyle w:val="Heading2"/>
      </w:pPr>
      <w:r/>
      <w:r>
        <w:rPr>
          <w:rFonts w:ascii="Calibri" w:hAnsi="Calibri"/>
          <w:b/>
          <w:i w:val="0"/>
          <w:color w:val="1F3864"/>
          <w:sz w:val="26"/>
        </w:rPr>
        <w:t xml:space="preserve">HYPE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$80.9666   |   Composite +0.00   |   Indicateurs actifs : macd,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+3.0%  ·  volatilité annualisée +90.6%  ·  drawdown vs plus-haut -16.7%  ·  momentum 7j/30j/90j -14.0% / +1.7% / +23.6%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0.46)  ·  </w:t>
      </w:r>
      <w:r>
        <w:rPr>
          <w:rFonts w:ascii="Calibri" w:hAnsi="Calibri"/>
          <w:b w:val="0"/>
          <w:i w:val="0"/>
          <w:color w:val="1E7D32"/>
          <w:sz w:val="18"/>
        </w:rPr>
        <w:t>Risque vert (vol 0.91)</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~$80.9666  ·  </w:t>
      </w:r>
      <w:r>
        <w:rPr>
          <w:rFonts w:ascii="Calibri" w:hAnsi="Calibri"/>
          <w:b w:val="0"/>
          <w:i w:val="0"/>
          <w:color w:val="1E7D32"/>
          <w:sz w:val="18"/>
        </w:rPr>
        <w:t>vente ↑ $111.4428 (+38%)</w:t>
      </w:r>
      <w:r>
        <w:rPr>
          <w:rFonts w:ascii="Calibri" w:hAnsi="Calibri"/>
          <w:b w:val="0"/>
          <w:i w:val="0"/>
          <w:sz w:val="18"/>
        </w:rPr>
        <w:t xml:space="preserve">  ·  </w:t>
      </w:r>
      <w:r>
        <w:rPr>
          <w:rFonts w:ascii="Calibri" w:hAnsi="Calibri"/>
          <w:b w:val="0"/>
          <w:i w:val="0"/>
          <w:color w:val="C62828"/>
          <w:sz w:val="18"/>
        </w:rPr>
        <w:t>vente ↓ $65.4348 (-19%)</w:t>
      </w:r>
      <w:r>
        <w:rPr>
          <w:rFonts w:ascii="Calibri" w:hAnsi="Calibri"/>
          <w:b w:val="0"/>
          <w:i w:val="0"/>
          <w:sz w:val="18"/>
        </w:rPr>
        <w:t xml:space="preserve">  ·  détention ~23 j  ·  ratio G/P 1.96</w:t>
      </w:r>
    </w:p>
    <w:p>
      <w:pPr>
        <w:pStyle w:val="Heading2"/>
      </w:pPr>
      <w:r/>
      <w:r>
        <w:rPr>
          <w:rFonts w:ascii="Calibri" w:hAnsi="Calibri"/>
          <w:b/>
          <w:i w:val="0"/>
          <w:color w:val="1F3864"/>
          <w:sz w:val="26"/>
        </w:rPr>
        <w:t xml:space="preserve">DOGE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$0.082182   |   Composite +0.00   |   Indicateurs actifs : macd,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+2.7%  ·  volatilité annualisée +66.8%  ·  drawdown vs plus-haut -60.1%  ·  momentum 7j/30j/90j -13.9% / -3.1% / +10.4%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0.538)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-27%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~$0.082182  ·  </w:t>
      </w:r>
      <w:r>
        <w:rPr>
          <w:rFonts w:ascii="Calibri" w:hAnsi="Calibri"/>
          <w:b w:val="0"/>
          <w:i w:val="0"/>
          <w:color w:val="1E7D32"/>
          <w:sz w:val="18"/>
        </w:rPr>
        <w:t>vente ↑ $0.105502 (+28%)</w:t>
      </w:r>
      <w:r>
        <w:rPr>
          <w:rFonts w:ascii="Calibri" w:hAnsi="Calibri"/>
          <w:b w:val="0"/>
          <w:i w:val="0"/>
          <w:sz w:val="18"/>
        </w:rPr>
        <w:t xml:space="preserve">  ·  </w:t>
      </w:r>
      <w:r>
        <w:rPr>
          <w:rFonts w:ascii="Calibri" w:hAnsi="Calibri"/>
          <w:b w:val="0"/>
          <w:i w:val="0"/>
          <w:color w:val="C62828"/>
          <w:sz w:val="18"/>
        </w:rPr>
        <w:t>vente ↓ $0.069575 (-15%)</w:t>
      </w:r>
      <w:r>
        <w:rPr>
          <w:rFonts w:ascii="Calibri" w:hAnsi="Calibri"/>
          <w:b w:val="0"/>
          <w:i w:val="0"/>
          <w:sz w:val="18"/>
        </w:rPr>
        <w:t xml:space="preserve">  ·  détention ~31 j  ·  ratio G/P 1.85</w:t>
      </w:r>
    </w:p>
    <w:p>
      <w:pPr>
        <w:pStyle w:val="Heading2"/>
      </w:pPr>
      <w:r/>
      <w:r>
        <w:rPr>
          <w:rFonts w:ascii="Calibri" w:hAnsi="Calibri"/>
          <w:b/>
          <w:i w:val="0"/>
          <w:color w:val="1F3864"/>
          <w:sz w:val="26"/>
        </w:rPr>
        <w:t xml:space="preserve">XMR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$526.8518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+2.1%  ·  volatilité annualisée +83.2%  ·  drawdown vs plus-haut -25.3%  ·  momentum 7j/30j/90j -6.3% / -2.2% / +59.2%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rouge (AUC 0.636)  ·  </w:t>
      </w:r>
      <w:r>
        <w:rPr>
          <w:rFonts w:ascii="Calibri" w:hAnsi="Calibri"/>
          <w:b w:val="0"/>
          <w:i w:val="0"/>
          <w:color w:val="1E7D32"/>
          <w:sz w:val="18"/>
        </w:rPr>
        <w:t>Risque vert (vol 0.83)</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~$526.8518  ·  </w:t>
      </w:r>
      <w:r>
        <w:rPr>
          <w:rFonts w:ascii="Calibri" w:hAnsi="Calibri"/>
          <w:b w:val="0"/>
          <w:i w:val="0"/>
          <w:color w:val="1E7D32"/>
          <w:sz w:val="18"/>
        </w:rPr>
        <w:t>vente ↑ $695.4050 (+32%)</w:t>
      </w:r>
      <w:r>
        <w:rPr>
          <w:rFonts w:ascii="Calibri" w:hAnsi="Calibri"/>
          <w:b w:val="0"/>
          <w:i w:val="0"/>
          <w:sz w:val="18"/>
        </w:rPr>
        <w:t xml:space="preserve">  ·  </w:t>
      </w:r>
      <w:r>
        <w:rPr>
          <w:rFonts w:ascii="Calibri" w:hAnsi="Calibri"/>
          <w:b w:val="0"/>
          <w:i w:val="0"/>
          <w:color w:val="C62828"/>
          <w:sz w:val="18"/>
        </w:rPr>
        <w:t>vente ↓ $437.8469 (-17%)</w:t>
      </w:r>
      <w:r>
        <w:rPr>
          <w:rFonts w:ascii="Calibri" w:hAnsi="Calibri"/>
          <w:b w:val="0"/>
          <w:i w:val="0"/>
          <w:sz w:val="18"/>
        </w:rPr>
        <w:t xml:space="preserve">  ·  détention ~25 j  ·  ratio G/P 1.89</w:t>
      </w:r>
    </w:p>
    <w:p>
      <w:pPr>
        <w:pStyle w:val="Heading2"/>
      </w:pPr>
      <w:r/>
      <w:r>
        <w:rPr>
          <w:rFonts w:ascii="Calibri" w:hAnsi="Calibri"/>
          <w:b/>
          <w:i w:val="0"/>
          <w:color w:val="1F3864"/>
          <w:sz w:val="26"/>
        </w:rPr>
        <w:t xml:space="preserve">LINK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$12.6123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+3.3%  ·  volatilité annualisée +71.6%  ·  drawdown vs plus-haut -32.4%  ·  momentum 7j/30j/90j -9.0% / +9.7% / +51.3%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~$12.6123  ·  </w:t>
      </w:r>
      <w:r>
        <w:rPr>
          <w:rFonts w:ascii="Calibri" w:hAnsi="Calibri"/>
          <w:b w:val="0"/>
          <w:i w:val="0"/>
          <w:color w:val="1E7D32"/>
          <w:sz w:val="18"/>
        </w:rPr>
        <w:t>vente ↑ $16.2641 (+29%)</w:t>
      </w:r>
      <w:r>
        <w:rPr>
          <w:rFonts w:ascii="Calibri" w:hAnsi="Calibri"/>
          <w:b w:val="0"/>
          <w:i w:val="0"/>
          <w:sz w:val="18"/>
        </w:rPr>
        <w:t xml:space="preserve">  ·  </w:t>
      </w:r>
      <w:r>
        <w:rPr>
          <w:rFonts w:ascii="Calibri" w:hAnsi="Calibri"/>
          <w:b w:val="0"/>
          <w:i w:val="0"/>
          <w:color w:val="C62828"/>
          <w:sz w:val="18"/>
        </w:rPr>
        <w:t>vente ↓ $10.6456 (-16%)</w:t>
      </w:r>
      <w:r>
        <w:rPr>
          <w:rFonts w:ascii="Calibri" w:hAnsi="Calibri"/>
          <w:b w:val="0"/>
          <w:i w:val="0"/>
          <w:sz w:val="18"/>
        </w:rPr>
        <w:t xml:space="preserve">  ·  détention ~29 j  ·  ratio G/P 1.86</w:t>
      </w:r>
    </w:p>
    <w:p>
      <w:pPr>
        <w:pStyle w:val="Heading2"/>
      </w:pPr>
      <w:r/>
      <w:r>
        <w:rPr>
          <w:rFonts w:ascii="Calibri" w:hAnsi="Calibri"/>
          <w:b/>
          <w:i w:val="0"/>
          <w:color w:val="1F3864"/>
          <w:sz w:val="26"/>
        </w:rPr>
        <w:t xml:space="preserve">WBT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$80.2129   |   Composite -0.50   |   Indicateurs actifs :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+1.4%  ·  volatilité annualisée +54.4%  ·  drawdown vs plus-haut -8.0%  ·  momentum 7j/30j/90j -6.4% / -0.1% / +41.6%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~$80.2129  ·  </w:t>
      </w:r>
      <w:r>
        <w:rPr>
          <w:rFonts w:ascii="Calibri" w:hAnsi="Calibri"/>
          <w:b w:val="0"/>
          <w:i w:val="0"/>
          <w:color w:val="1E7D32"/>
          <w:sz w:val="18"/>
        </w:rPr>
        <w:t>vente ↑ $102.6698 (+28%)</w:t>
      </w:r>
      <w:r>
        <w:rPr>
          <w:rFonts w:ascii="Calibri" w:hAnsi="Calibri"/>
          <w:b w:val="0"/>
          <w:i w:val="0"/>
          <w:sz w:val="18"/>
        </w:rPr>
        <w:t xml:space="preserve">  ·  </w:t>
      </w:r>
      <w:r>
        <w:rPr>
          <w:rFonts w:ascii="Calibri" w:hAnsi="Calibri"/>
          <w:b w:val="0"/>
          <w:i w:val="0"/>
          <w:color w:val="C62828"/>
          <w:sz w:val="18"/>
        </w:rPr>
        <w:t>vente ↓ $68.0422 (-15%)</w:t>
      </w:r>
      <w:r>
        <w:rPr>
          <w:rFonts w:ascii="Calibri" w:hAnsi="Calibri"/>
          <w:b w:val="0"/>
          <w:i w:val="0"/>
          <w:sz w:val="18"/>
        </w:rPr>
        <w:t xml:space="preserve">  ·  détention ~39 j  ·  ratio G/P 1.85</w:t>
      </w:r>
    </w:p>
    <w:p>
      <w:pPr>
        <w:pStyle w:val="Heading2"/>
      </w:pPr>
      <w:r/>
      <w:r>
        <w:rPr>
          <w:rFonts w:ascii="Calibri" w:hAnsi="Calibri"/>
          <w:b/>
          <w:i w:val="0"/>
          <w:color w:val="1F3864"/>
          <w:sz w:val="26"/>
        </w:rPr>
        <w:t xml:space="preserve">ADA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$0.232856   |   Composite +0.00   |   Indicateurs actifs : rsi,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+3.6%  ·  volatilité annualisée +78.6%  ·  drawdown vs plus-haut -65.8%  ·  momentum 7j/30j/90j -13.9% / +12.3% / +40.8%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rouge (AUC 0.657)  ·  </w:t>
      </w:r>
      <w:r>
        <w:rPr>
          <w:rFonts w:ascii="Calibri" w:hAnsi="Calibri"/>
          <w:b w:val="0"/>
          <w:i w:val="0"/>
          <w:color w:val="1E7D32"/>
          <w:sz w:val="18"/>
        </w:rPr>
        <w:t>Risque vert (vol 0.79)</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~$0.232856  ·  </w:t>
      </w:r>
      <w:r>
        <w:rPr>
          <w:rFonts w:ascii="Calibri" w:hAnsi="Calibri"/>
          <w:b w:val="0"/>
          <w:i w:val="0"/>
          <w:color w:val="1E7D32"/>
          <w:sz w:val="18"/>
        </w:rPr>
        <w:t>vente ↑ $0.312661 (+34%)</w:t>
      </w:r>
      <w:r>
        <w:rPr>
          <w:rFonts w:ascii="Calibri" w:hAnsi="Calibri"/>
          <w:b w:val="0"/>
          <w:i w:val="0"/>
          <w:sz w:val="18"/>
        </w:rPr>
        <w:t xml:space="preserve">  ·  </w:t>
      </w:r>
      <w:r>
        <w:rPr>
          <w:rFonts w:ascii="Calibri" w:hAnsi="Calibri"/>
          <w:b w:val="0"/>
          <w:i w:val="0"/>
          <w:color w:val="C62828"/>
          <w:sz w:val="18"/>
        </w:rPr>
        <w:t>vente ↓ $0.191321 (-18%)</w:t>
      </w:r>
      <w:r>
        <w:rPr>
          <w:rFonts w:ascii="Calibri" w:hAnsi="Calibri"/>
          <w:b w:val="0"/>
          <w:i w:val="0"/>
          <w:sz w:val="18"/>
        </w:rPr>
        <w:t xml:space="preserve">  ·  détention ~27 j  ·  ratio G/P 1.92</w:t>
      </w:r>
    </w:p>
    <w:p>
      <w:pPr>
        <w:pStyle w:val="Heading2"/>
      </w:pPr>
      <w:r/>
      <w:r>
        <w:rPr>
          <w:rFonts w:ascii="Calibri" w:hAnsi="Calibri"/>
          <w:b/>
          <w:i w:val="0"/>
          <w:color w:val="1F3864"/>
          <w:sz w:val="26"/>
        </w:rPr>
        <w:t xml:space="preserve">LEO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$8.8956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+0.6%  ·  volatilité annualisée +54.6%  ·  drawdown vs plus-haut -15.7%  ·  momentum 7j/30j/90j -0.3% / -2.7% / -8.4%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rouge (AUC 0.58)  ·  </w:t>
      </w:r>
      <w:r>
        <w:rPr>
          <w:rFonts w:ascii="Calibri" w:hAnsi="Calibri"/>
          <w:b w:val="0"/>
          <w:i w:val="0"/>
          <w:color w:val="1E7D32"/>
          <w:sz w:val="18"/>
        </w:rPr>
        <w:t>Risque vert (vol 0.55)</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~$8.8956  ·  </w:t>
      </w:r>
      <w:r>
        <w:rPr>
          <w:rFonts w:ascii="Calibri" w:hAnsi="Calibri"/>
          <w:b w:val="0"/>
          <w:i w:val="0"/>
          <w:color w:val="1E7D32"/>
          <w:sz w:val="18"/>
        </w:rPr>
        <w:t>vente ↑ $10.0142 (+13%)</w:t>
      </w:r>
      <w:r>
        <w:rPr>
          <w:rFonts w:ascii="Calibri" w:hAnsi="Calibri"/>
          <w:b w:val="0"/>
          <w:i w:val="0"/>
          <w:sz w:val="18"/>
        </w:rPr>
        <w:t xml:space="preserve">  ·  </w:t>
      </w:r>
      <w:r>
        <w:rPr>
          <w:rFonts w:ascii="Calibri" w:hAnsi="Calibri"/>
          <w:b w:val="0"/>
          <w:i w:val="0"/>
          <w:color w:val="C62828"/>
          <w:sz w:val="18"/>
        </w:rPr>
        <w:t>vente ↓ $8.2201 (-8%)</w:t>
      </w:r>
      <w:r>
        <w:rPr>
          <w:rFonts w:ascii="Calibri" w:hAnsi="Calibri"/>
          <w:b w:val="0"/>
          <w:i w:val="0"/>
          <w:sz w:val="18"/>
        </w:rPr>
        <w:t xml:space="preserve">  ·  détention ~38 j  ·  ratio G/P 1.66</w:t>
      </w:r>
    </w:p>
    <w:p>
      <w:pPr>
        <w:pStyle w:val="Heading2"/>
      </w:pPr>
      <w:r/>
      <w:r>
        <w:rPr>
          <w:rFonts w:ascii="Calibri" w:hAnsi="Calibri"/>
          <w:b/>
          <w:i w:val="0"/>
          <w:color w:val="1F3864"/>
          <w:sz w:val="26"/>
        </w:rPr>
        <w:t xml:space="preserve">RAIN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$0.009843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+5.0%  ·  volatilité annualisée +117.2%  ·  drawdown vs plus-haut -45.8%  ·  momentum 7j/30j/90j -13.7% / -37.4% / -33.6%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0.568)  ·  </w:t>
      </w:r>
      <w:r>
        <w:rPr>
          <w:rFonts w:ascii="Calibri" w:hAnsi="Calibri"/>
          <w:b w:val="0"/>
          <w:i w:val="0"/>
          <w:color w:val="1E7D32"/>
          <w:sz w:val="18"/>
        </w:rPr>
        <w:t>Risque vert (vol 1.17)</w:t>
      </w:r>
    </w:p>
    <w:p>
      <w:r>
        <w:rPr>
          <w:rFonts w:ascii="Calibri" w:hAnsi="Calibri"/>
          <w:b/>
          <w:i w:val="0"/>
          <w:sz w:val="19"/>
        </w:rPr>
        <w:t xml:space="preserve">Projection 30j (fourchette, pas une prévision) : </w:t>
      </w:r>
      <w:r>
        <w:rPr>
          <w:rFonts w:ascii="Calibri" w:hAnsi="Calibri"/>
          <w:b w:val="0"/>
          <w:i w:val="0"/>
          <w:sz w:val="19"/>
        </w:rPr>
        <w:t>-41% à +70%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~$0.009843  ·  </w:t>
      </w:r>
      <w:r>
        <w:rPr>
          <w:rFonts w:ascii="Calibri" w:hAnsi="Calibri"/>
          <w:b w:val="0"/>
          <w:i w:val="0"/>
          <w:color w:val="1E7D32"/>
          <w:sz w:val="18"/>
        </w:rPr>
        <w:t>vente ↑ $0.013473 (+37%)</w:t>
      </w:r>
      <w:r>
        <w:rPr>
          <w:rFonts w:ascii="Calibri" w:hAnsi="Calibri"/>
          <w:b w:val="0"/>
          <w:i w:val="0"/>
          <w:sz w:val="18"/>
        </w:rPr>
        <w:t xml:space="preserve">  ·  </w:t>
      </w:r>
      <w:r>
        <w:rPr>
          <w:rFonts w:ascii="Calibri" w:hAnsi="Calibri"/>
          <w:b w:val="0"/>
          <w:i w:val="0"/>
          <w:color w:val="C62828"/>
          <w:sz w:val="18"/>
        </w:rPr>
        <w:t>vente ↓ $0.007984 (-19%)</w:t>
      </w:r>
      <w:r>
        <w:rPr>
          <w:rFonts w:ascii="Calibri" w:hAnsi="Calibri"/>
          <w:b w:val="0"/>
          <w:i w:val="0"/>
          <w:sz w:val="18"/>
        </w:rPr>
        <w:t xml:space="preserve">  ·  détention ~18 j  ·  ratio G/P 1.95</w:t>
      </w:r>
    </w:p>
    <w:p>
      <w:pPr>
        <w:pStyle w:val="Heading2"/>
      </w:pPr>
      <w:r/>
      <w:r>
        <w:rPr>
          <w:rFonts w:ascii="Calibri" w:hAnsi="Calibri"/>
          <w:b/>
          <w:i w:val="0"/>
          <w:color w:val="1F3864"/>
          <w:sz w:val="26"/>
        </w:rPr>
        <w:t xml:space="preserve">XLM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$0.190340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+3.5%  ·  volatilité annualisée +78.3%  ·  drawdown vs plus-haut -42.4%  ·  momentum 7j/30j/90j -11.7% / +5.8% / +3.2%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75)  ·  </w:t>
      </w:r>
      <w:r>
        <w:rPr>
          <w:rFonts w:ascii="Calibri" w:hAnsi="Calibri"/>
          <w:b w:val="0"/>
          <w:i w:val="0"/>
          <w:sz w:val="18"/>
        </w:rPr>
        <w:t xml:space="preserve">Prédiction vert (AUC 0.691)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~$0.190340  ·  </w:t>
      </w:r>
      <w:r>
        <w:rPr>
          <w:rFonts w:ascii="Calibri" w:hAnsi="Calibri"/>
          <w:b w:val="0"/>
          <w:i w:val="0"/>
          <w:color w:val="1E7D32"/>
          <w:sz w:val="18"/>
        </w:rPr>
        <w:t>vente ↑ $0.270284 (+42%)</w:t>
      </w:r>
      <w:r>
        <w:rPr>
          <w:rFonts w:ascii="Calibri" w:hAnsi="Calibri"/>
          <w:b w:val="0"/>
          <w:i w:val="0"/>
          <w:sz w:val="18"/>
        </w:rPr>
        <w:t xml:space="preserve">  ·  </w:t>
      </w:r>
      <w:r>
        <w:rPr>
          <w:rFonts w:ascii="Calibri" w:hAnsi="Calibri"/>
          <w:b w:val="0"/>
          <w:i w:val="0"/>
          <w:color w:val="C62828"/>
          <w:sz w:val="18"/>
        </w:rPr>
        <w:t>vente ↓ $0.150661 (-21%)</w:t>
      </w:r>
      <w:r>
        <w:rPr>
          <w:rFonts w:ascii="Calibri" w:hAnsi="Calibri"/>
          <w:b w:val="0"/>
          <w:i w:val="0"/>
          <w:sz w:val="18"/>
        </w:rPr>
        <w:t xml:space="preserve">  ·  détention ~27 j  ·  ratio G/P 2.01</w:t>
      </w:r>
    </w:p>
    <w:p>
      <w:pPr>
        <w:pStyle w:val="Heading2"/>
      </w:pPr>
      <w:r/>
      <w:r>
        <w:rPr>
          <w:rFonts w:ascii="Calibri" w:hAnsi="Calibri"/>
          <w:b/>
          <w:i w:val="0"/>
          <w:color w:val="1F3864"/>
          <w:sz w:val="26"/>
        </w:rPr>
        <w:t xml:space="preserve">NEAR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$5.0862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+7.0%  ·  volatilité annualisée +106.1%  ·  drawdown vs plus-haut -13.6%  ·  momentum 7j/30j/90j -3.8% / +114.6% / +153.0%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0.465)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-47% à +89%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~$5.0862  ·  </w:t>
      </w:r>
      <w:r>
        <w:rPr>
          <w:rFonts w:ascii="Calibri" w:hAnsi="Calibri"/>
          <w:b w:val="0"/>
          <w:i w:val="0"/>
          <w:color w:val="1E7D32"/>
          <w:sz w:val="18"/>
        </w:rPr>
        <w:t>vente ↑ $7.5669 (+49%)</w:t>
      </w:r>
      <w:r>
        <w:rPr>
          <w:rFonts w:ascii="Calibri" w:hAnsi="Calibri"/>
          <w:b w:val="0"/>
          <w:i w:val="0"/>
          <w:sz w:val="18"/>
        </w:rPr>
        <w:t xml:space="preserve">  ·  </w:t>
      </w:r>
      <w:r>
        <w:rPr>
          <w:rFonts w:ascii="Calibri" w:hAnsi="Calibri"/>
          <w:b w:val="0"/>
          <w:i w:val="0"/>
          <w:color w:val="C62828"/>
          <w:sz w:val="18"/>
        </w:rPr>
        <w:t>vente ↓ $3.9028 (-23%)</w:t>
      </w:r>
      <w:r>
        <w:rPr>
          <w:rFonts w:ascii="Calibri" w:hAnsi="Calibri"/>
          <w:b w:val="0"/>
          <w:i w:val="0"/>
          <w:sz w:val="18"/>
        </w:rPr>
        <w:t xml:space="preserve">  ·  détention ~20 j  ·  ratio G/P 2.1</w:t>
      </w:r>
    </w:p>
    <w:p>
      <w:pPr>
        <w:pStyle w:val="Heading2"/>
      </w:pPr>
      <w:r/>
      <w:r>
        <w:rPr>
          <w:rFonts w:ascii="Calibri" w:hAnsi="Calibri"/>
          <w:b/>
          <w:i w:val="0"/>
          <w:color w:val="1F3864"/>
          <w:sz w:val="26"/>
        </w:rPr>
        <w:t xml:space="preserve">BCH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$265.4749   |   Composite +0.00   |   Indicateurs actifs :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+3.5%  ·  volatilité annualisée +75.9%  ·  drawdown vs plus-haut -59.5%  ·  momentum 7j/30j/90j -16.2% / +17.3% / +12.2%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0.432)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-37%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~$265.4749  ·  </w:t>
      </w:r>
      <w:r>
        <w:rPr>
          <w:rFonts w:ascii="Calibri" w:hAnsi="Calibri"/>
          <w:b w:val="0"/>
          <w:i w:val="0"/>
          <w:color w:val="1E7D32"/>
          <w:sz w:val="18"/>
        </w:rPr>
        <w:t>vente ↑ $375.5450 (+41%)</w:t>
      </w:r>
      <w:r>
        <w:rPr>
          <w:rFonts w:ascii="Calibri" w:hAnsi="Calibri"/>
          <w:b w:val="0"/>
          <w:i w:val="0"/>
          <w:sz w:val="18"/>
        </w:rPr>
        <w:t xml:space="preserve">  ·  </w:t>
      </w:r>
      <w:r>
        <w:rPr>
          <w:rFonts w:ascii="Calibri" w:hAnsi="Calibri"/>
          <w:b w:val="0"/>
          <w:i w:val="0"/>
          <w:color w:val="C62828"/>
          <w:sz w:val="18"/>
        </w:rPr>
        <w:t>vente ↓ $210.6676 (-21%)</w:t>
      </w:r>
      <w:r>
        <w:rPr>
          <w:rFonts w:ascii="Calibri" w:hAnsi="Calibri"/>
          <w:b w:val="0"/>
          <w:i w:val="0"/>
          <w:sz w:val="18"/>
        </w:rPr>
        <w:t xml:space="preserve">  ·  détention ~28 j  ·  ratio G/P 2.01</w:t>
      </w:r>
    </w:p>
    <w:p>
      <w:pPr>
        <w:pStyle w:val="Heading2"/>
      </w:pPr>
      <w:r/>
      <w:r>
        <w:rPr>
          <w:rFonts w:ascii="Calibri" w:hAnsi="Calibri"/>
          <w:b/>
          <w:i w:val="0"/>
          <w:color w:val="1F3864"/>
          <w:sz w:val="26"/>
        </w:rPr>
        <w:t xml:space="preserve">BTW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$1.7468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+6.1%  ·  volatilité annualisée +290.4%  ·  drawdown vs plus-haut +0.0%  ·  momentum 7j/30j/90j +41.4% / +217.8% / +2898.5%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2.9)</w:t>
      </w:r>
    </w:p>
    <w:p>
      <w:r>
        <w:rPr>
          <w:rFonts w:ascii="Calibri" w:hAnsi="Calibri"/>
          <w:b/>
          <w:i w:val="0"/>
          <w:sz w:val="19"/>
        </w:rPr>
        <w:t xml:space="preserve">Projection 30j (fourchette, pas une prévision) : </w:t>
      </w:r>
      <w:r>
        <w:rPr>
          <w:rFonts w:ascii="Calibri" w:hAnsi="Calibri"/>
          <w:b w:val="0"/>
          <w:i w:val="0"/>
          <w:sz w:val="19"/>
        </w:rPr>
        <w:t>-82% à +453%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~$1.7468  ·  </w:t>
      </w:r>
      <w:r>
        <w:rPr>
          <w:rFonts w:ascii="Calibri" w:hAnsi="Calibri"/>
          <w:b w:val="0"/>
          <w:i w:val="0"/>
          <w:color w:val="1E7D32"/>
          <w:sz w:val="18"/>
        </w:rPr>
        <w:t>vente ↑ $3.2865 (+88%)</w:t>
      </w:r>
      <w:r>
        <w:rPr>
          <w:rFonts w:ascii="Calibri" w:hAnsi="Calibri"/>
          <w:b w:val="0"/>
          <w:i w:val="0"/>
          <w:sz w:val="18"/>
        </w:rPr>
        <w:t xml:space="preserve">  ·  </w:t>
      </w:r>
      <w:r>
        <w:rPr>
          <w:rFonts w:ascii="Calibri" w:hAnsi="Calibri"/>
          <w:b w:val="0"/>
          <w:i w:val="0"/>
          <w:color w:val="C62828"/>
          <w:sz w:val="18"/>
        </w:rPr>
        <w:t>vente ↓ $1.1461 (-34%)</w:t>
      </w:r>
      <w:r>
        <w:rPr>
          <w:rFonts w:ascii="Calibri" w:hAnsi="Calibri"/>
          <w:b w:val="0"/>
          <w:i w:val="0"/>
          <w:sz w:val="18"/>
        </w:rPr>
        <w:t xml:space="preserve">  ·  détention ~7 j  ·  ratio G/P 2.56</w:t>
      </w:r>
    </w:p>
    <w:p>
      <w:pPr>
        <w:pStyle w:val="Heading2"/>
      </w:pPr>
      <w:r/>
      <w:r>
        <w:rPr>
          <w:rFonts w:ascii="Calibri" w:hAnsi="Calibri"/>
          <w:b/>
          <w:i w:val="0"/>
          <w:color w:val="1F3864"/>
          <w:sz w:val="26"/>
        </w:rPr>
        <w:t xml:space="preserve">CC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$0.119744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+3.8%  ·  volatilité annualisée +96.8%  ·  drawdown vs plus-haut -36.4%  ·  momentum 7j/30j/90j -5.4% / +21.9% / -13.5%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~$0.119744  ·  </w:t>
      </w:r>
      <w:r>
        <w:rPr>
          <w:rFonts w:ascii="Calibri" w:hAnsi="Calibri"/>
          <w:b w:val="0"/>
          <w:i w:val="0"/>
          <w:color w:val="1E7D32"/>
          <w:sz w:val="18"/>
        </w:rPr>
        <w:t>vente ↑ $0.154619 (+29%)</w:t>
      </w:r>
      <w:r>
        <w:rPr>
          <w:rFonts w:ascii="Calibri" w:hAnsi="Calibri"/>
          <w:b w:val="0"/>
          <w:i w:val="0"/>
          <w:sz w:val="18"/>
        </w:rPr>
        <w:t xml:space="preserve">  ·  </w:t>
      </w:r>
      <w:r>
        <w:rPr>
          <w:rFonts w:ascii="Calibri" w:hAnsi="Calibri"/>
          <w:b w:val="0"/>
          <w:i w:val="0"/>
          <w:color w:val="C62828"/>
          <w:sz w:val="18"/>
        </w:rPr>
        <w:t>vente ↓ $0.100983 (-16%)</w:t>
      </w:r>
      <w:r>
        <w:rPr>
          <w:rFonts w:ascii="Calibri" w:hAnsi="Calibri"/>
          <w:b w:val="0"/>
          <w:i w:val="0"/>
          <w:sz w:val="18"/>
        </w:rPr>
        <w:t xml:space="preserve">  ·  détention ~22 j  ·  ratio G/P 1.86</w:t>
      </w:r>
    </w:p>
    <w:p>
      <w:pPr>
        <w:pStyle w:val="Heading2"/>
      </w:pPr>
      <w:r/>
      <w:r>
        <w:rPr>
          <w:rFonts w:ascii="Calibri" w:hAnsi="Calibri"/>
          <w:b/>
          <w:i w:val="0"/>
          <w:color w:val="1F3864"/>
          <w:sz w:val="26"/>
        </w:rPr>
        <w:t xml:space="preserve">LTC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$60.9832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+2.5%  ·  volatilité annualisée +58.0%  ·  drawdown vs plus-haut -44.6%  ·  momentum 7j/30j/90j -13.0% / +13.7% / +34.4%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0.58)</w:t>
      </w:r>
    </w:p>
    <w:p>
      <w:r>
        <w:rPr>
          <w:rFonts w:ascii="Calibri" w:hAnsi="Calibri"/>
          <w:b/>
          <w:i w:val="0"/>
          <w:sz w:val="19"/>
        </w:rPr>
        <w:t xml:space="preserve">Projection 30j (fourchette, pas une prévision) : </w:t>
      </w:r>
      <w:r>
        <w:rPr>
          <w:rFonts w:ascii="Calibri" w:hAnsi="Calibri"/>
          <w:b w:val="0"/>
          <w:i w:val="0"/>
          <w:sz w:val="19"/>
        </w:rPr>
        <w:t>-24% à +32%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~$60.9832  ·  </w:t>
      </w:r>
      <w:r>
        <w:rPr>
          <w:rFonts w:ascii="Calibri" w:hAnsi="Calibri"/>
          <w:b w:val="0"/>
          <w:i w:val="0"/>
          <w:color w:val="1E7D32"/>
          <w:sz w:val="18"/>
        </w:rPr>
        <w:t>vente ↑ $76.9433 (+26%)</w:t>
      </w:r>
      <w:r>
        <w:rPr>
          <w:rFonts w:ascii="Calibri" w:hAnsi="Calibri"/>
          <w:b w:val="0"/>
          <w:i w:val="0"/>
          <w:sz w:val="18"/>
        </w:rPr>
        <w:t xml:space="preserve">  ·  </w:t>
      </w:r>
      <w:r>
        <w:rPr>
          <w:rFonts w:ascii="Calibri" w:hAnsi="Calibri"/>
          <w:b w:val="0"/>
          <w:i w:val="0"/>
          <w:color w:val="C62828"/>
          <w:sz w:val="18"/>
        </w:rPr>
        <w:t>vente ↓ $52.2280 (-14%)</w:t>
      </w:r>
      <w:r>
        <w:rPr>
          <w:rFonts w:ascii="Calibri" w:hAnsi="Calibri"/>
          <w:b w:val="0"/>
          <w:i w:val="0"/>
          <w:sz w:val="18"/>
        </w:rPr>
        <w:t xml:space="preserve">  ·  détention ~36 j  ·  ratio G/P 1.82</w:t>
      </w:r>
    </w:p>
    <w:p>
      <w:pPr>
        <w:pStyle w:val="Heading2"/>
      </w:pPr>
      <w:r/>
      <w:r>
        <w:rPr>
          <w:rFonts w:ascii="Calibri" w:hAnsi="Calibri"/>
          <w:b/>
          <w:i w:val="0"/>
          <w:color w:val="1F3864"/>
          <w:sz w:val="26"/>
        </w:rPr>
        <w:t xml:space="preserve">UNI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$6.9729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+5.0%  ·  volatilité annualisée +97.4%  ·  drawdown vs plus-haut -31.8%  ·  momentum 7j/30j/90j -23.2% / +9.5% / +90.4%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0.659)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-39% à +64%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~$6.9729  ·  </w:t>
      </w:r>
      <w:r>
        <w:rPr>
          <w:rFonts w:ascii="Calibri" w:hAnsi="Calibri"/>
          <w:b w:val="0"/>
          <w:i w:val="0"/>
          <w:color w:val="1E7D32"/>
          <w:sz w:val="18"/>
        </w:rPr>
        <w:t>vente ↑ $9.6620 (+39%)</w:t>
      </w:r>
      <w:r>
        <w:rPr>
          <w:rFonts w:ascii="Calibri" w:hAnsi="Calibri"/>
          <w:b w:val="0"/>
          <w:i w:val="0"/>
          <w:sz w:val="18"/>
        </w:rPr>
        <w:t xml:space="preserve">  ·  </w:t>
      </w:r>
      <w:r>
        <w:rPr>
          <w:rFonts w:ascii="Calibri" w:hAnsi="Calibri"/>
          <w:b w:val="0"/>
          <w:i w:val="0"/>
          <w:color w:val="C62828"/>
          <w:sz w:val="18"/>
        </w:rPr>
        <w:t>vente ↓ $5.6102 (-20%)</w:t>
      </w:r>
      <w:r>
        <w:rPr>
          <w:rFonts w:ascii="Calibri" w:hAnsi="Calibri"/>
          <w:b w:val="0"/>
          <w:i w:val="0"/>
          <w:sz w:val="18"/>
        </w:rPr>
        <w:t xml:space="preserve">  ·  détention ~22 j  ·  ratio G/P 1.97</w:t>
      </w:r>
    </w:p>
    <w:p>
      <w:pPr>
        <w:pStyle w:val="Heading2"/>
      </w:pPr>
      <w:r/>
      <w:r>
        <w:rPr>
          <w:rFonts w:ascii="Calibri" w:hAnsi="Calibri"/>
          <w:b/>
          <w:i w:val="0"/>
          <w:color w:val="1F3864"/>
          <w:sz w:val="26"/>
        </w:rPr>
        <w:t xml:space="preserve">AVAX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$10.1397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+3.9%  ·  volatilité annualisée +73.4%  ·  drawdown vs plus-haut -51.3%  ·  momentum 7j/30j/90j -8.9% / +37.0% / +51.3%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-33%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~$10.1397  ·  </w:t>
      </w:r>
      <w:r>
        <w:rPr>
          <w:rFonts w:ascii="Calibri" w:hAnsi="Calibri"/>
          <w:b w:val="0"/>
          <w:i w:val="0"/>
          <w:color w:val="1E7D32"/>
          <w:sz w:val="18"/>
        </w:rPr>
        <w:t>vente ↑ $13.6442 (+35%)</w:t>
      </w:r>
      <w:r>
        <w:rPr>
          <w:rFonts w:ascii="Calibri" w:hAnsi="Calibri"/>
          <w:b w:val="0"/>
          <w:i w:val="0"/>
          <w:sz w:val="18"/>
        </w:rPr>
        <w:t xml:space="preserve">  ·  </w:t>
      </w:r>
      <w:r>
        <w:rPr>
          <w:rFonts w:ascii="Calibri" w:hAnsi="Calibri"/>
          <w:b w:val="0"/>
          <w:i w:val="0"/>
          <w:color w:val="C62828"/>
          <w:sz w:val="18"/>
        </w:rPr>
        <w:t>vente ↓ $8.3191 (-18%)</w:t>
      </w:r>
      <w:r>
        <w:rPr>
          <w:rFonts w:ascii="Calibri" w:hAnsi="Calibri"/>
          <w:b w:val="0"/>
          <w:i w:val="0"/>
          <w:sz w:val="18"/>
        </w:rPr>
        <w:t xml:space="preserve">  ·  détention ~29 j  ·  ratio G/P 1.92</w:t>
      </w:r>
    </w:p>
    <w:p>
      <w:pPr>
        <w:pStyle w:val="Heading2"/>
      </w:pPr>
      <w:r/>
      <w:r>
        <w:rPr>
          <w:rFonts w:ascii="Calibri" w:hAnsi="Calibri"/>
          <w:b/>
          <w:i w:val="0"/>
          <w:color w:val="1F3864"/>
          <w:sz w:val="26"/>
        </w:rPr>
        <w:t xml:space="preserve">SUI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$1.0278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+4.4%  ·  volatilité annualisée +85.2%  ·  drawdown vs plus-haut -61.6%  ·  momentum 7j/30j/90j -15.3% / +41.8% / +34.9%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~$1.0278  ·  </w:t>
      </w:r>
      <w:r>
        <w:rPr>
          <w:rFonts w:ascii="Calibri" w:hAnsi="Calibri"/>
          <w:b w:val="0"/>
          <w:i w:val="0"/>
          <w:color w:val="1E7D32"/>
          <w:sz w:val="18"/>
        </w:rPr>
        <w:t>vente ↑ $1.4110 (+37%)</w:t>
      </w:r>
      <w:r>
        <w:rPr>
          <w:rFonts w:ascii="Calibri" w:hAnsi="Calibri"/>
          <w:b w:val="0"/>
          <w:i w:val="0"/>
          <w:sz w:val="18"/>
        </w:rPr>
        <w:t xml:space="preserve">  ·  </w:t>
      </w:r>
      <w:r>
        <w:rPr>
          <w:rFonts w:ascii="Calibri" w:hAnsi="Calibri"/>
          <w:b w:val="0"/>
          <w:i w:val="0"/>
          <w:color w:val="C62828"/>
          <w:sz w:val="18"/>
        </w:rPr>
        <w:t>vente ↓ $0.832074 (-19%)</w:t>
      </w:r>
      <w:r>
        <w:rPr>
          <w:rFonts w:ascii="Calibri" w:hAnsi="Calibri"/>
          <w:b w:val="0"/>
          <w:i w:val="0"/>
          <w:sz w:val="18"/>
        </w:rPr>
        <w:t xml:space="preserve">  ·  détention ~25 j  ·  ratio G/P 1.96</w:t>
      </w:r>
    </w:p>
    <w:p>
      <w:pPr>
        <w:pStyle w:val="Heading2"/>
      </w:pPr>
      <w:r/>
      <w:r>
        <w:rPr>
          <w:rFonts w:ascii="Calibri" w:hAnsi="Calibri"/>
          <w:b/>
          <w:i w:val="0"/>
          <w:color w:val="1F3864"/>
          <w:sz w:val="26"/>
        </w:rPr>
        <w:t xml:space="preserve">GRAM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$1.3616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+3.1%  ·  volatilité annualisée +76.1%  ·  drawdown vs plus-haut -49.9%  ·  momentum 7j/30j/90j -10.6% / -1.7% / -15.9%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0.55)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~$1.3616  ·  </w:t>
      </w:r>
      <w:r>
        <w:rPr>
          <w:rFonts w:ascii="Calibri" w:hAnsi="Calibri"/>
          <w:b w:val="0"/>
          <w:i w:val="0"/>
          <w:color w:val="1E7D32"/>
          <w:sz w:val="18"/>
        </w:rPr>
        <w:t>vente ↑ $1.9521 (+43%)</w:t>
      </w:r>
      <w:r>
        <w:rPr>
          <w:rFonts w:ascii="Calibri" w:hAnsi="Calibri"/>
          <w:b w:val="0"/>
          <w:i w:val="0"/>
          <w:sz w:val="18"/>
        </w:rPr>
        <w:t xml:space="preserve">  ·  </w:t>
      </w:r>
      <w:r>
        <w:rPr>
          <w:rFonts w:ascii="Calibri" w:hAnsi="Calibri"/>
          <w:b w:val="0"/>
          <w:i w:val="0"/>
          <w:color w:val="C62828"/>
          <w:sz w:val="18"/>
        </w:rPr>
        <w:t>vente ↓ $1.0709 (-21%)</w:t>
      </w:r>
      <w:r>
        <w:rPr>
          <w:rFonts w:ascii="Calibri" w:hAnsi="Calibri"/>
          <w:b w:val="0"/>
          <w:i w:val="0"/>
          <w:sz w:val="18"/>
        </w:rPr>
        <w:t xml:space="preserve">  ·  détention ~28 j  ·  ratio G/P 2.03</w:t>
      </w:r>
    </w:p>
    <w:p>
      <w:pPr>
        <w:pStyle w:val="Heading2"/>
      </w:pPr>
      <w:r/>
      <w:r>
        <w:rPr>
          <w:rFonts w:ascii="Calibri" w:hAnsi="Calibri"/>
          <w:b/>
          <w:i w:val="0"/>
          <w:color w:val="1F3864"/>
          <w:sz w:val="26"/>
        </w:rPr>
        <w:t xml:space="preserve">HBAR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$0.086848   |   Composite -0.33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+4.3%  ·  volatilité annualisée +69.6%  ·  drawdown vs plus-haut -56.8%  ·  momentum 7j/30j/90j -14.6% / +16.3% / +29.0%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0.704)  ·  </w:t>
      </w:r>
      <w:r>
        <w:rPr>
          <w:rFonts w:ascii="Calibri" w:hAnsi="Calibri"/>
          <w:b w:val="0"/>
          <w:i w:val="0"/>
          <w:color w:val="1E7D32"/>
          <w:sz w:val="18"/>
        </w:rPr>
        <w:t>Risque vert (vol 0.7)</w:t>
      </w:r>
    </w:p>
    <w:p>
      <w:r>
        <w:rPr>
          <w:rFonts w:ascii="Calibri" w:hAnsi="Calibri"/>
          <w:b/>
          <w:i w:val="0"/>
          <w:sz w:val="19"/>
        </w:rPr>
        <w:t xml:space="preserve">Projection 30j (fourchette, pas une prévision) : </w:t>
      </w:r>
      <w:r>
        <w:rPr>
          <w:rFonts w:ascii="Calibri" w:hAnsi="Calibri"/>
          <w:b w:val="0"/>
          <w:i w:val="0"/>
          <w:sz w:val="19"/>
        </w:rPr>
        <w:t>-32%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~$0.086848  ·  </w:t>
      </w:r>
      <w:r>
        <w:rPr>
          <w:rFonts w:ascii="Calibri" w:hAnsi="Calibri"/>
          <w:b w:val="0"/>
          <w:i w:val="0"/>
          <w:color w:val="1E7D32"/>
          <w:sz w:val="18"/>
        </w:rPr>
        <w:t>vente ↑ $0.116106 (+34%)</w:t>
      </w:r>
      <w:r>
        <w:rPr>
          <w:rFonts w:ascii="Calibri" w:hAnsi="Calibri"/>
          <w:b w:val="0"/>
          <w:i w:val="0"/>
          <w:sz w:val="18"/>
        </w:rPr>
        <w:t xml:space="preserve">  ·  </w:t>
      </w:r>
      <w:r>
        <w:rPr>
          <w:rFonts w:ascii="Calibri" w:hAnsi="Calibri"/>
          <w:b w:val="0"/>
          <w:i w:val="0"/>
          <w:color w:val="C62828"/>
          <w:sz w:val="18"/>
        </w:rPr>
        <w:t>vente ↓ $0.071564 (-18%)</w:t>
      </w:r>
      <w:r>
        <w:rPr>
          <w:rFonts w:ascii="Calibri" w:hAnsi="Calibri"/>
          <w:b w:val="0"/>
          <w:i w:val="0"/>
          <w:sz w:val="18"/>
        </w:rPr>
        <w:t xml:space="preserve">  ·  détention ~30 j  ·  ratio G/P 1.91</w:t>
      </w:r>
    </w:p>
    <w:p>
      <w:pPr>
        <w:pStyle w:val="Heading2"/>
      </w:pPr>
      <w:r/>
      <w:r>
        <w:rPr>
          <w:rFonts w:ascii="Calibri" w:hAnsi="Calibri"/>
          <w:b/>
          <w:i w:val="0"/>
          <w:color w:val="1F3864"/>
          <w:sz w:val="26"/>
        </w:rPr>
        <w:t xml:space="preserve">XAUT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$4 165.96   |   Composite +0.00   |   Indicateurs actifs :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+0.7%  ·  volatilité annualisée +29.2%  ·  drawdown vs plus-haut -24.1%  ·  momentum 7j/30j/90j +0.7% / -4.2% / +2.9%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0.602)  ·  </w:t>
      </w:r>
      <w:r>
        <w:rPr>
          <w:rFonts w:ascii="Calibri" w:hAnsi="Calibri"/>
          <w:b w:val="0"/>
          <w:i w:val="0"/>
          <w:color w:val="1E7D32"/>
          <w:sz w:val="18"/>
        </w:rPr>
        <w:t>Risque vert (vol 0.29)</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~$4 165.96  ·  </w:t>
      </w:r>
      <w:r>
        <w:rPr>
          <w:rFonts w:ascii="Calibri" w:hAnsi="Calibri"/>
          <w:b w:val="0"/>
          <w:i w:val="0"/>
          <w:color w:val="1E7D32"/>
          <w:sz w:val="18"/>
        </w:rPr>
        <w:t>vente ↑ $4 701.57 (+13%)</w:t>
      </w:r>
      <w:r>
        <w:rPr>
          <w:rFonts w:ascii="Calibri" w:hAnsi="Calibri"/>
          <w:b w:val="0"/>
          <w:i w:val="0"/>
          <w:sz w:val="18"/>
        </w:rPr>
        <w:t xml:space="preserve">  ·  </w:t>
      </w:r>
      <w:r>
        <w:rPr>
          <w:rFonts w:ascii="Calibri" w:hAnsi="Calibri"/>
          <w:b w:val="0"/>
          <w:i w:val="0"/>
          <w:color w:val="C62828"/>
          <w:sz w:val="18"/>
        </w:rPr>
        <w:t>vente ↓ $3 843.23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TAO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$271.6865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+4.0%  ·  volatilité annualisée +99.9%  ·  drawdown vs plus-haut -45.4%  ·  momentum 7j/30j/90j -11.1% / +16.7% / +35.1%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0.607)  ·  </w:t>
      </w:r>
      <w:r>
        <w:rPr>
          <w:rFonts w:ascii="Calibri" w:hAnsi="Calibri"/>
          <w:b w:val="0"/>
          <w:i w:val="0"/>
          <w:color w:val="1E7D32"/>
          <w:sz w:val="18"/>
        </w:rPr>
        <w:t>Risque vert (vol 1.0)</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~$271.6865  ·  </w:t>
      </w:r>
      <w:r>
        <w:rPr>
          <w:rFonts w:ascii="Calibri" w:hAnsi="Calibri"/>
          <w:b w:val="0"/>
          <w:i w:val="0"/>
          <w:color w:val="1E7D32"/>
          <w:sz w:val="18"/>
        </w:rPr>
        <w:t>vente ↑ $366.0494 (+35%)</w:t>
      </w:r>
      <w:r>
        <w:rPr>
          <w:rFonts w:ascii="Calibri" w:hAnsi="Calibri"/>
          <w:b w:val="0"/>
          <w:i w:val="0"/>
          <w:sz w:val="18"/>
        </w:rPr>
        <w:t xml:space="preserve">  ·  </w:t>
      </w:r>
      <w:r>
        <w:rPr>
          <w:rFonts w:ascii="Calibri" w:hAnsi="Calibri"/>
          <w:b w:val="0"/>
          <w:i w:val="0"/>
          <w:color w:val="C62828"/>
          <w:sz w:val="18"/>
        </w:rPr>
        <w:t>vente ↓ $222.7171 (-18%)</w:t>
      </w:r>
      <w:r>
        <w:rPr>
          <w:rFonts w:ascii="Calibri" w:hAnsi="Calibri"/>
          <w:b w:val="0"/>
          <w:i w:val="0"/>
          <w:sz w:val="18"/>
        </w:rPr>
        <w:t xml:space="preserve">  ·  détention ~21 j  ·  ratio G/P 1.93</w:t>
      </w:r>
    </w:p>
    <w:p>
      <w:pPr>
        <w:pStyle w:val="Heading2"/>
      </w:pPr>
      <w:r/>
      <w:r>
        <w:rPr>
          <w:rFonts w:ascii="Calibri" w:hAnsi="Calibri"/>
          <w:b/>
          <w:i w:val="0"/>
          <w:color w:val="1F3864"/>
          <w:sz w:val="26"/>
        </w:rPr>
        <w:t xml:space="preserve">SHIB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$0.000005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+2.7%  ·  volatilité annualisée +67.2%  ·  drawdown vs plus-haut -51.1%  ·  momentum 7j/30j/90j -12.3% / -2.5% / +22.3%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-30% à +43%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~$0.000005  ·  </w:t>
      </w:r>
      <w:r>
        <w:rPr>
          <w:rFonts w:ascii="Calibri" w:hAnsi="Calibri"/>
          <w:b w:val="0"/>
          <w:i w:val="0"/>
          <w:color w:val="1E7D32"/>
          <w:sz w:val="18"/>
        </w:rPr>
        <w:t>vente ↑ $0.000007 (+32%)</w:t>
      </w:r>
      <w:r>
        <w:rPr>
          <w:rFonts w:ascii="Calibri" w:hAnsi="Calibri"/>
          <w:b w:val="0"/>
          <w:i w:val="0"/>
          <w:sz w:val="18"/>
        </w:rPr>
        <w:t xml:space="preserve">  ·  </w:t>
      </w:r>
      <w:r>
        <w:rPr>
          <w:rFonts w:ascii="Calibri" w:hAnsi="Calibri"/>
          <w:b w:val="0"/>
          <w:i w:val="0"/>
          <w:color w:val="C62828"/>
          <w:sz w:val="18"/>
        </w:rPr>
        <w:t>vente ↓ $0.000004 (-17%)</w:t>
      </w:r>
      <w:r>
        <w:rPr>
          <w:rFonts w:ascii="Calibri" w:hAnsi="Calibri"/>
          <w:b w:val="0"/>
          <w:i w:val="0"/>
          <w:sz w:val="18"/>
        </w:rPr>
        <w:t xml:space="preserve">  ·  détention ~31 j  ·  ratio G/P 1.89</w:t>
      </w:r>
    </w:p>
    <w:p>
      <w:pPr>
        <w:pStyle w:val="Heading2"/>
      </w:pPr>
      <w:r/>
      <w:r>
        <w:rPr>
          <w:rFonts w:ascii="Calibri" w:hAnsi="Calibri"/>
          <w:b/>
          <w:i w:val="0"/>
          <w:color w:val="1F3864"/>
          <w:sz w:val="26"/>
        </w:rPr>
        <w:t xml:space="preserve">QNT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$225.8458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+6.4%  ·  volatilité annualisée +110.2%  ·  drawdown vs plus-haut -21.4%  ·  momentum 7j/30j/90j -14.1% / +253.4% / +243.0%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w:t>
      </w:r>
    </w:p>
    <w:p>
      <w:r>
        <w:rPr>
          <w:rFonts w:ascii="Calibri" w:hAnsi="Calibri"/>
          <w:b/>
          <w:i w:val="0"/>
          <w:sz w:val="19"/>
        </w:rPr>
        <w:t xml:space="preserve">Projection 30j (fourchette, pas une prévision) : </w:t>
      </w:r>
      <w:r>
        <w:rPr>
          <w:rFonts w:ascii="Calibri" w:hAnsi="Calibri"/>
          <w:b w:val="0"/>
          <w:i w:val="0"/>
          <w:sz w:val="19"/>
        </w:rPr>
        <w:t>-53% à +112%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~$225.8458  ·  </w:t>
      </w:r>
      <w:r>
        <w:rPr>
          <w:rFonts w:ascii="Calibri" w:hAnsi="Calibri"/>
          <w:b w:val="0"/>
          <w:i w:val="0"/>
          <w:color w:val="1E7D32"/>
          <w:sz w:val="18"/>
        </w:rPr>
        <w:t>vente ↑ $356.9056 (+58%)</w:t>
      </w:r>
      <w:r>
        <w:rPr>
          <w:rFonts w:ascii="Calibri" w:hAnsi="Calibri"/>
          <w:b w:val="0"/>
          <w:i w:val="0"/>
          <w:sz w:val="18"/>
        </w:rPr>
        <w:t xml:space="preserve">  ·  </w:t>
      </w:r>
      <w:r>
        <w:rPr>
          <w:rFonts w:ascii="Calibri" w:hAnsi="Calibri"/>
          <w:b w:val="0"/>
          <w:i w:val="0"/>
          <w:color w:val="C62828"/>
          <w:sz w:val="18"/>
        </w:rPr>
        <w:t>vente ↓ $166.4630 (-26%)</w:t>
      </w:r>
      <w:r>
        <w:rPr>
          <w:rFonts w:ascii="Calibri" w:hAnsi="Calibri"/>
          <w:b w:val="0"/>
          <w:i w:val="0"/>
          <w:sz w:val="18"/>
        </w:rPr>
        <w:t xml:space="preserve">  ·  détention ~19 j  ·  ratio G/P 2.21</w:t>
      </w:r>
    </w:p>
    <w:p>
      <w:pPr>
        <w:pStyle w:val="Heading2"/>
      </w:pPr>
      <w:r/>
      <w:r>
        <w:rPr>
          <w:rFonts w:ascii="Calibri" w:hAnsi="Calibri"/>
          <w:b/>
          <w:i w:val="0"/>
          <w:color w:val="1F3864"/>
          <w:sz w:val="26"/>
        </w:rPr>
        <w:t xml:space="preserve">CRO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$0.058631   |   Composite -1.00   |   Indicateurs actifs : macd</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+3.1%  ·  volatilité annualisée +71.0%  ·  drawdown vs plus-haut -61.8%  ·  momentum 7j/30j/90j -15.2% / -3.0% / +5.1%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0.63)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~$0.058631  ·  </w:t>
      </w:r>
      <w:r>
        <w:rPr>
          <w:rFonts w:ascii="Calibri" w:hAnsi="Calibri"/>
          <w:b w:val="0"/>
          <w:i w:val="0"/>
          <w:color w:val="1E7D32"/>
          <w:sz w:val="18"/>
        </w:rPr>
        <w:t>vente ↑ $0.074429 (+27%)</w:t>
      </w:r>
      <w:r>
        <w:rPr>
          <w:rFonts w:ascii="Calibri" w:hAnsi="Calibri"/>
          <w:b w:val="0"/>
          <w:i w:val="0"/>
          <w:sz w:val="18"/>
        </w:rPr>
        <w:t xml:space="preserve">  ·  </w:t>
      </w:r>
      <w:r>
        <w:rPr>
          <w:rFonts w:ascii="Calibri" w:hAnsi="Calibri"/>
          <w:b w:val="0"/>
          <w:i w:val="0"/>
          <w:color w:val="C62828"/>
          <w:sz w:val="18"/>
        </w:rPr>
        <w:t>vente ↓ $0.050009 (-15%)</w:t>
      </w:r>
      <w:r>
        <w:rPr>
          <w:rFonts w:ascii="Calibri" w:hAnsi="Calibri"/>
          <w:b w:val="0"/>
          <w:i w:val="0"/>
          <w:sz w:val="18"/>
        </w:rPr>
        <w:t xml:space="preserve">  ·  détention ~30 j  ·  ratio G/P 1.83</w:t>
      </w:r>
    </w:p>
    <w:p>
      <w:pPr>
        <w:pStyle w:val="Heading2"/>
      </w:pPr>
      <w:r/>
      <w:r>
        <w:rPr>
          <w:rFonts w:ascii="Calibri" w:hAnsi="Calibri"/>
          <w:b/>
          <w:i w:val="0"/>
          <w:color w:val="1F3864"/>
          <w:sz w:val="26"/>
        </w:rPr>
        <w:t xml:space="preserve">ENA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$0.205788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+6.2%  ·  volatilité annualisée +106.7%  ·  drawdown vs plus-haut -59.6%  ·  momentum 7j/30j/90j -17.5% / +44.5% / +145.0%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1.07)</w:t>
      </w:r>
    </w:p>
    <w:p>
      <w:r>
        <w:rPr>
          <w:rFonts w:ascii="Calibri" w:hAnsi="Calibri"/>
          <w:b/>
          <w:i w:val="0"/>
          <w:sz w:val="19"/>
        </w:rPr>
        <w:t xml:space="preserve">Projection 30j (fourchette, pas une prévision) : </w:t>
      </w:r>
      <w:r>
        <w:rPr>
          <w:rFonts w:ascii="Calibri" w:hAnsi="Calibri"/>
          <w:b w:val="0"/>
          <w:i w:val="0"/>
          <w:sz w:val="19"/>
        </w:rPr>
        <w:t>-48% à +91%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~$0.205788  ·  </w:t>
      </w:r>
      <w:r>
        <w:rPr>
          <w:rFonts w:ascii="Calibri" w:hAnsi="Calibri"/>
          <w:b w:val="0"/>
          <w:i w:val="0"/>
          <w:color w:val="1E7D32"/>
          <w:sz w:val="18"/>
        </w:rPr>
        <w:t>vente ↑ $0.307932 (+50%)</w:t>
      </w:r>
      <w:r>
        <w:rPr>
          <w:rFonts w:ascii="Calibri" w:hAnsi="Calibri"/>
          <w:b w:val="0"/>
          <w:i w:val="0"/>
          <w:sz w:val="18"/>
        </w:rPr>
        <w:t xml:space="preserve">  ·  </w:t>
      </w:r>
      <w:r>
        <w:rPr>
          <w:rFonts w:ascii="Calibri" w:hAnsi="Calibri"/>
          <w:b w:val="0"/>
          <w:i w:val="0"/>
          <w:color w:val="C62828"/>
          <w:sz w:val="18"/>
        </w:rPr>
        <w:t>vente ↓ $0.157301 (-24%)</w:t>
      </w:r>
      <w:r>
        <w:rPr>
          <w:rFonts w:ascii="Calibri" w:hAnsi="Calibri"/>
          <w:b w:val="0"/>
          <w:i w:val="0"/>
          <w:sz w:val="18"/>
        </w:rPr>
        <w:t xml:space="preserve">  ·  détention ~20 j  ·  ratio G/P 2.11</w:t>
      </w:r>
    </w:p>
    <w:p>
      <w:pPr>
        <w:pStyle w:val="Heading2"/>
      </w:pPr>
      <w:r/>
      <w:r>
        <w:rPr>
          <w:rFonts w:ascii="Calibri" w:hAnsi="Calibri"/>
          <w:b/>
          <w:i w:val="0"/>
          <w:color w:val="1F3864"/>
          <w:sz w:val="26"/>
        </w:rPr>
        <w:t xml:space="preserve">OKB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$120.9469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+2.1%  ·  volatilité annualisée +78.6%  ·  drawdown vs plus-haut -28.9%  ·  momentum 7j/30j/90j -6.0% / +5.8% / +48.8%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0.58)  ·  </w:t>
      </w:r>
      <w:r>
        <w:rPr>
          <w:rFonts w:ascii="Calibri" w:hAnsi="Calibri"/>
          <w:b w:val="0"/>
          <w:i w:val="0"/>
          <w:color w:val="1E7D32"/>
          <w:sz w:val="18"/>
        </w:rPr>
        <w:t>Risque vert (vol 0.79)</w:t>
      </w:r>
    </w:p>
    <w:p>
      <w:r>
        <w:rPr>
          <w:rFonts w:ascii="Calibri" w:hAnsi="Calibri"/>
          <w:b/>
          <w:i w:val="0"/>
          <w:sz w:val="19"/>
        </w:rPr>
        <w:t xml:space="preserve">Projection 30j (fourchette, pas une prévision) : </w:t>
      </w:r>
      <w:r>
        <w:rPr>
          <w:rFonts w:ascii="Calibri" w:hAnsi="Calibri"/>
          <w:b w:val="0"/>
          <w:i w:val="0"/>
          <w:sz w:val="19"/>
        </w:rPr>
        <w:t>-23% à +29%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~$120.9469  ·  </w:t>
      </w:r>
      <w:r>
        <w:rPr>
          <w:rFonts w:ascii="Calibri" w:hAnsi="Calibri"/>
          <w:b w:val="0"/>
          <w:i w:val="0"/>
          <w:color w:val="1E7D32"/>
          <w:sz w:val="18"/>
        </w:rPr>
        <w:t>vente ↑ $145.8486 (+21%)</w:t>
      </w:r>
      <w:r>
        <w:rPr>
          <w:rFonts w:ascii="Calibri" w:hAnsi="Calibri"/>
          <w:b w:val="0"/>
          <w:i w:val="0"/>
          <w:sz w:val="18"/>
        </w:rPr>
        <w:t xml:space="preserve">  ·  </w:t>
      </w:r>
      <w:r>
        <w:rPr>
          <w:rFonts w:ascii="Calibri" w:hAnsi="Calibri"/>
          <w:b w:val="0"/>
          <w:i w:val="0"/>
          <w:color w:val="C62828"/>
          <w:sz w:val="18"/>
        </w:rPr>
        <w:t>vente ↓ $106.7554 (-12%)</w:t>
      </w:r>
      <w:r>
        <w:rPr>
          <w:rFonts w:ascii="Calibri" w:hAnsi="Calibri"/>
          <w:b w:val="0"/>
          <w:i w:val="0"/>
          <w:sz w:val="18"/>
        </w:rPr>
        <w:t xml:space="preserve">  ·  détention ~27 j  ·  ratio G/P 1.75</w:t>
      </w:r>
    </w:p>
    <w:p>
      <w:pPr>
        <w:pStyle w:val="Heading2"/>
      </w:pPr>
      <w:r/>
      <w:r>
        <w:rPr>
          <w:rFonts w:ascii="Calibri" w:hAnsi="Calibri"/>
          <w:b/>
          <w:i w:val="0"/>
          <w:color w:val="1F3864"/>
          <w:sz w:val="26"/>
        </w:rPr>
        <w:t xml:space="preserve">AAVE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$156.8380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+3.6%  ·  volatilité annualisée +86.3%  ·  drawdown vs plus-haut -34.8%  ·  momentum 7j/30j/90j -14.8% / +24.9% / +58.6%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0.598)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~$156.8380  ·  </w:t>
      </w:r>
      <w:r>
        <w:rPr>
          <w:rFonts w:ascii="Calibri" w:hAnsi="Calibri"/>
          <w:b w:val="0"/>
          <w:i w:val="0"/>
          <w:color w:val="1E7D32"/>
          <w:sz w:val="18"/>
        </w:rPr>
        <w:t>vente ↑ $215.8488 (+38%)</w:t>
      </w:r>
      <w:r>
        <w:rPr>
          <w:rFonts w:ascii="Calibri" w:hAnsi="Calibri"/>
          <w:b w:val="0"/>
          <w:i w:val="0"/>
          <w:sz w:val="18"/>
        </w:rPr>
        <w:t xml:space="preserve">  ·  </w:t>
      </w:r>
      <w:r>
        <w:rPr>
          <w:rFonts w:ascii="Calibri" w:hAnsi="Calibri"/>
          <w:b w:val="0"/>
          <w:i w:val="0"/>
          <w:color w:val="C62828"/>
          <w:sz w:val="18"/>
        </w:rPr>
        <w:t>vente ↓ $126.7611 (-19%)</w:t>
      </w:r>
      <w:r>
        <w:rPr>
          <w:rFonts w:ascii="Calibri" w:hAnsi="Calibri"/>
          <w:b w:val="0"/>
          <w:i w:val="0"/>
          <w:sz w:val="18"/>
        </w:rPr>
        <w:t xml:space="preserve">  ·  détention ~24 j  ·  ratio G/P 1.96</w:t>
      </w:r>
    </w:p>
    <w:p>
      <w:pPr>
        <w:pStyle w:val="Heading2"/>
      </w:pPr>
      <w:r/>
      <w:r>
        <w:rPr>
          <w:rFonts w:ascii="Calibri" w:hAnsi="Calibri"/>
          <w:b/>
          <w:i w:val="0"/>
          <w:color w:val="1F3864"/>
          <w:sz w:val="26"/>
        </w:rPr>
        <w:t xml:space="preserve">RLUSD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$1.0003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+0.4%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0.761)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~$1.0003  ·  </w:t>
      </w:r>
      <w:r>
        <w:rPr>
          <w:rFonts w:ascii="Calibri" w:hAnsi="Calibri"/>
          <w:b w:val="0"/>
          <w:i w:val="0"/>
          <w:color w:val="1E7D32"/>
          <w:sz w:val="18"/>
        </w:rPr>
        <w:t>vente ↑ $1.0016 (+0%)</w:t>
      </w:r>
      <w:r>
        <w:rPr>
          <w:rFonts w:ascii="Calibri" w:hAnsi="Calibri"/>
          <w:b w:val="0"/>
          <w:i w:val="0"/>
          <w:sz w:val="18"/>
        </w:rPr>
        <w:t xml:space="preserve">  ·  </w:t>
      </w:r>
      <w:r>
        <w:rPr>
          <w:rFonts w:ascii="Calibri" w:hAnsi="Calibri"/>
          <w:b w:val="0"/>
          <w:i w:val="0"/>
          <w:color w:val="C62828"/>
          <w:sz w:val="18"/>
        </w:rPr>
        <w:t>vente ↓ $0.999385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USYC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$1.1402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+0.0%  ·  volatilité annualisée +1.3%  ·  drawdown vs plus-haut +0.0%  ·  momentum 7j/30j/90j +0.1% / +0.3% / +1.4%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~$1.1402  ·  </w:t>
      </w:r>
      <w:r>
        <w:rPr>
          <w:rFonts w:ascii="Calibri" w:hAnsi="Calibri"/>
          <w:b w:val="0"/>
          <w:i w:val="0"/>
          <w:color w:val="1E7D32"/>
          <w:sz w:val="18"/>
        </w:rPr>
        <w:t>vente ↑ $1.1477 (+1%)</w:t>
      </w:r>
      <w:r>
        <w:rPr>
          <w:rFonts w:ascii="Calibri" w:hAnsi="Calibri"/>
          <w:b w:val="0"/>
          <w:i w:val="0"/>
          <w:sz w:val="18"/>
        </w:rPr>
        <w:t xml:space="preserve">  ·  </w:t>
      </w:r>
      <w:r>
        <w:rPr>
          <w:rFonts w:ascii="Calibri" w:hAnsi="Calibri"/>
          <w:b w:val="0"/>
          <w:i w:val="0"/>
          <w:color w:val="C62828"/>
          <w:sz w:val="18"/>
        </w:rPr>
        <w:t>vente ↓ $1.1353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USDY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$1.1453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+0.1%  ·  volatilité annualisée +32.3%  ·  drawdown vs plus-haut -15.8%  ·  momentum 7j/30j/90j -0.3% / +0.1% / +0.6%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42)  ·  </w:t>
      </w:r>
      <w:r>
        <w:rPr>
          <w:rFonts w:ascii="Calibri" w:hAnsi="Calibri"/>
          <w:b w:val="0"/>
          <w:i w:val="0"/>
          <w:sz w:val="18"/>
        </w:rPr>
        <w:t xml:space="preserve">Prédiction rouge (AUC 0.652)  ·  </w:t>
      </w:r>
      <w:r>
        <w:rPr>
          <w:rFonts w:ascii="Calibri" w:hAnsi="Calibri"/>
          <w:b w:val="0"/>
          <w:i w:val="0"/>
          <w:color w:val="1E7D32"/>
          <w:sz w:val="18"/>
        </w:rPr>
        <w:t>Risque vert (vol 0.32)</w:t>
      </w:r>
    </w:p>
    <w:p>
      <w:r>
        <w:rPr>
          <w:rFonts w:ascii="Calibri" w:hAnsi="Calibri"/>
          <w:b/>
          <w:i w:val="0"/>
          <w:sz w:val="19"/>
        </w:rPr>
        <w:t xml:space="preserve">Projection 30j (fourchette, pas une prévision) : </w:t>
      </w:r>
      <w:r>
        <w:rPr>
          <w:rFonts w:ascii="Calibri" w:hAnsi="Calibri"/>
          <w:b w:val="0"/>
          <w:i w:val="0"/>
          <w:sz w:val="19"/>
        </w:rPr>
        <w:t>-9% à +10%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~$1.1453  ·  </w:t>
      </w:r>
      <w:r>
        <w:rPr>
          <w:rFonts w:ascii="Calibri" w:hAnsi="Calibri"/>
          <w:b w:val="0"/>
          <w:i w:val="0"/>
          <w:color w:val="1E7D32"/>
          <w:sz w:val="18"/>
        </w:rPr>
        <w:t>vente ↑ $1.2517 (+9%)</w:t>
      </w:r>
      <w:r>
        <w:rPr>
          <w:rFonts w:ascii="Calibri" w:hAnsi="Calibri"/>
          <w:b w:val="0"/>
          <w:i w:val="0"/>
          <w:sz w:val="18"/>
        </w:rPr>
        <w:t xml:space="preserve">  ·  </w:t>
      </w:r>
      <w:r>
        <w:rPr>
          <w:rFonts w:ascii="Calibri" w:hAnsi="Calibri"/>
          <w:b w:val="0"/>
          <w:i w:val="0"/>
          <w:color w:val="C62828"/>
          <w:sz w:val="18"/>
        </w:rPr>
        <w:t>vente ↓ $1.0794 (-6%)</w:t>
      </w:r>
      <w:r>
        <w:rPr>
          <w:rFonts w:ascii="Calibri" w:hAnsi="Calibri"/>
          <w:b w:val="0"/>
          <w:i w:val="0"/>
          <w:sz w:val="18"/>
        </w:rPr>
        <w:t xml:space="preserve">  ·  détention ~45 j  ·  ratio G/P 1.62</w:t>
      </w:r>
    </w:p>
    <w:p>
      <w:pPr>
        <w:pStyle w:val="Heading2"/>
      </w:pPr>
      <w:r/>
      <w:r>
        <w:rPr>
          <w:rFonts w:ascii="Calibri" w:hAnsi="Calibri"/>
          <w:b/>
          <w:i w:val="0"/>
          <w:color w:val="1F3864"/>
          <w:sz w:val="26"/>
        </w:rPr>
        <w:t xml:space="preserve">PUMP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$0.004969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+5.9%  ·  volatilité annualisée +122.1%  ·  drawdown vs plus-haut -23.8%  ·  momentum 7j/30j/90j -23.1% / +31.5% / +228.6%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0.441)  ·  </w:t>
      </w:r>
      <w:r>
        <w:rPr>
          <w:rFonts w:ascii="Calibri" w:hAnsi="Calibri"/>
          <w:b w:val="0"/>
          <w:i w:val="0"/>
          <w:color w:val="1E7D32"/>
          <w:sz w:val="18"/>
        </w:rPr>
        <w:t>Risque vert (vol 1.22)</w:t>
      </w:r>
    </w:p>
    <w:p>
      <w:r>
        <w:rPr>
          <w:rFonts w:ascii="Calibri" w:hAnsi="Calibri"/>
          <w:b/>
          <w:i w:val="0"/>
          <w:sz w:val="19"/>
        </w:rPr>
        <w:t xml:space="preserve">Projection 30j (fourchette, pas une prévision) : </w:t>
      </w:r>
      <w:r>
        <w:rPr>
          <w:rFonts w:ascii="Calibri" w:hAnsi="Calibri"/>
          <w:b w:val="0"/>
          <w:i w:val="0"/>
          <w:sz w:val="19"/>
        </w:rPr>
        <w:t>-50% à +98%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~$0.004969  ·  </w:t>
      </w:r>
      <w:r>
        <w:rPr>
          <w:rFonts w:ascii="Calibri" w:hAnsi="Calibri"/>
          <w:b w:val="0"/>
          <w:i w:val="0"/>
          <w:color w:val="1E7D32"/>
          <w:sz w:val="18"/>
        </w:rPr>
        <w:t>vente ↑ $0.007367 (+48%)</w:t>
      </w:r>
      <w:r>
        <w:rPr>
          <w:rFonts w:ascii="Calibri" w:hAnsi="Calibri"/>
          <w:b w:val="0"/>
          <w:i w:val="0"/>
          <w:sz w:val="18"/>
        </w:rPr>
        <w:t xml:space="preserve">  ·  </w:t>
      </w:r>
      <w:r>
        <w:rPr>
          <w:rFonts w:ascii="Calibri" w:hAnsi="Calibri"/>
          <w:b w:val="0"/>
          <w:i w:val="0"/>
          <w:color w:val="C62828"/>
          <w:sz w:val="18"/>
        </w:rPr>
        <w:t>vente ↓ $0.003822 (-23%)</w:t>
      </w:r>
      <w:r>
        <w:rPr>
          <w:rFonts w:ascii="Calibri" w:hAnsi="Calibri"/>
          <w:b w:val="0"/>
          <w:i w:val="0"/>
          <w:sz w:val="18"/>
        </w:rPr>
        <w:t xml:space="preserve">  ·  détention ~17 j  ·  ratio G/P 2.09</w:t>
      </w:r>
    </w:p>
    <w:p>
      <w:pPr>
        <w:pStyle w:val="Heading2"/>
      </w:pPr>
      <w:r/>
      <w:r>
        <w:rPr>
          <w:rFonts w:ascii="Calibri" w:hAnsi="Calibri"/>
          <w:b/>
          <w:i w:val="0"/>
          <w:color w:val="1F3864"/>
          <w:sz w:val="26"/>
        </w:rPr>
        <w:t xml:space="preserve">ONDO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$0.469270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+4.1%  ·  volatilité annualisée +102.8%  ·  drawdown vs plus-haut -38.7%  ·  momentum 7j/30j/90j -6.0% / +34.6% / +49.1%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0.578)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-42%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~$0.469270  ·  </w:t>
      </w:r>
      <w:r>
        <w:rPr>
          <w:rFonts w:ascii="Calibri" w:hAnsi="Calibri"/>
          <w:b w:val="0"/>
          <w:i w:val="0"/>
          <w:color w:val="1E7D32"/>
          <w:sz w:val="18"/>
        </w:rPr>
        <w:t>vente ↑ $0.662473 (+41%)</w:t>
      </w:r>
      <w:r>
        <w:rPr>
          <w:rFonts w:ascii="Calibri" w:hAnsi="Calibri"/>
          <w:b w:val="0"/>
          <w:i w:val="0"/>
          <w:sz w:val="18"/>
        </w:rPr>
        <w:t xml:space="preserve">  ·  </w:t>
      </w:r>
      <w:r>
        <w:rPr>
          <w:rFonts w:ascii="Calibri" w:hAnsi="Calibri"/>
          <w:b w:val="0"/>
          <w:i w:val="0"/>
          <w:color w:val="C62828"/>
          <w:sz w:val="18"/>
        </w:rPr>
        <w:t>vente ↓ $0.372900 (-21%)</w:t>
      </w:r>
      <w:r>
        <w:rPr>
          <w:rFonts w:ascii="Calibri" w:hAnsi="Calibri"/>
          <w:b w:val="0"/>
          <w:i w:val="0"/>
          <w:sz w:val="18"/>
        </w:rPr>
        <w:t xml:space="preserve">  ·  détention ~20 j  ·  ratio G/P 2.0</w:t>
      </w:r>
    </w:p>
    <w:p>
      <w:pPr>
        <w:pStyle w:val="Heading2"/>
      </w:pPr>
      <w:r/>
      <w:r>
        <w:rPr>
          <w:rFonts w:ascii="Calibri" w:hAnsi="Calibri"/>
          <w:b/>
          <w:i w:val="0"/>
          <w:color w:val="1F3864"/>
          <w:sz w:val="26"/>
        </w:rPr>
        <w:t xml:space="preserve">BUIDL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$1.000000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+0.0%  ·  volatilité annualisée +0.0%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~$1.000000  ·  </w:t>
      </w:r>
      <w:r>
        <w:rPr>
          <w:rFonts w:ascii="Calibri" w:hAnsi="Calibri"/>
          <w:b w:val="0"/>
          <w:i w:val="0"/>
          <w:color w:val="1E7D32"/>
          <w:sz w:val="18"/>
        </w:rPr>
        <w:t>vente ↑ $1.0000 (+0%)</w:t>
      </w:r>
      <w:r>
        <w:rPr>
          <w:rFonts w:ascii="Calibri" w:hAnsi="Calibri"/>
          <w:b w:val="0"/>
          <w:i w:val="0"/>
          <w:sz w:val="18"/>
        </w:rPr>
        <w:t xml:space="preserve">  ·  </w:t>
      </w:r>
      <w:r>
        <w:rPr>
          <w:rFonts w:ascii="Calibri" w:hAnsi="Calibri"/>
          <w:b w:val="0"/>
          <w:i w:val="0"/>
          <w:color w:val="C62828"/>
          <w:sz w:val="18"/>
        </w:rPr>
        <w:t>vente ↓ $1.000000 (-0%)</w:t>
      </w:r>
      <w:r>
        <w:rPr>
          <w:rFonts w:ascii="Calibri" w:hAnsi="Calibri"/>
          <w:b w:val="0"/>
          <w:i w:val="0"/>
          <w:sz w:val="18"/>
        </w:rPr>
        <w:t xml:space="preserve">  ·  détention ~45 j  ·  ratio G/P 2.0</w:t>
      </w:r>
    </w:p>
    <w:p>
      <w:pPr>
        <w:pStyle w:val="Heading2"/>
      </w:pPr>
      <w:r/>
      <w:r>
        <w:rPr>
          <w:rFonts w:ascii="Calibri" w:hAnsi="Calibri"/>
          <w:b/>
          <w:i w:val="0"/>
          <w:color w:val="1F3864"/>
          <w:sz w:val="26"/>
        </w:rPr>
        <w:t xml:space="preserve">DOT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$1.1679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+3.9%  ·  volatilité annualisée +81.7%  ·  drawdown vs plus-haut -64.2%  ·  momentum 7j/30j/90j -5.1% / +14.7% / +37.1%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0.672)  ·  </w:t>
      </w:r>
      <w:r>
        <w:rPr>
          <w:rFonts w:ascii="Calibri" w:hAnsi="Calibri"/>
          <w:b w:val="0"/>
          <w:i w:val="0"/>
          <w:color w:val="1E7D32"/>
          <w:sz w:val="18"/>
        </w:rPr>
        <w:t>Risque vert (vol 0.82)</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~$1.1679  ·  </w:t>
      </w:r>
      <w:r>
        <w:rPr>
          <w:rFonts w:ascii="Calibri" w:hAnsi="Calibri"/>
          <w:b w:val="0"/>
          <w:i w:val="0"/>
          <w:color w:val="1E7D32"/>
          <w:sz w:val="18"/>
        </w:rPr>
        <w:t>vente ↑ $1.5531 (+33%)</w:t>
      </w:r>
      <w:r>
        <w:rPr>
          <w:rFonts w:ascii="Calibri" w:hAnsi="Calibri"/>
          <w:b w:val="0"/>
          <w:i w:val="0"/>
          <w:sz w:val="18"/>
        </w:rPr>
        <w:t xml:space="preserve">  ·  </w:t>
      </w:r>
      <w:r>
        <w:rPr>
          <w:rFonts w:ascii="Calibri" w:hAnsi="Calibri"/>
          <w:b w:val="0"/>
          <w:i w:val="0"/>
          <w:color w:val="C62828"/>
          <w:sz w:val="18"/>
        </w:rPr>
        <w:t>vente ↓ $0.965739 (-17%)</w:t>
      </w:r>
      <w:r>
        <w:rPr>
          <w:rFonts w:ascii="Calibri" w:hAnsi="Calibri"/>
          <w:b w:val="0"/>
          <w:i w:val="0"/>
          <w:sz w:val="18"/>
        </w:rPr>
        <w:t xml:space="preserve">  ·  détention ~26 j  ·  ratio G/P 1.91</w:t>
      </w:r>
    </w:p>
    <w:p>
      <w:pPr>
        <w:pStyle w:val="Heading2"/>
      </w:pPr>
      <w:r/>
      <w:r>
        <w:rPr>
          <w:rFonts w:ascii="Calibri" w:hAnsi="Calibri"/>
          <w:b/>
          <w:i w:val="0"/>
          <w:color w:val="1F3864"/>
          <w:sz w:val="26"/>
        </w:rPr>
        <w:t xml:space="preserve">M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$0.904633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+4.1%  ·  volatilité annualisée +173.8%  ·  drawdown vs plus-haut -80.2%  ·  momentum 7j/30j/90j -11.0% / -23.4% / -26.5%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0.537)  ·  </w:t>
      </w:r>
      <w:r>
        <w:rPr>
          <w:rFonts w:ascii="Calibri" w:hAnsi="Calibri"/>
          <w:b w:val="0"/>
          <w:i w:val="0"/>
          <w:color w:val="C62828"/>
          <w:sz w:val="18"/>
        </w:rPr>
        <w:t>Risque rouge (vol 1.74)</w:t>
      </w:r>
    </w:p>
    <w:p>
      <w:r>
        <w:rPr>
          <w:rFonts w:ascii="Calibri" w:hAnsi="Calibri"/>
          <w:b/>
          <w:i w:val="0"/>
          <w:sz w:val="19"/>
        </w:rPr>
        <w:t xml:space="preserve">Projection 30j (fourchette, pas une prévision) : </w:t>
      </w:r>
      <w:r>
        <w:rPr>
          <w:rFonts w:ascii="Calibri" w:hAnsi="Calibri"/>
          <w:b w:val="0"/>
          <w:i w:val="0"/>
          <w:sz w:val="19"/>
        </w:rPr>
        <w:t>-68% à +217%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~$0.904633  ·  </w:t>
      </w:r>
      <w:r>
        <w:rPr>
          <w:rFonts w:ascii="Calibri" w:hAnsi="Calibri"/>
          <w:b w:val="0"/>
          <w:i w:val="0"/>
          <w:color w:val="1E7D32"/>
          <w:sz w:val="18"/>
        </w:rPr>
        <w:t>vente ↑ $1.5818 (+75%)</w:t>
      </w:r>
      <w:r>
        <w:rPr>
          <w:rFonts w:ascii="Calibri" w:hAnsi="Calibri"/>
          <w:b w:val="0"/>
          <w:i w:val="0"/>
          <w:sz w:val="18"/>
        </w:rPr>
        <w:t xml:space="preserve">  ·  </w:t>
      </w:r>
      <w:r>
        <w:rPr>
          <w:rFonts w:ascii="Calibri" w:hAnsi="Calibri"/>
          <w:b w:val="0"/>
          <w:i w:val="0"/>
          <w:color w:val="C62828"/>
          <w:sz w:val="18"/>
        </w:rPr>
        <w:t>vente ↓ $0.623283 (-31%)</w:t>
      </w:r>
      <w:r>
        <w:rPr>
          <w:rFonts w:ascii="Calibri" w:hAnsi="Calibri"/>
          <w:b w:val="0"/>
          <w:i w:val="0"/>
          <w:sz w:val="18"/>
        </w:rPr>
        <w:t xml:space="preserve">  ·  détention ~12 j  ·  ratio G/P 2.41</w:t>
      </w:r>
    </w:p>
    <w:p>
      <w:pPr>
        <w:pStyle w:val="Heading2"/>
      </w:pPr>
      <w:r/>
      <w:r>
        <w:rPr>
          <w:rFonts w:ascii="Calibri" w:hAnsi="Calibri"/>
          <w:b/>
          <w:i w:val="0"/>
          <w:color w:val="1F3864"/>
          <w:sz w:val="26"/>
        </w:rPr>
        <w:t xml:space="preserve">WLD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$0.498306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+6.0%  ·  volatilité annualisée +119.9%  ·  drawdown vs plus-haut -47.4%  ·  momentum 7j/30j/90j -13.4% / +24.8% / +20.3%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-53% à +113%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~$0.498306  ·  </w:t>
      </w:r>
      <w:r>
        <w:rPr>
          <w:rFonts w:ascii="Calibri" w:hAnsi="Calibri"/>
          <w:b w:val="0"/>
          <w:i w:val="0"/>
          <w:color w:val="1E7D32"/>
          <w:sz w:val="18"/>
        </w:rPr>
        <w:t>vente ↑ $0.779162 (+56%)</w:t>
      </w:r>
      <w:r>
        <w:rPr>
          <w:rFonts w:ascii="Calibri" w:hAnsi="Calibri"/>
          <w:b w:val="0"/>
          <w:i w:val="0"/>
          <w:sz w:val="18"/>
        </w:rPr>
        <w:t xml:space="preserve">  ·  </w:t>
      </w:r>
      <w:r>
        <w:rPr>
          <w:rFonts w:ascii="Calibri" w:hAnsi="Calibri"/>
          <w:b w:val="0"/>
          <w:i w:val="0"/>
          <w:color w:val="C62828"/>
          <w:sz w:val="18"/>
        </w:rPr>
        <w:t>vente ↓ $0.369892 (-26%)</w:t>
      </w:r>
      <w:r>
        <w:rPr>
          <w:rFonts w:ascii="Calibri" w:hAnsi="Calibri"/>
          <w:b w:val="0"/>
          <w:i w:val="0"/>
          <w:sz w:val="18"/>
        </w:rPr>
        <w:t xml:space="preserve">  ·  détention ~18 j  ·  ratio G/P 2.19</w:t>
      </w:r>
    </w:p>
    <w:p>
      <w:pPr>
        <w:pStyle w:val="Heading2"/>
      </w:pPr>
      <w:r/>
      <w:r>
        <w:rPr>
          <w:rFonts w:ascii="Calibri" w:hAnsi="Calibri"/>
          <w:b/>
          <w:i w:val="0"/>
          <w:color w:val="1F3864"/>
          <w:sz w:val="26"/>
        </w:rPr>
        <w:t xml:space="preserve">ASTER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$0.684677   |   Composite +0.33   |   Indicateurs actifs : rsi,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+2.2%  ·  volatilité annualisée +85.5%  ·  drawdown vs plus-haut -50.3%  ·  momentum 7j/30j/90j -7.1% / -0.4% / +8.6%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~$0.684677  ·  </w:t>
      </w:r>
      <w:r>
        <w:rPr>
          <w:rFonts w:ascii="Calibri" w:hAnsi="Calibri"/>
          <w:b w:val="0"/>
          <w:i w:val="0"/>
          <w:color w:val="1E7D32"/>
          <w:sz w:val="18"/>
        </w:rPr>
        <w:t>vente ↑ $0.837480 (+22%)</w:t>
      </w:r>
      <w:r>
        <w:rPr>
          <w:rFonts w:ascii="Calibri" w:hAnsi="Calibri"/>
          <w:b w:val="0"/>
          <w:i w:val="0"/>
          <w:sz w:val="18"/>
        </w:rPr>
        <w:t xml:space="preserve">  ·  </w:t>
      </w:r>
      <w:r>
        <w:rPr>
          <w:rFonts w:ascii="Calibri" w:hAnsi="Calibri"/>
          <w:b w:val="0"/>
          <w:i w:val="0"/>
          <w:color w:val="C62828"/>
          <w:sz w:val="18"/>
        </w:rPr>
        <w:t>vente ↓ $0.598632 (-13%)</w:t>
      </w:r>
      <w:r>
        <w:rPr>
          <w:rFonts w:ascii="Calibri" w:hAnsi="Calibri"/>
          <w:b w:val="0"/>
          <w:i w:val="0"/>
          <w:sz w:val="18"/>
        </w:rPr>
        <w:t xml:space="preserve">  ·  détention ~25 j  ·  ratio G/P 1.78</w:t>
      </w:r>
    </w:p>
    <w:p>
      <w:pPr>
        <w:pStyle w:val="Heading2"/>
      </w:pPr>
      <w:r/>
      <w:r>
        <w:rPr>
          <w:rFonts w:ascii="Calibri" w:hAnsi="Calibri"/>
          <w:b/>
          <w:i w:val="0"/>
          <w:color w:val="1F3864"/>
          <w:sz w:val="26"/>
        </w:rPr>
        <w:t xml:space="preserve">PAXG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$4 168.60   |   Composite +0.00   |   Indicateurs actifs :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+0.6%  ·  volatilité annualisée +29.7%  ·  drawdown vs plus-haut -24.1%  ·  momentum 7j/30j/90j +0.6% / -4.3% / +3.0%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0.583)  ·  </w:t>
      </w:r>
      <w:r>
        <w:rPr>
          <w:rFonts w:ascii="Calibri" w:hAnsi="Calibri"/>
          <w:b w:val="0"/>
          <w:i w:val="0"/>
          <w:color w:val="1E7D32"/>
          <w:sz w:val="18"/>
        </w:rPr>
        <w:t>Risque vert (vol 0.3)</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~$4 168.60  ·  </w:t>
      </w:r>
      <w:r>
        <w:rPr>
          <w:rFonts w:ascii="Calibri" w:hAnsi="Calibri"/>
          <w:b w:val="0"/>
          <w:i w:val="0"/>
          <w:color w:val="1E7D32"/>
          <w:sz w:val="18"/>
        </w:rPr>
        <w:t>vente ↑ $4 711.18 (+13%)</w:t>
      </w:r>
      <w:r>
        <w:rPr>
          <w:rFonts w:ascii="Calibri" w:hAnsi="Calibri"/>
          <w:b w:val="0"/>
          <w:i w:val="0"/>
          <w:sz w:val="18"/>
        </w:rPr>
        <w:t xml:space="preserve">  ·  </w:t>
      </w:r>
      <w:r>
        <w:rPr>
          <w:rFonts w:ascii="Calibri" w:hAnsi="Calibri"/>
          <w:b w:val="0"/>
          <w:i w:val="0"/>
          <w:color w:val="C62828"/>
          <w:sz w:val="18"/>
        </w:rPr>
        <w:t>vente ↓ $3 842.06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WLFI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$0.056696   |   Composite +0.00   |   Indicateurs actifs : rsi,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+1.4%  ·  volatilité annualisée +73.4%  ·  drawdown vs plus-haut -68.5%  ·  momentum 7j/30j/90j +3.0% / -1.0% / -1.2%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0.568)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~$0.056696  ·  </w:t>
      </w:r>
      <w:r>
        <w:rPr>
          <w:rFonts w:ascii="Calibri" w:hAnsi="Calibri"/>
          <w:b w:val="0"/>
          <w:i w:val="0"/>
          <w:color w:val="1E7D32"/>
          <w:sz w:val="18"/>
        </w:rPr>
        <w:t>vente ↑ $0.071917 (+27%)</w:t>
      </w:r>
      <w:r>
        <w:rPr>
          <w:rFonts w:ascii="Calibri" w:hAnsi="Calibri"/>
          <w:b w:val="0"/>
          <w:i w:val="0"/>
          <w:sz w:val="18"/>
        </w:rPr>
        <w:t xml:space="preserve">  ·  </w:t>
      </w:r>
      <w:r>
        <w:rPr>
          <w:rFonts w:ascii="Calibri" w:hAnsi="Calibri"/>
          <w:b w:val="0"/>
          <w:i w:val="0"/>
          <w:color w:val="C62828"/>
          <w:sz w:val="18"/>
        </w:rPr>
        <w:t>vente ↓ $0.048384 (-15%)</w:t>
      </w:r>
      <w:r>
        <w:rPr>
          <w:rFonts w:ascii="Calibri" w:hAnsi="Calibri"/>
          <w:b w:val="0"/>
          <w:i w:val="0"/>
          <w:sz w:val="18"/>
        </w:rPr>
        <w:t xml:space="preserve">  ·  détention ~29 j  ·  ratio G/P 1.83</w:t>
      </w:r>
    </w:p>
    <w:p>
      <w:pPr>
        <w:pStyle w:val="Heading2"/>
      </w:pPr>
      <w:r/>
      <w:r>
        <w:rPr>
          <w:rFonts w:ascii="Calibri" w:hAnsi="Calibri"/>
          <w:b/>
          <w:i w:val="0"/>
          <w:color w:val="1F3864"/>
          <w:sz w:val="26"/>
        </w:rPr>
        <w:t xml:space="preserve">USDF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$0.994481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+4.1%  ·  drawdown vs plus-haut -0.6%  ·  momentum 7j/30j/90j -0.2% / -0.2%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0.04)</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~$0.994481  ·  </w:t>
      </w:r>
      <w:r>
        <w:rPr>
          <w:rFonts w:ascii="Calibri" w:hAnsi="Calibri"/>
          <w:b w:val="0"/>
          <w:i w:val="0"/>
          <w:color w:val="1E7D32"/>
          <w:sz w:val="18"/>
        </w:rPr>
        <w:t>vente ↑ $0.999095 (+0%)</w:t>
      </w:r>
      <w:r>
        <w:rPr>
          <w:rFonts w:ascii="Calibri" w:hAnsi="Calibri"/>
          <w:b w:val="0"/>
          <w:i w:val="0"/>
          <w:sz w:val="18"/>
        </w:rPr>
        <w:t xml:space="preserve">  ·  </w:t>
      </w:r>
      <w:r>
        <w:rPr>
          <w:rFonts w:ascii="Calibri" w:hAnsi="Calibri"/>
          <w:b w:val="0"/>
          <w:i w:val="0"/>
          <w:color w:val="C62828"/>
          <w:sz w:val="18"/>
        </w:rPr>
        <w:t>vente ↓ $0.991417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SKY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$0.075763   |   Composite +0.00   |   Indicateurs actifs : ma, rsi,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+4.7%  ·  volatilité annualisée +73.2%  ·  drawdown vs plus-haut -22.4%  ·  momentum 7j/30j/90j -13.5% / +20.2% / +24.1%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0.61)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~$0.075763  ·  </w:t>
      </w:r>
      <w:r>
        <w:rPr>
          <w:rFonts w:ascii="Calibri" w:hAnsi="Calibri"/>
          <w:b w:val="0"/>
          <w:i w:val="0"/>
          <w:color w:val="1E7D32"/>
          <w:sz w:val="18"/>
        </w:rPr>
        <w:t>vente ↑ $0.102023 (+35%)</w:t>
      </w:r>
      <w:r>
        <w:rPr>
          <w:rFonts w:ascii="Calibri" w:hAnsi="Calibri"/>
          <w:b w:val="0"/>
          <w:i w:val="0"/>
          <w:sz w:val="18"/>
        </w:rPr>
        <w:t xml:space="preserve">  ·  </w:t>
      </w:r>
      <w:r>
        <w:rPr>
          <w:rFonts w:ascii="Calibri" w:hAnsi="Calibri"/>
          <w:b w:val="0"/>
          <w:i w:val="0"/>
          <w:color w:val="C62828"/>
          <w:sz w:val="18"/>
        </w:rPr>
        <w:t>vente ↓ $0.062130 (-18%)</w:t>
      </w:r>
      <w:r>
        <w:rPr>
          <w:rFonts w:ascii="Calibri" w:hAnsi="Calibri"/>
          <w:b w:val="0"/>
          <w:i w:val="0"/>
          <w:sz w:val="18"/>
        </w:rPr>
        <w:t xml:space="preserve">  ·  détention ~29 j  ·  ratio G/P 1.93</w:t>
      </w:r>
    </w:p>
    <w:p>
      <w:pPr>
        <w:pStyle w:val="Heading2"/>
      </w:pPr>
      <w:r/>
      <w:r>
        <w:rPr>
          <w:rFonts w:ascii="Calibri" w:hAnsi="Calibri"/>
          <w:b/>
          <w:i w:val="0"/>
          <w:color w:val="1F3864"/>
          <w:sz w:val="26"/>
        </w:rPr>
        <w:t xml:space="preserve">MNT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$0.536882   |   Composite -1.00   |   Indicateurs actifs : macd</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+3.4%  ·  volatilité annualisée +76.3%  ·  drawdown vs plus-haut -71.1%  ·  momentum 7j/30j/90j -17.7% / -3.6% / +27.0%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0.509)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-30%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~$0.536882  ·  </w:t>
      </w:r>
      <w:r>
        <w:rPr>
          <w:rFonts w:ascii="Calibri" w:hAnsi="Calibri"/>
          <w:b w:val="0"/>
          <w:i w:val="0"/>
          <w:color w:val="1E7D32"/>
          <w:sz w:val="18"/>
        </w:rPr>
        <w:t>vente ↑ $0.696426 (+30%)</w:t>
      </w:r>
      <w:r>
        <w:rPr>
          <w:rFonts w:ascii="Calibri" w:hAnsi="Calibri"/>
          <w:b w:val="0"/>
          <w:i w:val="0"/>
          <w:sz w:val="18"/>
        </w:rPr>
        <w:t xml:space="preserve">  ·  </w:t>
      </w:r>
      <w:r>
        <w:rPr>
          <w:rFonts w:ascii="Calibri" w:hAnsi="Calibri"/>
          <w:b w:val="0"/>
          <w:i w:val="0"/>
          <w:color w:val="C62828"/>
          <w:sz w:val="18"/>
        </w:rPr>
        <w:t>vente ↓ $0.451386 (-16%)</w:t>
      </w:r>
      <w:r>
        <w:rPr>
          <w:rFonts w:ascii="Calibri" w:hAnsi="Calibri"/>
          <w:b w:val="0"/>
          <w:i w:val="0"/>
          <w:sz w:val="18"/>
        </w:rPr>
        <w:t xml:space="preserve">  ·  détention ~28 j  ·  ratio G/P 1.87</w:t>
      </w:r>
    </w:p>
    <w:p>
      <w:pPr>
        <w:pStyle w:val="Heading2"/>
      </w:pPr>
      <w:r/>
      <w:r>
        <w:rPr>
          <w:rFonts w:ascii="Calibri" w:hAnsi="Calibri"/>
          <w:b/>
          <w:i w:val="0"/>
          <w:color w:val="1F3864"/>
          <w:sz w:val="26"/>
        </w:rPr>
        <w:t xml:space="preserve">ICP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$3.1160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+4.7%  ·  volatilité annualisée +102.9%  ·  drawdown vs plus-haut -65.3%  ·  momentum 7j/30j/90j -13.2% / +14.0% / +40.3%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-38%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~$3.1160  ·  </w:t>
      </w:r>
      <w:r>
        <w:rPr>
          <w:rFonts w:ascii="Calibri" w:hAnsi="Calibri"/>
          <w:b w:val="0"/>
          <w:i w:val="0"/>
          <w:color w:val="1E7D32"/>
          <w:sz w:val="18"/>
        </w:rPr>
        <w:t>vente ↑ $4.1853 (+34%)</w:t>
      </w:r>
      <w:r>
        <w:rPr>
          <w:rFonts w:ascii="Calibri" w:hAnsi="Calibri"/>
          <w:b w:val="0"/>
          <w:i w:val="0"/>
          <w:sz w:val="18"/>
        </w:rPr>
        <w:t xml:space="preserve">  ·  </w:t>
      </w:r>
      <w:r>
        <w:rPr>
          <w:rFonts w:ascii="Calibri" w:hAnsi="Calibri"/>
          <w:b w:val="0"/>
          <w:i w:val="0"/>
          <w:color w:val="C62828"/>
          <w:sz w:val="18"/>
        </w:rPr>
        <w:t>vente ↓ $2.5596 (-18%)</w:t>
      </w:r>
      <w:r>
        <w:rPr>
          <w:rFonts w:ascii="Calibri" w:hAnsi="Calibri"/>
          <w:b w:val="0"/>
          <w:i w:val="0"/>
          <w:sz w:val="18"/>
        </w:rPr>
        <w:t xml:space="preserve">  ·  détention ~20 j  ·  ratio G/P 1.92</w:t>
      </w:r>
    </w:p>
    <w:p>
      <w:pPr>
        <w:pStyle w:val="Heading2"/>
      </w:pPr>
      <w:r/>
      <w:r>
        <w:rPr>
          <w:rFonts w:ascii="Calibri" w:hAnsi="Calibri"/>
          <w:b/>
          <w:i w:val="0"/>
          <w:color w:val="1F3864"/>
          <w:sz w:val="26"/>
        </w:rPr>
        <w:t xml:space="preserve">PEPE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+3.9%  ·  volatilité annualisée +96.5%  ·  drawdown vs plus-haut -46.6%  ·  momentum 7j/30j/90j -10.8% / +14.2% / +39.1%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0.502)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~$0.000004  ·  </w:t>
      </w:r>
      <w:r>
        <w:rPr>
          <w:rFonts w:ascii="Calibri" w:hAnsi="Calibri"/>
          <w:b w:val="0"/>
          <w:i w:val="0"/>
          <w:color w:val="1E7D32"/>
          <w:sz w:val="18"/>
        </w:rPr>
        <w:t>vente ↑ $0.000005 (+35%)</w:t>
      </w:r>
      <w:r>
        <w:rPr>
          <w:rFonts w:ascii="Calibri" w:hAnsi="Calibri"/>
          <w:b w:val="0"/>
          <w:i w:val="0"/>
          <w:sz w:val="18"/>
        </w:rPr>
        <w:t xml:space="preserve">  ·  </w:t>
      </w:r>
      <w:r>
        <w:rPr>
          <w:rFonts w:ascii="Calibri" w:hAnsi="Calibri"/>
          <w:b w:val="0"/>
          <w:i w:val="0"/>
          <w:color w:val="C62828"/>
          <w:sz w:val="18"/>
        </w:rPr>
        <w:t>vente ↓ $0.000003 (-18%)</w:t>
      </w:r>
      <w:r>
        <w:rPr>
          <w:rFonts w:ascii="Calibri" w:hAnsi="Calibri"/>
          <w:b w:val="0"/>
          <w:i w:val="0"/>
          <w:sz w:val="18"/>
        </w:rPr>
        <w:t xml:space="preserve">  ·  détention ~22 j  ·  ratio G/P 1.93</w:t>
      </w:r>
    </w:p>
    <w:p>
      <w:pPr>
        <w:pStyle w:val="Heading2"/>
      </w:pPr>
      <w:r/>
      <w:r>
        <w:rPr>
          <w:rFonts w:ascii="Calibri" w:hAnsi="Calibri"/>
          <w:b/>
          <w:i w:val="0"/>
          <w:color w:val="1F3864"/>
          <w:sz w:val="26"/>
        </w:rPr>
        <w:t xml:space="preserve">MORPHO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$2.3051   |   Composite +0.50   |   Indicateurs actifs :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+3.5%  ·  volatilité annualisée +87.9%  ·  drawdown vs plus-haut -20.6%  ·  momentum 7j/30j/90j -14.8% / +4.0% / +11.8%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0.88)</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~$2.3051  ·  </w:t>
      </w:r>
      <w:r>
        <w:rPr>
          <w:rFonts w:ascii="Calibri" w:hAnsi="Calibri"/>
          <w:b w:val="0"/>
          <w:i w:val="0"/>
          <w:color w:val="1E7D32"/>
          <w:sz w:val="18"/>
        </w:rPr>
        <w:t>vente ↑ $3.1473 (+37%)</w:t>
      </w:r>
      <w:r>
        <w:rPr>
          <w:rFonts w:ascii="Calibri" w:hAnsi="Calibri"/>
          <w:b w:val="0"/>
          <w:i w:val="0"/>
          <w:sz w:val="18"/>
        </w:rPr>
        <w:t xml:space="preserve">  ·  </w:t>
      </w:r>
      <w:r>
        <w:rPr>
          <w:rFonts w:ascii="Calibri" w:hAnsi="Calibri"/>
          <w:b w:val="0"/>
          <w:i w:val="0"/>
          <w:color w:val="C62828"/>
          <w:sz w:val="18"/>
        </w:rPr>
        <w:t>vente ↓ $1.8729 (-19%)</w:t>
      </w:r>
      <w:r>
        <w:rPr>
          <w:rFonts w:ascii="Calibri" w:hAnsi="Calibri"/>
          <w:b w:val="0"/>
          <w:i w:val="0"/>
          <w:sz w:val="18"/>
        </w:rPr>
        <w:t xml:space="preserve">  ·  détention ~24 j  ·  ratio G/P 1.95</w:t>
      </w:r>
    </w:p>
    <w:p>
      <w:pPr>
        <w:pStyle w:val="Heading2"/>
      </w:pPr>
      <w:r/>
      <w:r>
        <w:rPr>
          <w:rFonts w:ascii="Calibri" w:hAnsi="Calibri"/>
          <w:b/>
          <w:i w:val="0"/>
          <w:color w:val="1F3864"/>
          <w:sz w:val="26"/>
        </w:rPr>
        <w:t xml:space="preserve">EURSAFO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$1.1325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+0.2%  ·  volatilité annualisée +4.7%  ·  drawdown vs plus-haut -4.4%  ·  momentum 7j/30j/90j -0.5% / -3.6% / -1.6%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0.05)</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~$1.1325  ·  </w:t>
      </w:r>
      <w:r>
        <w:rPr>
          <w:rFonts w:ascii="Calibri" w:hAnsi="Calibri"/>
          <w:b w:val="0"/>
          <w:i w:val="0"/>
          <w:color w:val="1E7D32"/>
          <w:sz w:val="18"/>
        </w:rPr>
        <w:t>vente ↑ $1.1611 (+3%)</w:t>
      </w:r>
      <w:r>
        <w:rPr>
          <w:rFonts w:ascii="Calibri" w:hAnsi="Calibri"/>
          <w:b w:val="0"/>
          <w:i w:val="0"/>
          <w:sz w:val="18"/>
        </w:rPr>
        <w:t xml:space="preserve">  ·  </w:t>
      </w:r>
      <w:r>
        <w:rPr>
          <w:rFonts w:ascii="Calibri" w:hAnsi="Calibri"/>
          <w:b w:val="0"/>
          <w:i w:val="0"/>
          <w:color w:val="C62828"/>
          <w:sz w:val="18"/>
        </w:rPr>
        <w:t>vente ↓ $1.1138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U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$0.999149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+0.5%  ·  drawdown vs plus-haut -0.2%  ·  momentum 7j/30j/90j -0.0% / -0.0%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vert (AUC 0.743)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~$0.999149  ·  </w:t>
      </w:r>
      <w:r>
        <w:rPr>
          <w:rFonts w:ascii="Calibri" w:hAnsi="Calibri"/>
          <w:b w:val="0"/>
          <w:i w:val="0"/>
          <w:color w:val="1E7D32"/>
          <w:sz w:val="18"/>
        </w:rPr>
        <w:t>vente ↑ $1.0010 (+0%)</w:t>
      </w:r>
      <w:r>
        <w:rPr>
          <w:rFonts w:ascii="Calibri" w:hAnsi="Calibri"/>
          <w:b w:val="0"/>
          <w:i w:val="0"/>
          <w:sz w:val="18"/>
        </w:rPr>
        <w:t xml:space="preserve">  ·  </w:t>
      </w:r>
      <w:r>
        <w:rPr>
          <w:rFonts w:ascii="Calibri" w:hAnsi="Calibri"/>
          <w:b w:val="0"/>
          <w:i w:val="0"/>
          <w:color w:val="C62828"/>
          <w:sz w:val="18"/>
        </w:rPr>
        <w:t>vente ↓ $0.997944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HTX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+0.8%  ·  volatilité annualisée +26.9%  ·  drawdown vs plus-haut -18.3%  ·  momentum 7j/30j/90j -3.2% / -2.9% / -8.8%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0.27)</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~$0.000002  ·  </w:t>
      </w:r>
      <w:r>
        <w:rPr>
          <w:rFonts w:ascii="Calibri" w:hAnsi="Calibri"/>
          <w:b w:val="0"/>
          <w:i w:val="0"/>
          <w:color w:val="1E7D32"/>
          <w:sz w:val="18"/>
        </w:rPr>
        <w:t>vente ↑ $0.000002 (+14%)</w:t>
      </w:r>
      <w:r>
        <w:rPr>
          <w:rFonts w:ascii="Calibri" w:hAnsi="Calibri"/>
          <w:b w:val="0"/>
          <w:i w:val="0"/>
          <w:sz w:val="18"/>
        </w:rPr>
        <w:t xml:space="preserve">  ·  </w:t>
      </w:r>
      <w:r>
        <w:rPr>
          <w:rFonts w:ascii="Calibri" w:hAnsi="Calibri"/>
          <w:b w:val="0"/>
          <w:i w:val="0"/>
          <w:color w:val="C62828"/>
          <w:sz w:val="18"/>
        </w:rPr>
        <w:t>vente ↓ $0.000002 (-9%)</w:t>
      </w:r>
      <w:r>
        <w:rPr>
          <w:rFonts w:ascii="Calibri" w:hAnsi="Calibri"/>
          <w:b w:val="0"/>
          <w:i w:val="0"/>
          <w:sz w:val="18"/>
        </w:rPr>
        <w:t xml:space="preserve">  ·  détention ~45 j  ·  ratio G/P 1.68</w:t>
      </w:r>
    </w:p>
    <w:p>
      <w:pPr>
        <w:pStyle w:val="Heading2"/>
      </w:pPr>
      <w:r/>
      <w:r>
        <w:rPr>
          <w:rFonts w:ascii="Calibri" w:hAnsi="Calibri"/>
          <w:b/>
          <w:i w:val="0"/>
          <w:color w:val="1F3864"/>
          <w:sz w:val="26"/>
        </w:rPr>
        <w:t xml:space="preserve">BGB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$1.9407   |   Composite +0.00   |   Indicateurs actifs : rsi</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+1.1%  ·  volatilité annualisée +47.2%  ·  drawdown vs plus-haut -59.7%  ·  momentum 7j/30j/90j -3.0% / +0.1% / +14.4%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0.584)  ·  </w:t>
      </w:r>
      <w:r>
        <w:rPr>
          <w:rFonts w:ascii="Calibri" w:hAnsi="Calibri"/>
          <w:b w:val="0"/>
          <w:i w:val="0"/>
          <w:color w:val="1E7D32"/>
          <w:sz w:val="18"/>
        </w:rPr>
        <w:t>Risque vert (vol 0.47)</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~$1.9407  ·  </w:t>
      </w:r>
      <w:r>
        <w:rPr>
          <w:rFonts w:ascii="Calibri" w:hAnsi="Calibri"/>
          <w:b w:val="0"/>
          <w:i w:val="0"/>
          <w:color w:val="1E7D32"/>
          <w:sz w:val="18"/>
        </w:rPr>
        <w:t>vente ↑ $2.3650 (+22%)</w:t>
      </w:r>
      <w:r>
        <w:rPr>
          <w:rFonts w:ascii="Calibri" w:hAnsi="Calibri"/>
          <w:b w:val="0"/>
          <w:i w:val="0"/>
          <w:sz w:val="18"/>
        </w:rPr>
        <w:t xml:space="preserve">  ·  </w:t>
      </w:r>
      <w:r>
        <w:rPr>
          <w:rFonts w:ascii="Calibri" w:hAnsi="Calibri"/>
          <w:b w:val="0"/>
          <w:i w:val="0"/>
          <w:color w:val="C62828"/>
          <w:sz w:val="18"/>
        </w:rPr>
        <w:t>vente ↓ $1.7010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BFUSD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$0.998225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+0.5%  ·  drawdown vs plus-haut -0.2%  ·  momentum 7j/30j/90j -0.2% / -0.1%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~$0.998225  ·  </w:t>
      </w:r>
      <w:r>
        <w:rPr>
          <w:rFonts w:ascii="Calibri" w:hAnsi="Calibri"/>
          <w:b w:val="0"/>
          <w:i w:val="0"/>
          <w:color w:val="1E7D32"/>
          <w:sz w:val="18"/>
        </w:rPr>
        <w:t>vente ↑ $1.0009 (+0%)</w:t>
      </w:r>
      <w:r>
        <w:rPr>
          <w:rFonts w:ascii="Calibri" w:hAnsi="Calibri"/>
          <w:b w:val="0"/>
          <w:i w:val="0"/>
          <w:sz w:val="18"/>
        </w:rPr>
        <w:t xml:space="preserve">  ·  </w:t>
      </w:r>
      <w:r>
        <w:rPr>
          <w:rFonts w:ascii="Calibri" w:hAnsi="Calibri"/>
          <w:b w:val="0"/>
          <w:i w:val="0"/>
          <w:color w:val="C62828"/>
          <w:sz w:val="18"/>
        </w:rPr>
        <w:t>vente ↓ $0.996419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ETC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$7.9994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+2.9%  ·  volatilité annualisée +69.4%  ·  drawdown vs plus-haut -55.6%  ·  momentum 7j/30j/90j -11.1% / +5.1% / +12.8%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-28%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~$7.9994  ·  </w:t>
      </w:r>
      <w:r>
        <w:rPr>
          <w:rFonts w:ascii="Calibri" w:hAnsi="Calibri"/>
          <w:b w:val="0"/>
          <w:i w:val="0"/>
          <w:color w:val="1E7D32"/>
          <w:sz w:val="18"/>
        </w:rPr>
        <w:t>vente ↑ $10.3393 (+29%)</w:t>
      </w:r>
      <w:r>
        <w:rPr>
          <w:rFonts w:ascii="Calibri" w:hAnsi="Calibri"/>
          <w:b w:val="0"/>
          <w:i w:val="0"/>
          <w:sz w:val="18"/>
        </w:rPr>
        <w:t xml:space="preserve">  ·  </w:t>
      </w:r>
      <w:r>
        <w:rPr>
          <w:rFonts w:ascii="Calibri" w:hAnsi="Calibri"/>
          <w:b w:val="0"/>
          <w:i w:val="0"/>
          <w:color w:val="C62828"/>
          <w:sz w:val="18"/>
        </w:rPr>
        <w:t>vente ↓ $6.7417 (-16%)</w:t>
      </w:r>
      <w:r>
        <w:rPr>
          <w:rFonts w:ascii="Calibri" w:hAnsi="Calibri"/>
          <w:b w:val="0"/>
          <w:i w:val="0"/>
          <w:sz w:val="18"/>
        </w:rPr>
        <w:t xml:space="preserve">  ·  détention ~30 j  ·  ratio G/P 1.86</w:t>
      </w:r>
    </w:p>
    <w:p>
      <w:pPr>
        <w:pStyle w:val="Heading2"/>
      </w:pPr>
      <w:r/>
      <w:r>
        <w:rPr>
          <w:rFonts w:ascii="Calibri" w:hAnsi="Calibri"/>
          <w:b/>
          <w:i w:val="0"/>
          <w:color w:val="1F3864"/>
          <w:sz w:val="26"/>
        </w:rPr>
        <w:t xml:space="preserve">USDGO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$0.999995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+0.4%  ·  drawdown vs plus-haut -0.2%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~$0.999995  ·  </w:t>
      </w:r>
      <w:r>
        <w:rPr>
          <w:rFonts w:ascii="Calibri" w:hAnsi="Calibri"/>
          <w:b w:val="0"/>
          <w:i w:val="0"/>
          <w:color w:val="1E7D32"/>
          <w:sz w:val="18"/>
        </w:rPr>
        <w:t>vente ↑ $1.0023 (+0%)</w:t>
      </w:r>
      <w:r>
        <w:rPr>
          <w:rFonts w:ascii="Calibri" w:hAnsi="Calibri"/>
          <w:b w:val="0"/>
          <w:i w:val="0"/>
          <w:sz w:val="18"/>
        </w:rPr>
        <w:t xml:space="preserve">  ·  </w:t>
      </w:r>
      <w:r>
        <w:rPr>
          <w:rFonts w:ascii="Calibri" w:hAnsi="Calibri"/>
          <w:b w:val="0"/>
          <w:i w:val="0"/>
          <w:color w:val="C62828"/>
          <w:sz w:val="18"/>
        </w:rPr>
        <w:t>vente ↓ $0.998453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ARB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$0.179479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+5.3%  ·  volatilité annualisée +96.8%  ·  drawdown vs plus-haut -46.4%  ·  momentum 7j/30j/90j -13.7% / +27.8% / +94.8%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-45% à +83%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~$0.179479  ·  </w:t>
      </w:r>
      <w:r>
        <w:rPr>
          <w:rFonts w:ascii="Calibri" w:hAnsi="Calibri"/>
          <w:b w:val="0"/>
          <w:i w:val="0"/>
          <w:color w:val="1E7D32"/>
          <w:sz w:val="18"/>
        </w:rPr>
        <w:t>vente ↑ $0.266503 (+48%)</w:t>
      </w:r>
      <w:r>
        <w:rPr>
          <w:rFonts w:ascii="Calibri" w:hAnsi="Calibri"/>
          <w:b w:val="0"/>
          <w:i w:val="0"/>
          <w:sz w:val="18"/>
        </w:rPr>
        <w:t xml:space="preserve">  ·  </w:t>
      </w:r>
      <w:r>
        <w:rPr>
          <w:rFonts w:ascii="Calibri" w:hAnsi="Calibri"/>
          <w:b w:val="0"/>
          <w:i w:val="0"/>
          <w:color w:val="C62828"/>
          <w:sz w:val="18"/>
        </w:rPr>
        <w:t>vente ↓ $0.137896 (-23%)</w:t>
      </w:r>
      <w:r>
        <w:rPr>
          <w:rFonts w:ascii="Calibri" w:hAnsi="Calibri"/>
          <w:b w:val="0"/>
          <w:i w:val="0"/>
          <w:sz w:val="18"/>
        </w:rPr>
        <w:t xml:space="preserve">  ·  détention ~22 j  ·  ratio G/P 2.09</w:t>
      </w:r>
    </w:p>
    <w:p>
      <w:pPr>
        <w:pStyle w:val="Heading2"/>
      </w:pPr>
      <w:r/>
      <w:r>
        <w:rPr>
          <w:rFonts w:ascii="Calibri" w:hAnsi="Calibri"/>
          <w:b/>
          <w:i w:val="0"/>
          <w:color w:val="1F3864"/>
          <w:sz w:val="26"/>
        </w:rPr>
        <w:t xml:space="preserve">JST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$0.137855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+1.9%  ·  volatilité annualisée +60.5%  ·  drawdown vs plus-haut -3.4%  ·  momentum 7j/30j/90j +1.4% / +25.4% / +37.6%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vert (AUC 0.651)  ·  </w:t>
      </w:r>
      <w:r>
        <w:rPr>
          <w:rFonts w:ascii="Calibri" w:hAnsi="Calibri"/>
          <w:b w:val="0"/>
          <w:i w:val="0"/>
          <w:color w:val="1E7D32"/>
          <w:sz w:val="18"/>
        </w:rPr>
        <w:t>Risque vert (vol 0.61)</w:t>
      </w:r>
    </w:p>
    <w:p>
      <w:r>
        <w:rPr>
          <w:rFonts w:ascii="Calibri" w:hAnsi="Calibri"/>
          <w:b/>
          <w:i w:val="0"/>
          <w:sz w:val="19"/>
        </w:rPr>
        <w:t xml:space="preserve">Projection 30j (fourchette, pas une prévision) : </w:t>
      </w:r>
      <w:r>
        <w:rPr>
          <w:rFonts w:ascii="Calibri" w:hAnsi="Calibri"/>
          <w:b w:val="0"/>
          <w:i w:val="0"/>
          <w:sz w:val="19"/>
        </w:rPr>
        <w:t>-28% à +39%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~$0.137855  ·  </w:t>
      </w:r>
      <w:r>
        <w:rPr>
          <w:rFonts w:ascii="Calibri" w:hAnsi="Calibri"/>
          <w:b w:val="0"/>
          <w:i w:val="0"/>
          <w:color w:val="1E7D32"/>
          <w:sz w:val="18"/>
        </w:rPr>
        <w:t>vente ↑ $0.181042 (+31%)</w:t>
      </w:r>
      <w:r>
        <w:rPr>
          <w:rFonts w:ascii="Calibri" w:hAnsi="Calibri"/>
          <w:b w:val="0"/>
          <w:i w:val="0"/>
          <w:sz w:val="18"/>
        </w:rPr>
        <w:t xml:space="preserve">  ·  </w:t>
      </w:r>
      <w:r>
        <w:rPr>
          <w:rFonts w:ascii="Calibri" w:hAnsi="Calibri"/>
          <w:b w:val="0"/>
          <w:i w:val="0"/>
          <w:color w:val="C62828"/>
          <w:sz w:val="18"/>
        </w:rPr>
        <w:t>vente ↓ $0.114953 (-17%)</w:t>
      </w:r>
      <w:r>
        <w:rPr>
          <w:rFonts w:ascii="Calibri" w:hAnsi="Calibri"/>
          <w:b w:val="0"/>
          <w:i w:val="0"/>
          <w:sz w:val="18"/>
        </w:rPr>
        <w:t xml:space="preserve">  ·  détention ~35 j  ·  ratio G/P 1.89</w:t>
      </w:r>
    </w:p>
    <w:p>
      <w:pPr>
        <w:pStyle w:val="Heading2"/>
      </w:pPr>
      <w:r/>
      <w:r>
        <w:rPr>
          <w:rFonts w:ascii="Calibri" w:hAnsi="Calibri"/>
          <w:b/>
          <w:i w:val="0"/>
          <w:color w:val="1F3864"/>
          <w:sz w:val="26"/>
        </w:rPr>
        <w:t xml:space="preserve">GT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$10.7136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+1.8%  ·  volatilité annualisée +45.1%  ·  drawdown vs plus-haut -33.0%  ·  momentum 7j/30j/90j -3.8% / +14.4% / +59.0%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~$10.7136  ·  </w:t>
      </w:r>
      <w:r>
        <w:rPr>
          <w:rFonts w:ascii="Calibri" w:hAnsi="Calibri"/>
          <w:b w:val="0"/>
          <w:i w:val="0"/>
          <w:color w:val="1E7D32"/>
          <w:sz w:val="18"/>
        </w:rPr>
        <w:t>vente ↑ $13.0651 (+22%)</w:t>
      </w:r>
      <w:r>
        <w:rPr>
          <w:rFonts w:ascii="Calibri" w:hAnsi="Calibri"/>
          <w:b w:val="0"/>
          <w:i w:val="0"/>
          <w:sz w:val="18"/>
        </w:rPr>
        <w:t xml:space="preserve">  ·  </w:t>
      </w:r>
      <w:r>
        <w:rPr>
          <w:rFonts w:ascii="Calibri" w:hAnsi="Calibri"/>
          <w:b w:val="0"/>
          <w:i w:val="0"/>
          <w:color w:val="C62828"/>
          <w:sz w:val="18"/>
        </w:rPr>
        <w:t>vente ↓ $9.3861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JUP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$0.331672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+4.7%  ·  volatilité annualisée +99.6%  ·  drawdown vs plus-haut -25.4%  ·  momentum 7j/30j/90j -5.0% / +36.6% / +56.8%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0.507)  ·  </w:t>
      </w:r>
      <w:r>
        <w:rPr>
          <w:rFonts w:ascii="Calibri" w:hAnsi="Calibri"/>
          <w:b w:val="0"/>
          <w:i w:val="0"/>
          <w:color w:val="1E7D32"/>
          <w:sz w:val="18"/>
        </w:rPr>
        <w:t>Risque vert (vol 1.0)</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~$0.331672  ·  </w:t>
      </w:r>
      <w:r>
        <w:rPr>
          <w:rFonts w:ascii="Calibri" w:hAnsi="Calibri"/>
          <w:b w:val="0"/>
          <w:i w:val="0"/>
          <w:color w:val="1E7D32"/>
          <w:sz w:val="18"/>
        </w:rPr>
        <w:t>vente ↑ $0.475028 (+43%)</w:t>
      </w:r>
      <w:r>
        <w:rPr>
          <w:rFonts w:ascii="Calibri" w:hAnsi="Calibri"/>
          <w:b w:val="0"/>
          <w:i w:val="0"/>
          <w:sz w:val="18"/>
        </w:rPr>
        <w:t xml:space="preserve">  ·  </w:t>
      </w:r>
      <w:r>
        <w:rPr>
          <w:rFonts w:ascii="Calibri" w:hAnsi="Calibri"/>
          <w:b w:val="0"/>
          <w:i w:val="0"/>
          <w:color w:val="C62828"/>
          <w:sz w:val="18"/>
        </w:rPr>
        <w:t>vente ↓ $0.261037 (-21%)</w:t>
      </w:r>
      <w:r>
        <w:rPr>
          <w:rFonts w:ascii="Calibri" w:hAnsi="Calibri"/>
          <w:b w:val="0"/>
          <w:i w:val="0"/>
          <w:sz w:val="18"/>
        </w:rPr>
        <w:t xml:space="preserve">  ·  détention ~21 j  ·  ratio G/P 2.03</w:t>
      </w:r>
    </w:p>
    <w:p>
      <w:pPr>
        <w:pStyle w:val="Heading2"/>
      </w:pPr>
      <w:r/>
      <w:r>
        <w:rPr>
          <w:rFonts w:ascii="Calibri" w:hAnsi="Calibri"/>
          <w:b/>
          <w:i w:val="0"/>
          <w:color w:val="1F3864"/>
          <w:sz w:val="26"/>
        </w:rPr>
        <w:t xml:space="preserve">KCS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$7.7372   |   Composite +0.00   |   Indicateurs actifs :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+1.0%  ·  volatilité annualisée +65.5%  ·  drawdown vs plus-haut -43.9%  ·  momentum 7j/30j/90j +1.8% / +12.0% / +9.8%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rouge (AUC 0.705)  ·  </w:t>
      </w:r>
      <w:r>
        <w:rPr>
          <w:rFonts w:ascii="Calibri" w:hAnsi="Calibri"/>
          <w:b w:val="0"/>
          <w:i w:val="0"/>
          <w:color w:val="1E7D32"/>
          <w:sz w:val="18"/>
        </w:rPr>
        <w:t>Risque vert (vol 0.65)</w:t>
      </w:r>
    </w:p>
    <w:p>
      <w:r>
        <w:rPr>
          <w:rFonts w:ascii="Calibri" w:hAnsi="Calibri"/>
          <w:b/>
          <w:i w:val="0"/>
          <w:sz w:val="19"/>
        </w:rPr>
        <w:t xml:space="preserve">Projection 30j (fourchette, pas une prévision) : </w:t>
      </w:r>
      <w:r>
        <w:rPr>
          <w:rFonts w:ascii="Calibri" w:hAnsi="Calibri"/>
          <w:b w:val="0"/>
          <w:i w:val="0"/>
          <w:sz w:val="19"/>
        </w:rPr>
        <w:t>-21% à +27%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~$7.7372  ·  </w:t>
      </w:r>
      <w:r>
        <w:rPr>
          <w:rFonts w:ascii="Calibri" w:hAnsi="Calibri"/>
          <w:b w:val="0"/>
          <w:i w:val="0"/>
          <w:color w:val="1E7D32"/>
          <w:sz w:val="18"/>
        </w:rPr>
        <w:t>vente ↑ $9.3260 (+21%)</w:t>
      </w:r>
      <w:r>
        <w:rPr>
          <w:rFonts w:ascii="Calibri" w:hAnsi="Calibri"/>
          <w:b w:val="0"/>
          <w:i w:val="0"/>
          <w:sz w:val="18"/>
        </w:rPr>
        <w:t xml:space="preserve">  ·  </w:t>
      </w:r>
      <w:r>
        <w:rPr>
          <w:rFonts w:ascii="Calibri" w:hAnsi="Calibri"/>
          <w:b w:val="0"/>
          <w:i w:val="0"/>
          <w:color w:val="C62828"/>
          <w:sz w:val="18"/>
        </w:rPr>
        <w:t>vente ↓ $6.8314 (-12%)</w:t>
      </w:r>
      <w:r>
        <w:rPr>
          <w:rFonts w:ascii="Calibri" w:hAnsi="Calibri"/>
          <w:b w:val="0"/>
          <w:i w:val="0"/>
          <w:sz w:val="18"/>
        </w:rPr>
        <w:t xml:space="preserve">  ·  détention ~32 j  ·  ratio G/P 1.75</w:t>
      </w:r>
    </w:p>
    <w:p>
      <w:pPr>
        <w:pStyle w:val="Heading2"/>
      </w:pPr>
      <w:r/>
      <w:r>
        <w:rPr>
          <w:rFonts w:ascii="Calibri" w:hAnsi="Calibri"/>
          <w:b/>
          <w:i w:val="0"/>
          <w:color w:val="1F3864"/>
          <w:sz w:val="26"/>
        </w:rPr>
        <w:t xml:space="preserve">ALGO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$0.119179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+3.7%  ·  volatilité annualisée +145.2%  ·  drawdown vs plus-haut -37.6%  ·  momentum 7j/30j/90j -6.6% / +28.8% / +40.7%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0.511)  ·  </w:t>
      </w:r>
      <w:r>
        <w:rPr>
          <w:rFonts w:ascii="Calibri" w:hAnsi="Calibri"/>
          <w:b w:val="0"/>
          <w:i w:val="0"/>
          <w:color w:val="1E7D32"/>
          <w:sz w:val="18"/>
        </w:rPr>
        <w:t>Risque vert (vol 1.45)</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~$0.119179  ·  </w:t>
      </w:r>
      <w:r>
        <w:rPr>
          <w:rFonts w:ascii="Calibri" w:hAnsi="Calibri"/>
          <w:b w:val="0"/>
          <w:i w:val="0"/>
          <w:color w:val="1E7D32"/>
          <w:sz w:val="18"/>
        </w:rPr>
        <w:t>vente ↑ $0.146710 (+23%)</w:t>
      </w:r>
      <w:r>
        <w:rPr>
          <w:rFonts w:ascii="Calibri" w:hAnsi="Calibri"/>
          <w:b w:val="0"/>
          <w:i w:val="0"/>
          <w:sz w:val="18"/>
        </w:rPr>
        <w:t xml:space="preserve">  ·  </w:t>
      </w:r>
      <w:r>
        <w:rPr>
          <w:rFonts w:ascii="Calibri" w:hAnsi="Calibri"/>
          <w:b w:val="0"/>
          <w:i w:val="0"/>
          <w:color w:val="C62828"/>
          <w:sz w:val="18"/>
        </w:rPr>
        <w:t>vente ↓ $0.103759 (-13%)</w:t>
      </w:r>
      <w:r>
        <w:rPr>
          <w:rFonts w:ascii="Calibri" w:hAnsi="Calibri"/>
          <w:b w:val="0"/>
          <w:i w:val="0"/>
          <w:sz w:val="18"/>
        </w:rPr>
        <w:t xml:space="preserve">  ·  détention ~14 j  ·  ratio G/P 1.79</w:t>
      </w:r>
    </w:p>
    <w:p>
      <w:pPr>
        <w:pStyle w:val="Heading2"/>
      </w:pPr>
      <w:r/>
      <w:r>
        <w:rPr>
          <w:rFonts w:ascii="Calibri" w:hAnsi="Calibri"/>
          <w:b/>
          <w:i w:val="0"/>
          <w:color w:val="1F3864"/>
          <w:sz w:val="26"/>
        </w:rPr>
        <w:t xml:space="preserve">POL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$0.098787   |   Composite +0.00   |   Indicateurs actifs :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+3.3%  ·  volatilité annualisée +72.4%  ·  drawdown vs plus-haut -51.2%  ·  momentum 7j/30j/90j -9.5% / +2.3% / +16.6%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-31% à +44%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~$0.098787  ·  </w:t>
      </w:r>
      <w:r>
        <w:rPr>
          <w:rFonts w:ascii="Calibri" w:hAnsi="Calibri"/>
          <w:b w:val="0"/>
          <w:i w:val="0"/>
          <w:color w:val="1E7D32"/>
          <w:sz w:val="18"/>
        </w:rPr>
        <w:t>vente ↑ $0.130157 (+32%)</w:t>
      </w:r>
      <w:r>
        <w:rPr>
          <w:rFonts w:ascii="Calibri" w:hAnsi="Calibri"/>
          <w:b w:val="0"/>
          <w:i w:val="0"/>
          <w:sz w:val="18"/>
        </w:rPr>
        <w:t xml:space="preserve">  ·  </w:t>
      </w:r>
      <w:r>
        <w:rPr>
          <w:rFonts w:ascii="Calibri" w:hAnsi="Calibri"/>
          <w:b w:val="0"/>
          <w:i w:val="0"/>
          <w:color w:val="C62828"/>
          <w:sz w:val="18"/>
        </w:rPr>
        <w:t>vente ↓ $0.082197 (-17%)</w:t>
      </w:r>
      <w:r>
        <w:rPr>
          <w:rFonts w:ascii="Calibri" w:hAnsi="Calibri"/>
          <w:b w:val="0"/>
          <w:i w:val="0"/>
          <w:sz w:val="18"/>
        </w:rPr>
        <w:t xml:space="preserve">  ·  détention ~29 j  ·  ratio G/P 1.89</w:t>
      </w:r>
    </w:p>
    <w:p>
      <w:pPr>
        <w:pStyle w:val="Heading2"/>
      </w:pPr>
      <w:r/>
      <w:r>
        <w:rPr>
          <w:rFonts w:ascii="Calibri" w:hAnsi="Calibri"/>
          <w:b/>
          <w:i w:val="0"/>
          <w:color w:val="1F3864"/>
          <w:sz w:val="26"/>
        </w:rPr>
        <w:t xml:space="preserve">RENDER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$2.0854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+3.3%  ·  volatilité annualisée +88.7%  ·  drawdown vs plus-haut -19.1%  ·  momentum 7j/30j/90j +1.0% / +51.0% / +36.8%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0.663)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~$2.0854  ·  </w:t>
      </w:r>
      <w:r>
        <w:rPr>
          <w:rFonts w:ascii="Calibri" w:hAnsi="Calibri"/>
          <w:b w:val="0"/>
          <w:i w:val="0"/>
          <w:color w:val="1E7D32"/>
          <w:sz w:val="18"/>
        </w:rPr>
        <w:t>vente ↑ $2.7261 (+31%)</w:t>
      </w:r>
      <w:r>
        <w:rPr>
          <w:rFonts w:ascii="Calibri" w:hAnsi="Calibri"/>
          <w:b w:val="0"/>
          <w:i w:val="0"/>
          <w:sz w:val="18"/>
        </w:rPr>
        <w:t xml:space="preserve">  ·  </w:t>
      </w:r>
      <w:r>
        <w:rPr>
          <w:rFonts w:ascii="Calibri" w:hAnsi="Calibri"/>
          <w:b w:val="0"/>
          <w:i w:val="0"/>
          <w:color w:val="C62828"/>
          <w:sz w:val="18"/>
        </w:rPr>
        <w:t>vente ↓ $1.7443 (-16%)</w:t>
      </w:r>
      <w:r>
        <w:rPr>
          <w:rFonts w:ascii="Calibri" w:hAnsi="Calibri"/>
          <w:b w:val="0"/>
          <w:i w:val="0"/>
          <w:sz w:val="18"/>
        </w:rPr>
        <w:t xml:space="preserve">  ·  détention ~24 j  ·  ratio G/P 1.88</w:t>
      </w:r>
    </w:p>
    <w:p>
      <w:pPr>
        <w:pStyle w:val="Heading2"/>
      </w:pPr>
      <w:r/>
      <w:r>
        <w:rPr>
          <w:rFonts w:ascii="Calibri" w:hAnsi="Calibri"/>
          <w:b/>
          <w:i w:val="0"/>
          <w:color w:val="1F3864"/>
          <w:sz w:val="26"/>
        </w:rPr>
        <w:t xml:space="preserve">VVV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$22.3597   |   Composite +0.00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+6.5%  ·  volatilité annualisée +142.7%  ·  drawdown vs plus-haut -30.1%  ·  momentum 7j/30j/90j -22.5% / -7.8% / +101.5%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0.565)  ·  </w:t>
      </w:r>
      <w:r>
        <w:rPr>
          <w:rFonts w:ascii="Calibri" w:hAnsi="Calibri"/>
          <w:b w:val="0"/>
          <w:i w:val="0"/>
          <w:color w:val="1E7D32"/>
          <w:sz w:val="18"/>
        </w:rPr>
        <w:t>Risque vert (vol 1.43)</w:t>
      </w:r>
    </w:p>
    <w:p>
      <w:r>
        <w:rPr>
          <w:rFonts w:ascii="Calibri" w:hAnsi="Calibri"/>
          <w:b/>
          <w:i w:val="0"/>
          <w:sz w:val="19"/>
        </w:rPr>
        <w:t xml:space="preserve">Projection 30j (fourchette, pas une prévision) : </w:t>
      </w:r>
      <w:r>
        <w:rPr>
          <w:rFonts w:ascii="Calibri" w:hAnsi="Calibri"/>
          <w:b w:val="0"/>
          <w:i w:val="0"/>
          <w:sz w:val="19"/>
        </w:rPr>
        <w:t>-52% à +109%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~$22.3597  ·  </w:t>
      </w:r>
      <w:r>
        <w:rPr>
          <w:rFonts w:ascii="Calibri" w:hAnsi="Calibri"/>
          <w:b w:val="0"/>
          <w:i w:val="0"/>
          <w:color w:val="1E7D32"/>
          <w:sz w:val="18"/>
        </w:rPr>
        <w:t>vente ↑ $33.3348 (+49%)</w:t>
      </w:r>
      <w:r>
        <w:rPr>
          <w:rFonts w:ascii="Calibri" w:hAnsi="Calibri"/>
          <w:b w:val="0"/>
          <w:i w:val="0"/>
          <w:sz w:val="18"/>
        </w:rPr>
        <w:t xml:space="preserve">  ·  </w:t>
      </w:r>
      <w:r>
        <w:rPr>
          <w:rFonts w:ascii="Calibri" w:hAnsi="Calibri"/>
          <w:b w:val="0"/>
          <w:i w:val="0"/>
          <w:color w:val="C62828"/>
          <w:sz w:val="18"/>
        </w:rPr>
        <w:t>vente ↓ $17.1334 (-23%)</w:t>
      </w:r>
      <w:r>
        <w:rPr>
          <w:rFonts w:ascii="Calibri" w:hAnsi="Calibri"/>
          <w:b w:val="0"/>
          <w:i w:val="0"/>
          <w:sz w:val="18"/>
        </w:rPr>
        <w:t xml:space="preserve">  ·  détention ~15 j  ·  ratio G/P 2.1</w:t>
      </w:r>
    </w:p>
    <w:p>
      <w:pPr>
        <w:pStyle w:val="Heading2"/>
      </w:pPr>
      <w:r/>
      <w:r>
        <w:rPr>
          <w:rFonts w:ascii="Calibri" w:hAnsi="Calibri"/>
          <w:b/>
          <w:i w:val="0"/>
          <w:color w:val="1F3864"/>
          <w:sz w:val="26"/>
        </w:rPr>
        <w:t xml:space="preserve">KAS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$0.038451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+4.0%  ·  volatilité annualisée +163.1%  ·  drawdown vs plus-haut -40.6%  ·  momentum 7j/30j/90j -11.5% / +9.2% / +34.6%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0.642)  ·  </w:t>
      </w:r>
      <w:r>
        <w:rPr>
          <w:rFonts w:ascii="Calibri" w:hAnsi="Calibri"/>
          <w:b w:val="0"/>
          <w:i w:val="0"/>
          <w:color w:val="C62828"/>
          <w:sz w:val="18"/>
        </w:rPr>
        <w:t>Risque rouge (vol 1.63)</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~$0.038451  ·  </w:t>
      </w:r>
      <w:r>
        <w:rPr>
          <w:rFonts w:ascii="Calibri" w:hAnsi="Calibri"/>
          <w:b w:val="0"/>
          <w:i w:val="0"/>
          <w:color w:val="1E7D32"/>
          <w:sz w:val="18"/>
        </w:rPr>
        <w:t>vente ↑ $0.046700 (+21%)</w:t>
      </w:r>
      <w:r>
        <w:rPr>
          <w:rFonts w:ascii="Calibri" w:hAnsi="Calibri"/>
          <w:b w:val="0"/>
          <w:i w:val="0"/>
          <w:sz w:val="18"/>
        </w:rPr>
        <w:t xml:space="preserve">  ·  </w:t>
      </w:r>
      <w:r>
        <w:rPr>
          <w:rFonts w:ascii="Calibri" w:hAnsi="Calibri"/>
          <w:b w:val="0"/>
          <w:i w:val="0"/>
          <w:color w:val="C62828"/>
          <w:sz w:val="18"/>
        </w:rPr>
        <w:t>vente ↓ $0.033778 (-12%)</w:t>
      </w:r>
      <w:r>
        <w:rPr>
          <w:rFonts w:ascii="Calibri" w:hAnsi="Calibri"/>
          <w:b w:val="0"/>
          <w:i w:val="0"/>
          <w:sz w:val="18"/>
        </w:rPr>
        <w:t xml:space="preserve">  ·  détention ~13 j  ·  ratio G/P 1.77</w:t>
      </w:r>
    </w:p>
    <w:p>
      <w:pPr>
        <w:pStyle w:val="Heading2"/>
      </w:pPr>
      <w:r/>
      <w:r>
        <w:rPr>
          <w:rFonts w:ascii="Calibri" w:hAnsi="Calibri"/>
          <w:b/>
          <w:i w:val="0"/>
          <w:color w:val="1F3864"/>
          <w:sz w:val="26"/>
        </w:rPr>
        <w:t xml:space="preserve">FIL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$1.0975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+4.8%  ·  volatilité annualisée +116.9%  ·  drawdown vs plus-haut -68.1%  ·  momentum 7j/30j/90j -7.4% / +37.0% / +40.0%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rouge (AUC 0.569)  ·  </w:t>
      </w:r>
      <w:r>
        <w:rPr>
          <w:rFonts w:ascii="Calibri" w:hAnsi="Calibri"/>
          <w:b w:val="0"/>
          <w:i w:val="0"/>
          <w:color w:val="1E7D32"/>
          <w:sz w:val="18"/>
        </w:rPr>
        <w:t>Risque vert (vol 1.17)</w:t>
      </w:r>
    </w:p>
    <w:p>
      <w:r>
        <w:rPr>
          <w:rFonts w:ascii="Calibri" w:hAnsi="Calibri"/>
          <w:b/>
          <w:i w:val="0"/>
          <w:sz w:val="19"/>
        </w:rPr>
        <w:t xml:space="preserve">Projection 30j (fourchette, pas une prévision) : </w:t>
      </w:r>
      <w:r>
        <w:rPr>
          <w:rFonts w:ascii="Calibri" w:hAnsi="Calibri"/>
          <w:b w:val="0"/>
          <w:i w:val="0"/>
          <w:sz w:val="19"/>
        </w:rPr>
        <w:t>-40%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~$1.0975  ·  </w:t>
      </w:r>
      <w:r>
        <w:rPr>
          <w:rFonts w:ascii="Calibri" w:hAnsi="Calibri"/>
          <w:b w:val="0"/>
          <w:i w:val="0"/>
          <w:color w:val="1E7D32"/>
          <w:sz w:val="18"/>
        </w:rPr>
        <w:t>vente ↑ $1.4788 (+35%)</w:t>
      </w:r>
      <w:r>
        <w:rPr>
          <w:rFonts w:ascii="Calibri" w:hAnsi="Calibri"/>
          <w:b w:val="0"/>
          <w:i w:val="0"/>
          <w:sz w:val="18"/>
        </w:rPr>
        <w:t xml:space="preserve">  ·  </w:t>
      </w:r>
      <w:r>
        <w:rPr>
          <w:rFonts w:ascii="Calibri" w:hAnsi="Calibri"/>
          <w:b w:val="0"/>
          <w:i w:val="0"/>
          <w:color w:val="C62828"/>
          <w:sz w:val="18"/>
        </w:rPr>
        <w:t>vente ↓ $0.899612 (-18%)</w:t>
      </w:r>
      <w:r>
        <w:rPr>
          <w:rFonts w:ascii="Calibri" w:hAnsi="Calibri"/>
          <w:b w:val="0"/>
          <w:i w:val="0"/>
          <w:sz w:val="18"/>
        </w:rPr>
        <w:t xml:space="preserve">  ·  détention ~18 j  ·  ratio G/P 1.93</w:t>
      </w:r>
    </w:p>
    <w:p>
      <w:pPr>
        <w:pStyle w:val="Heading2"/>
      </w:pPr>
      <w:r/>
      <w:r>
        <w:rPr>
          <w:rFonts w:ascii="Calibri" w:hAnsi="Calibri"/>
          <w:b/>
          <w:i w:val="0"/>
          <w:color w:val="1F3864"/>
          <w:sz w:val="26"/>
        </w:rPr>
        <w:t xml:space="preserve">ATOM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$1.8095   |   Composite +0.00   |   Indicateurs actifs :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+4.0%  ·  volatilité annualisée +80.3%  ·  drawdown vs plus-haut -44.7%  ·  momentum 7j/30j/90j -0.1% / +12.8% / +15.8%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w:t>
      </w:r>
    </w:p>
    <w:p>
      <w:r>
        <w:rPr>
          <w:rFonts w:ascii="Calibri" w:hAnsi="Calibri"/>
          <w:b/>
          <w:i w:val="0"/>
          <w:sz w:val="19"/>
        </w:rPr>
        <w:t xml:space="preserve">Projection 30j (fourchette, pas une prévision) : </w:t>
      </w:r>
      <w:r>
        <w:rPr>
          <w:rFonts w:ascii="Calibri" w:hAnsi="Calibri"/>
          <w:b w:val="0"/>
          <w:i w:val="0"/>
          <w:sz w:val="19"/>
        </w:rPr>
        <w:t>-32%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~$1.8095  ·  </w:t>
      </w:r>
      <w:r>
        <w:rPr>
          <w:rFonts w:ascii="Calibri" w:hAnsi="Calibri"/>
          <w:b w:val="0"/>
          <w:i w:val="0"/>
          <w:color w:val="1E7D32"/>
          <w:sz w:val="18"/>
        </w:rPr>
        <w:t>vente ↑ $2.3693 (+31%)</w:t>
      </w:r>
      <w:r>
        <w:rPr>
          <w:rFonts w:ascii="Calibri" w:hAnsi="Calibri"/>
          <w:b w:val="0"/>
          <w:i w:val="0"/>
          <w:sz w:val="18"/>
        </w:rPr>
        <w:t xml:space="preserve">  ·  </w:t>
      </w:r>
      <w:r>
        <w:rPr>
          <w:rFonts w:ascii="Calibri" w:hAnsi="Calibri"/>
          <w:b w:val="0"/>
          <w:i w:val="0"/>
          <w:color w:val="C62828"/>
          <w:sz w:val="18"/>
        </w:rPr>
        <w:t>vente ↓ $1.5119 (-16%)</w:t>
      </w:r>
      <w:r>
        <w:rPr>
          <w:rFonts w:ascii="Calibri" w:hAnsi="Calibri"/>
          <w:b w:val="0"/>
          <w:i w:val="0"/>
          <w:sz w:val="18"/>
        </w:rPr>
        <w:t xml:space="preserve">  ·  détention ~26 j  ·  ratio G/P 1.88</w:t>
      </w:r>
    </w:p>
    <w:p>
      <w:pPr>
        <w:pStyle w:val="Heading2"/>
      </w:pPr>
      <w:r/>
      <w:r>
        <w:rPr>
          <w:rFonts w:ascii="Calibri" w:hAnsi="Calibri"/>
          <w:b/>
          <w:i w:val="0"/>
          <w:color w:val="1F3864"/>
          <w:sz w:val="26"/>
        </w:rPr>
        <w:t xml:space="preserve">BCAP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$105.7400   |   Composite +1.00   |   Indicateurs actifs :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+0.2%  ·  volatilité annualisée +132.8%  ·  drawdown vs plus-haut -2.3%  ·  momentum 7j/30j/90j -2.3% / -0.7% / -0.4%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27)  ·  </w:t>
      </w:r>
      <w:r>
        <w:rPr>
          <w:rFonts w:ascii="Calibri" w:hAnsi="Calibri"/>
          <w:b w:val="0"/>
          <w:i w:val="0"/>
          <w:sz w:val="18"/>
        </w:rPr>
        <w:t xml:space="preserve">Prédiction rouge (AUC 0.646)  ·  </w:t>
      </w:r>
      <w:r>
        <w:rPr>
          <w:rFonts w:ascii="Calibri" w:hAnsi="Calibri"/>
          <w:b w:val="0"/>
          <w:i w:val="0"/>
          <w:color w:val="1E7D32"/>
          <w:sz w:val="18"/>
        </w:rPr>
        <w:t>Risque vert (vol 1.33)</w:t>
      </w:r>
    </w:p>
    <w:p>
      <w:r>
        <w:rPr>
          <w:rFonts w:ascii="Calibri" w:hAnsi="Calibri"/>
          <w:b/>
          <w:i w:val="0"/>
          <w:sz w:val="19"/>
        </w:rPr>
        <w:t xml:space="preserve">Projection 30j (fourchette, pas une prévision) : </w:t>
      </w:r>
      <w:r>
        <w:rPr>
          <w:rFonts w:ascii="Calibri" w:hAnsi="Calibri"/>
          <w:b w:val="0"/>
          <w:i w:val="0"/>
          <w:sz w:val="19"/>
        </w:rPr>
        <w:t>-18% à +22%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~$105.7400  ·  </w:t>
      </w:r>
      <w:r>
        <w:rPr>
          <w:rFonts w:ascii="Calibri" w:hAnsi="Calibri"/>
          <w:b w:val="0"/>
          <w:i w:val="0"/>
          <w:color w:val="1E7D32"/>
          <w:sz w:val="18"/>
        </w:rPr>
        <w:t>vente ↑ $118.0896 (+12%)</w:t>
      </w:r>
      <w:r>
        <w:rPr>
          <w:rFonts w:ascii="Calibri" w:hAnsi="Calibri"/>
          <w:b w:val="0"/>
          <w:i w:val="0"/>
          <w:sz w:val="18"/>
        </w:rPr>
        <w:t xml:space="preserve">  ·  </w:t>
      </w:r>
      <w:r>
        <w:rPr>
          <w:rFonts w:ascii="Calibri" w:hAnsi="Calibri"/>
          <w:b w:val="0"/>
          <w:i w:val="0"/>
          <w:color w:val="C62828"/>
          <w:sz w:val="18"/>
        </w:rPr>
        <w:t>vente ↓ $98.2331 (-7%)</w:t>
      </w:r>
      <w:r>
        <w:rPr>
          <w:rFonts w:ascii="Calibri" w:hAnsi="Calibri"/>
          <w:b w:val="0"/>
          <w:i w:val="0"/>
          <w:sz w:val="18"/>
        </w:rPr>
        <w:t xml:space="preserve">  ·  détention ~16 j  ·  ratio G/P 1.65</w:t>
      </w:r>
    </w:p>
    <w:p>
      <w:pPr>
        <w:pStyle w:val="Heading2"/>
      </w:pPr>
      <w:r/>
      <w:r>
        <w:rPr>
          <w:rFonts w:ascii="Calibri" w:hAnsi="Calibri"/>
          <w:b/>
          <w:i w:val="0"/>
          <w:color w:val="1F3864"/>
          <w:sz w:val="26"/>
        </w:rPr>
        <w:t xml:space="preserve">PI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$0.078657   |   Composite +1.00   |   Indicateurs actifs :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+2.4%  ·  volatilité annualisée +86.0%  ·  drawdown vs plus-haut -71.1%  ·  momentum 7j/30j/90j -9.6% / -19.2% / -0.6%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39)  ·  </w:t>
      </w:r>
      <w:r>
        <w:rPr>
          <w:rFonts w:ascii="Calibri" w:hAnsi="Calibri"/>
          <w:b w:val="0"/>
          <w:i w:val="0"/>
          <w:sz w:val="18"/>
        </w:rPr>
        <w:t xml:space="preserve">Prédiction rouge (AUC 0.57)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-30%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~$0.078657  ·  </w:t>
      </w:r>
      <w:r>
        <w:rPr>
          <w:rFonts w:ascii="Calibri" w:hAnsi="Calibri"/>
          <w:b w:val="0"/>
          <w:i w:val="0"/>
          <w:color w:val="1E7D32"/>
          <w:sz w:val="18"/>
        </w:rPr>
        <w:t>vente ↑ $0.099985 (+27%)</w:t>
      </w:r>
      <w:r>
        <w:rPr>
          <w:rFonts w:ascii="Calibri" w:hAnsi="Calibri"/>
          <w:b w:val="0"/>
          <w:i w:val="0"/>
          <w:sz w:val="18"/>
        </w:rPr>
        <w:t xml:space="preserve">  ·  </w:t>
      </w:r>
      <w:r>
        <w:rPr>
          <w:rFonts w:ascii="Calibri" w:hAnsi="Calibri"/>
          <w:b w:val="0"/>
          <w:i w:val="0"/>
          <w:color w:val="C62828"/>
          <w:sz w:val="18"/>
        </w:rPr>
        <w:t>vente ↓ $0.067030 (-15%)</w:t>
      </w:r>
      <w:r>
        <w:rPr>
          <w:rFonts w:ascii="Calibri" w:hAnsi="Calibri"/>
          <w:b w:val="0"/>
          <w:i w:val="0"/>
          <w:sz w:val="18"/>
        </w:rPr>
        <w:t xml:space="preserve">  ·  détention ~24 j  ·  ratio G/P 1.83</w:t>
      </w:r>
    </w:p>
    <w:p>
      <w:pPr>
        <w:pStyle w:val="Heading2"/>
      </w:pPr>
      <w:r/>
      <w:r>
        <w:rPr>
          <w:rFonts w:ascii="Calibri" w:hAnsi="Calibri"/>
          <w:b/>
          <w:i w:val="0"/>
          <w:color w:val="1F3864"/>
          <w:sz w:val="26"/>
        </w:rPr>
        <w:t xml:space="preserve">AERO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$0.876497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+4.2%  ·  volatilité annualisée +135.6%  ·  drawdown vs plus-haut -26.2%  ·  momentum 7j/30j/90j +3.6% / +54.8% / +73.2%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1.36)</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~$0.876497  ·  </w:t>
      </w:r>
      <w:r>
        <w:rPr>
          <w:rFonts w:ascii="Calibri" w:hAnsi="Calibri"/>
          <w:b w:val="0"/>
          <w:i w:val="0"/>
          <w:color w:val="1E7D32"/>
          <w:sz w:val="18"/>
        </w:rPr>
        <w:t>vente ↑ $1.1865 (+35%)</w:t>
      </w:r>
      <w:r>
        <w:rPr>
          <w:rFonts w:ascii="Calibri" w:hAnsi="Calibri"/>
          <w:b w:val="0"/>
          <w:i w:val="0"/>
          <w:sz w:val="18"/>
        </w:rPr>
        <w:t xml:space="preserve">  ·  </w:t>
      </w:r>
      <w:r>
        <w:rPr>
          <w:rFonts w:ascii="Calibri" w:hAnsi="Calibri"/>
          <w:b w:val="0"/>
          <w:i w:val="0"/>
          <w:color w:val="C62828"/>
          <w:sz w:val="18"/>
        </w:rPr>
        <w:t>vente ↓ $0.716281 (-18%)</w:t>
      </w:r>
      <w:r>
        <w:rPr>
          <w:rFonts w:ascii="Calibri" w:hAnsi="Calibri"/>
          <w:b w:val="0"/>
          <w:i w:val="0"/>
          <w:sz w:val="18"/>
        </w:rPr>
        <w:t xml:space="preserve">  ·  détention ~15 j  ·  ratio G/P 1.93</w:t>
      </w:r>
    </w:p>
    <w:p>
      <w:pPr>
        <w:pStyle w:val="Heading2"/>
      </w:pPr>
      <w:r/>
      <w:r>
        <w:rPr>
          <w:rFonts w:ascii="Calibri" w:hAnsi="Calibri"/>
          <w:b/>
          <w:i w:val="0"/>
          <w:color w:val="1F3864"/>
          <w:sz w:val="26"/>
        </w:rPr>
        <w:t xml:space="preserve">NEXO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$0.828838   |   Composite -0.33   |   Indicateurs actifs : macd,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+1.2%  ·  volatilité annualisée +45.3%  ·  drawdown vs plus-haut -29.7%  ·  momentum 7j/30j/90j -2.4% / +0.2% / +9.2%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0.435)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~$0.828838  ·  </w:t>
      </w:r>
      <w:r>
        <w:rPr>
          <w:rFonts w:ascii="Calibri" w:hAnsi="Calibri"/>
          <w:b w:val="0"/>
          <w:i w:val="0"/>
          <w:color w:val="1E7D32"/>
          <w:sz w:val="18"/>
        </w:rPr>
        <w:t>vente ↑ $1.0145 (+22%)</w:t>
      </w:r>
      <w:r>
        <w:rPr>
          <w:rFonts w:ascii="Calibri" w:hAnsi="Calibri"/>
          <w:b w:val="0"/>
          <w:i w:val="0"/>
          <w:sz w:val="18"/>
        </w:rPr>
        <w:t xml:space="preserve">  ·  </w:t>
      </w:r>
      <w:r>
        <w:rPr>
          <w:rFonts w:ascii="Calibri" w:hAnsi="Calibri"/>
          <w:b w:val="0"/>
          <w:i w:val="0"/>
          <w:color w:val="C62828"/>
          <w:sz w:val="18"/>
        </w:rPr>
        <w:t>vente ↓ $0.724337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LIT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$3.3840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+5.4%  ·  volatilité annualisée +125.8%  ·  drawdown vs plus-haut -36.3%  ·  momentum 7j/30j/90j -15.8% / -19.7% / +30.4%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1.26)</w:t>
      </w:r>
    </w:p>
    <w:p>
      <w:r>
        <w:rPr>
          <w:rFonts w:ascii="Calibri" w:hAnsi="Calibri"/>
          <w:b/>
          <w:i w:val="0"/>
          <w:sz w:val="19"/>
        </w:rPr>
        <w:t xml:space="preserve">Projection 30j (fourchette, pas une prévision) : </w:t>
      </w:r>
      <w:r>
        <w:rPr>
          <w:rFonts w:ascii="Calibri" w:hAnsi="Calibri"/>
          <w:b w:val="0"/>
          <w:i w:val="0"/>
          <w:sz w:val="19"/>
        </w:rPr>
        <w:t>-50% à +99%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~$3.3840  ·  </w:t>
      </w:r>
      <w:r>
        <w:rPr>
          <w:rFonts w:ascii="Calibri" w:hAnsi="Calibri"/>
          <w:b w:val="0"/>
          <w:i w:val="0"/>
          <w:color w:val="1E7D32"/>
          <w:sz w:val="18"/>
        </w:rPr>
        <w:t>vente ↑ $5.0357 (+49%)</w:t>
      </w:r>
      <w:r>
        <w:rPr>
          <w:rFonts w:ascii="Calibri" w:hAnsi="Calibri"/>
          <w:b w:val="0"/>
          <w:i w:val="0"/>
          <w:sz w:val="18"/>
        </w:rPr>
        <w:t xml:space="preserve">  ·  </w:t>
      </w:r>
      <w:r>
        <w:rPr>
          <w:rFonts w:ascii="Calibri" w:hAnsi="Calibri"/>
          <w:b w:val="0"/>
          <w:i w:val="0"/>
          <w:color w:val="C62828"/>
          <w:sz w:val="18"/>
        </w:rPr>
        <w:t>vente ↓ $2.5963 (-23%)</w:t>
      </w:r>
      <w:r>
        <w:rPr>
          <w:rFonts w:ascii="Calibri" w:hAnsi="Calibri"/>
          <w:b w:val="0"/>
          <w:i w:val="0"/>
          <w:sz w:val="18"/>
        </w:rPr>
        <w:t xml:space="preserve">  ·  détention ~17 j  ·  ratio G/P 2.1</w:t>
      </w:r>
    </w:p>
    <w:p>
      <w:pPr>
        <w:pStyle w:val="Heading2"/>
      </w:pPr>
      <w:r/>
      <w:r>
        <w:rPr>
          <w:rFonts w:ascii="Calibri" w:hAnsi="Calibri"/>
          <w:b/>
          <w:i w:val="0"/>
          <w:color w:val="1F3864"/>
          <w:sz w:val="26"/>
        </w:rPr>
        <w:t xml:space="preserve">ZRO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$2.0695   |   Composite +0.00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+3.9%  ·  volatilité annualisée +97.8%  ·  drawdown vs plus-haut -10.1%  ·  momentum 7j/30j/90j -4.5% / +102.4% / +140.5%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0.453)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-43%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~$2.0695  ·  </w:t>
      </w:r>
      <w:r>
        <w:rPr>
          <w:rFonts w:ascii="Calibri" w:hAnsi="Calibri"/>
          <w:b w:val="0"/>
          <w:i w:val="0"/>
          <w:color w:val="1E7D32"/>
          <w:sz w:val="18"/>
        </w:rPr>
        <w:t>vente ↑ $2.9555 (+43%)</w:t>
      </w:r>
      <w:r>
        <w:rPr>
          <w:rFonts w:ascii="Calibri" w:hAnsi="Calibri"/>
          <w:b w:val="0"/>
          <w:i w:val="0"/>
          <w:sz w:val="18"/>
        </w:rPr>
        <w:t xml:space="preserve">  ·  </w:t>
      </w:r>
      <w:r>
        <w:rPr>
          <w:rFonts w:ascii="Calibri" w:hAnsi="Calibri"/>
          <w:b w:val="0"/>
          <w:i w:val="0"/>
          <w:color w:val="C62828"/>
          <w:sz w:val="18"/>
        </w:rPr>
        <w:t>vente ↓ $1.6319 (-21%)</w:t>
      </w:r>
      <w:r>
        <w:rPr>
          <w:rFonts w:ascii="Calibri" w:hAnsi="Calibri"/>
          <w:b w:val="0"/>
          <w:i w:val="0"/>
          <w:sz w:val="18"/>
        </w:rPr>
        <w:t xml:space="preserve">  ·  détention ~21 j  ·  ratio G/P 2.02</w:t>
      </w:r>
    </w:p>
    <w:p>
      <w:pPr>
        <w:pStyle w:val="Heading2"/>
      </w:pPr>
      <w:r/>
      <w:r>
        <w:rPr>
          <w:rFonts w:ascii="Calibri" w:hAnsi="Calibri"/>
          <w:b/>
          <w:i w:val="0"/>
          <w:color w:val="1F3864"/>
          <w:sz w:val="26"/>
        </w:rPr>
        <w:t xml:space="preserve">USTB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$11.2389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+0.0%  ·  volatilité annualisée +0.2%  ·  drawdown vs plus-haut -0.0%  ·  momentum 7j/30j/90j +0.1% / +0.3% / +0.8%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~$11.2389  ·  </w:t>
      </w:r>
      <w:r>
        <w:rPr>
          <w:rFonts w:ascii="Calibri" w:hAnsi="Calibri"/>
          <w:b w:val="0"/>
          <w:i w:val="0"/>
          <w:color w:val="1E7D32"/>
          <w:sz w:val="18"/>
        </w:rPr>
        <w:t>vente ↑ $11.2491 (+0%)</w:t>
      </w:r>
      <w:r>
        <w:rPr>
          <w:rFonts w:ascii="Calibri" w:hAnsi="Calibri"/>
          <w:b w:val="0"/>
          <w:i w:val="0"/>
          <w:sz w:val="18"/>
        </w:rPr>
        <w:t xml:space="preserve">  ·  </w:t>
      </w:r>
      <w:r>
        <w:rPr>
          <w:rFonts w:ascii="Calibri" w:hAnsi="Calibri"/>
          <w:b w:val="0"/>
          <w:i w:val="0"/>
          <w:color w:val="C62828"/>
          <w:sz w:val="18"/>
        </w:rPr>
        <w:t>vente ↓ $11.2321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OUSD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$0.999372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-1.000)</w:t>
      </w:r>
    </w:p>
    <w:p>
      <w:r>
        <w:rPr>
          <w:rFonts w:ascii="Calibri" w:hAnsi="Calibri"/>
          <w:b/>
          <w:i w:val="0"/>
          <w:sz w:val="19"/>
        </w:rPr>
        <w:t xml:space="preserve">Profil de risque : </w:t>
      </w:r>
      <w:r>
        <w:rPr>
          <w:rFonts w:ascii="Calibri" w:hAnsi="Calibri"/>
          <w:b w:val="0"/>
          <w:i w:val="0"/>
          <w:sz w:val="19"/>
        </w:rPr>
        <w:t>ATR +0.1%  ·  volatilité annualisée +2.6%  ·  drawdown vs plus-haut -0.2%  ·  momentum 7j/30j/90j -0.1% / n/d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0.03)</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~$0.999372  ·  </w:t>
      </w:r>
      <w:r>
        <w:rPr>
          <w:rFonts w:ascii="Calibri" w:hAnsi="Calibri"/>
          <w:b w:val="0"/>
          <w:i w:val="0"/>
          <w:color w:val="1E7D32"/>
          <w:sz w:val="18"/>
        </w:rPr>
        <w:t>vente ↑ $1.0130 (+1%)</w:t>
      </w:r>
      <w:r>
        <w:rPr>
          <w:rFonts w:ascii="Calibri" w:hAnsi="Calibri"/>
          <w:b w:val="0"/>
          <w:i w:val="0"/>
          <w:sz w:val="18"/>
        </w:rPr>
        <w:t xml:space="preserve">  ·  </w:t>
      </w:r>
      <w:r>
        <w:rPr>
          <w:rFonts w:ascii="Calibri" w:hAnsi="Calibri"/>
          <w:b w:val="0"/>
          <w:i w:val="0"/>
          <w:color w:val="C62828"/>
          <w:sz w:val="18"/>
        </w:rPr>
        <w:t>vente ↓ $0.990363 (-1%)</w:t>
      </w:r>
      <w:r>
        <w:rPr>
          <w:rFonts w:ascii="Calibri" w:hAnsi="Calibri"/>
          <w:b w:val="0"/>
          <w:i w:val="0"/>
          <w:sz w:val="18"/>
        </w:rPr>
        <w:t xml:space="preserve">  ·  détention ~45 j  ·  ratio G/P 1.52</w:t>
      </w:r>
    </w:p>
    <w:p>
      <w:pPr>
        <w:pStyle w:val="Heading2"/>
      </w:pPr>
      <w:r/>
      <w:r>
        <w:rPr>
          <w:rFonts w:ascii="Calibri" w:hAnsi="Calibri"/>
          <w:b/>
          <w:i w:val="0"/>
          <w:color w:val="1F3864"/>
          <w:sz w:val="26"/>
        </w:rPr>
        <w:t xml:space="preserve">INJ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$7.3006   |   Composite +0.00   |   Indicateurs actifs : ma,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+4.2%  ·  volatilité annualisée +103.3%  ·  drawdown vs plus-haut -19.1%  ·  momentum 7j/30j/90j -4.9% / +21.9% / +44.5%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0.431)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-43%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~$7.3006  ·  </w:t>
      </w:r>
      <w:r>
        <w:rPr>
          <w:rFonts w:ascii="Calibri" w:hAnsi="Calibri"/>
          <w:b w:val="0"/>
          <w:i w:val="0"/>
          <w:color w:val="1E7D32"/>
          <w:sz w:val="18"/>
        </w:rPr>
        <w:t>vente ↑ $10.3209 (+41%)</w:t>
      </w:r>
      <w:r>
        <w:rPr>
          <w:rFonts w:ascii="Calibri" w:hAnsi="Calibri"/>
          <w:b w:val="0"/>
          <w:i w:val="0"/>
          <w:sz w:val="18"/>
        </w:rPr>
        <w:t xml:space="preserve">  ·  </w:t>
      </w:r>
      <w:r>
        <w:rPr>
          <w:rFonts w:ascii="Calibri" w:hAnsi="Calibri"/>
          <w:b w:val="0"/>
          <w:i w:val="0"/>
          <w:color w:val="C62828"/>
          <w:sz w:val="18"/>
        </w:rPr>
        <w:t>vente ↓ $5.7959 (-21%)</w:t>
      </w:r>
      <w:r>
        <w:rPr>
          <w:rFonts w:ascii="Calibri" w:hAnsi="Calibri"/>
          <w:b w:val="0"/>
          <w:i w:val="0"/>
          <w:sz w:val="18"/>
        </w:rPr>
        <w:t xml:space="preserve">  ·  détention ~20 j  ·  ratio G/P 2.01</w:t>
      </w:r>
    </w:p>
    <w:p>
      <w:pPr>
        <w:pStyle w:val="Heading2"/>
      </w:pPr>
      <w:r/>
      <w:r>
        <w:rPr>
          <w:rFonts w:ascii="Calibri" w:hAnsi="Calibri"/>
          <w:b/>
          <w:i w:val="0"/>
          <w:color w:val="1F3864"/>
          <w:sz w:val="26"/>
        </w:rPr>
        <w:t xml:space="preserve">STX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$0.410108   |   Composite +0.50   |   Indicateurs actifs : macd,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+2.8%  ·  volatilité annualisée +98.7%  ·  drawdown vs plus-haut -12.6%  ·  momentum 7j/30j/90j +8.1% / +53.3% / +143.1%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rouge (AUC 0.562)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-39%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~$0.410108  ·  </w:t>
      </w:r>
      <w:r>
        <w:rPr>
          <w:rFonts w:ascii="Calibri" w:hAnsi="Calibri"/>
          <w:b w:val="0"/>
          <w:i w:val="0"/>
          <w:color w:val="1E7D32"/>
          <w:sz w:val="18"/>
        </w:rPr>
        <w:t>vente ↑ $0.565186 (+38%)</w:t>
      </w:r>
      <w:r>
        <w:rPr>
          <w:rFonts w:ascii="Calibri" w:hAnsi="Calibri"/>
          <w:b w:val="0"/>
          <w:i w:val="0"/>
          <w:sz w:val="18"/>
        </w:rPr>
        <w:t xml:space="preserve">  ·  </w:t>
      </w:r>
      <w:r>
        <w:rPr>
          <w:rFonts w:ascii="Calibri" w:hAnsi="Calibri"/>
          <w:b w:val="0"/>
          <w:i w:val="0"/>
          <w:color w:val="C62828"/>
          <w:sz w:val="18"/>
        </w:rPr>
        <w:t>vente ↓ $0.331159 (-19%)</w:t>
      </w:r>
      <w:r>
        <w:rPr>
          <w:rFonts w:ascii="Calibri" w:hAnsi="Calibri"/>
          <w:b w:val="0"/>
          <w:i w:val="0"/>
          <w:sz w:val="18"/>
        </w:rPr>
        <w:t xml:space="preserve">  ·  détention ~21 j  ·  ratio G/P 1.96</w:t>
      </w:r>
    </w:p>
    <w:p>
      <w:pPr>
        <w:pStyle w:val="Heading2"/>
      </w:pPr>
      <w:r/>
      <w:r>
        <w:rPr>
          <w:rFonts w:ascii="Calibri" w:hAnsi="Calibri"/>
          <w:b/>
          <w:i w:val="0"/>
          <w:color w:val="1F3864"/>
          <w:sz w:val="26"/>
        </w:rPr>
        <w:t xml:space="preserve">NIGHT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$0.044827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+5.7%  ·  volatilité annualisée +180.4%  ·  drawdown vs plus-haut -59.6%  ·  momentum 7j/30j/90j -13.9% / +116.0% / +55.9%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0.45)  ·  </w:t>
      </w:r>
      <w:r>
        <w:rPr>
          <w:rFonts w:ascii="Calibri" w:hAnsi="Calibri"/>
          <w:b w:val="0"/>
          <w:i w:val="0"/>
          <w:color w:val="C62828"/>
          <w:sz w:val="18"/>
        </w:rPr>
        <w:t>Risque rouge (vol 1.8)</w:t>
      </w:r>
    </w:p>
    <w:p>
      <w:r>
        <w:rPr>
          <w:rFonts w:ascii="Calibri" w:hAnsi="Calibri"/>
          <w:b/>
          <w:i w:val="0"/>
          <w:sz w:val="19"/>
        </w:rPr>
        <w:t xml:space="preserve">Projection 30j (fourchette, pas une prévision) : </w:t>
      </w:r>
      <w:r>
        <w:rPr>
          <w:rFonts w:ascii="Calibri" w:hAnsi="Calibri"/>
          <w:b w:val="0"/>
          <w:i w:val="0"/>
          <w:sz w:val="19"/>
        </w:rPr>
        <w:t>-49% à +95%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~$0.044827  ·  </w:t>
      </w:r>
      <w:r>
        <w:rPr>
          <w:rFonts w:ascii="Calibri" w:hAnsi="Calibri"/>
          <w:b w:val="0"/>
          <w:i w:val="0"/>
          <w:color w:val="1E7D32"/>
          <w:sz w:val="18"/>
        </w:rPr>
        <w:t>vente ↑ $0.061949 (+38%)</w:t>
      </w:r>
      <w:r>
        <w:rPr>
          <w:rFonts w:ascii="Calibri" w:hAnsi="Calibri"/>
          <w:b w:val="0"/>
          <w:i w:val="0"/>
          <w:sz w:val="18"/>
        </w:rPr>
        <w:t xml:space="preserve">  ·  </w:t>
      </w:r>
      <w:r>
        <w:rPr>
          <w:rFonts w:ascii="Calibri" w:hAnsi="Calibri"/>
          <w:b w:val="0"/>
          <w:i w:val="0"/>
          <w:color w:val="C62828"/>
          <w:sz w:val="18"/>
        </w:rPr>
        <w:t>vente ↓ $0.036130 (-19%)</w:t>
      </w:r>
      <w:r>
        <w:rPr>
          <w:rFonts w:ascii="Calibri" w:hAnsi="Calibri"/>
          <w:b w:val="0"/>
          <w:i w:val="0"/>
          <w:sz w:val="18"/>
        </w:rPr>
        <w:t xml:space="preserve">  ·  détention ~12 j  ·  ratio G/P 1.97</w:t>
      </w:r>
    </w:p>
    <w:p>
      <w:pPr>
        <w:pStyle w:val="Heading2"/>
      </w:pPr>
      <w:r/>
      <w:r>
        <w:rPr>
          <w:rFonts w:ascii="Calibri" w:hAnsi="Calibri"/>
          <w:b/>
          <w:i w:val="0"/>
          <w:color w:val="1F3864"/>
          <w:sz w:val="26"/>
        </w:rPr>
        <w:t xml:space="preserve">APT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$0.794035   |   Composite -0.33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+5.0%  ·  volatilité annualisée +106.4%  ·  drawdown vs plus-haut -77.8%  ·  momentum 7j/30j/90j -6.1% / +32.1% / +28.0%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~$0.794035  ·  </w:t>
      </w:r>
      <w:r>
        <w:rPr>
          <w:rFonts w:ascii="Calibri" w:hAnsi="Calibri"/>
          <w:b w:val="0"/>
          <w:i w:val="0"/>
          <w:color w:val="1E7D32"/>
          <w:sz w:val="18"/>
        </w:rPr>
        <w:t>vente ↑ $1.0534 (+33%)</w:t>
      </w:r>
      <w:r>
        <w:rPr>
          <w:rFonts w:ascii="Calibri" w:hAnsi="Calibri"/>
          <w:b w:val="0"/>
          <w:i w:val="0"/>
          <w:sz w:val="18"/>
        </w:rPr>
        <w:t xml:space="preserve">  ·  </w:t>
      </w:r>
      <w:r>
        <w:rPr>
          <w:rFonts w:ascii="Calibri" w:hAnsi="Calibri"/>
          <w:b w:val="0"/>
          <w:i w:val="0"/>
          <w:color w:val="C62828"/>
          <w:sz w:val="18"/>
        </w:rPr>
        <w:t>vente ↓ $0.657649 (-17%)</w:t>
      </w:r>
      <w:r>
        <w:rPr>
          <w:rFonts w:ascii="Calibri" w:hAnsi="Calibri"/>
          <w:b w:val="0"/>
          <w:i w:val="0"/>
          <w:sz w:val="18"/>
        </w:rPr>
        <w:t xml:space="preserve">  ·  détention ~20 j  ·  ratio G/P 1.9</w:t>
      </w:r>
    </w:p>
    <w:p>
      <w:pPr>
        <w:pStyle w:val="Heading2"/>
      </w:pPr>
      <w:r/>
      <w:r>
        <w:rPr>
          <w:rFonts w:ascii="Calibri" w:hAnsi="Calibri"/>
          <w:b/>
          <w:i w:val="0"/>
          <w:color w:val="1F3864"/>
          <w:sz w:val="26"/>
        </w:rPr>
        <w:t xml:space="preserve">STABLE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$0.026864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+2.6%  ·  volatilité annualisée +121.2%  ·  drawdown vs plus-haut -34.3%  ·  momentum 7j/30j/90j -1.9% / -3.4% / -28.4%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0.624)  ·  </w:t>
      </w:r>
      <w:r>
        <w:rPr>
          <w:rFonts w:ascii="Calibri" w:hAnsi="Calibri"/>
          <w:b w:val="0"/>
          <w:i w:val="0"/>
          <w:color w:val="1E7D32"/>
          <w:sz w:val="18"/>
        </w:rPr>
        <w:t>Risque vert (vol 1.21)</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~$0.026864  ·  </w:t>
      </w:r>
      <w:r>
        <w:rPr>
          <w:rFonts w:ascii="Calibri" w:hAnsi="Calibri"/>
          <w:b w:val="0"/>
          <w:i w:val="0"/>
          <w:color w:val="1E7D32"/>
          <w:sz w:val="18"/>
        </w:rPr>
        <w:t>vente ↑ $0.036665 (+36%)</w:t>
      </w:r>
      <w:r>
        <w:rPr>
          <w:rFonts w:ascii="Calibri" w:hAnsi="Calibri"/>
          <w:b w:val="0"/>
          <w:i w:val="0"/>
          <w:sz w:val="18"/>
        </w:rPr>
        <w:t xml:space="preserve">  ·  </w:t>
      </w:r>
      <w:r>
        <w:rPr>
          <w:rFonts w:ascii="Calibri" w:hAnsi="Calibri"/>
          <w:b w:val="0"/>
          <w:i w:val="0"/>
          <w:color w:val="C62828"/>
          <w:sz w:val="18"/>
        </w:rPr>
        <w:t>vente ↓ $0.021833 (-19%)</w:t>
      </w:r>
      <w:r>
        <w:rPr>
          <w:rFonts w:ascii="Calibri" w:hAnsi="Calibri"/>
          <w:b w:val="0"/>
          <w:i w:val="0"/>
          <w:sz w:val="18"/>
        </w:rPr>
        <w:t xml:space="preserve">  ·  détention ~17 j  ·  ratio G/P 1.95</w:t>
      </w:r>
    </w:p>
    <w:p>
      <w:pPr>
        <w:pStyle w:val="Heading2"/>
      </w:pPr>
      <w:r/>
      <w:r>
        <w:rPr>
          <w:rFonts w:ascii="Calibri" w:hAnsi="Calibri"/>
          <w:b/>
          <w:i w:val="0"/>
          <w:color w:val="1F3864"/>
          <w:sz w:val="26"/>
        </w:rPr>
        <w:t xml:space="preserve">CAKE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$2.2576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+3.3%  ·  volatilité annualisée +80.8%  ·  drawdown vs plus-haut -22.4%  ·  momentum 7j/30j/90j -8.4% / +1.7% / +57.3%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0.577)  ·  </w:t>
      </w:r>
      <w:r>
        <w:rPr>
          <w:rFonts w:ascii="Calibri" w:hAnsi="Calibri"/>
          <w:b w:val="0"/>
          <w:i w:val="0"/>
          <w:color w:val="1E7D32"/>
          <w:sz w:val="18"/>
        </w:rPr>
        <w:t>Risque vert (vol 0.81)</w:t>
      </w:r>
    </w:p>
    <w:p>
      <w:r>
        <w:rPr>
          <w:rFonts w:ascii="Calibri" w:hAnsi="Calibri"/>
          <w:b/>
          <w:i w:val="0"/>
          <w:sz w:val="19"/>
        </w:rPr>
        <w:t xml:space="preserve">Projection 30j (fourchette, pas une prévision) : </w:t>
      </w:r>
      <w:r>
        <w:rPr>
          <w:rFonts w:ascii="Calibri" w:hAnsi="Calibri"/>
          <w:b w:val="0"/>
          <w:i w:val="0"/>
          <w:sz w:val="19"/>
        </w:rPr>
        <w:t>-28% à +39%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~$2.2576  ·  </w:t>
      </w:r>
      <w:r>
        <w:rPr>
          <w:rFonts w:ascii="Calibri" w:hAnsi="Calibri"/>
          <w:b w:val="0"/>
          <w:i w:val="0"/>
          <w:color w:val="1E7D32"/>
          <w:sz w:val="18"/>
        </w:rPr>
        <w:t>vente ↑ $2.8547 (+26%)</w:t>
      </w:r>
      <w:r>
        <w:rPr>
          <w:rFonts w:ascii="Calibri" w:hAnsi="Calibri"/>
          <w:b w:val="0"/>
          <w:i w:val="0"/>
          <w:sz w:val="18"/>
        </w:rPr>
        <w:t xml:space="preserve">  ·  </w:t>
      </w:r>
      <w:r>
        <w:rPr>
          <w:rFonts w:ascii="Calibri" w:hAnsi="Calibri"/>
          <w:b w:val="0"/>
          <w:i w:val="0"/>
          <w:color w:val="C62828"/>
          <w:sz w:val="18"/>
        </w:rPr>
        <w:t>vente ↓ $1.9307 (-14%)</w:t>
      </w:r>
      <w:r>
        <w:rPr>
          <w:rFonts w:ascii="Calibri" w:hAnsi="Calibri"/>
          <w:b w:val="0"/>
          <w:i w:val="0"/>
          <w:sz w:val="18"/>
        </w:rPr>
        <w:t xml:space="preserve">  ·  détention ~26 j  ·  ratio G/P 1.83</w:t>
      </w:r>
    </w:p>
    <w:p>
      <w:pPr>
        <w:pStyle w:val="Heading2"/>
      </w:pPr>
      <w:r/>
      <w:r>
        <w:rPr>
          <w:rFonts w:ascii="Calibri" w:hAnsi="Calibri"/>
          <w:b/>
          <w:i w:val="0"/>
          <w:color w:val="1F3864"/>
          <w:sz w:val="26"/>
        </w:rPr>
        <w:t xml:space="preserve">GHO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$0.998122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+0.0%  ·  volatilité annualisée +0.8%  ·  drawdown vs plus-haut -0.3%  ·  momentum 7j/30j/90j -0.1% / -0.1%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~$0.998122  ·  </w:t>
      </w:r>
      <w:r>
        <w:rPr>
          <w:rFonts w:ascii="Calibri" w:hAnsi="Calibri"/>
          <w:b w:val="0"/>
          <w:i w:val="0"/>
          <w:color w:val="1E7D32"/>
          <w:sz w:val="18"/>
        </w:rPr>
        <w:t>vente ↑ $1.0007 (+0%)</w:t>
      </w:r>
      <w:r>
        <w:rPr>
          <w:rFonts w:ascii="Calibri" w:hAnsi="Calibri"/>
          <w:b w:val="0"/>
          <w:i w:val="0"/>
          <w:sz w:val="18"/>
        </w:rPr>
        <w:t xml:space="preserve">  ·  </w:t>
      </w:r>
      <w:r>
        <w:rPr>
          <w:rFonts w:ascii="Calibri" w:hAnsi="Calibri"/>
          <w:b w:val="0"/>
          <w:i w:val="0"/>
          <w:color w:val="C62828"/>
          <w:sz w:val="18"/>
        </w:rPr>
        <w:t>vente ↓ $0.996382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BDX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$0.089041   |   Composite -0.67   |   Indicateurs actifs : rsi,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+1.5%  ·  volatilité annualisée +63.9%  ·  drawdown vs plus-haut -10.7%  ·  momentum 7j/30j/90j +20.6% / +16.5% / +5.4%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-38%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~$0.089041  ·  </w:t>
      </w:r>
      <w:r>
        <w:rPr>
          <w:rFonts w:ascii="Calibri" w:hAnsi="Calibri"/>
          <w:b w:val="0"/>
          <w:i w:val="0"/>
          <w:color w:val="1E7D32"/>
          <w:sz w:val="18"/>
        </w:rPr>
        <w:t>vente ↑ $0.130159 (+46%)</w:t>
      </w:r>
      <w:r>
        <w:rPr>
          <w:rFonts w:ascii="Calibri" w:hAnsi="Calibri"/>
          <w:b w:val="0"/>
          <w:i w:val="0"/>
          <w:sz w:val="18"/>
        </w:rPr>
        <w:t xml:space="preserve">  ·  </w:t>
      </w:r>
      <w:r>
        <w:rPr>
          <w:rFonts w:ascii="Calibri" w:hAnsi="Calibri"/>
          <w:b w:val="0"/>
          <w:i w:val="0"/>
          <w:color w:val="C62828"/>
          <w:sz w:val="18"/>
        </w:rPr>
        <w:t>vente ↓ $0.069130 (-22%)</w:t>
      </w:r>
      <w:r>
        <w:rPr>
          <w:rFonts w:ascii="Calibri" w:hAnsi="Calibri"/>
          <w:b w:val="0"/>
          <w:i w:val="0"/>
          <w:sz w:val="18"/>
        </w:rPr>
        <w:t xml:space="preserve">  ·  détention ~33 j  ·  ratio G/P 2.07</w:t>
      </w:r>
    </w:p>
    <w:p>
      <w:pPr>
        <w:pStyle w:val="Heading2"/>
      </w:pPr>
      <w:r/>
      <w:r>
        <w:rPr>
          <w:rFonts w:ascii="Calibri" w:hAnsi="Calibri"/>
          <w:b/>
          <w:i w:val="0"/>
          <w:color w:val="1F3864"/>
          <w:sz w:val="26"/>
        </w:rPr>
        <w:t xml:space="preserve">XDC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$0.033790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+2.7%  ·  volatilité annualisée +71.1%  ·  drawdown vs plus-haut -46.4%  ·  momentum 7j/30j/90j +2.9% / +21.5% / +24.2%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rouge (AUC 0.654)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-24% à +32%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~$0.033790  ·  </w:t>
      </w:r>
      <w:r>
        <w:rPr>
          <w:rFonts w:ascii="Calibri" w:hAnsi="Calibri"/>
          <w:b w:val="0"/>
          <w:i w:val="0"/>
          <w:color w:val="1E7D32"/>
          <w:sz w:val="18"/>
        </w:rPr>
        <w:t>vente ↑ $0.041840 (+24%)</w:t>
      </w:r>
      <w:r>
        <w:rPr>
          <w:rFonts w:ascii="Calibri" w:hAnsi="Calibri"/>
          <w:b w:val="0"/>
          <w:i w:val="0"/>
          <w:sz w:val="18"/>
        </w:rPr>
        <w:t xml:space="preserve">  ·  </w:t>
      </w:r>
      <w:r>
        <w:rPr>
          <w:rFonts w:ascii="Calibri" w:hAnsi="Calibri"/>
          <w:b w:val="0"/>
          <w:i w:val="0"/>
          <w:color w:val="C62828"/>
          <w:sz w:val="18"/>
        </w:rPr>
        <w:t>vente ↓ $0.029303 (-13%)</w:t>
      </w:r>
      <w:r>
        <w:rPr>
          <w:rFonts w:ascii="Calibri" w:hAnsi="Calibri"/>
          <w:b w:val="0"/>
          <w:i w:val="0"/>
          <w:sz w:val="18"/>
        </w:rPr>
        <w:t xml:space="preserve">  ·  détention ~30 j  ·  ratio G/P 1.79</w:t>
      </w:r>
    </w:p>
    <w:p>
      <w:pPr>
        <w:pStyle w:val="Heading2"/>
      </w:pPr>
      <w:r/>
      <w:r>
        <w:rPr>
          <w:rFonts w:ascii="Calibri" w:hAnsi="Calibri"/>
          <w:b/>
          <w:i w:val="0"/>
          <w:color w:val="1F3864"/>
          <w:sz w:val="26"/>
        </w:rPr>
        <w:t xml:space="preserve">ETHFI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$0.678779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+4.8%  ·  volatilité annualisée +124.0%  ·  drawdown vs plus-haut -36.9%  ·  momentum 7j/30j/90j -8.4% / -4.6% / +72.4%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64)  ·  </w:t>
      </w:r>
      <w:r>
        <w:rPr>
          <w:rFonts w:ascii="Calibri" w:hAnsi="Calibri"/>
          <w:b w:val="0"/>
          <w:i w:val="0"/>
          <w:sz w:val="18"/>
        </w:rPr>
        <w:t xml:space="preserve">Prédiction rouge (AUC 0.63)  ·  </w:t>
      </w:r>
      <w:r>
        <w:rPr>
          <w:rFonts w:ascii="Calibri" w:hAnsi="Calibri"/>
          <w:b w:val="0"/>
          <w:i w:val="0"/>
          <w:color w:val="1E7D32"/>
          <w:sz w:val="18"/>
        </w:rPr>
        <w:t>Risque vert (vol 1.24)</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~$0.678779  ·  </w:t>
      </w:r>
      <w:r>
        <w:rPr>
          <w:rFonts w:ascii="Calibri" w:hAnsi="Calibri"/>
          <w:b w:val="0"/>
          <w:i w:val="0"/>
          <w:color w:val="1E7D32"/>
          <w:sz w:val="18"/>
        </w:rPr>
        <w:t>vente ↑ $0.926357 (+36%)</w:t>
      </w:r>
      <w:r>
        <w:rPr>
          <w:rFonts w:ascii="Calibri" w:hAnsi="Calibri"/>
          <w:b w:val="0"/>
          <w:i w:val="0"/>
          <w:sz w:val="18"/>
        </w:rPr>
        <w:t xml:space="preserve">  ·  </w:t>
      </w:r>
      <w:r>
        <w:rPr>
          <w:rFonts w:ascii="Calibri" w:hAnsi="Calibri"/>
          <w:b w:val="0"/>
          <w:i w:val="0"/>
          <w:color w:val="C62828"/>
          <w:sz w:val="18"/>
        </w:rPr>
        <w:t>vente ↓ $0.551689 (-19%)</w:t>
      </w:r>
      <w:r>
        <w:rPr>
          <w:rFonts w:ascii="Calibri" w:hAnsi="Calibri"/>
          <w:b w:val="0"/>
          <w:i w:val="0"/>
          <w:sz w:val="18"/>
        </w:rPr>
        <w:t xml:space="preserve">  ·  détention ~17 j  ·  ratio G/P 1.95</w:t>
      </w:r>
    </w:p>
    <w:p>
      <w:pPr>
        <w:pStyle w:val="Heading2"/>
      </w:pPr>
      <w:r/>
      <w:r>
        <w:rPr>
          <w:rFonts w:ascii="Calibri" w:hAnsi="Calibri"/>
          <w:b/>
          <w:i w:val="0"/>
          <w:color w:val="1F3864"/>
          <w:sz w:val="26"/>
        </w:rPr>
        <w:t xml:space="preserve">STRK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$0.085145   |   Composite +0.33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+10.6%  ·  volatilité annualisée +321.4%  ·  drawdown vs plus-haut -65.7%  ·  momentum 7j/30j/90j +61.1% / +194.7% / +193.4%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0.598)  ·  </w:t>
      </w:r>
      <w:r>
        <w:rPr>
          <w:rFonts w:ascii="Calibri" w:hAnsi="Calibri"/>
          <w:b w:val="0"/>
          <w:i w:val="0"/>
          <w:color w:val="C62828"/>
          <w:sz w:val="18"/>
        </w:rPr>
        <w:t>Risque rouge (vol 3.21)</w:t>
      </w:r>
    </w:p>
    <w:p>
      <w:r>
        <w:rPr>
          <w:rFonts w:ascii="Calibri" w:hAnsi="Calibri"/>
          <w:b/>
          <w:i w:val="0"/>
          <w:sz w:val="19"/>
        </w:rPr>
        <w:t xml:space="preserve">Projection 30j (fourchette, pas une prévision) : </w:t>
      </w:r>
      <w:r>
        <w:rPr>
          <w:rFonts w:ascii="Calibri" w:hAnsi="Calibri"/>
          <w:b w:val="0"/>
          <w:i w:val="0"/>
          <w:sz w:val="19"/>
        </w:rPr>
        <w:t>-65% à +183%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~$0.085145  ·  </w:t>
      </w:r>
      <w:r>
        <w:rPr>
          <w:rFonts w:ascii="Calibri" w:hAnsi="Calibri"/>
          <w:b w:val="0"/>
          <w:i w:val="0"/>
          <w:color w:val="1E7D32"/>
          <w:sz w:val="18"/>
        </w:rPr>
        <w:t>vente ↑ $0.125021 (+47%)</w:t>
      </w:r>
      <w:r>
        <w:rPr>
          <w:rFonts w:ascii="Calibri" w:hAnsi="Calibri"/>
          <w:b w:val="0"/>
          <w:i w:val="0"/>
          <w:sz w:val="18"/>
        </w:rPr>
        <w:t xml:space="preserve">  ·  </w:t>
      </w:r>
      <w:r>
        <w:rPr>
          <w:rFonts w:ascii="Calibri" w:hAnsi="Calibri"/>
          <w:b w:val="0"/>
          <w:i w:val="0"/>
          <w:color w:val="C62828"/>
          <w:sz w:val="18"/>
        </w:rPr>
        <w:t>vente ↓ $0.065909 (-23%)</w:t>
      </w:r>
      <w:r>
        <w:rPr>
          <w:rFonts w:ascii="Calibri" w:hAnsi="Calibri"/>
          <w:b w:val="0"/>
          <w:i w:val="0"/>
          <w:sz w:val="18"/>
        </w:rPr>
        <w:t xml:space="preserve">  ·  détention ~7 j  ·  ratio G/P 2.07</w:t>
      </w:r>
    </w:p>
    <w:p>
      <w:pPr>
        <w:pStyle w:val="Heading2"/>
      </w:pPr>
      <w:r/>
      <w:r>
        <w:rPr>
          <w:rFonts w:ascii="Calibri" w:hAnsi="Calibri"/>
          <w:b/>
          <w:i w:val="0"/>
          <w:color w:val="1F3864"/>
          <w:sz w:val="26"/>
        </w:rPr>
        <w:t xml:space="preserve">PYTH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$0.081481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+3.0%  ·  volatilité annualisée +109.4%  ·  drawdown vs plus-haut -32.1%  ·  momentum 7j/30j/90j +2.8% / +48.4% / +74.2%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1.09)</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~$0.081481  ·  </w:t>
      </w:r>
      <w:r>
        <w:rPr>
          <w:rFonts w:ascii="Calibri" w:hAnsi="Calibri"/>
          <w:b w:val="0"/>
          <w:i w:val="0"/>
          <w:color w:val="1E7D32"/>
          <w:sz w:val="18"/>
        </w:rPr>
        <w:t>vente ↑ $0.109755 (+35%)</w:t>
      </w:r>
      <w:r>
        <w:rPr>
          <w:rFonts w:ascii="Calibri" w:hAnsi="Calibri"/>
          <w:b w:val="0"/>
          <w:i w:val="0"/>
          <w:sz w:val="18"/>
        </w:rPr>
        <w:t xml:space="preserve">  ·  </w:t>
      </w:r>
      <w:r>
        <w:rPr>
          <w:rFonts w:ascii="Calibri" w:hAnsi="Calibri"/>
          <w:b w:val="0"/>
          <w:i w:val="0"/>
          <w:color w:val="C62828"/>
          <w:sz w:val="18"/>
        </w:rPr>
        <w:t>vente ↓ $0.066805 (-18%)</w:t>
      </w:r>
      <w:r>
        <w:rPr>
          <w:rFonts w:ascii="Calibri" w:hAnsi="Calibri"/>
          <w:b w:val="0"/>
          <w:i w:val="0"/>
          <w:sz w:val="18"/>
        </w:rPr>
        <w:t xml:space="preserve">  ·  détention ~19 j  ·  ratio G/P 1.93</w:t>
      </w:r>
    </w:p>
    <w:p>
      <w:pPr>
        <w:pStyle w:val="Heading2"/>
      </w:pPr>
      <w:r/>
      <w:r>
        <w:rPr>
          <w:rFonts w:ascii="Calibri" w:hAnsi="Calibri"/>
          <w:b/>
          <w:i w:val="0"/>
          <w:color w:val="1F3864"/>
          <w:sz w:val="26"/>
        </w:rPr>
        <w:t xml:space="preserve">EUTBL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$1.1838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+0.2%  ·  volatilité annualisée +5.6%  ·  drawdown vs plus-haut -5.8%  ·  momentum 7j/30j/90j -0.5% / -3.6% / -1.7%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0.06)</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~$1.1838  ·  </w:t>
      </w:r>
      <w:r>
        <w:rPr>
          <w:rFonts w:ascii="Calibri" w:hAnsi="Calibri"/>
          <w:b w:val="0"/>
          <w:i w:val="0"/>
          <w:color w:val="1E7D32"/>
          <w:sz w:val="18"/>
        </w:rPr>
        <w:t>vente ↑ $1.2145 (+3%)</w:t>
      </w:r>
      <w:r>
        <w:rPr>
          <w:rFonts w:ascii="Calibri" w:hAnsi="Calibri"/>
          <w:b w:val="0"/>
          <w:i w:val="0"/>
          <w:sz w:val="18"/>
        </w:rPr>
        <w:t xml:space="preserve">  ·  </w:t>
      </w:r>
      <w:r>
        <w:rPr>
          <w:rFonts w:ascii="Calibri" w:hAnsi="Calibri"/>
          <w:b w:val="0"/>
          <w:i w:val="0"/>
          <w:color w:val="C62828"/>
          <w:sz w:val="18"/>
        </w:rPr>
        <w:t>vente ↓ $1.1638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DASH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$49.0812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+4.9%  ·  volatilité annualisée +137.4%  ·  drawdown vs plus-haut -59.6%  ·  momentum 7j/30j/90j -15.4% / -10.2% / +43.9%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1.37)</w:t>
      </w:r>
    </w:p>
    <w:p>
      <w:r>
        <w:rPr>
          <w:rFonts w:ascii="Calibri" w:hAnsi="Calibri"/>
          <w:b/>
          <w:i w:val="0"/>
          <w:sz w:val="19"/>
        </w:rPr>
        <w:t xml:space="preserve">Projection 30j (fourchette, pas une prévision) : </w:t>
      </w:r>
      <w:r>
        <w:rPr>
          <w:rFonts w:ascii="Calibri" w:hAnsi="Calibri"/>
          <w:b w:val="0"/>
          <w:i w:val="0"/>
          <w:sz w:val="19"/>
        </w:rPr>
        <w:t>-45% à +81%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~$49.0812  ·  </w:t>
      </w:r>
      <w:r>
        <w:rPr>
          <w:rFonts w:ascii="Calibri" w:hAnsi="Calibri"/>
          <w:b w:val="0"/>
          <w:i w:val="0"/>
          <w:color w:val="1E7D32"/>
          <w:sz w:val="18"/>
        </w:rPr>
        <w:t>vente ↑ $67.6609 (+38%)</w:t>
      </w:r>
      <w:r>
        <w:rPr>
          <w:rFonts w:ascii="Calibri" w:hAnsi="Calibri"/>
          <w:b w:val="0"/>
          <w:i w:val="0"/>
          <w:sz w:val="18"/>
        </w:rPr>
        <w:t xml:space="preserve">  ·  </w:t>
      </w:r>
      <w:r>
        <w:rPr>
          <w:rFonts w:ascii="Calibri" w:hAnsi="Calibri"/>
          <w:b w:val="0"/>
          <w:i w:val="0"/>
          <w:color w:val="C62828"/>
          <w:sz w:val="18"/>
        </w:rPr>
        <w:t>vente ↓ $39.6248 (-19%)</w:t>
      </w:r>
      <w:r>
        <w:rPr>
          <w:rFonts w:ascii="Calibri" w:hAnsi="Calibri"/>
          <w:b w:val="0"/>
          <w:i w:val="0"/>
          <w:sz w:val="18"/>
        </w:rPr>
        <w:t xml:space="preserve">  ·  détention ~15 j  ·  ratio G/P 1.96</w:t>
      </w:r>
    </w:p>
    <w:p>
      <w:pPr>
        <w:pStyle w:val="Heading2"/>
      </w:pPr>
      <w:r/>
      <w:r>
        <w:rPr>
          <w:rFonts w:ascii="Calibri" w:hAnsi="Calibri"/>
          <w:b/>
          <w:i w:val="0"/>
          <w:color w:val="1F3864"/>
          <w:sz w:val="26"/>
        </w:rPr>
        <w:t xml:space="preserve">VET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$0.007291   |   Composite +0.00   |   Indicateurs actifs : macd,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+3.8%  ·  volatilité annualisée +116.8%  ·  drawdown vs plus-haut -59.2%  ·  momentum 7j/30j/90j -16.8% / -3.1% / +50.8%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0.596)  ·  </w:t>
      </w:r>
      <w:r>
        <w:rPr>
          <w:rFonts w:ascii="Calibri" w:hAnsi="Calibri"/>
          <w:b w:val="0"/>
          <w:i w:val="0"/>
          <w:color w:val="1E7D32"/>
          <w:sz w:val="18"/>
        </w:rPr>
        <w:t>Risque vert (vol 1.17)</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~$0.007291  ·  </w:t>
      </w:r>
      <w:r>
        <w:rPr>
          <w:rFonts w:ascii="Calibri" w:hAnsi="Calibri"/>
          <w:b w:val="0"/>
          <w:i w:val="0"/>
          <w:color w:val="1E7D32"/>
          <w:sz w:val="18"/>
        </w:rPr>
        <w:t>vente ↑ $0.009220 (+26%)</w:t>
      </w:r>
      <w:r>
        <w:rPr>
          <w:rFonts w:ascii="Calibri" w:hAnsi="Calibri"/>
          <w:b w:val="0"/>
          <w:i w:val="0"/>
          <w:sz w:val="18"/>
        </w:rPr>
        <w:t xml:space="preserve">  ·  </w:t>
      </w:r>
      <w:r>
        <w:rPr>
          <w:rFonts w:ascii="Calibri" w:hAnsi="Calibri"/>
          <w:b w:val="0"/>
          <w:i w:val="0"/>
          <w:color w:val="C62828"/>
          <w:sz w:val="18"/>
        </w:rPr>
        <w:t>vente ↓ $0.006235 (-14%)</w:t>
      </w:r>
      <w:r>
        <w:rPr>
          <w:rFonts w:ascii="Calibri" w:hAnsi="Calibri"/>
          <w:b w:val="0"/>
          <w:i w:val="0"/>
          <w:sz w:val="18"/>
        </w:rPr>
        <w:t xml:space="preserve">  ·  détention ~18 j  ·  ratio G/P 1.83</w:t>
      </w:r>
    </w:p>
    <w:p>
      <w:pPr>
        <w:pStyle w:val="Heading2"/>
      </w:pPr>
      <w:r/>
      <w:r>
        <w:rPr>
          <w:rFonts w:ascii="Calibri" w:hAnsi="Calibri"/>
          <w:b/>
          <w:i w:val="0"/>
          <w:color w:val="1F3864"/>
          <w:sz w:val="26"/>
        </w:rPr>
        <w:t xml:space="preserve">FLR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$0.006851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+2.0%  ·  volatilité annualisée +205.2%  ·  drawdown vs plus-haut -64.0%  ·  momentum 7j/30j/90j -5.2% / +5.2% / +3.2%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0.488)  ·  </w:t>
      </w:r>
      <w:r>
        <w:rPr>
          <w:rFonts w:ascii="Calibri" w:hAnsi="Calibri"/>
          <w:b w:val="0"/>
          <w:i w:val="0"/>
          <w:color w:val="C62828"/>
          <w:sz w:val="18"/>
        </w:rPr>
        <w:t>Risque rouge (vol 2.05)</w:t>
      </w:r>
    </w:p>
    <w:p>
      <w:r>
        <w:rPr>
          <w:rFonts w:ascii="Calibri" w:hAnsi="Calibri"/>
          <w:b/>
          <w:i w:val="0"/>
          <w:sz w:val="19"/>
        </w:rPr>
        <w:t xml:space="preserve">Projection 30j (fourchette, pas une prévision) : </w:t>
      </w:r>
      <w:r>
        <w:rPr>
          <w:rFonts w:ascii="Calibri" w:hAnsi="Calibri"/>
          <w:b w:val="0"/>
          <w:i w:val="0"/>
          <w:sz w:val="19"/>
        </w:rPr>
        <w:t>-26%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~$0.006851  ·  </w:t>
      </w:r>
      <w:r>
        <w:rPr>
          <w:rFonts w:ascii="Calibri" w:hAnsi="Calibri"/>
          <w:b w:val="0"/>
          <w:i w:val="0"/>
          <w:color w:val="1E7D32"/>
          <w:sz w:val="18"/>
        </w:rPr>
        <w:t>vente ↑ $0.007838 (+14%)</w:t>
      </w:r>
      <w:r>
        <w:rPr>
          <w:rFonts w:ascii="Calibri" w:hAnsi="Calibri"/>
          <w:b w:val="0"/>
          <w:i w:val="0"/>
          <w:sz w:val="18"/>
        </w:rPr>
        <w:t xml:space="preserve">  ·  </w:t>
      </w:r>
      <w:r>
        <w:rPr>
          <w:rFonts w:ascii="Calibri" w:hAnsi="Calibri"/>
          <w:b w:val="0"/>
          <w:i w:val="0"/>
          <w:color w:val="C62828"/>
          <w:sz w:val="18"/>
        </w:rPr>
        <w:t>vente ↓ $0.006263 (-9%)</w:t>
      </w:r>
      <w:r>
        <w:rPr>
          <w:rFonts w:ascii="Calibri" w:hAnsi="Calibri"/>
          <w:b w:val="0"/>
          <w:i w:val="0"/>
          <w:sz w:val="18"/>
        </w:rPr>
        <w:t xml:space="preserve">  ·  détention ~10 j  ·  ratio G/P 1.68</w:t>
      </w:r>
    </w:p>
    <w:p>
      <w:pPr>
        <w:pStyle w:val="Heading2"/>
      </w:pPr>
      <w:r/>
      <w:r>
        <w:rPr>
          <w:rFonts w:ascii="Calibri" w:hAnsi="Calibri"/>
          <w:b/>
          <w:i w:val="0"/>
          <w:color w:val="1F3864"/>
          <w:sz w:val="26"/>
        </w:rPr>
        <w:t xml:space="preserve">TIA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$0.529712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+5.4%  ·  volatilité annualisée +120.2%  ·  drawdown vs plus-haut -50.6%  ·  momentum 7j/30j/90j +10.8% / +51.1% / +30.0%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0.571)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-45% à +80%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~$0.529712  ·  </w:t>
      </w:r>
      <w:r>
        <w:rPr>
          <w:rFonts w:ascii="Calibri" w:hAnsi="Calibri"/>
          <w:b w:val="0"/>
          <w:i w:val="0"/>
          <w:color w:val="1E7D32"/>
          <w:sz w:val="18"/>
        </w:rPr>
        <w:t>vente ↑ $0.744380 (+41%)</w:t>
      </w:r>
      <w:r>
        <w:rPr>
          <w:rFonts w:ascii="Calibri" w:hAnsi="Calibri"/>
          <w:b w:val="0"/>
          <w:i w:val="0"/>
          <w:sz w:val="18"/>
        </w:rPr>
        <w:t xml:space="preserve">  ·  </w:t>
      </w:r>
      <w:r>
        <w:rPr>
          <w:rFonts w:ascii="Calibri" w:hAnsi="Calibri"/>
          <w:b w:val="0"/>
          <w:i w:val="0"/>
          <w:color w:val="C62828"/>
          <w:sz w:val="18"/>
        </w:rPr>
        <w:t>vente ↓ $0.422218 (-20%)</w:t>
      </w:r>
      <w:r>
        <w:rPr>
          <w:rFonts w:ascii="Calibri" w:hAnsi="Calibri"/>
          <w:b w:val="0"/>
          <w:i w:val="0"/>
          <w:sz w:val="18"/>
        </w:rPr>
        <w:t xml:space="preserve">  ·  détention ~17 j  ·  ratio G/P 2.0</w:t>
      </w:r>
    </w:p>
    <w:p>
      <w:pPr>
        <w:pStyle w:val="Heading2"/>
      </w:pPr>
      <w:r/>
      <w:r>
        <w:rPr>
          <w:rFonts w:ascii="Calibri" w:hAnsi="Calibri"/>
          <w:b/>
          <w:i w:val="0"/>
          <w:color w:val="1F3864"/>
          <w:sz w:val="26"/>
        </w:rPr>
        <w:t xml:space="preserve">JAAA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$1.0519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+0.6%  ·  drawdown vs plus-haut +0.0%  ·  momentum 7j/30j/90j +0.1% / +0.3% / +1.1%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vert (AUC 0.599)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~$1.0519  ·  </w:t>
      </w:r>
      <w:r>
        <w:rPr>
          <w:rFonts w:ascii="Calibri" w:hAnsi="Calibri"/>
          <w:b w:val="0"/>
          <w:i w:val="0"/>
          <w:color w:val="1E7D32"/>
          <w:sz w:val="18"/>
        </w:rPr>
        <w:t>vente ↑ $1.0548 (+0%)</w:t>
      </w:r>
      <w:r>
        <w:rPr>
          <w:rFonts w:ascii="Calibri" w:hAnsi="Calibri"/>
          <w:b w:val="0"/>
          <w:i w:val="0"/>
          <w:sz w:val="18"/>
        </w:rPr>
        <w:t xml:space="preserve">  ·  </w:t>
      </w:r>
      <w:r>
        <w:rPr>
          <w:rFonts w:ascii="Calibri" w:hAnsi="Calibri"/>
          <w:b w:val="0"/>
          <w:i w:val="0"/>
          <w:color w:val="C62828"/>
          <w:sz w:val="18"/>
        </w:rPr>
        <w:t>vente ↓ $1.0500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PRL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$1.5316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0.600)</w:t>
      </w:r>
    </w:p>
    <w:p>
      <w:r>
        <w:rPr>
          <w:rFonts w:ascii="Calibri" w:hAnsi="Calibri"/>
          <w:b/>
          <w:i w:val="0"/>
          <w:sz w:val="19"/>
        </w:rPr>
        <w:t xml:space="preserve">Profil de risque : </w:t>
      </w:r>
      <w:r>
        <w:rPr>
          <w:rFonts w:ascii="Calibri" w:hAnsi="Calibri"/>
          <w:b w:val="0"/>
          <w:i w:val="0"/>
          <w:sz w:val="19"/>
        </w:rPr>
        <w:t>ATR +6.4%  ·  volatilité annualisée +195.9%  ·  drawdown vs plus-haut -0.2%  ·  momentum 7j/30j/90j +29.6% / +206.2% / +283.0%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1.96)</w:t>
      </w:r>
    </w:p>
    <w:p>
      <w:r>
        <w:rPr>
          <w:rFonts w:ascii="Calibri" w:hAnsi="Calibri"/>
          <w:b/>
          <w:i w:val="0"/>
          <w:sz w:val="19"/>
        </w:rPr>
        <w:t xml:space="preserve">Projection 30j (fourchette, pas une prévision) : </w:t>
      </w:r>
      <w:r>
        <w:rPr>
          <w:rFonts w:ascii="Calibri" w:hAnsi="Calibri"/>
          <w:b w:val="0"/>
          <w:i w:val="0"/>
          <w:sz w:val="19"/>
        </w:rPr>
        <w:t>-67% à +201%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~$1.5316  ·  </w:t>
      </w:r>
      <w:r>
        <w:rPr>
          <w:rFonts w:ascii="Calibri" w:hAnsi="Calibri"/>
          <w:b w:val="0"/>
          <w:i w:val="0"/>
          <w:color w:val="1E7D32"/>
          <w:sz w:val="18"/>
        </w:rPr>
        <w:t>vente ↑ $2.5511 (+67%)</w:t>
      </w:r>
      <w:r>
        <w:rPr>
          <w:rFonts w:ascii="Calibri" w:hAnsi="Calibri"/>
          <w:b w:val="0"/>
          <w:i w:val="0"/>
          <w:sz w:val="18"/>
        </w:rPr>
        <w:t xml:space="preserve">  ·  </w:t>
      </w:r>
      <w:r>
        <w:rPr>
          <w:rFonts w:ascii="Calibri" w:hAnsi="Calibri"/>
          <w:b w:val="0"/>
          <w:i w:val="0"/>
          <w:color w:val="C62828"/>
          <w:sz w:val="18"/>
        </w:rPr>
        <w:t>vente ↓ $1.0899 (-29%)</w:t>
      </w:r>
      <w:r>
        <w:rPr>
          <w:rFonts w:ascii="Calibri" w:hAnsi="Calibri"/>
          <w:b w:val="0"/>
          <w:i w:val="0"/>
          <w:sz w:val="18"/>
        </w:rPr>
        <w:t xml:space="preserve">  ·  détention ~11 j  ·  ratio G/P 2.31</w:t>
      </w:r>
    </w:p>
    <w:p>
      <w:pPr>
        <w:pStyle w:val="Heading2"/>
      </w:pPr>
      <w:r/>
      <w:r>
        <w:rPr>
          <w:rFonts w:ascii="Calibri" w:hAnsi="Calibri"/>
          <w:b/>
          <w:i w:val="0"/>
          <w:color w:val="1F3864"/>
          <w:sz w:val="26"/>
        </w:rPr>
        <w:t xml:space="preserve">RAY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$2.1346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+5.0%  ·  volatilité annualisée +106.4%  ·  drawdown vs plus-haut -13.5%  ·  momentum 7j/30j/90j -4.0% / +38.8% / +211.4%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0.526)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~$2.1346  ·  </w:t>
      </w:r>
      <w:r>
        <w:rPr>
          <w:rFonts w:ascii="Calibri" w:hAnsi="Calibri"/>
          <w:b w:val="0"/>
          <w:i w:val="0"/>
          <w:color w:val="1E7D32"/>
          <w:sz w:val="18"/>
        </w:rPr>
        <w:t>vente ↑ $3.0443 (+43%)</w:t>
      </w:r>
      <w:r>
        <w:rPr>
          <w:rFonts w:ascii="Calibri" w:hAnsi="Calibri"/>
          <w:b w:val="0"/>
          <w:i w:val="0"/>
          <w:sz w:val="18"/>
        </w:rPr>
        <w:t xml:space="preserve">  ·  </w:t>
      </w:r>
      <w:r>
        <w:rPr>
          <w:rFonts w:ascii="Calibri" w:hAnsi="Calibri"/>
          <w:b w:val="0"/>
          <w:i w:val="0"/>
          <w:color w:val="C62828"/>
          <w:sz w:val="18"/>
        </w:rPr>
        <w:t>vente ↓ $1.6847 (-21%)</w:t>
      </w:r>
      <w:r>
        <w:rPr>
          <w:rFonts w:ascii="Calibri" w:hAnsi="Calibri"/>
          <w:b w:val="0"/>
          <w:i w:val="0"/>
          <w:sz w:val="18"/>
        </w:rPr>
        <w:t xml:space="preserve">  ·  détention ~20 j  ·  ratio G/P 2.02</w:t>
      </w:r>
    </w:p>
    <w:p>
      <w:pPr>
        <w:pStyle w:val="Heading2"/>
      </w:pPr>
      <w:r/>
      <w:r>
        <w:rPr>
          <w:rFonts w:ascii="Calibri" w:hAnsi="Calibri"/>
          <w:b/>
          <w:i w:val="0"/>
          <w:color w:val="1F3864"/>
          <w:sz w:val="26"/>
        </w:rPr>
        <w:t xml:space="preserve">BAT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$0.153653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+3.9%  ·  volatilité annualisée +89.6%  ·  drawdown vs plus-haut -45.0%  ·  momentum 7j/30j/90j +45.0% / +110.1% / +89.0%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0.694)  ·  </w:t>
      </w:r>
      <w:r>
        <w:rPr>
          <w:rFonts w:ascii="Calibri" w:hAnsi="Calibri"/>
          <w:b w:val="0"/>
          <w:i w:val="0"/>
          <w:color w:val="1E7D32"/>
          <w:sz w:val="18"/>
        </w:rPr>
        <w:t>Risque vert (vol 0.9)</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~$0.153653  ·  </w:t>
      </w:r>
      <w:r>
        <w:rPr>
          <w:rFonts w:ascii="Calibri" w:hAnsi="Calibri"/>
          <w:b w:val="0"/>
          <w:i w:val="0"/>
          <w:color w:val="1E7D32"/>
          <w:sz w:val="18"/>
        </w:rPr>
        <w:t>vente ↑ $0.209039 (+36%)</w:t>
      </w:r>
      <w:r>
        <w:rPr>
          <w:rFonts w:ascii="Calibri" w:hAnsi="Calibri"/>
          <w:b w:val="0"/>
          <w:i w:val="0"/>
          <w:sz w:val="18"/>
        </w:rPr>
        <w:t xml:space="preserve">  ·  </w:t>
      </w:r>
      <w:r>
        <w:rPr>
          <w:rFonts w:ascii="Calibri" w:hAnsi="Calibri"/>
          <w:b w:val="0"/>
          <w:i w:val="0"/>
          <w:color w:val="C62828"/>
          <w:sz w:val="18"/>
        </w:rPr>
        <w:t>vente ↓ $0.125147 (-19%)</w:t>
      </w:r>
      <w:r>
        <w:rPr>
          <w:rFonts w:ascii="Calibri" w:hAnsi="Calibri"/>
          <w:b w:val="0"/>
          <w:i w:val="0"/>
          <w:sz w:val="18"/>
        </w:rPr>
        <w:t xml:space="preserve">  ·  détention ~23 j  ·  ratio G/P 1.94</w:t>
      </w:r>
    </w:p>
    <w:p>
      <w:pPr>
        <w:pStyle w:val="Heading2"/>
      </w:pPr>
      <w:r/>
      <w:r>
        <w:rPr>
          <w:rFonts w:ascii="Calibri" w:hAnsi="Calibri"/>
          <w:b/>
          <w:i w:val="0"/>
          <w:color w:val="1F3864"/>
          <w:sz w:val="26"/>
        </w:rPr>
        <w:t xml:space="preserve">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$0.056473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+5.7%  ·  volatilité annualisée +160.6%  ·  drawdown vs plus-haut -73.0%  ·  momentum 7j/30j/90j +29.3% / +105.4% / +121.3%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1.61)</w:t>
      </w:r>
    </w:p>
    <w:p>
      <w:r>
        <w:rPr>
          <w:rFonts w:ascii="Calibri" w:hAnsi="Calibri"/>
          <w:b/>
          <w:i w:val="0"/>
          <w:sz w:val="19"/>
        </w:rPr>
        <w:t xml:space="preserve">Projection 30j (fourchette, pas une prévision) : </w:t>
      </w:r>
      <w:r>
        <w:rPr>
          <w:rFonts w:ascii="Calibri" w:hAnsi="Calibri"/>
          <w:b w:val="0"/>
          <w:i w:val="0"/>
          <w:sz w:val="19"/>
        </w:rPr>
        <w:t>-45% à +81%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~$0.056473  ·  </w:t>
      </w:r>
      <w:r>
        <w:rPr>
          <w:rFonts w:ascii="Calibri" w:hAnsi="Calibri"/>
          <w:b w:val="0"/>
          <w:i w:val="0"/>
          <w:color w:val="1E7D32"/>
          <w:sz w:val="18"/>
        </w:rPr>
        <w:t>vente ↑ $0.076054 (+35%)</w:t>
      </w:r>
      <w:r>
        <w:rPr>
          <w:rFonts w:ascii="Calibri" w:hAnsi="Calibri"/>
          <w:b w:val="0"/>
          <w:i w:val="0"/>
          <w:sz w:val="18"/>
        </w:rPr>
        <w:t xml:space="preserve">  ·  </w:t>
      </w:r>
      <w:r>
        <w:rPr>
          <w:rFonts w:ascii="Calibri" w:hAnsi="Calibri"/>
          <w:b w:val="0"/>
          <w:i w:val="0"/>
          <w:color w:val="C62828"/>
          <w:sz w:val="18"/>
        </w:rPr>
        <w:t>vente ↓ $0.046308 (-18%)</w:t>
      </w:r>
      <w:r>
        <w:rPr>
          <w:rFonts w:ascii="Calibri" w:hAnsi="Calibri"/>
          <w:b w:val="0"/>
          <w:i w:val="0"/>
          <w:sz w:val="18"/>
        </w:rPr>
        <w:t xml:space="preserve">  ·  détention ~13 j  ·  ratio G/P 1.93</w:t>
      </w:r>
    </w:p>
    <w:p>
      <w:pPr>
        <w:pStyle w:val="Heading2"/>
      </w:pPr>
      <w:r/>
      <w:r>
        <w:rPr>
          <w:rFonts w:ascii="Calibri" w:hAnsi="Calibri"/>
          <w:b/>
          <w:i w:val="0"/>
          <w:color w:val="1F3864"/>
          <w:sz w:val="26"/>
        </w:rPr>
        <w:t xml:space="preserve">Q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$0.030034   |   Composite +1.00   |   Indicateurs actifs : ma</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+5.6%  ·  volatilité annualisée +193.1%  ·  drawdown vs plus-haut -16.0%  ·  momentum 7j/30j/90j +42.5% / +26.4% / +61.4%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vert (AUC 0.587)  ·  </w:t>
      </w:r>
      <w:r>
        <w:rPr>
          <w:rFonts w:ascii="Calibri" w:hAnsi="Calibri"/>
          <w:b w:val="0"/>
          <w:i w:val="0"/>
          <w:color w:val="C62828"/>
          <w:sz w:val="18"/>
        </w:rPr>
        <w:t>Risque rouge (vol 1.93)</w:t>
      </w:r>
    </w:p>
    <w:p>
      <w:r>
        <w:rPr>
          <w:rFonts w:ascii="Calibri" w:hAnsi="Calibri"/>
          <w:b/>
          <w:i w:val="0"/>
          <w:sz w:val="19"/>
        </w:rPr>
        <w:t xml:space="preserve">Projection 30j (fourchette, pas une prévision) : </w:t>
      </w:r>
      <w:r>
        <w:rPr>
          <w:rFonts w:ascii="Calibri" w:hAnsi="Calibri"/>
          <w:b w:val="0"/>
          <w:i w:val="0"/>
          <w:sz w:val="19"/>
        </w:rPr>
        <w:t>-58% à +140%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~$0.030034  ·  </w:t>
      </w:r>
      <w:r>
        <w:rPr>
          <w:rFonts w:ascii="Calibri" w:hAnsi="Calibri"/>
          <w:b w:val="0"/>
          <w:i w:val="0"/>
          <w:color w:val="1E7D32"/>
          <w:sz w:val="18"/>
        </w:rPr>
        <w:t>vente ↑ $0.045100 (+50%)</w:t>
      </w:r>
      <w:r>
        <w:rPr>
          <w:rFonts w:ascii="Calibri" w:hAnsi="Calibri"/>
          <w:b w:val="0"/>
          <w:i w:val="0"/>
          <w:sz w:val="18"/>
        </w:rPr>
        <w:t xml:space="preserve">  ·  </w:t>
      </w:r>
      <w:r>
        <w:rPr>
          <w:rFonts w:ascii="Calibri" w:hAnsi="Calibri"/>
          <w:b w:val="0"/>
          <w:i w:val="0"/>
          <w:color w:val="C62828"/>
          <w:sz w:val="18"/>
        </w:rPr>
        <w:t>vente ↓ $0.022904 (-24%)</w:t>
      </w:r>
      <w:r>
        <w:rPr>
          <w:rFonts w:ascii="Calibri" w:hAnsi="Calibri"/>
          <w:b w:val="0"/>
          <w:i w:val="0"/>
          <w:sz w:val="18"/>
        </w:rPr>
        <w:t xml:space="preserve">  ·  détention ~11 j  ·  ratio G/P 2.11</w:t>
      </w:r>
    </w:p>
    <w:p>
      <w:pPr>
        <w:pStyle w:val="Heading2"/>
      </w:pPr>
      <w:r/>
      <w:r>
        <w:rPr>
          <w:rFonts w:ascii="Calibri" w:hAnsi="Calibri"/>
          <w:b/>
          <w:i w:val="0"/>
          <w:color w:val="1F3864"/>
          <w:sz w:val="26"/>
        </w:rPr>
        <w:t xml:space="preserve">DRV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$0.442531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+7.0%  ·  volatilité annualisée +155.8%  ·  drawdown vs plus-haut -17.7%  ·  momentum 7j/30j/90j +7.5% / +195.1% / +185.3%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0.582)  ·  </w:t>
      </w:r>
      <w:r>
        <w:rPr>
          <w:rFonts w:ascii="Calibri" w:hAnsi="Calibri"/>
          <w:b w:val="0"/>
          <w:i w:val="0"/>
          <w:color w:val="C62828"/>
          <w:sz w:val="18"/>
        </w:rPr>
        <w:t>Risque rouge (vol 1.56)</w:t>
      </w:r>
    </w:p>
    <w:p>
      <w:r>
        <w:rPr>
          <w:rFonts w:ascii="Calibri" w:hAnsi="Calibri"/>
          <w:b/>
          <w:i w:val="0"/>
          <w:sz w:val="19"/>
        </w:rPr>
        <w:t xml:space="preserve">Projection 30j (fourchette, pas une prévision) : </w:t>
      </w:r>
      <w:r>
        <w:rPr>
          <w:rFonts w:ascii="Calibri" w:hAnsi="Calibri"/>
          <w:b w:val="0"/>
          <w:i w:val="0"/>
          <w:sz w:val="19"/>
        </w:rPr>
        <w:t>-61% à +156%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~$0.442531  ·  </w:t>
      </w:r>
      <w:r>
        <w:rPr>
          <w:rFonts w:ascii="Calibri" w:hAnsi="Calibri"/>
          <w:b w:val="0"/>
          <w:i w:val="0"/>
          <w:color w:val="1E7D32"/>
          <w:sz w:val="18"/>
        </w:rPr>
        <w:t>vente ↑ $0.710298 (+61%)</w:t>
      </w:r>
      <w:r>
        <w:rPr>
          <w:rFonts w:ascii="Calibri" w:hAnsi="Calibri"/>
          <w:b w:val="0"/>
          <w:i w:val="0"/>
          <w:sz w:val="18"/>
        </w:rPr>
        <w:t xml:space="preserve">  ·  </w:t>
      </w:r>
      <w:r>
        <w:rPr>
          <w:rFonts w:ascii="Calibri" w:hAnsi="Calibri"/>
          <w:b w:val="0"/>
          <w:i w:val="0"/>
          <w:color w:val="C62828"/>
          <w:sz w:val="18"/>
        </w:rPr>
        <w:t>vente ↓ $0.322809 (-27%)</w:t>
      </w:r>
      <w:r>
        <w:rPr>
          <w:rFonts w:ascii="Calibri" w:hAnsi="Calibri"/>
          <w:b w:val="0"/>
          <w:i w:val="0"/>
          <w:sz w:val="18"/>
        </w:rPr>
        <w:t xml:space="preserve">  ·  détention ~13 j  ·  ratio G/P 2.24</w:t>
      </w:r>
    </w:p>
    <w:p>
      <w:pPr>
        <w:pStyle w:val="Heading2"/>
      </w:pPr>
      <w:r/>
      <w:r>
        <w:rPr>
          <w:rFonts w:ascii="Calibri" w:hAnsi="Calibri"/>
          <w:b/>
          <w:i w:val="0"/>
          <w:color w:val="1F3864"/>
          <w:sz w:val="26"/>
        </w:rPr>
        <w:t xml:space="preserve">CAP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$0.096969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0.600)</w:t>
      </w:r>
    </w:p>
    <w:p>
      <w:r>
        <w:rPr>
          <w:rFonts w:ascii="Calibri" w:hAnsi="Calibri"/>
          <w:b/>
          <w:i w:val="0"/>
          <w:sz w:val="19"/>
        </w:rPr>
        <w:t xml:space="preserve">Profil de risque : </w:t>
      </w:r>
      <w:r>
        <w:rPr>
          <w:rFonts w:ascii="Calibri" w:hAnsi="Calibri"/>
          <w:b w:val="0"/>
          <w:i w:val="0"/>
          <w:sz w:val="19"/>
        </w:rPr>
        <w:t>ATR +5.5%  ·  volatilité annualisée +205.0%  ·  drawdown vs plus-haut +0.0%  ·  momentum 7j/30j/90j +31.1% / +116.0% / +489.1%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2.05)</w:t>
      </w:r>
    </w:p>
    <w:p>
      <w:r>
        <w:rPr>
          <w:rFonts w:ascii="Calibri" w:hAnsi="Calibri"/>
          <w:b/>
          <w:i w:val="0"/>
          <w:sz w:val="19"/>
        </w:rPr>
        <w:t xml:space="preserve">Projection 30j (fourchette, pas une prévision) : </w:t>
      </w:r>
      <w:r>
        <w:rPr>
          <w:rFonts w:ascii="Calibri" w:hAnsi="Calibri"/>
          <w:b w:val="0"/>
          <w:i w:val="0"/>
          <w:sz w:val="19"/>
        </w:rPr>
        <w:t>-68% à +216%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~$0.096969  ·  </w:t>
      </w:r>
      <w:r>
        <w:rPr>
          <w:rFonts w:ascii="Calibri" w:hAnsi="Calibri"/>
          <w:b w:val="0"/>
          <w:i w:val="0"/>
          <w:color w:val="1E7D32"/>
          <w:sz w:val="18"/>
        </w:rPr>
        <w:t>vente ↑ $0.161300 (+66%)</w:t>
      </w:r>
      <w:r>
        <w:rPr>
          <w:rFonts w:ascii="Calibri" w:hAnsi="Calibri"/>
          <w:b w:val="0"/>
          <w:i w:val="0"/>
          <w:sz w:val="18"/>
        </w:rPr>
        <w:t xml:space="preserve">  ·  </w:t>
      </w:r>
      <w:r>
        <w:rPr>
          <w:rFonts w:ascii="Calibri" w:hAnsi="Calibri"/>
          <w:b w:val="0"/>
          <w:i w:val="0"/>
          <w:color w:val="C62828"/>
          <w:sz w:val="18"/>
        </w:rPr>
        <w:t>vente ↓ $0.069072 (-29%)</w:t>
      </w:r>
      <w:r>
        <w:rPr>
          <w:rFonts w:ascii="Calibri" w:hAnsi="Calibri"/>
          <w:b w:val="0"/>
          <w:i w:val="0"/>
          <w:sz w:val="18"/>
        </w:rPr>
        <w:t xml:space="preserve">  ·  détention ~10 j  ·  ratio G/P 2.31</w:t>
      </w:r>
    </w:p>
    <w:p>
      <w:pPr>
        <w:pStyle w:val="Heading2"/>
      </w:pPr>
      <w:r/>
      <w:r>
        <w:rPr>
          <w:rFonts w:ascii="Calibri" w:hAnsi="Calibri"/>
          <w:b/>
          <w:i w:val="0"/>
          <w:color w:val="1F3864"/>
          <w:sz w:val="26"/>
        </w:rPr>
        <w:t xml:space="preserve">W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$0.018932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+5.8%  ·  volatilité annualisée +129.5%  ·  drawdown vs plus-haut -75.1%  ·  momentum 7j/30j/90j +31.0% / +90.2% / +95.7%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36)  ·  </w:t>
      </w:r>
      <w:r>
        <w:rPr>
          <w:rFonts w:ascii="Calibri" w:hAnsi="Calibri"/>
          <w:b w:val="0"/>
          <w:i w:val="0"/>
          <w:sz w:val="18"/>
        </w:rPr>
        <w:t xml:space="preserve">Prédiction rouge (AUC 0.595)  ·  </w:t>
      </w:r>
      <w:r>
        <w:rPr>
          <w:rFonts w:ascii="Calibri" w:hAnsi="Calibri"/>
          <w:b w:val="0"/>
          <w:i w:val="0"/>
          <w:color w:val="1E7D32"/>
          <w:sz w:val="18"/>
        </w:rPr>
        <w:t>Risque vert (vol 1.3)</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~$0.018932  ·  </w:t>
      </w:r>
      <w:r>
        <w:rPr>
          <w:rFonts w:ascii="Calibri" w:hAnsi="Calibri"/>
          <w:b w:val="0"/>
          <w:i w:val="0"/>
          <w:color w:val="1E7D32"/>
          <w:sz w:val="18"/>
        </w:rPr>
        <w:t>vente ↑ $0.025855 (+37%)</w:t>
      </w:r>
      <w:r>
        <w:rPr>
          <w:rFonts w:ascii="Calibri" w:hAnsi="Calibri"/>
          <w:b w:val="0"/>
          <w:i w:val="0"/>
          <w:sz w:val="18"/>
        </w:rPr>
        <w:t xml:space="preserve">  ·  </w:t>
      </w:r>
      <w:r>
        <w:rPr>
          <w:rFonts w:ascii="Calibri" w:hAnsi="Calibri"/>
          <w:b w:val="0"/>
          <w:i w:val="0"/>
          <w:color w:val="C62828"/>
          <w:sz w:val="18"/>
        </w:rPr>
        <w:t>vente ↓ $0.015381 (-19%)</w:t>
      </w:r>
      <w:r>
        <w:rPr>
          <w:rFonts w:ascii="Calibri" w:hAnsi="Calibri"/>
          <w:b w:val="0"/>
          <w:i w:val="0"/>
          <w:sz w:val="18"/>
        </w:rPr>
        <w:t xml:space="preserve">  ·  détention ~16 j  ·  ratio G/P 1.95</w:t>
      </w:r>
    </w:p>
    <w:p>
      <w:pPr>
        <w:pStyle w:val="Heading2"/>
      </w:pPr>
      <w:r/>
      <w:r>
        <w:rPr>
          <w:rFonts w:ascii="Calibri" w:hAnsi="Calibri"/>
          <w:b/>
          <w:i w:val="0"/>
          <w:color w:val="1F3864"/>
          <w:sz w:val="26"/>
        </w:rPr>
        <w:t xml:space="preserve">ANVL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$0.001129   |   Composite +0.00   |   Indicateurs actifs : ma, rsi,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+3.9%  ·  volatilité annualisée +173.7%  ·  drawdown vs plus-haut -8.7%  ·  momentum 7j/30j/90j +66.9% / +59.7% / +172.1%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rouge (AUC 0.573)  ·  </w:t>
      </w:r>
      <w:r>
        <w:rPr>
          <w:rFonts w:ascii="Calibri" w:hAnsi="Calibri"/>
          <w:b w:val="0"/>
          <w:i w:val="0"/>
          <w:color w:val="C62828"/>
          <w:sz w:val="18"/>
        </w:rPr>
        <w:t>Risque rouge (vol 1.74)</w:t>
      </w:r>
    </w:p>
    <w:p>
      <w:r>
        <w:rPr>
          <w:rFonts w:ascii="Calibri" w:hAnsi="Calibri"/>
          <w:b/>
          <w:i w:val="0"/>
          <w:sz w:val="19"/>
        </w:rPr>
        <w:t xml:space="preserve">Projection 30j (fourchette, pas une prévision) : </w:t>
      </w:r>
      <w:r>
        <w:rPr>
          <w:rFonts w:ascii="Calibri" w:hAnsi="Calibri"/>
          <w:b w:val="0"/>
          <w:i w:val="0"/>
          <w:sz w:val="19"/>
        </w:rPr>
        <w:t>-52% à +110%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~$0.001129  ·  </w:t>
      </w:r>
      <w:r>
        <w:rPr>
          <w:rFonts w:ascii="Calibri" w:hAnsi="Calibri"/>
          <w:b w:val="0"/>
          <w:i w:val="0"/>
          <w:color w:val="1E7D32"/>
          <w:sz w:val="18"/>
        </w:rPr>
        <w:t>vente ↑ $0.001618 (+43%)</w:t>
      </w:r>
      <w:r>
        <w:rPr>
          <w:rFonts w:ascii="Calibri" w:hAnsi="Calibri"/>
          <w:b w:val="0"/>
          <w:i w:val="0"/>
          <w:sz w:val="18"/>
        </w:rPr>
        <w:t xml:space="preserve">  ·  </w:t>
      </w:r>
      <w:r>
        <w:rPr>
          <w:rFonts w:ascii="Calibri" w:hAnsi="Calibri"/>
          <w:b w:val="0"/>
          <w:i w:val="0"/>
          <w:color w:val="C62828"/>
          <w:sz w:val="18"/>
        </w:rPr>
        <w:t>vente ↓ $0.000888 (-21%)</w:t>
      </w:r>
      <w:r>
        <w:rPr>
          <w:rFonts w:ascii="Calibri" w:hAnsi="Calibri"/>
          <w:b w:val="0"/>
          <w:i w:val="0"/>
          <w:sz w:val="18"/>
        </w:rPr>
        <w:t xml:space="preserve">  ·  détention ~12 j  ·  ratio G/P 2.03</w:t>
      </w:r>
    </w:p>
    <w:p>
      <w:pPr>
        <w:pStyle w:val="Heading2"/>
      </w:pPr>
      <w:r/>
      <w:r>
        <w:rPr>
          <w:rFonts w:ascii="Calibri" w:hAnsi="Calibri"/>
          <w:b/>
          <w:i w:val="0"/>
          <w:color w:val="1F3864"/>
          <w:sz w:val="26"/>
        </w:rPr>
        <w:t xml:space="preserve">BP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$1.0974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+6.4%  ·  volatilité annualisée +176.8%  ·  drawdown vs plus-haut -18.7%  ·  momentum 7j/30j/90j -11.9% / +100.5% / +104.0%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1.77)</w:t>
      </w:r>
    </w:p>
    <w:p>
      <w:r>
        <w:rPr>
          <w:rFonts w:ascii="Calibri" w:hAnsi="Calibri"/>
          <w:b/>
          <w:i w:val="0"/>
          <w:sz w:val="19"/>
        </w:rPr>
        <w:t xml:space="preserve">Projection 30j (fourchette, pas une prévision) : </w:t>
      </w:r>
      <w:r>
        <w:rPr>
          <w:rFonts w:ascii="Calibri" w:hAnsi="Calibri"/>
          <w:b w:val="0"/>
          <w:i w:val="0"/>
          <w:sz w:val="19"/>
        </w:rPr>
        <w:t>-60% à +152%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~$1.0974  ·  </w:t>
      </w:r>
      <w:r>
        <w:rPr>
          <w:rFonts w:ascii="Calibri" w:hAnsi="Calibri"/>
          <w:b w:val="0"/>
          <w:i w:val="0"/>
          <w:color w:val="1E7D32"/>
          <w:sz w:val="18"/>
        </w:rPr>
        <w:t>vente ↑ $1.7162 (+56%)</w:t>
      </w:r>
      <w:r>
        <w:rPr>
          <w:rFonts w:ascii="Calibri" w:hAnsi="Calibri"/>
          <w:b w:val="0"/>
          <w:i w:val="0"/>
          <w:sz w:val="18"/>
        </w:rPr>
        <w:t xml:space="preserve">  ·  </w:t>
      </w:r>
      <w:r>
        <w:rPr>
          <w:rFonts w:ascii="Calibri" w:hAnsi="Calibri"/>
          <w:b w:val="0"/>
          <w:i w:val="0"/>
          <w:color w:val="C62828"/>
          <w:sz w:val="18"/>
        </w:rPr>
        <w:t>vente ↓ $0.814541 (-26%)</w:t>
      </w:r>
      <w:r>
        <w:rPr>
          <w:rFonts w:ascii="Calibri" w:hAnsi="Calibri"/>
          <w:b w:val="0"/>
          <w:i w:val="0"/>
          <w:sz w:val="18"/>
        </w:rPr>
        <w:t xml:space="preserve">  ·  détention ~12 j  ·  ratio G/P 2.19</w:t>
      </w:r>
    </w:p>
    <w:p>
      <w:pPr>
        <w:pStyle w:val="Heading2"/>
      </w:pPr>
      <w:r/>
      <w:r>
        <w:rPr>
          <w:rFonts w:ascii="Calibri" w:hAnsi="Calibri"/>
          <w:b/>
          <w:i w:val="0"/>
          <w:color w:val="1F3864"/>
          <w:sz w:val="26"/>
        </w:rPr>
        <w:t xml:space="preserve">GRASS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$0.767283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+6.0%  ·  volatilité annualisée +186.1%  ·  drawdown vs plus-haut -8.4%  ·  momentum 7j/30j/90j +3.5% / +131.4% / +93.6%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0.679)  ·  </w:t>
      </w:r>
      <w:r>
        <w:rPr>
          <w:rFonts w:ascii="Calibri" w:hAnsi="Calibri"/>
          <w:b w:val="0"/>
          <w:i w:val="0"/>
          <w:color w:val="C62828"/>
          <w:sz w:val="18"/>
        </w:rPr>
        <w:t>Risque rouge (vol 1.86)</w:t>
      </w:r>
    </w:p>
    <w:p>
      <w:r>
        <w:rPr>
          <w:rFonts w:ascii="Calibri" w:hAnsi="Calibri"/>
          <w:b/>
          <w:i w:val="0"/>
          <w:sz w:val="19"/>
        </w:rPr>
        <w:t xml:space="preserve">Projection 30j (fourchette, pas une prévision) : </w:t>
      </w:r>
      <w:r>
        <w:rPr>
          <w:rFonts w:ascii="Calibri" w:hAnsi="Calibri"/>
          <w:b w:val="0"/>
          <w:i w:val="0"/>
          <w:sz w:val="19"/>
        </w:rPr>
        <w:t>-55% à +122%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~$0.767283  ·  </w:t>
      </w:r>
      <w:r>
        <w:rPr>
          <w:rFonts w:ascii="Calibri" w:hAnsi="Calibri"/>
          <w:b w:val="0"/>
          <w:i w:val="0"/>
          <w:color w:val="1E7D32"/>
          <w:sz w:val="18"/>
        </w:rPr>
        <w:t>vente ↑ $1.1104 (+45%)</w:t>
      </w:r>
      <w:r>
        <w:rPr>
          <w:rFonts w:ascii="Calibri" w:hAnsi="Calibri"/>
          <w:b w:val="0"/>
          <w:i w:val="0"/>
          <w:sz w:val="18"/>
        </w:rPr>
        <w:t xml:space="preserve">  ·  </w:t>
      </w:r>
      <w:r>
        <w:rPr>
          <w:rFonts w:ascii="Calibri" w:hAnsi="Calibri"/>
          <w:b w:val="0"/>
          <w:i w:val="0"/>
          <w:color w:val="C62828"/>
          <w:sz w:val="18"/>
        </w:rPr>
        <w:t>vente ↓ $0.599721 (-22%)</w:t>
      </w:r>
      <w:r>
        <w:rPr>
          <w:rFonts w:ascii="Calibri" w:hAnsi="Calibri"/>
          <w:b w:val="0"/>
          <w:i w:val="0"/>
          <w:sz w:val="18"/>
        </w:rPr>
        <w:t xml:space="preserve">  ·  détention ~11 j  ·  ratio G/P 2.05</w:t>
      </w:r>
    </w:p>
    <w:p>
      <w:pPr>
        <w:pStyle w:val="Heading2"/>
      </w:pPr>
      <w:r/>
      <w:r>
        <w:rPr>
          <w:rFonts w:ascii="Calibri" w:hAnsi="Calibri"/>
          <w:b/>
          <w:i w:val="0"/>
          <w:color w:val="1F3864"/>
          <w:sz w:val="26"/>
        </w:rPr>
        <w:t xml:space="preserve">CARDS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$0.273739   |   Composite +0.33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+9.2%  ·  volatilité annualisée +226.1%  ·  drawdown vs plus-haut -16.2%  ·  momentum 7j/30j/90j -3.6% / +106.0% / +56.1%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0.538)  ·  </w:t>
      </w:r>
      <w:r>
        <w:rPr>
          <w:rFonts w:ascii="Calibri" w:hAnsi="Calibri"/>
          <w:b w:val="0"/>
          <w:i w:val="0"/>
          <w:color w:val="C62828"/>
          <w:sz w:val="18"/>
        </w:rPr>
        <w:t>Risque rouge (vol 2.26)</w:t>
      </w:r>
    </w:p>
    <w:p>
      <w:r>
        <w:rPr>
          <w:rFonts w:ascii="Calibri" w:hAnsi="Calibri"/>
          <w:b/>
          <w:i w:val="0"/>
          <w:sz w:val="19"/>
        </w:rPr>
        <w:t xml:space="preserve">Projection 30j (fourchette, pas une prévision) : </w:t>
      </w:r>
      <w:r>
        <w:rPr>
          <w:rFonts w:ascii="Calibri" w:hAnsi="Calibri"/>
          <w:b w:val="0"/>
          <w:i w:val="0"/>
          <w:sz w:val="19"/>
        </w:rPr>
        <w:t>-73% à +268%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~$0.273739  ·  </w:t>
      </w:r>
      <w:r>
        <w:rPr>
          <w:rFonts w:ascii="Calibri" w:hAnsi="Calibri"/>
          <w:b w:val="0"/>
          <w:i w:val="0"/>
          <w:color w:val="1E7D32"/>
          <w:sz w:val="18"/>
        </w:rPr>
        <w:t>vente ↑ $0.472835 (+73%)</w:t>
      </w:r>
      <w:r>
        <w:rPr>
          <w:rFonts w:ascii="Calibri" w:hAnsi="Calibri"/>
          <w:b w:val="0"/>
          <w:i w:val="0"/>
          <w:sz w:val="18"/>
        </w:rPr>
        <w:t xml:space="preserve">  ·  </w:t>
      </w:r>
      <w:r>
        <w:rPr>
          <w:rFonts w:ascii="Calibri" w:hAnsi="Calibri"/>
          <w:b w:val="0"/>
          <w:i w:val="0"/>
          <w:color w:val="C62828"/>
          <w:sz w:val="18"/>
        </w:rPr>
        <w:t>vente ↓ $0.190147 (-31%)</w:t>
      </w:r>
      <w:r>
        <w:rPr>
          <w:rFonts w:ascii="Calibri" w:hAnsi="Calibri"/>
          <w:b w:val="0"/>
          <w:i w:val="0"/>
          <w:sz w:val="18"/>
        </w:rPr>
        <w:t xml:space="preserve">  ·  détention ~9 j  ·  ratio G/P 2.38</w:t>
      </w:r>
    </w:p>
    <w:p>
      <w:pPr>
        <w:pStyle w:val="Heading2"/>
      </w:pPr>
      <w:r/>
      <w:r>
        <w:rPr>
          <w:rFonts w:ascii="Calibri" w:hAnsi="Calibri"/>
          <w:b/>
          <w:i w:val="0"/>
          <w:color w:val="1F3864"/>
          <w:sz w:val="26"/>
        </w:rPr>
        <w:t xml:space="preserve">SHX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$0.006559   |   Composite +0.00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+6.1%  ·  volatilité annualisée +443.4%  ·  drawdown vs plus-haut -76.0%  ·  momentum 7j/30j/90j -20.0% / +77.0% / +70.6%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0.606)  ·  </w:t>
      </w:r>
      <w:r>
        <w:rPr>
          <w:rFonts w:ascii="Calibri" w:hAnsi="Calibri"/>
          <w:b w:val="0"/>
          <w:i w:val="0"/>
          <w:color w:val="C62828"/>
          <w:sz w:val="18"/>
        </w:rPr>
        <w:t>Risque rouge (vol 4.43)</w:t>
      </w:r>
    </w:p>
    <w:p>
      <w:r>
        <w:rPr>
          <w:rFonts w:ascii="Calibri" w:hAnsi="Calibri"/>
          <w:b/>
          <w:i w:val="0"/>
          <w:sz w:val="19"/>
        </w:rPr>
        <w:t xml:space="preserve">Projection 30j (fourchette, pas une prévision) : </w:t>
      </w:r>
      <w:r>
        <w:rPr>
          <w:rFonts w:ascii="Calibri" w:hAnsi="Calibri"/>
          <w:b w:val="0"/>
          <w:i w:val="0"/>
          <w:sz w:val="19"/>
        </w:rPr>
        <w:t>-43% à +77%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~$0.006559  ·  </w:t>
      </w:r>
      <w:r>
        <w:rPr>
          <w:rFonts w:ascii="Calibri" w:hAnsi="Calibri"/>
          <w:b w:val="0"/>
          <w:i w:val="0"/>
          <w:color w:val="1E7D32"/>
          <w:sz w:val="18"/>
        </w:rPr>
        <w:t>vente ↑ $0.008095 (+23%)</w:t>
      </w:r>
      <w:r>
        <w:rPr>
          <w:rFonts w:ascii="Calibri" w:hAnsi="Calibri"/>
          <w:b w:val="0"/>
          <w:i w:val="0"/>
          <w:sz w:val="18"/>
        </w:rPr>
        <w:t xml:space="preserve">  ·  </w:t>
      </w:r>
      <w:r>
        <w:rPr>
          <w:rFonts w:ascii="Calibri" w:hAnsi="Calibri"/>
          <w:b w:val="0"/>
          <w:i w:val="0"/>
          <w:color w:val="C62828"/>
          <w:sz w:val="18"/>
        </w:rPr>
        <w:t>vente ↓ $0.005700 (-13%)</w:t>
      </w:r>
      <w:r>
        <w:rPr>
          <w:rFonts w:ascii="Calibri" w:hAnsi="Calibri"/>
          <w:b w:val="0"/>
          <w:i w:val="0"/>
          <w:sz w:val="18"/>
        </w:rPr>
        <w:t xml:space="preserve">  ·  détention ~7 j  ·  ratio G/P 1.79</w:t>
      </w:r>
    </w:p>
    <w:p>
      <w:pPr>
        <w:pStyle w:val="Heading2"/>
      </w:pPr>
      <w:r/>
      <w:r>
        <w:rPr>
          <w:rFonts w:ascii="Calibri" w:hAnsi="Calibri"/>
          <w:b/>
          <w:i w:val="0"/>
          <w:color w:val="1F3864"/>
          <w:sz w:val="26"/>
        </w:rPr>
        <w:t xml:space="preserve">SHFL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$0.514076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+6.2%  ·  volatilité annualisée +101.0%  ·  drawdown vs plus-haut -16.2%  ·  momentum 7j/30j/90j +17.8% / +67.6% / +89.5%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0.597)  ·  </w:t>
      </w:r>
      <w:r>
        <w:rPr>
          <w:rFonts w:ascii="Calibri" w:hAnsi="Calibri"/>
          <w:b w:val="0"/>
          <w:i w:val="0"/>
          <w:color w:val="1E7D32"/>
          <w:sz w:val="18"/>
        </w:rPr>
        <w:t>Risque vert (vol 1.01)</w:t>
      </w:r>
    </w:p>
    <w:p>
      <w:r>
        <w:rPr>
          <w:rFonts w:ascii="Calibri" w:hAnsi="Calibri"/>
          <w:b/>
          <w:i w:val="0"/>
          <w:sz w:val="19"/>
        </w:rPr>
        <w:t xml:space="preserve">Projection 30j (fourchette, pas une prévision) : </w:t>
      </w:r>
      <w:r>
        <w:rPr>
          <w:rFonts w:ascii="Calibri" w:hAnsi="Calibri"/>
          <w:b w:val="0"/>
          <w:i w:val="0"/>
          <w:sz w:val="19"/>
        </w:rPr>
        <w:t>-44% à +79%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~$0.514076  ·  </w:t>
      </w:r>
      <w:r>
        <w:rPr>
          <w:rFonts w:ascii="Calibri" w:hAnsi="Calibri"/>
          <w:b w:val="0"/>
          <w:i w:val="0"/>
          <w:color w:val="1E7D32"/>
          <w:sz w:val="18"/>
        </w:rPr>
        <w:t>vente ↑ $0.745540 (+45%)</w:t>
      </w:r>
      <w:r>
        <w:rPr>
          <w:rFonts w:ascii="Calibri" w:hAnsi="Calibri"/>
          <w:b w:val="0"/>
          <w:i w:val="0"/>
          <w:sz w:val="18"/>
        </w:rPr>
        <w:t xml:space="preserve">  ·  </w:t>
      </w:r>
      <w:r>
        <w:rPr>
          <w:rFonts w:ascii="Calibri" w:hAnsi="Calibri"/>
          <w:b w:val="0"/>
          <w:i w:val="0"/>
          <w:color w:val="C62828"/>
          <w:sz w:val="18"/>
        </w:rPr>
        <w:t>vente ↓ $0.401234 (-22%)</w:t>
      </w:r>
      <w:r>
        <w:rPr>
          <w:rFonts w:ascii="Calibri" w:hAnsi="Calibri"/>
          <w:b w:val="0"/>
          <w:i w:val="0"/>
          <w:sz w:val="18"/>
        </w:rPr>
        <w:t xml:space="preserve">  ·  détention ~21 j  ·  ratio G/P 2.05</w:t>
      </w:r>
    </w:p>
    <w:p>
      <w:pPr>
        <w:pStyle w:val="Heading2"/>
      </w:pPr>
      <w:r/>
      <w:r>
        <w:rPr>
          <w:rFonts w:ascii="Calibri" w:hAnsi="Calibri"/>
          <w:b/>
          <w:i w:val="0"/>
          <w:color w:val="1F3864"/>
          <w:sz w:val="26"/>
        </w:rPr>
        <w:t xml:space="preserve">FLUID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$2.1810   |   Composite +0.33   |   Indicateurs actifs :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+4.0%  ·  volatilité annualisée +97.9%  ·  drawdown vs plus-haut -54.1%  ·  momentum 7j/30j/90j +4.2% / +86.2% / +111.4%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0.635)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-41% à +69%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~$2.1810  ·  </w:t>
      </w:r>
      <w:r>
        <w:rPr>
          <w:rFonts w:ascii="Calibri" w:hAnsi="Calibri"/>
          <w:b w:val="0"/>
          <w:i w:val="0"/>
          <w:color w:val="1E7D32"/>
          <w:sz w:val="18"/>
        </w:rPr>
        <w:t>vente ↑ $3.0486 (+40%)</w:t>
      </w:r>
      <w:r>
        <w:rPr>
          <w:rFonts w:ascii="Calibri" w:hAnsi="Calibri"/>
          <w:b w:val="0"/>
          <w:i w:val="0"/>
          <w:sz w:val="18"/>
        </w:rPr>
        <w:t xml:space="preserve">  ·  </w:t>
      </w:r>
      <w:r>
        <w:rPr>
          <w:rFonts w:ascii="Calibri" w:hAnsi="Calibri"/>
          <w:b w:val="0"/>
          <w:i w:val="0"/>
          <w:color w:val="C62828"/>
          <w:sz w:val="18"/>
        </w:rPr>
        <w:t>vente ↓ $1.7446 (-20%)</w:t>
      </w:r>
      <w:r>
        <w:rPr>
          <w:rFonts w:ascii="Calibri" w:hAnsi="Calibri"/>
          <w:b w:val="0"/>
          <w:i w:val="0"/>
          <w:sz w:val="18"/>
        </w:rPr>
        <w:t xml:space="preserve">  ·  détention ~21 j  ·  ratio G/P 1.99</w:t>
      </w:r>
    </w:p>
    <w:p>
      <w:pPr>
        <w:pStyle w:val="Heading2"/>
      </w:pPr>
      <w:r/>
      <w:r>
        <w:rPr>
          <w:rFonts w:ascii="Calibri" w:hAnsi="Calibri"/>
          <w:b/>
          <w:i w:val="0"/>
          <w:color w:val="1F3864"/>
          <w:sz w:val="26"/>
        </w:rPr>
        <w:t xml:space="preserve">MINA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$0.076901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+10.8%  ·  volatilité annualisée +168.1%  ·  drawdown vs plus-haut -60.4%  ·  momentum 7j/30j/90j -48.4% / -27.5% / +72.0%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rouge (AUC 0.556)  ·  </w:t>
      </w:r>
      <w:r>
        <w:rPr>
          <w:rFonts w:ascii="Calibri" w:hAnsi="Calibri"/>
          <w:b w:val="0"/>
          <w:i w:val="0"/>
          <w:color w:val="C62828"/>
          <w:sz w:val="18"/>
        </w:rPr>
        <w:t>Risque rouge (vol 1.68)</w:t>
      </w:r>
    </w:p>
    <w:p>
      <w:r>
        <w:rPr>
          <w:rFonts w:ascii="Calibri" w:hAnsi="Calibri"/>
          <w:b/>
          <w:i w:val="0"/>
          <w:sz w:val="19"/>
        </w:rPr>
        <w:t xml:space="preserve">Projection 30j (fourchette, pas une prévision) : </w:t>
      </w:r>
      <w:r>
        <w:rPr>
          <w:rFonts w:ascii="Calibri" w:hAnsi="Calibri"/>
          <w:b w:val="0"/>
          <w:i w:val="0"/>
          <w:sz w:val="19"/>
        </w:rPr>
        <w:t>-45% à +80%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~$0.076901  ·  </w:t>
      </w:r>
      <w:r>
        <w:rPr>
          <w:rFonts w:ascii="Calibri" w:hAnsi="Calibri"/>
          <w:b w:val="0"/>
          <w:i w:val="0"/>
          <w:color w:val="1E7D32"/>
          <w:sz w:val="18"/>
        </w:rPr>
        <w:t>vente ↑ $0.102335 (+33%)</w:t>
      </w:r>
      <w:r>
        <w:rPr>
          <w:rFonts w:ascii="Calibri" w:hAnsi="Calibri"/>
          <w:b w:val="0"/>
          <w:i w:val="0"/>
          <w:sz w:val="18"/>
        </w:rPr>
        <w:t xml:space="preserve">  ·  </w:t>
      </w:r>
      <w:r>
        <w:rPr>
          <w:rFonts w:ascii="Calibri" w:hAnsi="Calibri"/>
          <w:b w:val="0"/>
          <w:i w:val="0"/>
          <w:color w:val="C62828"/>
          <w:sz w:val="18"/>
        </w:rPr>
        <w:t>vente ↓ $0.063562 (-17%)</w:t>
      </w:r>
      <w:r>
        <w:rPr>
          <w:rFonts w:ascii="Calibri" w:hAnsi="Calibri"/>
          <w:b w:val="0"/>
          <w:i w:val="0"/>
          <w:sz w:val="18"/>
        </w:rPr>
        <w:t xml:space="preserve">  ·  détention ~12 j  ·  ratio G/P 1.91</w:t>
      </w:r>
    </w:p>
    <w:p>
      <w:pPr>
        <w:pStyle w:val="Heading2"/>
      </w:pPr>
      <w:r/>
      <w:r>
        <w:rPr>
          <w:rFonts w:ascii="Calibri" w:hAnsi="Calibri"/>
          <w:b/>
          <w:i w:val="0"/>
          <w:color w:val="1F3864"/>
          <w:sz w:val="26"/>
        </w:rPr>
        <w:t xml:space="preserve">ORCA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$2.0777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+8.4%  ·  volatilité annualisée +145.8%  ·  drawdown vs plus-haut -35.3%  ·  momentum 7j/30j/90j -14.1% / +45.5% / +76.0%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1.46)</w:t>
      </w:r>
    </w:p>
    <w:p>
      <w:r>
        <w:rPr>
          <w:rFonts w:ascii="Calibri" w:hAnsi="Calibri"/>
          <w:b/>
          <w:i w:val="0"/>
          <w:sz w:val="19"/>
        </w:rPr>
        <w:t xml:space="preserve">Projection 30j (fourchette, pas une prévision) : </w:t>
      </w:r>
      <w:r>
        <w:rPr>
          <w:rFonts w:ascii="Calibri" w:hAnsi="Calibri"/>
          <w:b w:val="0"/>
          <w:i w:val="0"/>
          <w:sz w:val="19"/>
        </w:rPr>
        <w:t>-47% à +88%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~$2.0777  ·  </w:t>
      </w:r>
      <w:r>
        <w:rPr>
          <w:rFonts w:ascii="Calibri" w:hAnsi="Calibri"/>
          <w:b w:val="0"/>
          <w:i w:val="0"/>
          <w:color w:val="1E7D32"/>
          <w:sz w:val="18"/>
        </w:rPr>
        <w:t>vente ↑ $2.8868 (+39%)</w:t>
      </w:r>
      <w:r>
        <w:rPr>
          <w:rFonts w:ascii="Calibri" w:hAnsi="Calibri"/>
          <w:b w:val="0"/>
          <w:i w:val="0"/>
          <w:sz w:val="18"/>
        </w:rPr>
        <w:t xml:space="preserve">  ·  </w:t>
      </w:r>
      <w:r>
        <w:rPr>
          <w:rFonts w:ascii="Calibri" w:hAnsi="Calibri"/>
          <w:b w:val="0"/>
          <w:i w:val="0"/>
          <w:color w:val="C62828"/>
          <w:sz w:val="18"/>
        </w:rPr>
        <w:t>vente ↓ $1.6686 (-20%)</w:t>
      </w:r>
      <w:r>
        <w:rPr>
          <w:rFonts w:ascii="Calibri" w:hAnsi="Calibri"/>
          <w:b w:val="0"/>
          <w:i w:val="0"/>
          <w:sz w:val="18"/>
        </w:rPr>
        <w:t xml:space="preserve">  ·  détention ~14 j  ·  ratio G/P 1.98</w:t>
      </w:r>
    </w:p>
    <w:p>
      <w:pPr>
        <w:pStyle w:val="Heading2"/>
      </w:pPr>
      <w:r/>
      <w:r>
        <w:rPr>
          <w:rFonts w:ascii="Calibri" w:hAnsi="Calibri"/>
          <w:b/>
          <w:i w:val="0"/>
          <w:color w:val="1F3864"/>
          <w:sz w:val="26"/>
        </w:rPr>
        <w:t xml:space="preserve">CASHCAT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$0.105384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-0.600)</w:t>
      </w:r>
    </w:p>
    <w:p>
      <w:r>
        <w:rPr>
          <w:rFonts w:ascii="Calibri" w:hAnsi="Calibri"/>
          <w:b/>
          <w:i w:val="0"/>
          <w:sz w:val="19"/>
        </w:rPr>
        <w:t xml:space="preserve">Profil de risque : </w:t>
      </w:r>
      <w:r>
        <w:rPr>
          <w:rFonts w:ascii="Calibri" w:hAnsi="Calibri"/>
          <w:b w:val="0"/>
          <w:i w:val="0"/>
          <w:sz w:val="19"/>
        </w:rPr>
        <w:t>ATR +11.2%  ·  volatilité annualisée +513.6%  ·  drawdown vs plus-haut -64.3%  ·  momentum 7j/30j/90j -33.7% / -38.5% / -35.8%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5.14)</w:t>
      </w:r>
    </w:p>
    <w:p>
      <w:r>
        <w:rPr>
          <w:rFonts w:ascii="Calibri" w:hAnsi="Calibri"/>
          <w:b/>
          <w:i w:val="0"/>
          <w:sz w:val="19"/>
        </w:rPr>
        <w:t xml:space="preserve">Projection 30j (fourchette, pas une prévision) : </w:t>
      </w:r>
      <w:r>
        <w:rPr>
          <w:rFonts w:ascii="Calibri" w:hAnsi="Calibri"/>
          <w:b w:val="0"/>
          <w:i w:val="0"/>
          <w:sz w:val="19"/>
        </w:rPr>
        <w:t>-94% à +1692%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~$0.105384  ·  </w:t>
      </w:r>
      <w:r>
        <w:rPr>
          <w:rFonts w:ascii="Calibri" w:hAnsi="Calibri"/>
          <w:b w:val="0"/>
          <w:i w:val="0"/>
          <w:color w:val="1E7D32"/>
          <w:sz w:val="18"/>
        </w:rPr>
        <w:t>vente ↑ $0.306255 (+191%)</w:t>
      </w:r>
      <w:r>
        <w:rPr>
          <w:rFonts w:ascii="Calibri" w:hAnsi="Calibri"/>
          <w:b w:val="0"/>
          <w:i w:val="0"/>
          <w:sz w:val="18"/>
        </w:rPr>
        <w:t xml:space="preserve">  ·  </w:t>
      </w:r>
      <w:r>
        <w:rPr>
          <w:rFonts w:ascii="Calibri" w:hAnsi="Calibri"/>
          <w:b w:val="0"/>
          <w:i w:val="0"/>
          <w:color w:val="C62828"/>
          <w:sz w:val="18"/>
        </w:rPr>
        <w:t>vente ↓ $0.051749 (-51%)</w:t>
      </w:r>
      <w:r>
        <w:rPr>
          <w:rFonts w:ascii="Calibri" w:hAnsi="Calibri"/>
          <w:b w:val="0"/>
          <w:i w:val="0"/>
          <w:sz w:val="18"/>
        </w:rPr>
        <w:t xml:space="preserve">  ·  détention ~7 j  ·  ratio G/P 3.75</w:t>
      </w:r>
    </w:p>
    <w:p>
      <w:pPr>
        <w:pStyle w:val="Heading2"/>
      </w:pPr>
      <w:r/>
      <w:r>
        <w:rPr>
          <w:rFonts w:ascii="Calibri" w:hAnsi="Calibri"/>
          <w:b/>
          <w:i w:val="0"/>
          <w:color w:val="1F3864"/>
          <w:sz w:val="26"/>
        </w:rPr>
        <w:t xml:space="preserve">MET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$0.383989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+5.6%  ·  volatilité annualisée +120.5%  ·  drawdown vs plus-haut -44.1%  ·  momentum 7j/30j/90j +29.5% / +69.7% / +157.7%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-50% à +100%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~$0.383989  ·  </w:t>
      </w:r>
      <w:r>
        <w:rPr>
          <w:rFonts w:ascii="Calibri" w:hAnsi="Calibri"/>
          <w:b w:val="0"/>
          <w:i w:val="0"/>
          <w:color w:val="1E7D32"/>
          <w:sz w:val="18"/>
        </w:rPr>
        <w:t>vente ↑ $0.572929 (+49%)</w:t>
      </w:r>
      <w:r>
        <w:rPr>
          <w:rFonts w:ascii="Calibri" w:hAnsi="Calibri"/>
          <w:b w:val="0"/>
          <w:i w:val="0"/>
          <w:sz w:val="18"/>
        </w:rPr>
        <w:t xml:space="preserve">  ·  </w:t>
      </w:r>
      <w:r>
        <w:rPr>
          <w:rFonts w:ascii="Calibri" w:hAnsi="Calibri"/>
          <w:b w:val="0"/>
          <w:i w:val="0"/>
          <w:color w:val="C62828"/>
          <w:sz w:val="18"/>
        </w:rPr>
        <w:t>vente ↓ $0.294079 (-23%)</w:t>
      </w:r>
      <w:r>
        <w:rPr>
          <w:rFonts w:ascii="Calibri" w:hAnsi="Calibri"/>
          <w:b w:val="0"/>
          <w:i w:val="0"/>
          <w:sz w:val="18"/>
        </w:rPr>
        <w:t xml:space="preserve">  ·  détention ~17 j  ·  ratio G/P 2.1</w:t>
      </w:r>
    </w:p>
    <w:p>
      <w:pPr>
        <w:pStyle w:val="Heading2"/>
      </w:pPr>
      <w:r/>
      <w:r>
        <w:rPr>
          <w:rFonts w:ascii="Calibri" w:hAnsi="Calibri"/>
          <w:b/>
          <w:i w:val="0"/>
          <w:color w:val="1F3864"/>
          <w:sz w:val="26"/>
        </w:rPr>
        <w:t xml:space="preserve">H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$0.057020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+5.2%  ·  volatilité annualisée +328.6%  ·  drawdown vs plus-haut -92.0%  ·  momentum 7j/30j/90j -18.5% / -28.6% / -16.7%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0.46)  ·  </w:t>
      </w:r>
      <w:r>
        <w:rPr>
          <w:rFonts w:ascii="Calibri" w:hAnsi="Calibri"/>
          <w:b w:val="0"/>
          <w:i w:val="0"/>
          <w:color w:val="C62828"/>
          <w:sz w:val="18"/>
        </w:rPr>
        <w:t>Risque rouge (vol 3.29)</w:t>
      </w:r>
    </w:p>
    <w:p>
      <w:r>
        <w:rPr>
          <w:rFonts w:ascii="Calibri" w:hAnsi="Calibri"/>
          <w:b/>
          <w:i w:val="0"/>
          <w:sz w:val="19"/>
        </w:rPr>
        <w:t xml:space="preserve">Projection 30j (fourchette, pas une prévision) : </w:t>
      </w:r>
      <w:r>
        <w:rPr>
          <w:rFonts w:ascii="Calibri" w:hAnsi="Calibri"/>
          <w:b w:val="0"/>
          <w:i w:val="0"/>
          <w:sz w:val="19"/>
        </w:rPr>
        <w:t>-88% à +724%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~$0.057020  ·  </w:t>
      </w:r>
      <w:r>
        <w:rPr>
          <w:rFonts w:ascii="Calibri" w:hAnsi="Calibri"/>
          <w:b w:val="0"/>
          <w:i w:val="0"/>
          <w:color w:val="1E7D32"/>
          <w:sz w:val="18"/>
        </w:rPr>
        <w:t>vente ↑ $0.124323 (+118%)</w:t>
      </w:r>
      <w:r>
        <w:rPr>
          <w:rFonts w:ascii="Calibri" w:hAnsi="Calibri"/>
          <w:b w:val="0"/>
          <w:i w:val="0"/>
          <w:sz w:val="18"/>
        </w:rPr>
        <w:t xml:space="preserve">  ·  </w:t>
      </w:r>
      <w:r>
        <w:rPr>
          <w:rFonts w:ascii="Calibri" w:hAnsi="Calibri"/>
          <w:b w:val="0"/>
          <w:i w:val="0"/>
          <w:color w:val="C62828"/>
          <w:sz w:val="18"/>
        </w:rPr>
        <w:t>vente ↓ $0.033912 (-41%)</w:t>
      </w:r>
      <w:r>
        <w:rPr>
          <w:rFonts w:ascii="Calibri" w:hAnsi="Calibri"/>
          <w:b w:val="0"/>
          <w:i w:val="0"/>
          <w:sz w:val="18"/>
        </w:rPr>
        <w:t xml:space="preserve">  ·  détention ~7 j  ·  ratio G/P 2.91</w:t>
      </w:r>
    </w:p>
    <w:p>
      <w:pPr>
        <w:pStyle w:val="Heading2"/>
      </w:pPr>
      <w:r/>
      <w:r>
        <w:rPr>
          <w:rFonts w:ascii="Calibri" w:hAnsi="Calibri"/>
          <w:b/>
          <w:i w:val="0"/>
          <w:color w:val="1F3864"/>
          <w:sz w:val="26"/>
        </w:rPr>
        <w:t xml:space="preserve">EDGE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$0.334510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-0.400)</w:t>
      </w:r>
    </w:p>
    <w:p>
      <w:r>
        <w:rPr>
          <w:rFonts w:ascii="Calibri" w:hAnsi="Calibri"/>
          <w:b/>
          <w:i w:val="0"/>
          <w:sz w:val="19"/>
        </w:rPr>
        <w:t xml:space="preserve">Profil de risque : </w:t>
      </w:r>
      <w:r>
        <w:rPr>
          <w:rFonts w:ascii="Calibri" w:hAnsi="Calibri"/>
          <w:b w:val="0"/>
          <w:i w:val="0"/>
          <w:sz w:val="19"/>
        </w:rPr>
        <w:t>ATR +5.7%  ·  volatilité annualisée +167.2%  ·  drawdown vs plus-haut -77.9%  ·  momentum 7j/30j/90j -27.1% / -46.3% / -17.7%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1.67)</w:t>
      </w:r>
    </w:p>
    <w:p>
      <w:r>
        <w:rPr>
          <w:rFonts w:ascii="Calibri" w:hAnsi="Calibri"/>
          <w:b/>
          <w:i w:val="0"/>
          <w:sz w:val="19"/>
        </w:rPr>
        <w:t xml:space="preserve">Projection 30j (fourchette, pas une prévision) : </w:t>
      </w:r>
      <w:r>
        <w:rPr>
          <w:rFonts w:ascii="Calibri" w:hAnsi="Calibri"/>
          <w:b w:val="0"/>
          <w:i w:val="0"/>
          <w:sz w:val="19"/>
        </w:rPr>
        <w:t>-58% à +137%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~$0.334510  ·  </w:t>
      </w:r>
      <w:r>
        <w:rPr>
          <w:rFonts w:ascii="Calibri" w:hAnsi="Calibri"/>
          <w:b w:val="0"/>
          <w:i w:val="0"/>
          <w:color w:val="1E7D32"/>
          <w:sz w:val="18"/>
        </w:rPr>
        <w:t>vente ↑ $0.516941 (+55%)</w:t>
      </w:r>
      <w:r>
        <w:rPr>
          <w:rFonts w:ascii="Calibri" w:hAnsi="Calibri"/>
          <w:b w:val="0"/>
          <w:i w:val="0"/>
          <w:sz w:val="18"/>
        </w:rPr>
        <w:t xml:space="preserve">  ·  </w:t>
      </w:r>
      <w:r>
        <w:rPr>
          <w:rFonts w:ascii="Calibri" w:hAnsi="Calibri"/>
          <w:b w:val="0"/>
          <w:i w:val="0"/>
          <w:color w:val="C62828"/>
          <w:sz w:val="18"/>
        </w:rPr>
        <w:t>vente ↓ $0.250258 (-25%)</w:t>
      </w:r>
      <w:r>
        <w:rPr>
          <w:rFonts w:ascii="Calibri" w:hAnsi="Calibri"/>
          <w:b w:val="0"/>
          <w:i w:val="0"/>
          <w:sz w:val="18"/>
        </w:rPr>
        <w:t xml:space="preserve">  ·  détention ~13 j  ·  ratio G/P 2.17</w:t>
      </w:r>
    </w:p>
    <w:p>
      <w:pPr>
        <w:pStyle w:val="Heading2"/>
      </w:pPr>
      <w:r/>
      <w:r>
        <w:rPr>
          <w:rFonts w:ascii="Calibri" w:hAnsi="Calibri"/>
          <w:b/>
          <w:i w:val="0"/>
          <w:color w:val="1F3864"/>
          <w:sz w:val="26"/>
        </w:rPr>
        <w:t xml:space="preserve">AKE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$0.023868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+10.5%  ·  volatilité annualisée +289.0%  ·  drawdown vs plus-haut -63.0%  ·  momentum 7j/30j/90j -23.0% / +47.0% / +12519.0%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0.524)  ·  </w:t>
      </w:r>
      <w:r>
        <w:rPr>
          <w:rFonts w:ascii="Calibri" w:hAnsi="Calibri"/>
          <w:b w:val="0"/>
          <w:i w:val="0"/>
          <w:color w:val="C62828"/>
          <w:sz w:val="18"/>
        </w:rPr>
        <w:t>Risque rouge (vol 2.89)</w:t>
      </w:r>
    </w:p>
    <w:p>
      <w:r>
        <w:rPr>
          <w:rFonts w:ascii="Calibri" w:hAnsi="Calibri"/>
          <w:b/>
          <w:i w:val="0"/>
          <w:sz w:val="19"/>
        </w:rPr>
        <w:t xml:space="preserve">Projection 30j (fourchette, pas une prévision) : </w:t>
      </w:r>
      <w:r>
        <w:rPr>
          <w:rFonts w:ascii="Calibri" w:hAnsi="Calibri"/>
          <w:b w:val="0"/>
          <w:i w:val="0"/>
          <w:sz w:val="19"/>
        </w:rPr>
        <w:t>-86% à +632%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~$0.023868  ·  </w:t>
      </w:r>
      <w:r>
        <w:rPr>
          <w:rFonts w:ascii="Calibri" w:hAnsi="Calibri"/>
          <w:b w:val="0"/>
          <w:i w:val="0"/>
          <w:color w:val="1E7D32"/>
          <w:sz w:val="18"/>
        </w:rPr>
        <w:t>vente ↑ $0.049809 (+109%)</w:t>
      </w:r>
      <w:r>
        <w:rPr>
          <w:rFonts w:ascii="Calibri" w:hAnsi="Calibri"/>
          <w:b w:val="0"/>
          <w:i w:val="0"/>
          <w:sz w:val="18"/>
        </w:rPr>
        <w:t xml:space="preserve">  ·  </w:t>
      </w:r>
      <w:r>
        <w:rPr>
          <w:rFonts w:ascii="Calibri" w:hAnsi="Calibri"/>
          <w:b w:val="0"/>
          <w:i w:val="0"/>
          <w:color w:val="C62828"/>
          <w:sz w:val="18"/>
        </w:rPr>
        <w:t>vente ↓ $0.014616 (-39%)</w:t>
      </w:r>
      <w:r>
        <w:rPr>
          <w:rFonts w:ascii="Calibri" w:hAnsi="Calibri"/>
          <w:b w:val="0"/>
          <w:i w:val="0"/>
          <w:sz w:val="18"/>
        </w:rPr>
        <w:t xml:space="preserve">  ·  détention ~7 j  ·  ratio G/P 2.8</w:t>
      </w:r>
    </w:p>
    <w:p>
      <w:pPr>
        <w:pStyle w:val="Heading2"/>
      </w:pPr>
      <w:r/>
      <w:r>
        <w:rPr>
          <w:rFonts w:ascii="Calibri" w:hAnsi="Calibri"/>
          <w:b/>
          <w:i w:val="0"/>
          <w:color w:val="1F3864"/>
          <w:sz w:val="26"/>
        </w:rPr>
        <w:t xml:space="preserve">USELESS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$0.173232   |   Composite -0.33   |   Indicateurs actifs : ma, rsi,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+9.4%  ·  volatilité annualisée +188.2%  ·  drawdown vs plus-haut -49.9%  ·  momentum 7j/30j/90j -27.2% / -25.2% / +103.5%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0.514)  ·  </w:t>
      </w:r>
      <w:r>
        <w:rPr>
          <w:rFonts w:ascii="Calibri" w:hAnsi="Calibri"/>
          <w:b w:val="0"/>
          <w:i w:val="0"/>
          <w:color w:val="C62828"/>
          <w:sz w:val="18"/>
        </w:rPr>
        <w:t>Risque rouge (vol 1.88)</w:t>
      </w:r>
    </w:p>
    <w:p>
      <w:r>
        <w:rPr>
          <w:rFonts w:ascii="Calibri" w:hAnsi="Calibri"/>
          <w:b/>
          <w:i w:val="0"/>
          <w:sz w:val="19"/>
        </w:rPr>
        <w:t xml:space="preserve">Projection 30j (fourchette, pas une prévision) : </w:t>
      </w:r>
      <w:r>
        <w:rPr>
          <w:rFonts w:ascii="Calibri" w:hAnsi="Calibri"/>
          <w:b w:val="0"/>
          <w:i w:val="0"/>
          <w:sz w:val="19"/>
        </w:rPr>
        <w:t>-66% à +190%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~$0.173232  ·  </w:t>
      </w:r>
      <w:r>
        <w:rPr>
          <w:rFonts w:ascii="Calibri" w:hAnsi="Calibri"/>
          <w:b w:val="0"/>
          <w:i w:val="0"/>
          <w:color w:val="1E7D32"/>
          <w:sz w:val="18"/>
        </w:rPr>
        <w:t>vente ↑ $0.283822 (+64%)</w:t>
      </w:r>
      <w:r>
        <w:rPr>
          <w:rFonts w:ascii="Calibri" w:hAnsi="Calibri"/>
          <w:b w:val="0"/>
          <w:i w:val="0"/>
          <w:sz w:val="18"/>
        </w:rPr>
        <w:t xml:space="preserve">  ·  </w:t>
      </w:r>
      <w:r>
        <w:rPr>
          <w:rFonts w:ascii="Calibri" w:hAnsi="Calibri"/>
          <w:b w:val="0"/>
          <w:i w:val="0"/>
          <w:color w:val="C62828"/>
          <w:sz w:val="18"/>
        </w:rPr>
        <w:t>vente ↓ $0.124648 (-28%)</w:t>
      </w:r>
      <w:r>
        <w:rPr>
          <w:rFonts w:ascii="Calibri" w:hAnsi="Calibri"/>
          <w:b w:val="0"/>
          <w:i w:val="0"/>
          <w:sz w:val="18"/>
        </w:rPr>
        <w:t xml:space="preserve">  ·  détention ~11 j  ·  ratio G/P 2.28</w:t>
      </w:r>
    </w:p>
    <w:p>
      <w:pPr>
        <w:pStyle w:val="Heading2"/>
      </w:pPr>
      <w:r/>
      <w:r>
        <w:rPr>
          <w:rFonts w:ascii="Calibri" w:hAnsi="Calibri"/>
          <w:b/>
          <w:i w:val="0"/>
          <w:color w:val="1F3864"/>
          <w:sz w:val="26"/>
        </w:rPr>
        <w:t xml:space="preserve">SUPER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$0.206666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+3.8%  ·  volatilité annualisée +85.8%  ·  drawdown vs plus-haut -50.0%  ·  momentum 7j/30j/90j -12.8% / +71.7% / +140.2%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-35% à +54%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~$0.206666  ·  </w:t>
      </w:r>
      <w:r>
        <w:rPr>
          <w:rFonts w:ascii="Calibri" w:hAnsi="Calibri"/>
          <w:b w:val="0"/>
          <w:i w:val="0"/>
          <w:color w:val="1E7D32"/>
          <w:sz w:val="18"/>
        </w:rPr>
        <w:t>vente ↑ $0.277692 (+34%)</w:t>
      </w:r>
      <w:r>
        <w:rPr>
          <w:rFonts w:ascii="Calibri" w:hAnsi="Calibri"/>
          <w:b w:val="0"/>
          <w:i w:val="0"/>
          <w:sz w:val="18"/>
        </w:rPr>
        <w:t xml:space="preserve">  ·  </w:t>
      </w:r>
      <w:r>
        <w:rPr>
          <w:rFonts w:ascii="Calibri" w:hAnsi="Calibri"/>
          <w:b w:val="0"/>
          <w:i w:val="0"/>
          <w:color w:val="C62828"/>
          <w:sz w:val="18"/>
        </w:rPr>
        <w:t>vente ↓ $0.169723 (-18%)</w:t>
      </w:r>
      <w:r>
        <w:rPr>
          <w:rFonts w:ascii="Calibri" w:hAnsi="Calibri"/>
          <w:b w:val="0"/>
          <w:i w:val="0"/>
          <w:sz w:val="18"/>
        </w:rPr>
        <w:t xml:space="preserve">  ·  détention ~24 j  ·  ratio G/P 1.92</w:t>
      </w:r>
    </w:p>
    <w:p>
      <w:pPr>
        <w:pStyle w:val="Heading2"/>
      </w:pPr>
      <w:r/>
      <w:r>
        <w:rPr>
          <w:rFonts w:ascii="Calibri" w:hAnsi="Calibri"/>
          <w:b/>
          <w:i w:val="0"/>
          <w:color w:val="1F3864"/>
          <w:sz w:val="26"/>
        </w:rPr>
        <w:t xml:space="preserve">BR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$0.449138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+15.3%  ·  volatilité annualisée +253.2%  ·  drawdown vs plus-haut -62.2%  ·  momentum 7j/30j/90j +1.6% / +81.8% / +208.8%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0.571)  ·  </w:t>
      </w:r>
      <w:r>
        <w:rPr>
          <w:rFonts w:ascii="Calibri" w:hAnsi="Calibri"/>
          <w:b w:val="0"/>
          <w:i w:val="0"/>
          <w:color w:val="C62828"/>
          <w:sz w:val="18"/>
        </w:rPr>
        <w:t>Risque rouge (vol 2.53)</w:t>
      </w:r>
    </w:p>
    <w:p>
      <w:r>
        <w:rPr>
          <w:rFonts w:ascii="Calibri" w:hAnsi="Calibri"/>
          <w:b/>
          <w:i w:val="0"/>
          <w:sz w:val="19"/>
        </w:rPr>
        <w:t xml:space="preserve">Projection 30j (fourchette, pas une prévision) : </w:t>
      </w:r>
      <w:r>
        <w:rPr>
          <w:rFonts w:ascii="Calibri" w:hAnsi="Calibri"/>
          <w:b w:val="0"/>
          <w:i w:val="0"/>
          <w:sz w:val="19"/>
        </w:rPr>
        <w:t>-82% à +454%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~$0.449138  ·  </w:t>
      </w:r>
      <w:r>
        <w:rPr>
          <w:rFonts w:ascii="Calibri" w:hAnsi="Calibri"/>
          <w:b w:val="0"/>
          <w:i w:val="0"/>
          <w:color w:val="1E7D32"/>
          <w:sz w:val="18"/>
        </w:rPr>
        <w:t>vente ↑ $0.883661 (+97%)</w:t>
      </w:r>
      <w:r>
        <w:rPr>
          <w:rFonts w:ascii="Calibri" w:hAnsi="Calibri"/>
          <w:b w:val="0"/>
          <w:i w:val="0"/>
          <w:sz w:val="18"/>
        </w:rPr>
        <w:t xml:space="preserve">  ·  </w:t>
      </w:r>
      <w:r>
        <w:rPr>
          <w:rFonts w:ascii="Calibri" w:hAnsi="Calibri"/>
          <w:b w:val="0"/>
          <w:i w:val="0"/>
          <w:color w:val="C62828"/>
          <w:sz w:val="18"/>
        </w:rPr>
        <w:t>vente ↓ $0.286050 (-36%)</w:t>
      </w:r>
      <w:r>
        <w:rPr>
          <w:rFonts w:ascii="Calibri" w:hAnsi="Calibri"/>
          <w:b w:val="0"/>
          <w:i w:val="0"/>
          <w:sz w:val="18"/>
        </w:rPr>
        <w:t xml:space="preserve">  ·  détention ~8 j  ·  ratio G/P 2.66</w:t>
      </w:r>
    </w:p>
    <w:p>
      <w:pPr>
        <w:pStyle w:val="Heading2"/>
      </w:pPr>
      <w:r/>
      <w:r>
        <w:rPr>
          <w:rFonts w:ascii="Calibri" w:hAnsi="Calibri"/>
          <w:b/>
          <w:i w:val="0"/>
          <w:color w:val="1F3864"/>
          <w:sz w:val="26"/>
        </w:rPr>
        <w:t xml:space="preserve">GRX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$21.1490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0.400)</w:t>
      </w:r>
    </w:p>
    <w:p>
      <w:r>
        <w:rPr>
          <w:rFonts w:ascii="Calibri" w:hAnsi="Calibri"/>
          <w:b/>
          <w:i w:val="0"/>
          <w:sz w:val="19"/>
        </w:rPr>
        <w:t xml:space="preserve">Profil de risque : </w:t>
      </w:r>
      <w:r>
        <w:rPr>
          <w:rFonts w:ascii="Calibri" w:hAnsi="Calibri"/>
          <w:b w:val="0"/>
          <w:i w:val="0"/>
          <w:sz w:val="19"/>
        </w:rPr>
        <w:t>ATR +5.5%  ·  volatilité annualisée +332.1%  ·  drawdown vs plus-haut -0.6%  ·  momentum 7j/30j/90j +62.0% / -0.2% / +770.0%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3.32)</w:t>
      </w:r>
    </w:p>
    <w:p>
      <w:r>
        <w:rPr>
          <w:rFonts w:ascii="Calibri" w:hAnsi="Calibri"/>
          <w:b/>
          <w:i w:val="0"/>
          <w:sz w:val="19"/>
        </w:rPr>
        <w:t xml:space="preserve">Projection 30j (fourchette, pas une prévision) : </w:t>
      </w:r>
      <w:r>
        <w:rPr>
          <w:rFonts w:ascii="Calibri" w:hAnsi="Calibri"/>
          <w:b w:val="0"/>
          <w:i w:val="0"/>
          <w:sz w:val="19"/>
        </w:rPr>
        <w:t>-85% à +546%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~$21.1490  ·  </w:t>
      </w:r>
      <w:r>
        <w:rPr>
          <w:rFonts w:ascii="Calibri" w:hAnsi="Calibri"/>
          <w:b w:val="0"/>
          <w:i w:val="0"/>
          <w:color w:val="1E7D32"/>
          <w:sz w:val="18"/>
        </w:rPr>
        <w:t>vente ↑ $42.1562 (+99%)</w:t>
      </w:r>
      <w:r>
        <w:rPr>
          <w:rFonts w:ascii="Calibri" w:hAnsi="Calibri"/>
          <w:b w:val="0"/>
          <w:i w:val="0"/>
          <w:sz w:val="18"/>
        </w:rPr>
        <w:t xml:space="preserve">  ·  </w:t>
      </w:r>
      <w:r>
        <w:rPr>
          <w:rFonts w:ascii="Calibri" w:hAnsi="Calibri"/>
          <w:b w:val="0"/>
          <w:i w:val="0"/>
          <w:color w:val="C62828"/>
          <w:sz w:val="18"/>
        </w:rPr>
        <w:t>vente ↓ $13.3529 (-37%)</w:t>
      </w:r>
      <w:r>
        <w:rPr>
          <w:rFonts w:ascii="Calibri" w:hAnsi="Calibri"/>
          <w:b w:val="0"/>
          <w:i w:val="0"/>
          <w:sz w:val="18"/>
        </w:rPr>
        <w:t xml:space="preserve">  ·  détention ~7 j  ·  ratio G/P 2.69</w:t>
      </w:r>
    </w:p>
    <w:p>
      <w:pPr>
        <w:pStyle w:val="Heading2"/>
      </w:pPr>
      <w:r/>
      <w:r>
        <w:rPr>
          <w:rFonts w:ascii="Calibri" w:hAnsi="Calibri"/>
          <w:b/>
          <w:i w:val="0"/>
          <w:color w:val="1F3864"/>
          <w:sz w:val="26"/>
        </w:rPr>
        <w:t xml:space="preserve">SAND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$0.059811   |   Composite +0.25   |   Indicateurs actifs :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+6.6%  ·  volatilité annualisée +116.4%  ·  drawdown vs plus-haut -72.7%  ·  momentum 7j/30j/90j -14.5% / +66.3% / +22.0%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0.669)  ·  </w:t>
      </w:r>
      <w:r>
        <w:rPr>
          <w:rFonts w:ascii="Calibri" w:hAnsi="Calibri"/>
          <w:b w:val="0"/>
          <w:i w:val="0"/>
          <w:color w:val="1E7D32"/>
          <w:sz w:val="18"/>
        </w:rPr>
        <w:t>Risque vert (vol 1.16)</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~$0.059811  ·  </w:t>
      </w:r>
      <w:r>
        <w:rPr>
          <w:rFonts w:ascii="Calibri" w:hAnsi="Calibri"/>
          <w:b w:val="0"/>
          <w:i w:val="0"/>
          <w:color w:val="1E7D32"/>
          <w:sz w:val="18"/>
        </w:rPr>
        <w:t>vente ↑ $0.083543 (+40%)</w:t>
      </w:r>
      <w:r>
        <w:rPr>
          <w:rFonts w:ascii="Calibri" w:hAnsi="Calibri"/>
          <w:b w:val="0"/>
          <w:i w:val="0"/>
          <w:sz w:val="18"/>
        </w:rPr>
        <w:t xml:space="preserve">  ·  </w:t>
      </w:r>
      <w:r>
        <w:rPr>
          <w:rFonts w:ascii="Calibri" w:hAnsi="Calibri"/>
          <w:b w:val="0"/>
          <w:i w:val="0"/>
          <w:color w:val="C62828"/>
          <w:sz w:val="18"/>
        </w:rPr>
        <w:t>vente ↓ $0.047866 (-20%)</w:t>
      </w:r>
      <w:r>
        <w:rPr>
          <w:rFonts w:ascii="Calibri" w:hAnsi="Calibri"/>
          <w:b w:val="0"/>
          <w:i w:val="0"/>
          <w:sz w:val="18"/>
        </w:rPr>
        <w:t xml:space="preserve">  ·  détention ~18 j  ·  ratio G/P 1.99</w:t>
      </w:r>
    </w:p>
    <w:p>
      <w:pPr>
        <w:pStyle w:val="Heading2"/>
      </w:pPr>
      <w:r/>
      <w:r>
        <w:rPr>
          <w:rFonts w:ascii="Calibri" w:hAnsi="Calibri"/>
          <w:b/>
          <w:i w:val="0"/>
          <w:color w:val="1F3864"/>
          <w:sz w:val="26"/>
        </w:rPr>
        <w:t xml:space="preserve">PONS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$0.282814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-0.600)</w:t>
      </w:r>
    </w:p>
    <w:p>
      <w:r>
        <w:rPr>
          <w:rFonts w:ascii="Calibri" w:hAnsi="Calibri"/>
          <w:b/>
          <w:i w:val="0"/>
          <w:sz w:val="19"/>
        </w:rPr>
        <w:t xml:space="preserve">Profil de risque : </w:t>
      </w:r>
      <w:r>
        <w:rPr>
          <w:rFonts w:ascii="Calibri" w:hAnsi="Calibri"/>
          <w:b w:val="0"/>
          <w:i w:val="0"/>
          <w:sz w:val="19"/>
        </w:rPr>
        <w:t>ATR +12.7%  ·  volatilité annualisée +445.9%  ·  drawdown vs plus-haut -69.1%  ·  momentum 7j/30j/90j -27.0% / -52.7% / +2392.9%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4.46)</w:t>
      </w:r>
    </w:p>
    <w:p>
      <w:r>
        <w:rPr>
          <w:rFonts w:ascii="Calibri" w:hAnsi="Calibri"/>
          <w:b/>
          <w:i w:val="0"/>
          <w:sz w:val="19"/>
        </w:rPr>
        <w:t xml:space="preserve">Projection 30j (fourchette, pas une prévision) : </w:t>
      </w:r>
      <w:r>
        <w:rPr>
          <w:rFonts w:ascii="Calibri" w:hAnsi="Calibri"/>
          <w:b w:val="0"/>
          <w:i w:val="0"/>
          <w:sz w:val="19"/>
        </w:rPr>
        <w:t>-92% à +1125%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~$0.282814  ·  </w:t>
      </w:r>
      <w:r>
        <w:rPr>
          <w:rFonts w:ascii="Calibri" w:hAnsi="Calibri"/>
          <w:b w:val="0"/>
          <w:i w:val="0"/>
          <w:color w:val="1E7D32"/>
          <w:sz w:val="18"/>
        </w:rPr>
        <w:t>vente ↑ $0.714076 (+152%)</w:t>
      </w:r>
      <w:r>
        <w:rPr>
          <w:rFonts w:ascii="Calibri" w:hAnsi="Calibri"/>
          <w:b w:val="0"/>
          <w:i w:val="0"/>
          <w:sz w:val="18"/>
        </w:rPr>
        <w:t xml:space="preserve">  ·  </w:t>
      </w:r>
      <w:r>
        <w:rPr>
          <w:rFonts w:ascii="Calibri" w:hAnsi="Calibri"/>
          <w:b w:val="0"/>
          <w:i w:val="0"/>
          <w:color w:val="C62828"/>
          <w:sz w:val="18"/>
        </w:rPr>
        <w:t>vente ↓ $0.152525 (-46%)</w:t>
      </w:r>
      <w:r>
        <w:rPr>
          <w:rFonts w:ascii="Calibri" w:hAnsi="Calibri"/>
          <w:b w:val="0"/>
          <w:i w:val="0"/>
          <w:sz w:val="18"/>
        </w:rPr>
        <w:t xml:space="preserve">  ·  détention ~7 j  ·  ratio G/P 3.31</w:t>
      </w:r>
    </w:p>
    <w:p>
      <w:pPr>
        <w:pStyle w:val="Heading2"/>
      </w:pPr>
      <w:r/>
      <w:r>
        <w:rPr>
          <w:rFonts w:ascii="Calibri" w:hAnsi="Calibri"/>
          <w:b/>
          <w:i w:val="0"/>
          <w:color w:val="1F3864"/>
          <w:sz w:val="26"/>
        </w:rPr>
        <w:t xml:space="preserve">AR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$3.7438   |   Composite +0.00   |   Indicateurs actifs : rsi,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+5.0%  ·  volatilité annualisée +174.1%  ·  drawdown vs plus-haut -53.6%  ·  momentum 7j/30j/90j -17.6% / +45.1% / +88.7%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1.74)</w:t>
      </w:r>
    </w:p>
    <w:p>
      <w:r>
        <w:rPr>
          <w:rFonts w:ascii="Calibri" w:hAnsi="Calibri"/>
          <w:b/>
          <w:i w:val="0"/>
          <w:sz w:val="19"/>
        </w:rPr>
        <w:t xml:space="preserve">Projection 30j (fourchette, pas une prévision) : </w:t>
      </w:r>
      <w:r>
        <w:rPr>
          <w:rFonts w:ascii="Calibri" w:hAnsi="Calibri"/>
          <w:b w:val="0"/>
          <w:i w:val="0"/>
          <w:sz w:val="19"/>
        </w:rPr>
        <w:t>-46% à +84%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~$3.7438  ·  </w:t>
      </w:r>
      <w:r>
        <w:rPr>
          <w:rFonts w:ascii="Calibri" w:hAnsi="Calibri"/>
          <w:b w:val="0"/>
          <w:i w:val="0"/>
          <w:color w:val="1E7D32"/>
          <w:sz w:val="18"/>
        </w:rPr>
        <w:t>vente ↑ $5.0255 (+34%)</w:t>
      </w:r>
      <w:r>
        <w:rPr>
          <w:rFonts w:ascii="Calibri" w:hAnsi="Calibri"/>
          <w:b w:val="0"/>
          <w:i w:val="0"/>
          <w:sz w:val="18"/>
        </w:rPr>
        <w:t xml:space="preserve">  ·  </w:t>
      </w:r>
      <w:r>
        <w:rPr>
          <w:rFonts w:ascii="Calibri" w:hAnsi="Calibri"/>
          <w:b w:val="0"/>
          <w:i w:val="0"/>
          <w:color w:val="C62828"/>
          <w:sz w:val="18"/>
        </w:rPr>
        <w:t>vente ↓ $3.0766 (-18%)</w:t>
      </w:r>
      <w:r>
        <w:rPr>
          <w:rFonts w:ascii="Calibri" w:hAnsi="Calibri"/>
          <w:b w:val="0"/>
          <w:i w:val="0"/>
          <w:sz w:val="18"/>
        </w:rPr>
        <w:t xml:space="preserve">  ·  détention ~12 j  ·  ratio G/P 1.92</w:t>
      </w:r>
    </w:p>
    <w:p>
      <w:pPr>
        <w:pStyle w:val="Heading2"/>
      </w:pPr>
      <w:r/>
      <w:r>
        <w:rPr>
          <w:rFonts w:ascii="Calibri" w:hAnsi="Calibri"/>
          <w:b/>
          <w:i w:val="0"/>
          <w:color w:val="1F3864"/>
          <w:sz w:val="26"/>
        </w:rPr>
        <w:t xml:space="preserve">PEAQ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$0.039729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+4.6%  ·  volatilité annualisée +146.7%  ·  drawdown vs plus-haut -57.6%  ·  momentum 7j/30j/90j -7.5% / +59.0% / +115.0%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1.47)</w:t>
      </w:r>
    </w:p>
    <w:p>
      <w:r>
        <w:rPr>
          <w:rFonts w:ascii="Calibri" w:hAnsi="Calibri"/>
          <w:b/>
          <w:i w:val="0"/>
          <w:sz w:val="19"/>
        </w:rPr>
        <w:t xml:space="preserve">Projection 30j (fourchette, pas une prévision) : </w:t>
      </w:r>
      <w:r>
        <w:rPr>
          <w:rFonts w:ascii="Calibri" w:hAnsi="Calibri"/>
          <w:b w:val="0"/>
          <w:i w:val="0"/>
          <w:sz w:val="19"/>
        </w:rPr>
        <w:t>-55% à +124%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~$0.039729  ·  </w:t>
      </w:r>
      <w:r>
        <w:rPr>
          <w:rFonts w:ascii="Calibri" w:hAnsi="Calibri"/>
          <w:b w:val="0"/>
          <w:i w:val="0"/>
          <w:color w:val="1E7D32"/>
          <w:sz w:val="18"/>
        </w:rPr>
        <w:t>vente ↑ $0.060574 (+52%)</w:t>
      </w:r>
      <w:r>
        <w:rPr>
          <w:rFonts w:ascii="Calibri" w:hAnsi="Calibri"/>
          <w:b w:val="0"/>
          <w:i w:val="0"/>
          <w:sz w:val="18"/>
        </w:rPr>
        <w:t xml:space="preserve">  ·  </w:t>
      </w:r>
      <w:r>
        <w:rPr>
          <w:rFonts w:ascii="Calibri" w:hAnsi="Calibri"/>
          <w:b w:val="0"/>
          <w:i w:val="0"/>
          <w:color w:val="C62828"/>
          <w:sz w:val="18"/>
        </w:rPr>
        <w:t>vente ↓ $0.029991 (-25%)</w:t>
      </w:r>
      <w:r>
        <w:rPr>
          <w:rFonts w:ascii="Calibri" w:hAnsi="Calibri"/>
          <w:b w:val="0"/>
          <w:i w:val="0"/>
          <w:sz w:val="18"/>
        </w:rPr>
        <w:t xml:space="preserve">  ·  détention ~14 j  ·  ratio G/P 2.14</w:t>
      </w:r>
    </w:p>
    <w:p>
      <w:pPr>
        <w:pStyle w:val="Heading2"/>
      </w:pPr>
      <w:r/>
      <w:r>
        <w:rPr>
          <w:rFonts w:ascii="Calibri" w:hAnsi="Calibri"/>
          <w:b/>
          <w:i w:val="0"/>
          <w:color w:val="1F3864"/>
          <w:sz w:val="26"/>
        </w:rPr>
        <w:t xml:space="preserve">RSR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$0.002200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+3.8%  ·  volatilité annualisée +239.7%  ·  drawdown vs plus-haut -64.1%  ·  momentum 7j/30j/90j +26.2% / +50.3% / +77.3%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0.577)  ·  </w:t>
      </w:r>
      <w:r>
        <w:rPr>
          <w:rFonts w:ascii="Calibri" w:hAnsi="Calibri"/>
          <w:b w:val="0"/>
          <w:i w:val="0"/>
          <w:color w:val="C62828"/>
          <w:sz w:val="18"/>
        </w:rPr>
        <w:t>Risque rouge (vol 2.4)</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~$0.002200  ·  </w:t>
      </w:r>
      <w:r>
        <w:rPr>
          <w:rFonts w:ascii="Calibri" w:hAnsi="Calibri"/>
          <w:b w:val="0"/>
          <w:i w:val="0"/>
          <w:color w:val="1E7D32"/>
          <w:sz w:val="18"/>
        </w:rPr>
        <w:t>vente ↑ $0.002673 (+21%)</w:t>
      </w:r>
      <w:r>
        <w:rPr>
          <w:rFonts w:ascii="Calibri" w:hAnsi="Calibri"/>
          <w:b w:val="0"/>
          <w:i w:val="0"/>
          <w:sz w:val="18"/>
        </w:rPr>
        <w:t xml:space="preserve">  ·  </w:t>
      </w:r>
      <w:r>
        <w:rPr>
          <w:rFonts w:ascii="Calibri" w:hAnsi="Calibri"/>
          <w:b w:val="0"/>
          <w:i w:val="0"/>
          <w:color w:val="C62828"/>
          <w:sz w:val="18"/>
        </w:rPr>
        <w:t>vente ↓ $0.001933 (-12%)</w:t>
      </w:r>
      <w:r>
        <w:rPr>
          <w:rFonts w:ascii="Calibri" w:hAnsi="Calibri"/>
          <w:b w:val="0"/>
          <w:i w:val="0"/>
          <w:sz w:val="18"/>
        </w:rPr>
        <w:t xml:space="preserve">  ·  détention ~9 j  ·  ratio G/P 1.77</w:t>
      </w:r>
    </w:p>
    <w:p>
      <w:pPr>
        <w:pStyle w:val="Heading2"/>
      </w:pPr>
      <w:r/>
      <w:r>
        <w:rPr>
          <w:rFonts w:ascii="Calibri" w:hAnsi="Calibri"/>
          <w:b/>
          <w:i w:val="0"/>
          <w:color w:val="1F3864"/>
          <w:sz w:val="26"/>
        </w:rPr>
        <w:t xml:space="preserve">SOON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$0.301997   |   Composite -0.25   |   Indicateurs actifs :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+6.1%  ·  volatilité annualisée +179.1%  ·  drawdown vs plus-haut -88.9%  ·  momentum 7j/30j/90j -11.3% / +67.7% / +81.5%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0.535)  ·  </w:t>
      </w:r>
      <w:r>
        <w:rPr>
          <w:rFonts w:ascii="Calibri" w:hAnsi="Calibri"/>
          <w:b w:val="0"/>
          <w:i w:val="0"/>
          <w:color w:val="C62828"/>
          <w:sz w:val="18"/>
        </w:rPr>
        <w:t>Risque rouge (vol 1.79)</w:t>
      </w:r>
    </w:p>
    <w:p>
      <w:r>
        <w:rPr>
          <w:rFonts w:ascii="Calibri" w:hAnsi="Calibri"/>
          <w:b/>
          <w:i w:val="0"/>
          <w:sz w:val="19"/>
        </w:rPr>
        <w:t xml:space="preserve">Projection 30j (fourchette, pas une prévision) : </w:t>
      </w:r>
      <w:r>
        <w:rPr>
          <w:rFonts w:ascii="Calibri" w:hAnsi="Calibri"/>
          <w:b w:val="0"/>
          <w:i w:val="0"/>
          <w:sz w:val="19"/>
        </w:rPr>
        <w:t>-54% à +117%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~$0.301997  ·  </w:t>
      </w:r>
      <w:r>
        <w:rPr>
          <w:rFonts w:ascii="Calibri" w:hAnsi="Calibri"/>
          <w:b w:val="0"/>
          <w:i w:val="0"/>
          <w:color w:val="1E7D32"/>
          <w:sz w:val="18"/>
        </w:rPr>
        <w:t>vente ↑ $0.439817 (+46%)</w:t>
      </w:r>
      <w:r>
        <w:rPr>
          <w:rFonts w:ascii="Calibri" w:hAnsi="Calibri"/>
          <w:b w:val="0"/>
          <w:i w:val="0"/>
          <w:sz w:val="18"/>
        </w:rPr>
        <w:t xml:space="preserve">  ·  </w:t>
      </w:r>
      <w:r>
        <w:rPr>
          <w:rFonts w:ascii="Calibri" w:hAnsi="Calibri"/>
          <w:b w:val="0"/>
          <w:i w:val="0"/>
          <w:color w:val="C62828"/>
          <w:sz w:val="18"/>
        </w:rPr>
        <w:t>vente ↓ $0.235048 (-22%)</w:t>
      </w:r>
      <w:r>
        <w:rPr>
          <w:rFonts w:ascii="Calibri" w:hAnsi="Calibri"/>
          <w:b w:val="0"/>
          <w:i w:val="0"/>
          <w:sz w:val="18"/>
        </w:rPr>
        <w:t xml:space="preserve">  ·  détention ~12 j  ·  ratio G/P 2.06</w:t>
      </w:r>
    </w:p>
    <w:p>
      <w:r>
        <w:br w:type="page"/>
      </w:r>
    </w:p>
    <w:p>
      <w:pPr>
        <w:pStyle w:val="Heading1"/>
      </w:pPr>
      <w:r>
        <w:t>5. Méthodologie &amp; avertissements</w:t>
      </w:r>
    </w:p>
    <w:p>
      <w:r>
        <w:rPr>
          <w:rFonts w:ascii="Calibri" w:hAnsi="Calibri"/>
          <w:b/>
          <w:i w:val="0"/>
          <w:color w:val="2E5496"/>
          <w:sz w:val="20"/>
        </w:rPr>
        <w:t>Deux couches complémentaires</w:t>
      </w:r>
    </w:p>
    <w:p>
      <w:r>
        <w:rPr>
          <w:rFonts w:ascii="Calibri" w:hAnsi="Calibri"/>
          <w:b w:val="0"/>
          <w:i w:val="0"/>
          <w:sz w:val="19"/>
        </w:rPr>
        <w:t>Le SIGNAL TECHNIQUE résume ce que disent les indicateurs. La DÉCISION à 4 feux n'affiche INVESTIR que si Technique, Fondamental, Prédiction et Risque convergent. Un signal peut être neutre alors que la décision est INVESTIR, et inversement.</w:t>
      </w:r>
    </w:p>
    <w:p>
      <w:r>
        <w:rPr>
          <w:rFonts w:ascii="Calibri" w:hAnsi="Calibri"/>
          <w:b/>
          <w:i w:val="0"/>
          <w:color w:val="2E5496"/>
          <w:sz w:val="20"/>
        </w:rPr>
        <w:t>Les 5 indicateurs</w:t>
      </w:r>
    </w:p>
    <w:p>
      <w:r>
        <w:rPr>
          <w:rFonts w:ascii="Calibri" w:hAnsi="Calibri"/>
          <w:b w:val="0"/>
          <w:i w:val="0"/>
          <w:sz w:val="19"/>
        </w:rPr>
        <w:t>Moyennes mobiles, RSI, MACD, Stochastique, Bandes de Bollinger — paramètres ré-optimisés chaque semaine en walk-forward. Un indicateur qui ne bat pas le buy-and-hold hors-échantillon est désactivé.</w:t>
      </w:r>
    </w:p>
    <w:p>
      <w:r>
        <w:rPr>
          <w:rFonts w:ascii="Calibri" w:hAnsi="Calibri"/>
          <w:b/>
          <w:i w:val="0"/>
          <w:color w:val="2E5496"/>
          <w:sz w:val="20"/>
        </w:rPr>
        <w:t>Feu Prédiction</w:t>
      </w:r>
    </w:p>
    <w:p>
      <w:r>
        <w:rPr>
          <w:rFonts w:ascii="Calibri" w:hAnsi="Calibri"/>
          <w:b w:val="0"/>
          <w:i w:val="0"/>
          <w:sz w:val="19"/>
        </w:rPr>
        <w:t>Modèle logistique dont l'AUC est mesurée hors-échantillon. Sans edge (AUC ≈ 0,5), il est ignoré : aucune prédiction n'est présentée comme fiable sans pouvoir prédictif démontré.</w:t>
      </w:r>
    </w:p>
    <w:p>
      <w:r>
        <w:rPr>
          <w:rFonts w:ascii="Calibri" w:hAnsi="Calibri"/>
          <w:b/>
          <w:i w:val="0"/>
          <w:color w:val="2E5496"/>
          <w:sz w:val="20"/>
        </w:rPr>
        <w:t>Projection 30 jours</w:t>
      </w:r>
    </w:p>
    <w:p>
      <w:r>
        <w:rPr>
          <w:rFonts w:ascii="Calibri" w:hAnsi="Calibri"/>
          <w:b w:val="0"/>
          <w:i w:val="0"/>
          <w:sz w:val="19"/>
        </w:rPr>
        <w:t>Fourchette de plausibilité (marche aléatoire) : sa largeur mesure l'incertitude. Ce n'est pas une prévision de prix et elle n'indique aucune direction.</w:t>
      </w:r>
    </w:p>
    <w:p>
      <w:r>
        <w:rPr>
          <w:rFonts w:ascii="Calibri" w:hAnsi="Calibri"/>
          <w:b/>
          <w:i w:val="0"/>
          <w:color w:val="2E5496"/>
          <w:sz w:val="20"/>
        </w:rPr>
        <w:t>Plan de trade (niveaux)</w:t>
      </w:r>
    </w:p>
    <w:p>
      <w:r>
        <w:rPr>
          <w:rFonts w:ascii="Calibri" w:hAnsi="Calibri"/>
          <w:b w:val="0"/>
          <w:i w:val="0"/>
          <w:sz w:val="19"/>
        </w:rPr>
        <w:t>Prix d'achat = prix actuel (référence). Objectif de vente à la hausse = prix × exp(+1,5σ) et stop à la baisse = prix × exp(−1,0σ), où σ est l'amplitude typique (volatilité) sur la durée de détention. La durée = 21 ÷ volatilité annualisée, bornée 7–45 jours (un actif calme se tient plus longtemps). Ces niveaux sont des repères de gestion du risque dérivés de la volatilité, PAS des prévisions ni des ordres : ajustez-les à votre tolérance au risque.</w:t>
      </w:r>
    </w:p>
    <w:p>
      <w:r>
        <w:rPr>
          <w:rFonts w:ascii="Calibri" w:hAnsi="Calibri"/>
          <w:b/>
          <w:i w:val="0"/>
          <w:color w:val="2E5496"/>
          <w:sz w:val="20"/>
        </w:rPr>
        <w:t>Données</w:t>
      </w:r>
    </w:p>
    <w:p>
      <w:r>
        <w:rPr>
          <w:rFonts w:ascii="Calibri" w:hAnsi="Calibri"/>
          <w:b w:val="0"/>
          <w:i w:val="0"/>
          <w:sz w:val="19"/>
        </w:rPr>
        <w:t>Cours quotidiens CoinGecko (historique limité à 365 jours sur le plan gratuit).</w:t>
      </w:r>
    </w:p>
    <w:p>
      <w:r>
        <w:rPr>
          <w:rFonts w:ascii="Calibri" w:hAnsi="Calibri"/>
          <w:b/>
          <w:i w:val="0"/>
          <w:color w:val="C62828"/>
          <w:sz w:val="20"/>
        </w:rPr>
        <w:t>Avertissement</w:t>
      </w:r>
    </w:p>
    <w:p>
      <w:r>
        <w:rPr>
          <w:rFonts w:ascii="Calibri" w:hAnsi="Calibri"/>
          <w:b w:val="0"/>
          <w:i w:val="0"/>
          <w:sz w:val="19"/>
        </w:rPr>
        <w:t>Document d'information à but éducatif — pas un conseil en investissement. Cryptomonnaies très volatiles : pertes possibles, y compris totales. Les performances passées ne préjugent pas des performances futures.</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