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2026-09-20</w:t>
            </w:r>
          </w:p>
        </w:tc>
      </w:tr>
    </w:tbl>
    <w:p/>
    <w:p>
      <w:r>
        <w:rPr>
          <w:rFonts w:ascii="Calibri" w:hAnsi="Calibri"/>
          <w:b w:val="0"/>
          <w:i/>
          <w:color w:val="555555"/>
          <w:sz w:val="18"/>
        </w:rPr>
        <w:t>Univers analysé : 20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20 cryptomonnaies :</w:t>
      </w:r>
    </w:p>
    <w:p>
      <w:pPr>
        <w:pStyle w:val="ListBullet"/>
      </w:pPr>
      <w:r>
        <w:rPr>
          <w:rFonts w:ascii="Calibri" w:hAnsi="Calibri"/>
          <w:b/>
          <w:i w:val="0"/>
          <w:color w:val="1E7D32"/>
          <w:sz w:val="20"/>
        </w:rPr>
        <w:t>INVESTIR (4 feux verts) : 5 — BNB, SOL, WBT, LINK, NEAR.</w:t>
      </w:r>
    </w:p>
    <w:p>
      <w:pPr>
        <w:pStyle w:val="ListBullet"/>
      </w:pPr>
      <w:r>
        <w:rPr>
          <w:rFonts w:ascii="Calibri" w:hAnsi="Calibri"/>
          <w:b/>
          <w:i w:val="0"/>
          <w:color w:val="B26A00"/>
          <w:sz w:val="20"/>
        </w:rPr>
        <w:t>CONSERVER (pas de signal net) : 12.</w:t>
      </w:r>
    </w:p>
    <w:p>
      <w:pPr>
        <w:pStyle w:val="ListBullet"/>
      </w:pPr>
      <w:r>
        <w:rPr>
          <w:rFonts w:ascii="Calibri" w:hAnsi="Calibri"/>
          <w:b/>
          <w:i w:val="0"/>
          <w:color w:val="C62828"/>
          <w:sz w:val="20"/>
        </w:rPr>
        <w:t>ÉVITER (fondamental ou risque en échec) : 3 — ZEC, FIGR_HELOC, LEO.</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-27%..+36%</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0.508</w:t>
            </w:r>
          </w:p>
        </w:tc>
        <w:tc>
          <w:tcPr>
            <w:tcW w:type="dxa" w:w="2100"/>
          </w:tcPr>
          <w:p>
            <w:pPr>
              <w:jc w:val="center"/>
            </w:pPr>
            <w:r>
              <w:rPr>
                <w:rFonts w:ascii="Calibri" w:hAnsi="Calibri"/>
                <w:b w:val="0"/>
                <w:i w:val="0"/>
                <w:sz w:val="16"/>
              </w:rPr>
              <w:t>-53%..+111%</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0.643</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-40%..+68%</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0.778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0.505</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0.625</w:t>
            </w:r>
          </w:p>
        </w:tc>
        <w:tc>
          <w:tcPr>
            <w:tcW w:type="dxa" w:w="2100"/>
            <w:shd w:val="clear" w:color="auto" w:fill="F2F5FB"/>
          </w:tcPr>
          <w:p>
            <w:pPr>
              <w:jc w:val="center"/>
            </w:pPr>
            <w:r>
              <w:rPr>
                <w:rFonts w:ascii="Calibri" w:hAnsi="Calibri"/>
                <w:b w:val="0"/>
                <w:i w:val="0"/>
                <w:sz w:val="16"/>
              </w:rPr>
              <w:t>-33%..+50%</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$81 236.41</w:t>
            </w:r>
          </w:p>
        </w:tc>
        <w:tc>
          <w:tcPr>
            <w:tcW w:type="dxa" w:w="1700"/>
          </w:tcPr>
          <w:p>
            <w:pPr>
              <w:jc w:val="center"/>
            </w:pPr>
            <w:r>
              <w:rPr>
                <w:rFonts w:ascii="Calibri" w:hAnsi="Calibri"/>
                <w:b w:val="0"/>
                <w:i w:val="0"/>
                <w:color w:val="1E7D32"/>
                <w:sz w:val="16"/>
              </w:rPr>
              <w:t>$99 186.28  (+22%)</w:t>
            </w:r>
          </w:p>
        </w:tc>
        <w:tc>
          <w:tcPr>
            <w:tcW w:type="dxa" w:w="1600"/>
          </w:tcPr>
          <w:p>
            <w:pPr>
              <w:jc w:val="center"/>
            </w:pPr>
            <w:r>
              <w:rPr>
                <w:rFonts w:ascii="Calibri" w:hAnsi="Calibri"/>
                <w:b w:val="0"/>
                <w:i w:val="0"/>
                <w:color w:val="C62828"/>
                <w:sz w:val="16"/>
              </w:rPr>
              <w:t>$71 113.19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$2 632.01</w:t>
            </w:r>
          </w:p>
        </w:tc>
        <w:tc>
          <w:tcPr>
            <w:tcW w:type="dxa" w:w="1700"/>
            <w:shd w:val="clear" w:color="auto" w:fill="F2F5FB"/>
          </w:tcPr>
          <w:p>
            <w:pPr>
              <w:jc w:val="center"/>
            </w:pPr>
            <w:r>
              <w:rPr>
                <w:rFonts w:ascii="Calibri" w:hAnsi="Calibri"/>
                <w:b w:val="0"/>
                <w:i w:val="0"/>
                <w:color w:val="1E7D32"/>
                <w:sz w:val="16"/>
              </w:rPr>
              <w:t>$3 353.09  (+27%)</w:t>
            </w:r>
          </w:p>
        </w:tc>
        <w:tc>
          <w:tcPr>
            <w:tcW w:type="dxa" w:w="1600"/>
            <w:shd w:val="clear" w:color="auto" w:fill="F2F5FB"/>
          </w:tcPr>
          <w:p>
            <w:pPr>
              <w:jc w:val="center"/>
            </w:pPr>
            <w:r>
              <w:rPr>
                <w:rFonts w:ascii="Calibri" w:hAnsi="Calibri"/>
                <w:b w:val="0"/>
                <w:i w:val="0"/>
                <w:color w:val="C62828"/>
                <w:sz w:val="16"/>
              </w:rPr>
              <w:t>$2 239.66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$761.7625</w:t>
            </w:r>
          </w:p>
        </w:tc>
        <w:tc>
          <w:tcPr>
            <w:tcW w:type="dxa" w:w="1700"/>
          </w:tcPr>
          <w:p>
            <w:pPr>
              <w:jc w:val="center"/>
            </w:pPr>
            <w:r>
              <w:rPr>
                <w:rFonts w:ascii="Calibri" w:hAnsi="Calibri"/>
                <w:b w:val="0"/>
                <w:i w:val="0"/>
                <w:color w:val="1E7D32"/>
                <w:sz w:val="16"/>
              </w:rPr>
              <w:t>$926.2633  (+22%)</w:t>
            </w:r>
          </w:p>
        </w:tc>
        <w:tc>
          <w:tcPr>
            <w:tcW w:type="dxa" w:w="1600"/>
          </w:tcPr>
          <w:p>
            <w:pPr>
              <w:jc w:val="center"/>
            </w:pPr>
            <w:r>
              <w:rPr>
                <w:rFonts w:ascii="Calibri" w:hAnsi="Calibri"/>
                <w:b w:val="0"/>
                <w:i w:val="0"/>
                <w:color w:val="C62828"/>
                <w:sz w:val="16"/>
              </w:rPr>
              <w:t>$668.6667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$1.4100</w:t>
            </w:r>
          </w:p>
        </w:tc>
        <w:tc>
          <w:tcPr>
            <w:tcW w:type="dxa" w:w="1700"/>
            <w:shd w:val="clear" w:color="auto" w:fill="F2F5FB"/>
          </w:tcPr>
          <w:p>
            <w:pPr>
              <w:jc w:val="center"/>
            </w:pPr>
            <w:r>
              <w:rPr>
                <w:rFonts w:ascii="Calibri" w:hAnsi="Calibri"/>
                <w:b w:val="0"/>
                <w:i w:val="0"/>
                <w:color w:val="1E7D32"/>
                <w:sz w:val="16"/>
              </w:rPr>
              <w:t>$1.7946  (+27%)</w:t>
            </w:r>
          </w:p>
        </w:tc>
        <w:tc>
          <w:tcPr>
            <w:tcW w:type="dxa" w:w="1600"/>
            <w:shd w:val="clear" w:color="auto" w:fill="F2F5FB"/>
          </w:tcPr>
          <w:p>
            <w:pPr>
              <w:jc w:val="center"/>
            </w:pPr>
            <w:r>
              <w:rPr>
                <w:rFonts w:ascii="Calibri" w:hAnsi="Calibri"/>
                <w:b w:val="0"/>
                <w:i w:val="0"/>
                <w:color w:val="C62828"/>
                <w:sz w:val="16"/>
              </w:rPr>
              <w:t>$1.2005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$111.0153</w:t>
            </w:r>
          </w:p>
        </w:tc>
        <w:tc>
          <w:tcPr>
            <w:tcW w:type="dxa" w:w="1700"/>
          </w:tcPr>
          <w:p>
            <w:pPr>
              <w:jc w:val="center"/>
            </w:pPr>
            <w:r>
              <w:rPr>
                <w:rFonts w:ascii="Calibri" w:hAnsi="Calibri"/>
                <w:b w:val="0"/>
                <w:i w:val="0"/>
                <w:color w:val="1E7D32"/>
                <w:sz w:val="16"/>
              </w:rPr>
              <w:t>$141.7698  (+28%)</w:t>
            </w:r>
          </w:p>
        </w:tc>
        <w:tc>
          <w:tcPr>
            <w:tcW w:type="dxa" w:w="1600"/>
          </w:tcPr>
          <w:p>
            <w:pPr>
              <w:jc w:val="center"/>
            </w:pPr>
            <w:r>
              <w:rPr>
                <w:rFonts w:ascii="Calibri" w:hAnsi="Calibri"/>
                <w:b w:val="0"/>
                <w:i w:val="0"/>
                <w:color w:val="C62828"/>
                <w:sz w:val="16"/>
              </w:rPr>
              <w:t>$94.3153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$0.339764</w:t>
            </w:r>
          </w:p>
        </w:tc>
        <w:tc>
          <w:tcPr>
            <w:tcW w:type="dxa" w:w="1700"/>
            <w:shd w:val="clear" w:color="auto" w:fill="F2F5FB"/>
          </w:tcPr>
          <w:p>
            <w:pPr>
              <w:jc w:val="center"/>
            </w:pPr>
            <w:r>
              <w:rPr>
                <w:rFonts w:ascii="Calibri" w:hAnsi="Calibri"/>
                <w:b w:val="0"/>
                <w:i w:val="0"/>
                <w:color w:val="1E7D32"/>
                <w:sz w:val="16"/>
              </w:rPr>
              <w:t>$0.380640  (+12%)</w:t>
            </w:r>
          </w:p>
        </w:tc>
        <w:tc>
          <w:tcPr>
            <w:tcW w:type="dxa" w:w="1600"/>
            <w:shd w:val="clear" w:color="auto" w:fill="F2F5FB"/>
          </w:tcPr>
          <w:p>
            <w:pPr>
              <w:jc w:val="center"/>
            </w:pPr>
            <w:r>
              <w:rPr>
                <w:rFonts w:ascii="Calibri" w:hAnsi="Calibri"/>
                <w:b w:val="0"/>
                <w:i w:val="0"/>
                <w:color w:val="C62828"/>
                <w:sz w:val="16"/>
              </w:rPr>
              <w:t>$0.314982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$1 469.67</w:t>
            </w:r>
          </w:p>
        </w:tc>
        <w:tc>
          <w:tcPr>
            <w:tcW w:type="dxa" w:w="1700"/>
          </w:tcPr>
          <w:p>
            <w:pPr>
              <w:jc w:val="center"/>
            </w:pPr>
            <w:r>
              <w:rPr>
                <w:rFonts w:ascii="Calibri" w:hAnsi="Calibri"/>
                <w:b w:val="0"/>
                <w:i w:val="0"/>
                <w:color w:val="1E7D32"/>
                <w:sz w:val="16"/>
              </w:rPr>
              <w:t>$2 140.24  (+46%)</w:t>
            </w:r>
          </w:p>
        </w:tc>
        <w:tc>
          <w:tcPr>
            <w:tcW w:type="dxa" w:w="1600"/>
          </w:tcPr>
          <w:p>
            <w:pPr>
              <w:jc w:val="center"/>
            </w:pPr>
            <w:r>
              <w:rPr>
                <w:rFonts w:ascii="Calibri" w:hAnsi="Calibri"/>
                <w:b w:val="0"/>
                <w:i w:val="0"/>
                <w:color w:val="C62828"/>
                <w:sz w:val="16"/>
              </w:rPr>
              <w:t>$1 143.91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$1.0316</w:t>
            </w:r>
          </w:p>
        </w:tc>
        <w:tc>
          <w:tcPr>
            <w:tcW w:type="dxa" w:w="1700"/>
            <w:shd w:val="clear" w:color="auto" w:fill="F2F5FB"/>
          </w:tcPr>
          <w:p>
            <w:pPr>
              <w:jc w:val="center"/>
            </w:pPr>
            <w:r>
              <w:rPr>
                <w:rFonts w:ascii="Calibri" w:hAnsi="Calibri"/>
                <w:b w:val="0"/>
                <w:i w:val="0"/>
                <w:color w:val="1E7D32"/>
                <w:sz w:val="16"/>
              </w:rPr>
              <w:t>$1.1126  (+8%)</w:t>
            </w:r>
          </w:p>
        </w:tc>
        <w:tc>
          <w:tcPr>
            <w:tcW w:type="dxa" w:w="1600"/>
            <w:shd w:val="clear" w:color="auto" w:fill="F2F5FB"/>
          </w:tcPr>
          <w:p>
            <w:pPr>
              <w:jc w:val="center"/>
            </w:pPr>
            <w:r>
              <w:rPr>
                <w:rFonts w:ascii="Calibri" w:hAnsi="Calibri"/>
                <w:b w:val="0"/>
                <w:i w:val="0"/>
                <w:color w:val="C62828"/>
                <w:sz w:val="16"/>
              </w:rPr>
              <w:t>$0.980907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$92.1480</w:t>
            </w:r>
          </w:p>
        </w:tc>
        <w:tc>
          <w:tcPr>
            <w:tcW w:type="dxa" w:w="1700"/>
          </w:tcPr>
          <w:p>
            <w:pPr>
              <w:jc w:val="center"/>
            </w:pPr>
            <w:r>
              <w:rPr>
                <w:rFonts w:ascii="Calibri" w:hAnsi="Calibri"/>
                <w:b w:val="0"/>
                <w:i w:val="0"/>
                <w:color w:val="1E7D32"/>
                <w:sz w:val="16"/>
              </w:rPr>
              <w:t>$127.0886  (+38%)</w:t>
            </w:r>
          </w:p>
        </w:tc>
        <w:tc>
          <w:tcPr>
            <w:tcW w:type="dxa" w:w="1600"/>
          </w:tcPr>
          <w:p>
            <w:pPr>
              <w:jc w:val="center"/>
            </w:pPr>
            <w:r>
              <w:rPr>
                <w:rFonts w:ascii="Calibri" w:hAnsi="Calibri"/>
                <w:b w:val="0"/>
                <w:i w:val="0"/>
                <w:color w:val="C62828"/>
                <w:sz w:val="16"/>
              </w:rPr>
              <w:t>$74.3713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$0.087700</w:t>
            </w:r>
          </w:p>
        </w:tc>
        <w:tc>
          <w:tcPr>
            <w:tcW w:type="dxa" w:w="1700"/>
            <w:shd w:val="clear" w:color="auto" w:fill="F2F5FB"/>
          </w:tcPr>
          <w:p>
            <w:pPr>
              <w:jc w:val="center"/>
            </w:pPr>
            <w:r>
              <w:rPr>
                <w:rFonts w:ascii="Calibri" w:hAnsi="Calibri"/>
                <w:b w:val="0"/>
                <w:i w:val="0"/>
                <w:color w:val="1E7D32"/>
                <w:sz w:val="16"/>
              </w:rPr>
              <w:t>$0.109188  (+25%)</w:t>
            </w:r>
          </w:p>
        </w:tc>
        <w:tc>
          <w:tcPr>
            <w:tcW w:type="dxa" w:w="1600"/>
            <w:shd w:val="clear" w:color="auto" w:fill="F2F5FB"/>
          </w:tcPr>
          <w:p>
            <w:pPr>
              <w:jc w:val="center"/>
            </w:pPr>
            <w:r>
              <w:rPr>
                <w:rFonts w:ascii="Calibri" w:hAnsi="Calibri"/>
                <w:b w:val="0"/>
                <w:i w:val="0"/>
                <w:color w:val="C62828"/>
                <w:sz w:val="16"/>
              </w:rPr>
              <w:t>$0.075779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$546.6795</w:t>
            </w:r>
          </w:p>
        </w:tc>
        <w:tc>
          <w:tcPr>
            <w:tcW w:type="dxa" w:w="1700"/>
          </w:tcPr>
          <w:p>
            <w:pPr>
              <w:jc w:val="center"/>
            </w:pPr>
            <w:r>
              <w:rPr>
                <w:rFonts w:ascii="Calibri" w:hAnsi="Calibri"/>
                <w:b w:val="0"/>
                <w:i w:val="0"/>
                <w:color w:val="1E7D32"/>
                <w:sz w:val="16"/>
              </w:rPr>
              <w:t>$724.2870  (+32%)</w:t>
            </w:r>
          </w:p>
        </w:tc>
        <w:tc>
          <w:tcPr>
            <w:tcW w:type="dxa" w:w="1600"/>
          </w:tcPr>
          <w:p>
            <w:pPr>
              <w:jc w:val="center"/>
            </w:pPr>
            <w:r>
              <w:rPr>
                <w:rFonts w:ascii="Calibri" w:hAnsi="Calibri"/>
                <w:b w:val="0"/>
                <w:i w:val="0"/>
                <w:color w:val="C62828"/>
                <w:sz w:val="16"/>
              </w:rPr>
              <w:t>$453.1906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$0.013741</w:t>
            </w:r>
          </w:p>
        </w:tc>
        <w:tc>
          <w:tcPr>
            <w:tcW w:type="dxa" w:w="1700"/>
            <w:shd w:val="clear" w:color="auto" w:fill="F2F5FB"/>
          </w:tcPr>
          <w:p>
            <w:pPr>
              <w:jc w:val="center"/>
            </w:pPr>
            <w:r>
              <w:rPr>
                <w:rFonts w:ascii="Calibri" w:hAnsi="Calibri"/>
                <w:b w:val="0"/>
                <w:i w:val="0"/>
                <w:color w:val="1E7D32"/>
                <w:sz w:val="16"/>
              </w:rPr>
              <w:t>$0.018686  (+36%)</w:t>
            </w:r>
          </w:p>
        </w:tc>
        <w:tc>
          <w:tcPr>
            <w:tcW w:type="dxa" w:w="1600"/>
            <w:shd w:val="clear" w:color="auto" w:fill="F2F5FB"/>
          </w:tcPr>
          <w:p>
            <w:pPr>
              <w:jc w:val="center"/>
            </w:pPr>
            <w:r>
              <w:rPr>
                <w:rFonts w:ascii="Calibri" w:hAnsi="Calibri"/>
                <w:b w:val="0"/>
                <w:i w:val="0"/>
                <w:color w:val="C62828"/>
                <w:sz w:val="16"/>
              </w:rPr>
              <w:t>$0.011195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$82.8671</w:t>
            </w:r>
          </w:p>
        </w:tc>
        <w:tc>
          <w:tcPr>
            <w:tcW w:type="dxa" w:w="1700"/>
          </w:tcPr>
          <w:p>
            <w:pPr>
              <w:jc w:val="center"/>
            </w:pPr>
            <w:r>
              <w:rPr>
                <w:rFonts w:ascii="Calibri" w:hAnsi="Calibri"/>
                <w:b w:val="0"/>
                <w:i w:val="0"/>
                <w:color w:val="1E7D32"/>
                <w:sz w:val="16"/>
              </w:rPr>
              <w:t>$106.1566  (+28%)</w:t>
            </w:r>
          </w:p>
        </w:tc>
        <w:tc>
          <w:tcPr>
            <w:tcW w:type="dxa" w:w="1600"/>
          </w:tcPr>
          <w:p>
            <w:pPr>
              <w:jc w:val="center"/>
            </w:pPr>
            <w:r>
              <w:rPr>
                <w:rFonts w:ascii="Calibri" w:hAnsi="Calibri"/>
                <w:b w:val="0"/>
                <w:i w:val="0"/>
                <w:color w:val="C62828"/>
                <w:sz w:val="16"/>
              </w:rPr>
              <w:t>$70.2542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$12.4166</w:t>
            </w:r>
          </w:p>
        </w:tc>
        <w:tc>
          <w:tcPr>
            <w:tcW w:type="dxa" w:w="1700"/>
            <w:shd w:val="clear" w:color="auto" w:fill="F2F5FB"/>
          </w:tcPr>
          <w:p>
            <w:pPr>
              <w:jc w:val="center"/>
            </w:pPr>
            <w:r>
              <w:rPr>
                <w:rFonts w:ascii="Calibri" w:hAnsi="Calibri"/>
                <w:b w:val="0"/>
                <w:i w:val="0"/>
                <w:color w:val="1E7D32"/>
                <w:sz w:val="16"/>
              </w:rPr>
              <w:t>$15.9297  (+28%)</w:t>
            </w:r>
          </w:p>
        </w:tc>
        <w:tc>
          <w:tcPr>
            <w:tcW w:type="dxa" w:w="1600"/>
            <w:shd w:val="clear" w:color="auto" w:fill="F2F5FB"/>
          </w:tcPr>
          <w:p>
            <w:pPr>
              <w:jc w:val="center"/>
            </w:pPr>
            <w:r>
              <w:rPr>
                <w:rFonts w:ascii="Calibri" w:hAnsi="Calibri"/>
                <w:b w:val="0"/>
                <w:i w:val="0"/>
                <w:color w:val="C62828"/>
                <w:sz w:val="16"/>
              </w:rPr>
              <w:t>$10.5164  (-15%)</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$0.227777</w:t>
            </w:r>
          </w:p>
        </w:tc>
        <w:tc>
          <w:tcPr>
            <w:tcW w:type="dxa" w:w="1700"/>
          </w:tcPr>
          <w:p>
            <w:pPr>
              <w:jc w:val="center"/>
            </w:pPr>
            <w:r>
              <w:rPr>
                <w:rFonts w:ascii="Calibri" w:hAnsi="Calibri"/>
                <w:b w:val="0"/>
                <w:i w:val="0"/>
                <w:color w:val="1E7D32"/>
                <w:sz w:val="16"/>
              </w:rPr>
              <w:t>$0.302700  (+33%)</w:t>
            </w:r>
          </w:p>
        </w:tc>
        <w:tc>
          <w:tcPr>
            <w:tcW w:type="dxa" w:w="1600"/>
          </w:tcPr>
          <w:p>
            <w:pPr>
              <w:jc w:val="center"/>
            </w:pPr>
            <w:r>
              <w:rPr>
                <w:rFonts w:ascii="Calibri" w:hAnsi="Calibri"/>
                <w:b w:val="0"/>
                <w:i w:val="0"/>
                <w:color w:val="C62828"/>
                <w:sz w:val="16"/>
              </w:rPr>
              <w:t>$0.188441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$8.9040</w:t>
            </w:r>
          </w:p>
        </w:tc>
        <w:tc>
          <w:tcPr>
            <w:tcW w:type="dxa" w:w="1700"/>
            <w:shd w:val="clear" w:color="auto" w:fill="F2F5FB"/>
          </w:tcPr>
          <w:p>
            <w:pPr>
              <w:jc w:val="center"/>
            </w:pPr>
            <w:r>
              <w:rPr>
                <w:rFonts w:ascii="Calibri" w:hAnsi="Calibri"/>
                <w:b w:val="0"/>
                <w:i w:val="0"/>
                <w:color w:val="1E7D32"/>
                <w:sz w:val="16"/>
              </w:rPr>
              <w:t>$10.1664  (+14%)</w:t>
            </w:r>
          </w:p>
        </w:tc>
        <w:tc>
          <w:tcPr>
            <w:tcW w:type="dxa" w:w="1600"/>
            <w:shd w:val="clear" w:color="auto" w:fill="F2F5FB"/>
          </w:tcPr>
          <w:p>
            <w:pPr>
              <w:jc w:val="center"/>
            </w:pPr>
            <w:r>
              <w:rPr>
                <w:rFonts w:ascii="Calibri" w:hAnsi="Calibri"/>
                <w:b w:val="0"/>
                <w:i w:val="0"/>
                <w:color w:val="C62828"/>
                <w:sz w:val="16"/>
              </w:rPr>
              <w:t>$8.1506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$0.196134</w:t>
            </w:r>
          </w:p>
        </w:tc>
        <w:tc>
          <w:tcPr>
            <w:tcW w:type="dxa" w:w="1700"/>
          </w:tcPr>
          <w:p>
            <w:pPr>
              <w:jc w:val="center"/>
            </w:pPr>
            <w:r>
              <w:rPr>
                <w:rFonts w:ascii="Calibri" w:hAnsi="Calibri"/>
                <w:b w:val="0"/>
                <w:i w:val="0"/>
                <w:color w:val="1E7D32"/>
                <w:sz w:val="16"/>
              </w:rPr>
              <w:t>$0.273305  (+39%)</w:t>
            </w:r>
          </w:p>
        </w:tc>
        <w:tc>
          <w:tcPr>
            <w:tcW w:type="dxa" w:w="1600"/>
          </w:tcPr>
          <w:p>
            <w:pPr>
              <w:jc w:val="center"/>
            </w:pPr>
            <w:r>
              <w:rPr>
                <w:rFonts w:ascii="Calibri" w:hAnsi="Calibri"/>
                <w:b w:val="0"/>
                <w:i w:val="0"/>
                <w:color w:val="C62828"/>
                <w:sz w:val="16"/>
              </w:rPr>
              <w:t>$0.157213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$3.5865</w:t>
            </w:r>
          </w:p>
        </w:tc>
        <w:tc>
          <w:tcPr>
            <w:tcW w:type="dxa" w:w="1700"/>
            <w:shd w:val="clear" w:color="auto" w:fill="F2F5FB"/>
          </w:tcPr>
          <w:p>
            <w:pPr>
              <w:jc w:val="center"/>
            </w:pPr>
            <w:r>
              <w:rPr>
                <w:rFonts w:ascii="Calibri" w:hAnsi="Calibri"/>
                <w:b w:val="0"/>
                <w:i w:val="0"/>
                <w:color w:val="1E7D32"/>
                <w:sz w:val="16"/>
              </w:rPr>
              <w:t>$5.1385  (+43%)</w:t>
            </w:r>
          </w:p>
        </w:tc>
        <w:tc>
          <w:tcPr>
            <w:tcW w:type="dxa" w:w="1600"/>
            <w:shd w:val="clear" w:color="auto" w:fill="F2F5FB"/>
          </w:tcPr>
          <w:p>
            <w:pPr>
              <w:jc w:val="center"/>
            </w:pPr>
            <w:r>
              <w:rPr>
                <w:rFonts w:ascii="Calibri" w:hAnsi="Calibri"/>
                <w:b w:val="0"/>
                <w:i w:val="0"/>
                <w:color w:val="C62828"/>
                <w:sz w:val="16"/>
              </w:rPr>
              <w:t>$2.8221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$8.6661</w:t>
            </w:r>
          </w:p>
        </w:tc>
        <w:tc>
          <w:tcPr>
            <w:tcW w:type="dxa" w:w="1700"/>
          </w:tcPr>
          <w:p>
            <w:pPr>
              <w:jc w:val="center"/>
            </w:pPr>
            <w:r>
              <w:rPr>
                <w:rFonts w:ascii="Calibri" w:hAnsi="Calibri"/>
                <w:b w:val="0"/>
                <w:i w:val="0"/>
                <w:color w:val="1E7D32"/>
                <w:sz w:val="16"/>
              </w:rPr>
              <w:t>$11.7695  (+36%)</w:t>
            </w:r>
          </w:p>
        </w:tc>
        <w:tc>
          <w:tcPr>
            <w:tcW w:type="dxa" w:w="1600"/>
          </w:tcPr>
          <w:p>
            <w:pPr>
              <w:jc w:val="center"/>
            </w:pPr>
            <w:r>
              <w:rPr>
                <w:rFonts w:ascii="Calibri" w:hAnsi="Calibri"/>
                <w:b w:val="0"/>
                <w:i w:val="0"/>
                <w:color w:val="C62828"/>
                <w:sz w:val="16"/>
              </w:rPr>
              <w:t>$7.0664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$254.9111</w:t>
            </w:r>
          </w:p>
        </w:tc>
        <w:tc>
          <w:tcPr>
            <w:tcW w:type="dxa" w:w="1700"/>
            <w:shd w:val="clear" w:color="auto" w:fill="F2F5FB"/>
          </w:tcPr>
          <w:p>
            <w:pPr>
              <w:jc w:val="center"/>
            </w:pPr>
            <w:r>
              <w:rPr>
                <w:rFonts w:ascii="Calibri" w:hAnsi="Calibri"/>
                <w:b w:val="0"/>
                <w:i w:val="0"/>
                <w:color w:val="1E7D32"/>
                <w:sz w:val="16"/>
              </w:rPr>
              <w:t>$346.3274  (+36%)</w:t>
            </w:r>
          </w:p>
        </w:tc>
        <w:tc>
          <w:tcPr>
            <w:tcW w:type="dxa" w:w="1600"/>
            <w:shd w:val="clear" w:color="auto" w:fill="F2F5FB"/>
          </w:tcPr>
          <w:p>
            <w:pPr>
              <w:jc w:val="center"/>
            </w:pPr>
            <w:r>
              <w:rPr>
                <w:rFonts w:ascii="Calibri" w:hAnsi="Calibri"/>
                <w:b w:val="0"/>
                <w:i w:val="0"/>
                <w:color w:val="C62828"/>
                <w:sz w:val="16"/>
              </w:rPr>
              <w:t>$207.8053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1.94</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$81 236.41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+44.9%  ·  drawdown vs plus-haut -34.9%  ·  momentum 7j/30j/90j +5.1% / +11.3% / +28.4%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~$81 236.41  ·  </w:t>
      </w:r>
      <w:r>
        <w:rPr>
          <w:rFonts w:ascii="Calibri" w:hAnsi="Calibri"/>
          <w:b w:val="0"/>
          <w:i w:val="0"/>
          <w:color w:val="1E7D32"/>
          <w:sz w:val="18"/>
        </w:rPr>
        <w:t>vente ↑ $99 186.28 (+22%)</w:t>
      </w:r>
      <w:r>
        <w:rPr>
          <w:rFonts w:ascii="Calibri" w:hAnsi="Calibri"/>
          <w:b w:val="0"/>
          <w:i w:val="0"/>
          <w:sz w:val="18"/>
        </w:rPr>
        <w:t xml:space="preserve">  ·  </w:t>
      </w:r>
      <w:r>
        <w:rPr>
          <w:rFonts w:ascii="Calibri" w:hAnsi="Calibri"/>
          <w:b w:val="0"/>
          <w:i w:val="0"/>
          <w:color w:val="C62828"/>
          <w:sz w:val="18"/>
        </w:rPr>
        <w:t>vente ↓ $71 113.19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$2 632.01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+1.9%  ·  volatilité annualisée +64.2%  ·  drawdown vs plus-haut -43.9%  ·  momentum 7j/30j/90j +4.2% / +13.1% / +54.4%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0.594)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~$2 632.01  ·  </w:t>
      </w:r>
      <w:r>
        <w:rPr>
          <w:rFonts w:ascii="Calibri" w:hAnsi="Calibri"/>
          <w:b w:val="0"/>
          <w:i w:val="0"/>
          <w:color w:val="1E7D32"/>
          <w:sz w:val="18"/>
        </w:rPr>
        <w:t>vente ↑ $3 353.09 (+27%)</w:t>
      </w:r>
      <w:r>
        <w:rPr>
          <w:rFonts w:ascii="Calibri" w:hAnsi="Calibri"/>
          <w:b w:val="0"/>
          <w:i w:val="0"/>
          <w:sz w:val="18"/>
        </w:rPr>
        <w:t xml:space="preserve">  ·  </w:t>
      </w:r>
      <w:r>
        <w:rPr>
          <w:rFonts w:ascii="Calibri" w:hAnsi="Calibri"/>
          <w:b w:val="0"/>
          <w:i w:val="0"/>
          <w:color w:val="C62828"/>
          <w:sz w:val="18"/>
        </w:rPr>
        <w:t>vente ↓ $2 239.66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$761.7625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+1.6%  ·  volatilité annualisée +52.4%  ·  drawdown vs plus-haut -41.8%  ·  momentum 7j/30j/90j +4.7% / +16.4% / +30.5%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~$761.7625  ·  </w:t>
      </w:r>
      <w:r>
        <w:rPr>
          <w:rFonts w:ascii="Calibri" w:hAnsi="Calibri"/>
          <w:b w:val="0"/>
          <w:i w:val="0"/>
          <w:color w:val="1E7D32"/>
          <w:sz w:val="18"/>
        </w:rPr>
        <w:t>vente ↑ $926.2633 (+22%)</w:t>
      </w:r>
      <w:r>
        <w:rPr>
          <w:rFonts w:ascii="Calibri" w:hAnsi="Calibri"/>
          <w:b w:val="0"/>
          <w:i w:val="0"/>
          <w:sz w:val="18"/>
        </w:rPr>
        <w:t xml:space="preserve">  ·  </w:t>
      </w:r>
      <w:r>
        <w:rPr>
          <w:rFonts w:ascii="Calibri" w:hAnsi="Calibri"/>
          <w:b w:val="0"/>
          <w:i w:val="0"/>
          <w:color w:val="C62828"/>
          <w:sz w:val="18"/>
        </w:rPr>
        <w:t>vente ↓ $668.6667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$1.4100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+66.9%  ·  drawdown vs plus-haut -53.7%  ·  momentum 7j/30j/90j +3.2% / +11.2% / +25.4%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~$1.4100  ·  </w:t>
      </w:r>
      <w:r>
        <w:rPr>
          <w:rFonts w:ascii="Calibri" w:hAnsi="Calibri"/>
          <w:b w:val="0"/>
          <w:i w:val="0"/>
          <w:color w:val="1E7D32"/>
          <w:sz w:val="18"/>
        </w:rPr>
        <w:t>vente ↑ $1.7946 (+27%)</w:t>
      </w:r>
      <w:r>
        <w:rPr>
          <w:rFonts w:ascii="Calibri" w:hAnsi="Calibri"/>
          <w:b w:val="0"/>
          <w:i w:val="0"/>
          <w:sz w:val="18"/>
        </w:rPr>
        <w:t xml:space="preserve">  ·  </w:t>
      </w:r>
      <w:r>
        <w:rPr>
          <w:rFonts w:ascii="Calibri" w:hAnsi="Calibri"/>
          <w:b w:val="0"/>
          <w:i w:val="0"/>
          <w:color w:val="C62828"/>
          <w:sz w:val="18"/>
        </w:rPr>
        <w:t>vente ↓ $1.2005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$111.0153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+2.8%  ·  volatilité annualisée +68.3%  ·  drawdown vs plus-haut -52.7%  ·  momentum 7j/30j/90j +9.1% / +26.7% / +53.3%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~$111.0153  ·  </w:t>
      </w:r>
      <w:r>
        <w:rPr>
          <w:rFonts w:ascii="Calibri" w:hAnsi="Calibri"/>
          <w:b w:val="0"/>
          <w:i w:val="0"/>
          <w:color w:val="1E7D32"/>
          <w:sz w:val="18"/>
        </w:rPr>
        <w:t>vente ↑ $141.7698 (+28%)</w:t>
      </w:r>
      <w:r>
        <w:rPr>
          <w:rFonts w:ascii="Calibri" w:hAnsi="Calibri"/>
          <w:b w:val="0"/>
          <w:i w:val="0"/>
          <w:sz w:val="18"/>
        </w:rPr>
        <w:t xml:space="preserve">  ·  </w:t>
      </w:r>
      <w:r>
        <w:rPr>
          <w:rFonts w:ascii="Calibri" w:hAnsi="Calibri"/>
          <w:b w:val="0"/>
          <w:i w:val="0"/>
          <w:color w:val="C62828"/>
          <w:sz w:val="18"/>
        </w:rPr>
        <w:t>vente ↓ $94.3153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$0.339764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+0.7%  ·  volatilité annualisée +25.4%  ·  drawdown vs plus-haut -9.4%  ·  momentum 7j/30j/90j -0.0% / +0.7% / +3.8%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~$0.339764  ·  </w:t>
      </w:r>
      <w:r>
        <w:rPr>
          <w:rFonts w:ascii="Calibri" w:hAnsi="Calibri"/>
          <w:b w:val="0"/>
          <w:i w:val="0"/>
          <w:color w:val="1E7D32"/>
          <w:sz w:val="18"/>
        </w:rPr>
        <w:t>vente ↑ $0.380640 (+12%)</w:t>
      </w:r>
      <w:r>
        <w:rPr>
          <w:rFonts w:ascii="Calibri" w:hAnsi="Calibri"/>
          <w:b w:val="0"/>
          <w:i w:val="0"/>
          <w:sz w:val="18"/>
        </w:rPr>
        <w:t xml:space="preserve">  ·  </w:t>
      </w:r>
      <w:r>
        <w:rPr>
          <w:rFonts w:ascii="Calibri" w:hAnsi="Calibri"/>
          <w:b w:val="0"/>
          <w:i w:val="0"/>
          <w:color w:val="C62828"/>
          <w:sz w:val="18"/>
        </w:rPr>
        <w:t>vente ↓ $0.314982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$1 469.67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+157.5%  ·  drawdown vs plus-haut -5.9%  ·  momentum 7j/30j/90j +31.0% / +158.3% / +238.6%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0.508)  ·  </w:t>
      </w:r>
      <w:r>
        <w:rPr>
          <w:rFonts w:ascii="Calibri" w:hAnsi="Calibri"/>
          <w:b w:val="0"/>
          <w:i w:val="0"/>
          <w:color w:val="C62828"/>
          <w:sz w:val="18"/>
        </w:rPr>
        <w:t>Risque rouge (vol 1.58)</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~$1 469.67  ·  </w:t>
      </w:r>
      <w:r>
        <w:rPr>
          <w:rFonts w:ascii="Calibri" w:hAnsi="Calibri"/>
          <w:b w:val="0"/>
          <w:i w:val="0"/>
          <w:color w:val="1E7D32"/>
          <w:sz w:val="18"/>
        </w:rPr>
        <w:t>vente ↑ $2 140.24 (+46%)</w:t>
      </w:r>
      <w:r>
        <w:rPr>
          <w:rFonts w:ascii="Calibri" w:hAnsi="Calibri"/>
          <w:b w:val="0"/>
          <w:i w:val="0"/>
          <w:sz w:val="18"/>
        </w:rPr>
        <w:t xml:space="preserve">  ·  </w:t>
      </w:r>
      <w:r>
        <w:rPr>
          <w:rFonts w:ascii="Calibri" w:hAnsi="Calibri"/>
          <w:b w:val="0"/>
          <w:i w:val="0"/>
          <w:color w:val="C62828"/>
          <w:sz w:val="18"/>
        </w:rPr>
        <w:t>vente ↓ $1 143.91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$1.0316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+1.7%  ·  volatilité annualisée +247.0%  ·  drawdown vs plus-haut -1.7%  ·  momentum 7j/30j/90j -0.0% / +3.0% / +2.6%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~$1.0316  ·  </w:t>
      </w:r>
      <w:r>
        <w:rPr>
          <w:rFonts w:ascii="Calibri" w:hAnsi="Calibri"/>
          <w:b w:val="0"/>
          <w:i w:val="0"/>
          <w:color w:val="1E7D32"/>
          <w:sz w:val="18"/>
        </w:rPr>
        <w:t>vente ↑ $1.1126 (+8%)</w:t>
      </w:r>
      <w:r>
        <w:rPr>
          <w:rFonts w:ascii="Calibri" w:hAnsi="Calibri"/>
          <w:b w:val="0"/>
          <w:i w:val="0"/>
          <w:sz w:val="18"/>
        </w:rPr>
        <w:t xml:space="preserve">  ·  </w:t>
      </w:r>
      <w:r>
        <w:rPr>
          <w:rFonts w:ascii="Calibri" w:hAnsi="Calibri"/>
          <w:b w:val="0"/>
          <w:i w:val="0"/>
          <w:color w:val="C62828"/>
          <w:sz w:val="18"/>
        </w:rPr>
        <w:t>vente ↓ $0.980907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$92.1480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+93.3%  ·  drawdown vs plus-haut -0.4%  ·  momentum 7j/30j/90j +15.7% / +25.1% / +37.6%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0.562)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~$92.1480  ·  </w:t>
      </w:r>
      <w:r>
        <w:rPr>
          <w:rFonts w:ascii="Calibri" w:hAnsi="Calibri"/>
          <w:b w:val="0"/>
          <w:i w:val="0"/>
          <w:color w:val="1E7D32"/>
          <w:sz w:val="18"/>
        </w:rPr>
        <w:t>vente ↑ $127.0886 (+38%)</w:t>
      </w:r>
      <w:r>
        <w:rPr>
          <w:rFonts w:ascii="Calibri" w:hAnsi="Calibri"/>
          <w:b w:val="0"/>
          <w:i w:val="0"/>
          <w:sz w:val="18"/>
        </w:rPr>
        <w:t xml:space="preserve">  ·  </w:t>
      </w:r>
      <w:r>
        <w:rPr>
          <w:rFonts w:ascii="Calibri" w:hAnsi="Calibri"/>
          <w:b w:val="0"/>
          <w:i w:val="0"/>
          <w:color w:val="C62828"/>
          <w:sz w:val="18"/>
        </w:rPr>
        <w:t>vente ↓ $74.3713 (-19%)</w:t>
      </w:r>
      <w:r>
        <w:rPr>
          <w:rFonts w:ascii="Calibri" w:hAnsi="Calibri"/>
          <w:b w:val="0"/>
          <w:i w:val="0"/>
          <w:sz w:val="18"/>
        </w:rPr>
        <w:t xml:space="preserve">  ·  détention ~23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$0.087700   |   Composite -0.67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+2.4%  ·  volatilité annualisée +71.6%  ·  drawdown vs plus-haut -67.1%  ·  momentum 7j/30j/90j +3.4% / +9.0% / +6.7%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~$0.087700  ·  </w:t>
      </w:r>
      <w:r>
        <w:rPr>
          <w:rFonts w:ascii="Calibri" w:hAnsi="Calibri"/>
          <w:b w:val="0"/>
          <w:i w:val="0"/>
          <w:color w:val="1E7D32"/>
          <w:sz w:val="18"/>
        </w:rPr>
        <w:t>vente ↑ $0.109188 (+25%)</w:t>
      </w:r>
      <w:r>
        <w:rPr>
          <w:rFonts w:ascii="Calibri" w:hAnsi="Calibri"/>
          <w:b w:val="0"/>
          <w:i w:val="0"/>
          <w:sz w:val="18"/>
        </w:rPr>
        <w:t xml:space="preserve">  ·  </w:t>
      </w:r>
      <w:r>
        <w:rPr>
          <w:rFonts w:ascii="Calibri" w:hAnsi="Calibri"/>
          <w:b w:val="0"/>
          <w:i w:val="0"/>
          <w:color w:val="C62828"/>
          <w:sz w:val="18"/>
        </w:rPr>
        <w:t>vente ↓ $0.075779 (-14%)</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$546.6795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+85.2%  ·  drawdown vs plus-haut -22.5%  ·  momentum 7j/30j/90j +1.5% / +33.3% / +70.7%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0.643)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~$546.6795  ·  </w:t>
      </w:r>
      <w:r>
        <w:rPr>
          <w:rFonts w:ascii="Calibri" w:hAnsi="Calibri"/>
          <w:b w:val="0"/>
          <w:i w:val="0"/>
          <w:color w:val="1E7D32"/>
          <w:sz w:val="18"/>
        </w:rPr>
        <w:t>vente ↑ $724.2870 (+32%)</w:t>
      </w:r>
      <w:r>
        <w:rPr>
          <w:rFonts w:ascii="Calibri" w:hAnsi="Calibri"/>
          <w:b w:val="0"/>
          <w:i w:val="0"/>
          <w:sz w:val="18"/>
        </w:rPr>
        <w:t xml:space="preserve">  ·  </w:t>
      </w:r>
      <w:r>
        <w:rPr>
          <w:rFonts w:ascii="Calibri" w:hAnsi="Calibri"/>
          <w:b w:val="0"/>
          <w:i w:val="0"/>
          <w:color w:val="C62828"/>
          <w:sz w:val="18"/>
        </w:rPr>
        <w:t>vente ↓ $453.1906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$0.013741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+119.0%  ·  drawdown vs plus-haut -24.3%  ·  momentum 7j/30j/90j -12.7% / -0.9% / -4.2%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rouge (AUC 0.595)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~$0.013741  ·  </w:t>
      </w:r>
      <w:r>
        <w:rPr>
          <w:rFonts w:ascii="Calibri" w:hAnsi="Calibri"/>
          <w:b w:val="0"/>
          <w:i w:val="0"/>
          <w:color w:val="1E7D32"/>
          <w:sz w:val="18"/>
        </w:rPr>
        <w:t>vente ↑ $0.018686 (+36%)</w:t>
      </w:r>
      <w:r>
        <w:rPr>
          <w:rFonts w:ascii="Calibri" w:hAnsi="Calibri"/>
          <w:b w:val="0"/>
          <w:i w:val="0"/>
          <w:sz w:val="18"/>
        </w:rPr>
        <w:t xml:space="preserve">  ·  </w:t>
      </w:r>
      <w:r>
        <w:rPr>
          <w:rFonts w:ascii="Calibri" w:hAnsi="Calibri"/>
          <w:b w:val="0"/>
          <w:i w:val="0"/>
          <w:color w:val="C62828"/>
          <w:sz w:val="18"/>
        </w:rPr>
        <w:t>vente ↓ $0.011195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WBT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$82.8671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+54.3%  ·  drawdown vs plus-haut -0.2%  ·  momentum 7j/30j/90j +3.2% / +36.0% / +59.7%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~$82.8671  ·  </w:t>
      </w:r>
      <w:r>
        <w:rPr>
          <w:rFonts w:ascii="Calibri" w:hAnsi="Calibri"/>
          <w:b w:val="0"/>
          <w:i w:val="0"/>
          <w:color w:val="1E7D32"/>
          <w:sz w:val="18"/>
        </w:rPr>
        <w:t>vente ↑ $106.1566 (+28%)</w:t>
      </w:r>
      <w:r>
        <w:rPr>
          <w:rFonts w:ascii="Calibri" w:hAnsi="Calibri"/>
          <w:b w:val="0"/>
          <w:i w:val="0"/>
          <w:sz w:val="18"/>
        </w:rPr>
        <w:t xml:space="preserve">  ·  </w:t>
      </w:r>
      <w:r>
        <w:rPr>
          <w:rFonts w:ascii="Calibri" w:hAnsi="Calibri"/>
          <w:b w:val="0"/>
          <w:i w:val="0"/>
          <w:color w:val="C62828"/>
          <w:sz w:val="18"/>
        </w:rPr>
        <w:t>vente ↓ $70.2542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$12.4166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+2.9%  ·  volatilité annualisée +75.6%  ·  drawdown vs plus-haut -47.1%  ·  momentum 7j/30j/90j +8.0% / +16.2% / +59.7%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~$12.4166  ·  </w:t>
      </w:r>
      <w:r>
        <w:rPr>
          <w:rFonts w:ascii="Calibri" w:hAnsi="Calibri"/>
          <w:b w:val="0"/>
          <w:i w:val="0"/>
          <w:color w:val="1E7D32"/>
          <w:sz w:val="18"/>
        </w:rPr>
        <w:t>vente ↑ $15.9297 (+28%)</w:t>
      </w:r>
      <w:r>
        <w:rPr>
          <w:rFonts w:ascii="Calibri" w:hAnsi="Calibri"/>
          <w:b w:val="0"/>
          <w:i w:val="0"/>
          <w:sz w:val="18"/>
        </w:rPr>
        <w:t xml:space="preserve">  ·  </w:t>
      </w:r>
      <w:r>
        <w:rPr>
          <w:rFonts w:ascii="Calibri" w:hAnsi="Calibri"/>
          <w:b w:val="0"/>
          <w:i w:val="0"/>
          <w:color w:val="C62828"/>
          <w:sz w:val="18"/>
        </w:rPr>
        <w:t>vente ↓ $10.5164 (-15%)</w:t>
      </w:r>
      <w:r>
        <w:rPr>
          <w:rFonts w:ascii="Calibri" w:hAnsi="Calibri"/>
          <w:b w:val="0"/>
          <w:i w:val="0"/>
          <w:sz w:val="18"/>
        </w:rPr>
        <w:t xml:space="preserve">  ·  détention ~28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$0.227777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+81.9%  ·  drawdown vs plus-haut -74.0%  ·  momentum 7j/30j/90j +9.9% / +14.5% / +45.5%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0.778)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~$0.227777  ·  </w:t>
      </w:r>
      <w:r>
        <w:rPr>
          <w:rFonts w:ascii="Calibri" w:hAnsi="Calibri"/>
          <w:b w:val="0"/>
          <w:i w:val="0"/>
          <w:color w:val="1E7D32"/>
          <w:sz w:val="18"/>
        </w:rPr>
        <w:t>vente ↑ $0.302700 (+33%)</w:t>
      </w:r>
      <w:r>
        <w:rPr>
          <w:rFonts w:ascii="Calibri" w:hAnsi="Calibri"/>
          <w:b w:val="0"/>
          <w:i w:val="0"/>
          <w:sz w:val="18"/>
        </w:rPr>
        <w:t xml:space="preserve">  ·  </w:t>
      </w:r>
      <w:r>
        <w:rPr>
          <w:rFonts w:ascii="Calibri" w:hAnsi="Calibri"/>
          <w:b w:val="0"/>
          <w:i w:val="0"/>
          <w:color w:val="C62828"/>
          <w:sz w:val="18"/>
        </w:rPr>
        <w:t>vente ↓ $0.188441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$8.9040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+0.9%  ·  volatilité annualisée +54.6%  ·  drawdown vs plus-haut -15.6%  ·  momentum 7j/30j/90j -2.6% / -4.0% / -7.2%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0.62)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~$8.9040  ·  </w:t>
      </w:r>
      <w:r>
        <w:rPr>
          <w:rFonts w:ascii="Calibri" w:hAnsi="Calibri"/>
          <w:b w:val="0"/>
          <w:i w:val="0"/>
          <w:color w:val="1E7D32"/>
          <w:sz w:val="18"/>
        </w:rPr>
        <w:t>vente ↑ $10.1664 (+14%)</w:t>
      </w:r>
      <w:r>
        <w:rPr>
          <w:rFonts w:ascii="Calibri" w:hAnsi="Calibri"/>
          <w:b w:val="0"/>
          <w:i w:val="0"/>
          <w:sz w:val="18"/>
        </w:rPr>
        <w:t xml:space="preserve">  ·  </w:t>
      </w:r>
      <w:r>
        <w:rPr>
          <w:rFonts w:ascii="Calibri" w:hAnsi="Calibri"/>
          <w:b w:val="0"/>
          <w:i w:val="0"/>
          <w:color w:val="C62828"/>
          <w:sz w:val="18"/>
        </w:rPr>
        <w:t>vente ↓ $8.1506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$0.196134   |   Composite +0.33   |   Indicateurs actifs :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+2.9%  ·  volatilité annualisée +79.3%  ·  drawdown vs plus-haut -52.2%  ·  momentum 7j/30j/90j +9.0% / +8.0%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~$0.196134  ·  </w:t>
      </w:r>
      <w:r>
        <w:rPr>
          <w:rFonts w:ascii="Calibri" w:hAnsi="Calibri"/>
          <w:b w:val="0"/>
          <w:i w:val="0"/>
          <w:color w:val="1E7D32"/>
          <w:sz w:val="18"/>
        </w:rPr>
        <w:t>vente ↑ $0.273305 (+39%)</w:t>
      </w:r>
      <w:r>
        <w:rPr>
          <w:rFonts w:ascii="Calibri" w:hAnsi="Calibri"/>
          <w:b w:val="0"/>
          <w:i w:val="0"/>
          <w:sz w:val="18"/>
        </w:rPr>
        <w:t xml:space="preserve">  ·  </w:t>
      </w:r>
      <w:r>
        <w:rPr>
          <w:rFonts w:ascii="Calibri" w:hAnsi="Calibri"/>
          <w:b w:val="0"/>
          <w:i w:val="0"/>
          <w:color w:val="C62828"/>
          <w:sz w:val="18"/>
        </w:rPr>
        <w:t>vente ↓ $0.157213 (-20%)</w:t>
      </w:r>
      <w:r>
        <w:rPr>
          <w:rFonts w:ascii="Calibri" w:hAnsi="Calibri"/>
          <w:b w:val="0"/>
          <w:i w:val="0"/>
          <w:sz w:val="18"/>
        </w:rPr>
        <w:t xml:space="preserve">  ·  détention ~26 j  ·  ratio G/P 1.98</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$3.5865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+101.9%  ·  drawdown vs plus-haut -4.7%  ·  momentum 7j/30j/90j +51.3% / +103.0% / +70.8%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~$3.5865  ·  </w:t>
      </w:r>
      <w:r>
        <w:rPr>
          <w:rFonts w:ascii="Calibri" w:hAnsi="Calibri"/>
          <w:b w:val="0"/>
          <w:i w:val="0"/>
          <w:color w:val="1E7D32"/>
          <w:sz w:val="18"/>
        </w:rPr>
        <w:t>vente ↑ $5.1385 (+43%)</w:t>
      </w:r>
      <w:r>
        <w:rPr>
          <w:rFonts w:ascii="Calibri" w:hAnsi="Calibri"/>
          <w:b w:val="0"/>
          <w:i w:val="0"/>
          <w:sz w:val="18"/>
        </w:rPr>
        <w:t xml:space="preserve">  ·  </w:t>
      </w:r>
      <w:r>
        <w:rPr>
          <w:rFonts w:ascii="Calibri" w:hAnsi="Calibri"/>
          <w:b w:val="0"/>
          <w:i w:val="0"/>
          <w:color w:val="C62828"/>
          <w:sz w:val="18"/>
        </w:rPr>
        <w:t>vente ↓ $2.8221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$8.6661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+100.2%  ·  drawdown vs plus-haut -7.9%  ·  momentum 7j/30j/90j +36.0% / +130.4% / +190.5%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~$8.6661  ·  </w:t>
      </w:r>
      <w:r>
        <w:rPr>
          <w:rFonts w:ascii="Calibri" w:hAnsi="Calibri"/>
          <w:b w:val="0"/>
          <w:i w:val="0"/>
          <w:color w:val="1E7D32"/>
          <w:sz w:val="18"/>
        </w:rPr>
        <w:t>vente ↑ $11.7695 (+36%)</w:t>
      </w:r>
      <w:r>
        <w:rPr>
          <w:rFonts w:ascii="Calibri" w:hAnsi="Calibri"/>
          <w:b w:val="0"/>
          <w:i w:val="0"/>
          <w:sz w:val="18"/>
        </w:rPr>
        <w:t xml:space="preserve">  ·  </w:t>
      </w:r>
      <w:r>
        <w:rPr>
          <w:rFonts w:ascii="Calibri" w:hAnsi="Calibri"/>
          <w:b w:val="0"/>
          <w:i w:val="0"/>
          <w:color w:val="C62828"/>
          <w:sz w:val="18"/>
        </w:rPr>
        <w:t>vente ↓ $7.0664 (-18%)</w:t>
      </w:r>
      <w:r>
        <w:rPr>
          <w:rFonts w:ascii="Calibri" w:hAnsi="Calibri"/>
          <w:b w:val="0"/>
          <w:i w:val="0"/>
          <w:sz w:val="18"/>
        </w:rPr>
        <w:t xml:space="preserve">  ·  détention ~21 j  ·  ratio G/P 1.94</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$254.9111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+2.8%  ·  volatilité annualisée +71.9%  ·  drawdown vs plus-haut -61.1%  ·  momentum 7j/30j/90j +12.6% / +14.3% / +30.9%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0.625)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~$254.9111  ·  </w:t>
      </w:r>
      <w:r>
        <w:rPr>
          <w:rFonts w:ascii="Calibri" w:hAnsi="Calibri"/>
          <w:b w:val="0"/>
          <w:i w:val="0"/>
          <w:color w:val="1E7D32"/>
          <w:sz w:val="18"/>
        </w:rPr>
        <w:t>vente ↑ $346.3274 (+36%)</w:t>
      </w:r>
      <w:r>
        <w:rPr>
          <w:rFonts w:ascii="Calibri" w:hAnsi="Calibri"/>
          <w:b w:val="0"/>
          <w:i w:val="0"/>
          <w:sz w:val="18"/>
        </w:rPr>
        <w:t xml:space="preserve">  ·  </w:t>
      </w:r>
      <w:r>
        <w:rPr>
          <w:rFonts w:ascii="Calibri" w:hAnsi="Calibri"/>
          <w:b w:val="0"/>
          <w:i w:val="0"/>
          <w:color w:val="C62828"/>
          <w:sz w:val="18"/>
        </w:rPr>
        <w:t>vente ↓ $207.8053 (-18%)</w:t>
      </w:r>
      <w:r>
        <w:rPr>
          <w:rFonts w:ascii="Calibri" w:hAnsi="Calibri"/>
          <w:b w:val="0"/>
          <w:i w:val="0"/>
          <w:sz w:val="18"/>
        </w:rPr>
        <w:t xml:space="preserve">  ·  détention ~29 j  ·  ratio G/P 1.94</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