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40"/>
      </w:tblGrid>
      <w:tr>
        <w:tc>
          <w:tcPr>
            <w:tcW w:type="dxa" w:w="10240"/>
            <w:shd w:val="clear" w:color="auto" w:fill="1F3864"/>
          </w:tcPr>
          <w:p>
            <w:r>
              <w:rPr>
                <w:rFonts w:ascii="Calibri" w:hAnsi="Calibri"/>
                <w:b/>
                <w:i w:val="0"/>
                <w:color w:val="FFFFFF"/>
                <w:sz w:val="44"/>
              </w:rPr>
              <w:t>NOTE CRYPTO QUOTIDIENNE</w:t>
            </w:r>
          </w:p>
        </w:tc>
      </w:tr>
      <w:tr>
        <w:tc>
          <w:tcPr>
            <w:tcW w:type="dxa" w:w="10240"/>
            <w:shd w:val="clear" w:color="auto" w:fill="1F3864"/>
          </w:tcPr>
          <w:p>
            <w:r>
              <w:rPr>
                <w:rFonts w:ascii="Calibri" w:hAnsi="Calibri"/>
                <w:b w:val="0"/>
                <w:i w:val="0"/>
                <w:color w:val="D9E1F2"/>
                <w:sz w:val="22"/>
              </w:rPr>
              <w:t>Analyse technique · fondamentale · prédiction — 2026-09-25</w:t>
            </w:r>
          </w:p>
        </w:tc>
      </w:tr>
    </w:tbl>
    <w:p/>
    <w:p>
      <w:r>
        <w:rPr>
          <w:rFonts w:ascii="Calibri" w:hAnsi="Calibri"/>
          <w:b w:val="0"/>
          <w:i/>
          <w:color w:val="555555"/>
          <w:sz w:val="18"/>
        </w:rPr>
        <w:t>Univers analysé : 20 cryptomonnaies (top capitalisation). Deux couches : signal technique transparent (ACHAT/CONSERVATION/VENTE) et décision d'investissement à 4 feux (Technique · Fondamental · Prédiction · Risque).</w:t>
      </w:r>
    </w:p>
    <w:p>
      <w:pPr>
        <w:pStyle w:val="Heading1"/>
      </w:pPr>
      <w:r>
        <w:t>1. Résumé exécutif</w:t>
      </w:r>
    </w:p>
    <w:p>
      <w:r>
        <w:rPr>
          <w:rFonts w:ascii="Calibri" w:hAnsi="Calibri"/>
          <w:b w:val="0"/>
          <w:i w:val="0"/>
          <w:sz w:val="20"/>
        </w:rPr>
        <w:t>Répartition des décisions à 4 feux sur les 20 cryptomonnaies :</w:t>
      </w:r>
    </w:p>
    <w:p>
      <w:pPr>
        <w:pStyle w:val="ListBullet"/>
      </w:pPr>
      <w:r>
        <w:rPr>
          <w:rFonts w:ascii="Calibri" w:hAnsi="Calibri"/>
          <w:b/>
          <w:i w:val="0"/>
          <w:color w:val="1E7D32"/>
          <w:sz w:val="20"/>
        </w:rPr>
        <w:t>INVESTIR (4 feux verts) : 4 — BNB, SOL, LINK, WBT.</w:t>
      </w:r>
    </w:p>
    <w:p>
      <w:pPr>
        <w:pStyle w:val="ListBullet"/>
      </w:pPr>
      <w:r>
        <w:rPr>
          <w:rFonts w:ascii="Calibri" w:hAnsi="Calibri"/>
          <w:b/>
          <w:i w:val="0"/>
          <w:color w:val="B26A00"/>
          <w:sz w:val="20"/>
        </w:rPr>
        <w:t>CONSERVER (pas de signal net) : 13.</w:t>
      </w:r>
    </w:p>
    <w:p>
      <w:pPr>
        <w:pStyle w:val="ListBullet"/>
      </w:pPr>
      <w:r>
        <w:rPr>
          <w:rFonts w:ascii="Calibri" w:hAnsi="Calibri"/>
          <w:b/>
          <w:i w:val="0"/>
          <w:color w:val="C62828"/>
          <w:sz w:val="20"/>
        </w:rPr>
        <w:t>ÉVITER (fondamental ou risque en échec) : 3 — ZEC, FIGR_HELOC, LEO.</w:t>
      </w:r>
    </w:p>
    <w:p>
      <w:pPr>
        <w:pStyle w:val="Heading1"/>
      </w:pPr>
      <w:r>
        <w:t>2. Tableau récapitulatif</w:t>
      </w:r>
    </w:p>
    <w:tbl>
      <w:tblPr>
        <w:tblW w:type="auto" w:w="0"/>
        <w:jc w:val="center"/>
        <w:tblLook w:firstColumn="1" w:firstRow="1" w:lastColumn="0" w:lastRow="0" w:noHBand="0" w:noVBand="1" w:val="04A0"/>
      </w:tblPr>
      <w:tblGrid>
        <w:gridCol w:w="1280"/>
        <w:gridCol w:w="1280"/>
        <w:gridCol w:w="1280"/>
        <w:gridCol w:w="1280"/>
        <w:gridCol w:w="1280"/>
        <w:gridCol w:w="1280"/>
        <w:gridCol w:w="1280"/>
        <w:gridCol w:w="1280"/>
      </w:tblGrid>
      <w:tr>
        <w:tc>
          <w:tcPr>
            <w:tcW w:type="dxa" w:w="1150"/>
            <w:shd w:val="clear" w:color="auto" w:fill="2E5496"/>
          </w:tcPr>
          <w:p>
            <w:pPr>
              <w:jc w:val="center"/>
            </w:pPr>
            <w:r>
              <w:rPr>
                <w:rFonts w:ascii="Calibri" w:hAnsi="Calibri"/>
                <w:b/>
                <w:i w:val="0"/>
                <w:color w:val="FFFFFF"/>
                <w:sz w:val="16"/>
              </w:rPr>
              <w:t>Crypto</w:t>
            </w:r>
          </w:p>
        </w:tc>
        <w:tc>
          <w:tcPr>
            <w:tcW w:type="dxa" w:w="1350"/>
            <w:shd w:val="clear" w:color="auto" w:fill="2E5496"/>
          </w:tcPr>
          <w:p>
            <w:pPr>
              <w:jc w:val="center"/>
            </w:pPr>
            <w:r>
              <w:rPr>
                <w:rFonts w:ascii="Calibri" w:hAnsi="Calibri"/>
                <w:b/>
                <w:i w:val="0"/>
                <w:color w:val="FFFFFF"/>
                <w:sz w:val="16"/>
              </w:rPr>
              <w:t>Signal tech.</w:t>
            </w:r>
          </w:p>
        </w:tc>
        <w:tc>
          <w:tcPr>
            <w:tcW w:type="dxa" w:w="1350"/>
            <w:shd w:val="clear" w:color="auto" w:fill="2E5496"/>
          </w:tcPr>
          <w:p>
            <w:pPr>
              <w:jc w:val="center"/>
            </w:pPr>
            <w:r>
              <w:rPr>
                <w:rFonts w:ascii="Calibri" w:hAnsi="Calibri"/>
                <w:b/>
                <w:i w:val="0"/>
                <w:color w:val="FFFFFF"/>
                <w:sz w:val="16"/>
              </w:rPr>
              <w:t>Décision</w:t>
            </w:r>
          </w:p>
        </w:tc>
        <w:tc>
          <w:tcPr>
            <w:tcW w:type="dxa" w:w="700"/>
            <w:shd w:val="clear" w:color="auto" w:fill="2E5496"/>
          </w:tcPr>
          <w:p>
            <w:pPr>
              <w:jc w:val="center"/>
            </w:pPr>
            <w:r>
              <w:rPr>
                <w:rFonts w:ascii="Calibri" w:hAnsi="Calibri"/>
                <w:b/>
                <w:i w:val="0"/>
                <w:color w:val="FFFFFF"/>
                <w:sz w:val="16"/>
              </w:rPr>
              <w:t>Feux</w:t>
            </w:r>
          </w:p>
        </w:tc>
        <w:tc>
          <w:tcPr>
            <w:tcW w:type="dxa" w:w="1000"/>
            <w:shd w:val="clear" w:color="auto" w:fill="2E5496"/>
          </w:tcPr>
          <w:p>
            <w:pPr>
              <w:jc w:val="center"/>
            </w:pPr>
            <w:r>
              <w:rPr>
                <w:rFonts w:ascii="Calibri" w:hAnsi="Calibri"/>
                <w:b/>
                <w:i w:val="0"/>
                <w:color w:val="FFFFFF"/>
                <w:sz w:val="16"/>
              </w:rPr>
              <w:t>Composite</w:t>
            </w:r>
          </w:p>
        </w:tc>
        <w:tc>
          <w:tcPr>
            <w:tcW w:type="dxa" w:w="700"/>
            <w:shd w:val="clear" w:color="auto" w:fill="2E5496"/>
          </w:tcPr>
          <w:p>
            <w:pPr>
              <w:jc w:val="center"/>
            </w:pPr>
            <w:r>
              <w:rPr>
                <w:rFonts w:ascii="Calibri" w:hAnsi="Calibri"/>
                <w:b/>
                <w:i w:val="0"/>
                <w:color w:val="FFFFFF"/>
                <w:sz w:val="16"/>
              </w:rPr>
              <w:t>Fond.</w:t>
            </w:r>
          </w:p>
        </w:tc>
        <w:tc>
          <w:tcPr>
            <w:tcW w:type="dxa" w:w="700"/>
            <w:shd w:val="clear" w:color="auto" w:fill="2E5496"/>
          </w:tcPr>
          <w:p>
            <w:pPr>
              <w:jc w:val="center"/>
            </w:pPr>
            <w:r>
              <w:rPr>
                <w:rFonts w:ascii="Calibri" w:hAnsi="Calibri"/>
                <w:b/>
                <w:i w:val="0"/>
                <w:color w:val="FFFFFF"/>
                <w:sz w:val="16"/>
              </w:rPr>
              <w:t>AUC</w:t>
            </w:r>
          </w:p>
        </w:tc>
        <w:tc>
          <w:tcPr>
            <w:tcW w:type="dxa" w:w="2100"/>
            <w:shd w:val="clear" w:color="auto" w:fill="2E5496"/>
          </w:tcPr>
          <w:p>
            <w:pPr>
              <w:jc w:val="center"/>
            </w:pPr>
            <w:r>
              <w:rPr>
                <w:rFonts w:ascii="Calibri" w:hAnsi="Calibri"/>
                <w:b/>
                <w:i w:val="0"/>
                <w:color w:val="FFFFFF"/>
                <w:sz w:val="16"/>
              </w:rPr>
              <w:t>Proj. 30j (95%)</w:t>
            </w:r>
          </w:p>
        </w:tc>
      </w:tr>
      <w:tr>
        <w:tc>
          <w:tcPr>
            <w:tcW w:type="dxa" w:w="1150"/>
          </w:tcPr>
          <w:p>
            <w:pPr>
              <w:jc w:val="left"/>
            </w:pPr>
            <w:r>
              <w:rPr>
                <w:rFonts w:ascii="Calibri" w:hAnsi="Calibri"/>
                <w:b/>
                <w:i w:val="0"/>
                <w:sz w:val="16"/>
              </w:rPr>
              <w:t>BTC</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+0.25</w:t>
            </w:r>
          </w:p>
        </w:tc>
        <w:tc>
          <w:tcPr>
            <w:tcW w:type="dxa" w:w="700"/>
          </w:tcPr>
          <w:p>
            <w:pPr>
              <w:jc w:val="center"/>
            </w:pPr>
            <w:r>
              <w:rPr>
                <w:rFonts w:ascii="Calibri" w:hAnsi="Calibri"/>
                <w:b w:val="0"/>
                <w:i w:val="0"/>
                <w:sz w:val="16"/>
              </w:rPr>
              <w:t>90</w:t>
            </w:r>
          </w:p>
        </w:tc>
        <w:tc>
          <w:tcPr>
            <w:tcW w:type="dxa" w:w="700"/>
          </w:tcPr>
          <w:p>
            <w:pPr>
              <w:jc w:val="center"/>
            </w:pPr>
            <w:r>
              <w:rPr>
                <w:rFonts w:ascii="Calibri" w:hAnsi="Calibri"/>
                <w:b w:val="0"/>
                <w:i w:val="0"/>
                <w:sz w:val="16"/>
              </w:rPr>
              <w:t>0.469</w:t>
            </w:r>
          </w:p>
        </w:tc>
        <w:tc>
          <w:tcPr>
            <w:tcW w:type="dxa" w:w="2100"/>
          </w:tcPr>
          <w:p>
            <w:pPr>
              <w:jc w:val="center"/>
            </w:pPr>
            <w:r>
              <w:rPr>
                <w:rFonts w:ascii="Calibri" w:hAnsi="Calibri"/>
                <w:b w:val="0"/>
                <w:i w:val="0"/>
                <w:sz w:val="16"/>
              </w:rPr>
              <w:t>-19%..+24%</w:t>
            </w:r>
          </w:p>
        </w:tc>
      </w:tr>
      <w:tr>
        <w:tc>
          <w:tcPr>
            <w:tcW w:type="dxa" w:w="1150"/>
            <w:shd w:val="clear" w:color="auto" w:fill="F2F5FB"/>
          </w:tcPr>
          <w:p>
            <w:pPr>
              <w:jc w:val="left"/>
            </w:pPr>
            <w:r>
              <w:rPr>
                <w:rFonts w:ascii="Calibri" w:hAnsi="Calibri"/>
                <w:b/>
                <w:i w:val="0"/>
                <w:sz w:val="16"/>
              </w:rPr>
              <w:t>ETH</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+0.25</w:t>
            </w:r>
          </w:p>
        </w:tc>
        <w:tc>
          <w:tcPr>
            <w:tcW w:type="dxa" w:w="700"/>
            <w:shd w:val="clear" w:color="auto" w:fill="F2F5FB"/>
          </w:tcPr>
          <w:p>
            <w:pPr>
              <w:jc w:val="center"/>
            </w:pPr>
            <w:r>
              <w:rPr>
                <w:rFonts w:ascii="Calibri" w:hAnsi="Calibri"/>
                <w:b w:val="0"/>
                <w:i w:val="0"/>
                <w:sz w:val="16"/>
              </w:rPr>
              <w:t>83</w:t>
            </w:r>
          </w:p>
        </w:tc>
        <w:tc>
          <w:tcPr>
            <w:tcW w:type="dxa" w:w="700"/>
            <w:shd w:val="clear" w:color="auto" w:fill="F2F5FB"/>
          </w:tcPr>
          <w:p>
            <w:pPr>
              <w:jc w:val="center"/>
            </w:pPr>
            <w:r>
              <w:rPr>
                <w:rFonts w:ascii="Calibri" w:hAnsi="Calibri"/>
                <w:b w:val="0"/>
                <w:i w:val="0"/>
                <w:sz w:val="16"/>
              </w:rPr>
              <w:t>0.594</w:t>
            </w:r>
          </w:p>
        </w:tc>
        <w:tc>
          <w:tcPr>
            <w:tcW w:type="dxa" w:w="2100"/>
            <w:shd w:val="clear" w:color="auto" w:fill="F2F5FB"/>
          </w:tcPr>
          <w:p>
            <w:pPr>
              <w:jc w:val="center"/>
            </w:pPr>
            <w:r>
              <w:rPr>
                <w:rFonts w:ascii="Calibri" w:hAnsi="Calibri"/>
                <w:b w:val="0"/>
                <w:i w:val="0"/>
                <w:sz w:val="16"/>
              </w:rPr>
              <w:t>-26%..+35%</w:t>
            </w:r>
          </w:p>
        </w:tc>
      </w:tr>
      <w:tr>
        <w:tc>
          <w:tcPr>
            <w:tcW w:type="dxa" w:w="1150"/>
          </w:tcPr>
          <w:p>
            <w:pPr>
              <w:jc w:val="left"/>
            </w:pPr>
            <w:r>
              <w:rPr>
                <w:rFonts w:ascii="Calibri" w:hAnsi="Calibri"/>
                <w:b/>
                <w:i w:val="0"/>
                <w:sz w:val="16"/>
              </w:rPr>
              <w:t>BNB</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65</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-20%..+25%</w:t>
            </w:r>
          </w:p>
        </w:tc>
      </w:tr>
      <w:tr>
        <w:tc>
          <w:tcPr>
            <w:tcW w:type="dxa" w:w="1150"/>
            <w:shd w:val="clear" w:color="auto" w:fill="F2F5FB"/>
          </w:tcPr>
          <w:p>
            <w:pPr>
              <w:jc w:val="left"/>
            </w:pPr>
            <w:r>
              <w:rPr>
                <w:rFonts w:ascii="Calibri" w:hAnsi="Calibri"/>
                <w:b/>
                <w:i w:val="0"/>
                <w:sz w:val="16"/>
              </w:rPr>
              <w:t>XRP</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90</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-27%..+37%</w:t>
            </w:r>
          </w:p>
        </w:tc>
      </w:tr>
      <w:tr>
        <w:tc>
          <w:tcPr>
            <w:tcW w:type="dxa" w:w="1150"/>
          </w:tcPr>
          <w:p>
            <w:pPr>
              <w:jc w:val="left"/>
            </w:pPr>
            <w:r>
              <w:rPr>
                <w:rFonts w:ascii="Calibri" w:hAnsi="Calibri"/>
                <w:b/>
                <w:i w:val="0"/>
                <w:sz w:val="16"/>
              </w:rPr>
              <w:t>SOL</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83</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-27%..+37%</w:t>
            </w:r>
          </w:p>
        </w:tc>
      </w:tr>
      <w:tr>
        <w:tc>
          <w:tcPr>
            <w:tcW w:type="dxa" w:w="1150"/>
            <w:shd w:val="clear" w:color="auto" w:fill="F2F5FB"/>
          </w:tcPr>
          <w:p>
            <w:pPr>
              <w:jc w:val="left"/>
            </w:pPr>
            <w:r>
              <w:rPr>
                <w:rFonts w:ascii="Calibri" w:hAnsi="Calibri"/>
                <w:b/>
                <w:i w:val="0"/>
                <w:sz w:val="16"/>
              </w:rPr>
              <w:t>TRX</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58</w:t>
            </w:r>
          </w:p>
        </w:tc>
        <w:tc>
          <w:tcPr>
            <w:tcW w:type="dxa" w:w="700"/>
            <w:shd w:val="clear" w:color="auto" w:fill="F2F5FB"/>
          </w:tcPr>
          <w:p>
            <w:pPr>
              <w:jc w:val="center"/>
            </w:pPr>
            <w:r>
              <w:rPr>
                <w:rFonts w:ascii="Calibri" w:hAnsi="Calibri"/>
                <w:b w:val="0"/>
                <w:i w:val="0"/>
                <w:sz w:val="16"/>
              </w:rPr>
              <w:t>0.453</w:t>
            </w:r>
          </w:p>
        </w:tc>
        <w:tc>
          <w:tcPr>
            <w:tcW w:type="dxa" w:w="2100"/>
            <w:shd w:val="clear" w:color="auto" w:fill="F2F5FB"/>
          </w:tcPr>
          <w:p>
            <w:pPr>
              <w:jc w:val="center"/>
            </w:pPr>
            <w:r>
              <w:rPr>
                <w:rFonts w:ascii="Calibri" w:hAnsi="Calibri"/>
                <w:b w:val="0"/>
                <w:i w:val="0"/>
                <w:sz w:val="16"/>
              </w:rPr>
              <w:t>-11%..+13%</w:t>
            </w:r>
          </w:p>
        </w:tc>
      </w:tr>
      <w:tr>
        <w:tc>
          <w:tcPr>
            <w:tcW w:type="dxa" w:w="1150"/>
          </w:tcPr>
          <w:p>
            <w:pPr>
              <w:jc w:val="left"/>
            </w:pPr>
            <w:r>
              <w:rPr>
                <w:rFonts w:ascii="Calibri" w:hAnsi="Calibri"/>
                <w:b/>
                <w:i w:val="0"/>
                <w:sz w:val="16"/>
              </w:rPr>
              <w:t>ZEC</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+0.67</w:t>
            </w:r>
          </w:p>
        </w:tc>
        <w:tc>
          <w:tcPr>
            <w:tcW w:type="dxa" w:w="700"/>
          </w:tcPr>
          <w:p>
            <w:pPr>
              <w:jc w:val="center"/>
            </w:pPr>
            <w:r>
              <w:rPr>
                <w:rFonts w:ascii="Calibri" w:hAnsi="Calibri"/>
                <w:b w:val="0"/>
                <w:i w:val="0"/>
                <w:sz w:val="16"/>
              </w:rPr>
              <w:t>90</w:t>
            </w:r>
          </w:p>
        </w:tc>
        <w:tc>
          <w:tcPr>
            <w:tcW w:type="dxa" w:w="700"/>
          </w:tcPr>
          <w:p>
            <w:pPr>
              <w:jc w:val="center"/>
            </w:pPr>
            <w:r>
              <w:rPr>
                <w:rFonts w:ascii="Calibri" w:hAnsi="Calibri"/>
                <w:b w:val="0"/>
                <w:i w:val="0"/>
                <w:sz w:val="16"/>
              </w:rPr>
              <w:t>0.508</w:t>
            </w:r>
          </w:p>
        </w:tc>
        <w:tc>
          <w:tcPr>
            <w:tcW w:type="dxa" w:w="2100"/>
          </w:tcPr>
          <w:p>
            <w:pPr>
              <w:jc w:val="center"/>
            </w:pPr>
            <w:r>
              <w:rPr>
                <w:rFonts w:ascii="Calibri" w:hAnsi="Calibri"/>
                <w:b w:val="0"/>
                <w:i w:val="0"/>
                <w:sz w:val="16"/>
              </w:rPr>
              <w:t>-53%..+112%</w:t>
            </w:r>
          </w:p>
        </w:tc>
      </w:tr>
      <w:tr>
        <w:tc>
          <w:tcPr>
            <w:tcW w:type="dxa" w:w="1150"/>
            <w:shd w:val="clear" w:color="auto" w:fill="F2F5FB"/>
          </w:tcPr>
          <w:p>
            <w:pPr>
              <w:jc w:val="left"/>
            </w:pPr>
            <w:r>
              <w:rPr>
                <w:rFonts w:ascii="Calibri" w:hAnsi="Calibri"/>
                <w:b/>
                <w:i w:val="0"/>
                <w:sz w:val="16"/>
              </w:rPr>
              <w:t>FIGR_HELOC</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83</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-17%..+20%</w:t>
            </w:r>
          </w:p>
        </w:tc>
      </w:tr>
      <w:tr>
        <w:tc>
          <w:tcPr>
            <w:tcW w:type="dxa" w:w="1150"/>
          </w:tcPr>
          <w:p>
            <w:pPr>
              <w:jc w:val="left"/>
            </w:pPr>
            <w:r>
              <w:rPr>
                <w:rFonts w:ascii="Calibri" w:hAnsi="Calibri"/>
                <w:b/>
                <w:i w:val="0"/>
                <w:sz w:val="16"/>
              </w:rPr>
              <w:t>HYPE</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90</w:t>
            </w:r>
          </w:p>
        </w:tc>
        <w:tc>
          <w:tcPr>
            <w:tcW w:type="dxa" w:w="700"/>
          </w:tcPr>
          <w:p>
            <w:pPr>
              <w:jc w:val="center"/>
            </w:pPr>
            <w:r>
              <w:rPr>
                <w:rFonts w:ascii="Calibri" w:hAnsi="Calibri"/>
                <w:b w:val="0"/>
                <w:i w:val="0"/>
                <w:sz w:val="16"/>
              </w:rPr>
              <w:t>0.562</w:t>
            </w:r>
          </w:p>
        </w:tc>
        <w:tc>
          <w:tcPr>
            <w:tcW w:type="dxa" w:w="2100"/>
          </w:tcPr>
          <w:p>
            <w:pPr>
              <w:jc w:val="center"/>
            </w:pPr>
            <w:r>
              <w:rPr>
                <w:rFonts w:ascii="Calibri" w:hAnsi="Calibri"/>
                <w:b w:val="0"/>
                <w:i w:val="0"/>
                <w:sz w:val="16"/>
              </w:rPr>
              <w:t>-38%..+61%</w:t>
            </w:r>
          </w:p>
        </w:tc>
      </w:tr>
      <w:tr>
        <w:tc>
          <w:tcPr>
            <w:tcW w:type="dxa" w:w="1150"/>
            <w:shd w:val="clear" w:color="auto" w:fill="F2F5FB"/>
          </w:tcPr>
          <w:p>
            <w:pPr>
              <w:jc w:val="left"/>
            </w:pPr>
            <w:r>
              <w:rPr>
                <w:rFonts w:ascii="Calibri" w:hAnsi="Calibri"/>
                <w:b/>
                <w:i w:val="0"/>
                <w:sz w:val="16"/>
              </w:rPr>
              <w:t>DOGE</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+0.67</w:t>
            </w:r>
          </w:p>
        </w:tc>
        <w:tc>
          <w:tcPr>
            <w:tcW w:type="dxa" w:w="700"/>
            <w:shd w:val="clear" w:color="auto" w:fill="F2F5FB"/>
          </w:tcPr>
          <w:p>
            <w:pPr>
              <w:jc w:val="center"/>
            </w:pPr>
            <w:r>
              <w:rPr>
                <w:rFonts w:ascii="Calibri" w:hAnsi="Calibri"/>
                <w:b w:val="0"/>
                <w:i w:val="0"/>
                <w:sz w:val="16"/>
              </w:rPr>
              <w:t>83</w:t>
            </w:r>
          </w:p>
        </w:tc>
        <w:tc>
          <w:tcPr>
            <w:tcW w:type="dxa" w:w="700"/>
            <w:shd w:val="clear" w:color="auto" w:fill="F2F5FB"/>
          </w:tcPr>
          <w:p>
            <w:pPr>
              <w:jc w:val="center"/>
            </w:pPr>
            <w:r>
              <w:rPr>
                <w:rFonts w:ascii="Calibri" w:hAnsi="Calibri"/>
                <w:b w:val="0"/>
                <w:i w:val="0"/>
                <w:sz w:val="16"/>
              </w:rPr>
              <w:t>0.561</w:t>
            </w:r>
          </w:p>
        </w:tc>
        <w:tc>
          <w:tcPr>
            <w:tcW w:type="dxa" w:w="2100"/>
            <w:shd w:val="clear" w:color="auto" w:fill="F2F5FB"/>
          </w:tcPr>
          <w:p>
            <w:pPr>
              <w:jc w:val="center"/>
            </w:pPr>
            <w:r>
              <w:rPr>
                <w:rFonts w:ascii="Calibri" w:hAnsi="Calibri"/>
                <w:b w:val="0"/>
                <w:i w:val="0"/>
                <w:sz w:val="16"/>
              </w:rPr>
              <w:t>-27%..+37%</w:t>
            </w:r>
          </w:p>
        </w:tc>
      </w:tr>
      <w:tr>
        <w:tc>
          <w:tcPr>
            <w:tcW w:type="dxa" w:w="1150"/>
          </w:tcPr>
          <w:p>
            <w:pPr>
              <w:jc w:val="left"/>
            </w:pPr>
            <w:r>
              <w:rPr>
                <w:rFonts w:ascii="Calibri" w:hAnsi="Calibri"/>
                <w:b/>
                <w:i w:val="0"/>
                <w:sz w:val="16"/>
              </w:rPr>
              <w:t>XMR</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58</w:t>
            </w:r>
          </w:p>
        </w:tc>
        <w:tc>
          <w:tcPr>
            <w:tcW w:type="dxa" w:w="700"/>
          </w:tcPr>
          <w:p>
            <w:pPr>
              <w:jc w:val="center"/>
            </w:pPr>
            <w:r>
              <w:rPr>
                <w:rFonts w:ascii="Calibri" w:hAnsi="Calibri"/>
                <w:b w:val="0"/>
                <w:i w:val="0"/>
                <w:sz w:val="16"/>
              </w:rPr>
              <w:t>0.643</w:t>
            </w:r>
          </w:p>
        </w:tc>
        <w:tc>
          <w:tcPr>
            <w:tcW w:type="dxa" w:w="2100"/>
          </w:tcPr>
          <w:p>
            <w:pPr>
              <w:jc w:val="center"/>
            </w:pPr>
            <w:r>
              <w:rPr>
                <w:rFonts w:ascii="Calibri" w:hAnsi="Calibri"/>
                <w:b w:val="0"/>
                <w:i w:val="0"/>
                <w:sz w:val="16"/>
              </w:rPr>
              <w:t>-33%..+50%</w:t>
            </w:r>
          </w:p>
        </w:tc>
      </w:tr>
      <w:tr>
        <w:tc>
          <w:tcPr>
            <w:tcW w:type="dxa" w:w="1150"/>
            <w:shd w:val="clear" w:color="auto" w:fill="F2F5FB"/>
          </w:tcPr>
          <w:p>
            <w:pPr>
              <w:jc w:val="left"/>
            </w:pPr>
            <w:r>
              <w:rPr>
                <w:rFonts w:ascii="Calibri" w:hAnsi="Calibri"/>
                <w:b/>
                <w:i w:val="0"/>
                <w:sz w:val="16"/>
              </w:rPr>
              <w:t>LINK</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90</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-28%..+39%</w:t>
            </w:r>
          </w:p>
        </w:tc>
      </w:tr>
      <w:tr>
        <w:tc>
          <w:tcPr>
            <w:tcW w:type="dxa" w:w="1150"/>
          </w:tcPr>
          <w:p>
            <w:pPr>
              <w:jc w:val="left"/>
            </w:pPr>
            <w:r>
              <w:rPr>
                <w:rFonts w:ascii="Calibri" w:hAnsi="Calibri"/>
                <w:b/>
                <w:i w:val="0"/>
                <w:sz w:val="16"/>
              </w:rPr>
              <w:t>WBT</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65</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-25%..+33%</w:t>
            </w:r>
          </w:p>
        </w:tc>
      </w:tr>
      <w:tr>
        <w:tc>
          <w:tcPr>
            <w:tcW w:type="dxa" w:w="1150"/>
            <w:shd w:val="clear" w:color="auto" w:fill="F2F5FB"/>
          </w:tcPr>
          <w:p>
            <w:pPr>
              <w:jc w:val="left"/>
            </w:pPr>
            <w:r>
              <w:rPr>
                <w:rFonts w:ascii="Calibri" w:hAnsi="Calibri"/>
                <w:b/>
                <w:i w:val="0"/>
                <w:sz w:val="16"/>
              </w:rPr>
              <w:t>ADA</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82</w:t>
            </w:r>
          </w:p>
        </w:tc>
        <w:tc>
          <w:tcPr>
            <w:tcW w:type="dxa" w:w="700"/>
            <w:shd w:val="clear" w:color="auto" w:fill="F2F5FB"/>
          </w:tcPr>
          <w:p>
            <w:pPr>
              <w:jc w:val="center"/>
            </w:pPr>
            <w:r>
              <w:rPr>
                <w:rFonts w:ascii="Calibri" w:hAnsi="Calibri"/>
                <w:b w:val="0"/>
                <w:i w:val="0"/>
                <w:sz w:val="16"/>
              </w:rPr>
              <w:t>0.778</w:t>
            </w:r>
          </w:p>
        </w:tc>
        <w:tc>
          <w:tcPr>
            <w:tcW w:type="dxa" w:w="2100"/>
            <w:shd w:val="clear" w:color="auto" w:fill="F2F5FB"/>
          </w:tcPr>
          <w:p>
            <w:pPr>
              <w:jc w:val="center"/>
            </w:pPr>
            <w:r>
              <w:rPr>
                <w:rFonts w:ascii="Calibri" w:hAnsi="Calibri"/>
                <w:b w:val="0"/>
                <w:i w:val="0"/>
                <w:sz w:val="16"/>
              </w:rPr>
              <w:t>-33%..+49%</w:t>
            </w:r>
          </w:p>
        </w:tc>
      </w:tr>
      <w:tr>
        <w:tc>
          <w:tcPr>
            <w:tcW w:type="dxa" w:w="1150"/>
          </w:tcPr>
          <w:p>
            <w:pPr>
              <w:jc w:val="left"/>
            </w:pPr>
            <w:r>
              <w:rPr>
                <w:rFonts w:ascii="Calibri" w:hAnsi="Calibri"/>
                <w:b/>
                <w:i w:val="0"/>
                <w:sz w:val="16"/>
              </w:rPr>
              <w:t>RAIN</w:t>
            </w:r>
          </w:p>
        </w:tc>
        <w:tc>
          <w:tcPr>
            <w:tcW w:type="dxa" w:w="1350"/>
          </w:tcPr>
          <w:p>
            <w:pPr>
              <w:jc w:val="center"/>
            </w:pPr>
            <w:r>
              <w:rPr>
                <w:rFonts w:ascii="Calibri" w:hAnsi="Calibri"/>
                <w:b w:val="0"/>
                <w:i w:val="0"/>
                <w:color w:val="C62828"/>
                <w:sz w:val="16"/>
              </w:rPr>
              <w:t>VENTE</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57</w:t>
            </w:r>
          </w:p>
        </w:tc>
        <w:tc>
          <w:tcPr>
            <w:tcW w:type="dxa" w:w="700"/>
          </w:tcPr>
          <w:p>
            <w:pPr>
              <w:jc w:val="center"/>
            </w:pPr>
            <w:r>
              <w:rPr>
                <w:rFonts w:ascii="Calibri" w:hAnsi="Calibri"/>
                <w:b w:val="0"/>
                <w:i w:val="0"/>
                <w:sz w:val="16"/>
              </w:rPr>
              <w:t>0.595</w:t>
            </w:r>
          </w:p>
        </w:tc>
        <w:tc>
          <w:tcPr>
            <w:tcW w:type="dxa" w:w="2100"/>
          </w:tcPr>
          <w:p>
            <w:pPr>
              <w:jc w:val="center"/>
            </w:pPr>
            <w:r>
              <w:rPr>
                <w:rFonts w:ascii="Calibri" w:hAnsi="Calibri"/>
                <w:b w:val="0"/>
                <w:i w:val="0"/>
                <w:sz w:val="16"/>
              </w:rPr>
              <w:t>-41%..+68%</w:t>
            </w:r>
          </w:p>
        </w:tc>
      </w:tr>
      <w:tr>
        <w:tc>
          <w:tcPr>
            <w:tcW w:type="dxa" w:w="1150"/>
            <w:shd w:val="clear" w:color="auto" w:fill="F2F5FB"/>
          </w:tcPr>
          <w:p>
            <w:pPr>
              <w:jc w:val="left"/>
            </w:pPr>
            <w:r>
              <w:rPr>
                <w:rFonts w:ascii="Calibri" w:hAnsi="Calibri"/>
                <w:b/>
                <w:i w:val="0"/>
                <w:sz w:val="16"/>
              </w:rPr>
              <w:t>LEO</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50</w:t>
            </w:r>
          </w:p>
        </w:tc>
        <w:tc>
          <w:tcPr>
            <w:tcW w:type="dxa" w:w="700"/>
            <w:shd w:val="clear" w:color="auto" w:fill="F2F5FB"/>
          </w:tcPr>
          <w:p>
            <w:pPr>
              <w:jc w:val="center"/>
            </w:pPr>
            <w:r>
              <w:rPr>
                <w:rFonts w:ascii="Calibri" w:hAnsi="Calibri"/>
                <w:b w:val="0"/>
                <w:i w:val="0"/>
                <w:sz w:val="16"/>
              </w:rPr>
              <w:t>0.62</w:t>
            </w:r>
          </w:p>
        </w:tc>
        <w:tc>
          <w:tcPr>
            <w:tcW w:type="dxa" w:w="2100"/>
            <w:shd w:val="clear" w:color="auto" w:fill="F2F5FB"/>
          </w:tcPr>
          <w:p>
            <w:pPr>
              <w:jc w:val="center"/>
            </w:pPr>
            <w:r>
              <w:rPr>
                <w:rFonts w:ascii="Calibri" w:hAnsi="Calibri"/>
                <w:b w:val="0"/>
                <w:i w:val="0"/>
                <w:sz w:val="16"/>
              </w:rPr>
              <w:t>-14%..+17%</w:t>
            </w:r>
          </w:p>
        </w:tc>
      </w:tr>
      <w:tr>
        <w:tc>
          <w:tcPr>
            <w:tcW w:type="dxa" w:w="1150"/>
          </w:tcPr>
          <w:p>
            <w:pPr>
              <w:jc w:val="left"/>
            </w:pPr>
            <w:r>
              <w:rPr>
                <w:rFonts w:ascii="Calibri" w:hAnsi="Calibri"/>
                <w:b/>
                <w:i w:val="0"/>
                <w:sz w:val="16"/>
              </w:rPr>
              <w:t>XLM</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75</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-38%..+61%</w:t>
            </w:r>
          </w:p>
        </w:tc>
      </w:tr>
      <w:tr>
        <w:tc>
          <w:tcPr>
            <w:tcW w:type="dxa" w:w="1150"/>
            <w:shd w:val="clear" w:color="auto" w:fill="F2F5FB"/>
          </w:tcPr>
          <w:p>
            <w:pPr>
              <w:jc w:val="left"/>
            </w:pPr>
            <w:r>
              <w:rPr>
                <w:rFonts w:ascii="Calibri" w:hAnsi="Calibri"/>
                <w:b/>
                <w:i w:val="0"/>
                <w:sz w:val="16"/>
              </w:rPr>
              <w:t>BCH</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0.625</w:t>
            </w:r>
          </w:p>
        </w:tc>
        <w:tc>
          <w:tcPr>
            <w:tcW w:type="dxa" w:w="2100"/>
            <w:shd w:val="clear" w:color="auto" w:fill="F2F5FB"/>
          </w:tcPr>
          <w:p>
            <w:pPr>
              <w:jc w:val="center"/>
            </w:pPr>
            <w:r>
              <w:rPr>
                <w:rFonts w:ascii="Calibri" w:hAnsi="Calibri"/>
                <w:b w:val="0"/>
                <w:i w:val="0"/>
                <w:sz w:val="16"/>
              </w:rPr>
              <w:t>-37%..+58%</w:t>
            </w:r>
          </w:p>
        </w:tc>
      </w:tr>
      <w:tr>
        <w:tc>
          <w:tcPr>
            <w:tcW w:type="dxa" w:w="1150"/>
          </w:tcPr>
          <w:p>
            <w:pPr>
              <w:jc w:val="left"/>
            </w:pPr>
            <w:r>
              <w:rPr>
                <w:rFonts w:ascii="Calibri" w:hAnsi="Calibri"/>
                <w:b/>
                <w:i w:val="0"/>
                <w:sz w:val="16"/>
              </w:rPr>
              <w:t>NEAR</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67</w:t>
            </w:r>
          </w:p>
        </w:tc>
        <w:tc>
          <w:tcPr>
            <w:tcW w:type="dxa" w:w="700"/>
          </w:tcPr>
          <w:p>
            <w:pPr>
              <w:jc w:val="center"/>
            </w:pPr>
            <w:r>
              <w:rPr>
                <w:rFonts w:ascii="Calibri" w:hAnsi="Calibri"/>
                <w:b w:val="0"/>
                <w:i w:val="0"/>
                <w:sz w:val="16"/>
              </w:rPr>
              <w:t>0.505</w:t>
            </w:r>
          </w:p>
        </w:tc>
        <w:tc>
          <w:tcPr>
            <w:tcW w:type="dxa" w:w="2100"/>
          </w:tcPr>
          <w:p>
            <w:pPr>
              <w:jc w:val="center"/>
            </w:pPr>
            <w:r>
              <w:rPr>
                <w:rFonts w:ascii="Calibri" w:hAnsi="Calibri"/>
                <w:b w:val="0"/>
                <w:i w:val="0"/>
                <w:sz w:val="16"/>
              </w:rPr>
              <w:t>-44%..+77%</w:t>
            </w:r>
          </w:p>
        </w:tc>
      </w:tr>
      <w:tr>
        <w:tc>
          <w:tcPr>
            <w:tcW w:type="dxa" w:w="1150"/>
            <w:shd w:val="clear" w:color="auto" w:fill="F2F5FB"/>
          </w:tcPr>
          <w:p>
            <w:pPr>
              <w:jc w:val="left"/>
            </w:pPr>
            <w:r>
              <w:rPr>
                <w:rFonts w:ascii="Calibri" w:hAnsi="Calibri"/>
                <w:b/>
                <w:i w:val="0"/>
                <w:sz w:val="16"/>
              </w:rPr>
              <w:t>UNI</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0.595</w:t>
            </w:r>
          </w:p>
        </w:tc>
        <w:tc>
          <w:tcPr>
            <w:tcW w:type="dxa" w:w="2100"/>
            <w:shd w:val="clear" w:color="auto" w:fill="F2F5FB"/>
          </w:tcPr>
          <w:p>
            <w:pPr>
              <w:jc w:val="center"/>
            </w:pPr>
            <w:r>
              <w:rPr>
                <w:rFonts w:ascii="Calibri" w:hAnsi="Calibri"/>
                <w:b w:val="0"/>
                <w:i w:val="0"/>
                <w:sz w:val="16"/>
              </w:rPr>
              <w:t>-39%..+63%</w:t>
            </w:r>
          </w:p>
        </w:tc>
      </w:tr>
    </w:tbl>
    <w:p>
      <w:r>
        <w:rPr>
          <w:rFonts w:ascii="Calibri" w:hAnsi="Calibri"/>
          <w:b w:val="0"/>
          <w:i w:val="0"/>
          <w:color w:val="555555"/>
          <w:sz w:val="16"/>
        </w:rPr>
        <w:t>Composite = moyenne des indicateurs actifs (−1 à +1). Fond. = score fondamental /100. AUC = pouvoir prédictif mesuré (0,5 = hasard). Projection = fourchette de plausibilité à 30 jours, pas une prévision.</w:t>
      </w:r>
    </w:p>
    <w:p>
      <w:r>
        <w:br w:type="page"/>
      </w:r>
    </w:p>
    <w:p>
      <w:pPr>
        <w:pStyle w:val="Heading1"/>
      </w:pPr>
      <w:r>
        <w:t>3. Plan de trade — niveaux indicatifs</w:t>
      </w:r>
    </w:p>
    <w:p>
      <w:r>
        <w:rPr>
          <w:rFonts w:ascii="Calibri" w:hAnsi="Calibri"/>
          <w:b w:val="0"/>
          <w:i/>
          <w:color w:val="555555"/>
          <w:sz w:val="18"/>
        </w:rPr>
        <w:t>Niveaux dérivés de la VOLATILITÉ (pas d'une prévision) : objectif à +1,5σ, stop à −1,0σ sur la durée indiquée. Prix d'achat = prix actuel (référence, ordre au marché). Durée = fenêtre de détention avant revue, d'autant plus courte que l'actif est volatil. À ajuster selon votre tolérance au risque.</w:t>
      </w:r>
    </w:p>
    <w:tbl>
      <w:tblPr>
        <w:tblW w:type="auto" w:w="0"/>
        <w:jc w:val="center"/>
        <w:tblLook w:firstColumn="1" w:firstRow="1" w:lastColumn="0" w:lastRow="0" w:noHBand="0" w:noVBand="1" w:val="04A0"/>
      </w:tblPr>
      <w:tblGrid>
        <w:gridCol w:w="1463"/>
        <w:gridCol w:w="1463"/>
        <w:gridCol w:w="1463"/>
        <w:gridCol w:w="1463"/>
        <w:gridCol w:w="1463"/>
        <w:gridCol w:w="1463"/>
        <w:gridCol w:w="1463"/>
      </w:tblGrid>
      <w:tr>
        <w:tc>
          <w:tcPr>
            <w:tcW w:type="dxa" w:w="1150"/>
            <w:shd w:val="clear" w:color="auto" w:fill="2E5496"/>
          </w:tcPr>
          <w:p>
            <w:pPr>
              <w:jc w:val="center"/>
            </w:pPr>
            <w:r>
              <w:rPr>
                <w:rFonts w:ascii="Calibri" w:hAnsi="Calibri"/>
                <w:b/>
                <w:i w:val="0"/>
                <w:color w:val="FFFFFF"/>
                <w:sz w:val="16"/>
              </w:rPr>
              <w:t>Crypto</w:t>
            </w:r>
          </w:p>
        </w:tc>
        <w:tc>
          <w:tcPr>
            <w:tcW w:type="dxa" w:w="1300"/>
            <w:shd w:val="clear" w:color="auto" w:fill="2E5496"/>
          </w:tcPr>
          <w:p>
            <w:pPr>
              <w:jc w:val="center"/>
            </w:pPr>
            <w:r>
              <w:rPr>
                <w:rFonts w:ascii="Calibri" w:hAnsi="Calibri"/>
                <w:b/>
                <w:i w:val="0"/>
                <w:color w:val="FFFFFF"/>
                <w:sz w:val="16"/>
              </w:rPr>
              <w:t>Décision</w:t>
            </w:r>
          </w:p>
        </w:tc>
        <w:tc>
          <w:tcPr>
            <w:tcW w:type="dxa" w:w="1500"/>
            <w:shd w:val="clear" w:color="auto" w:fill="2E5496"/>
          </w:tcPr>
          <w:p>
            <w:pPr>
              <w:jc w:val="center"/>
            </w:pPr>
            <w:r>
              <w:rPr>
                <w:rFonts w:ascii="Calibri" w:hAnsi="Calibri"/>
                <w:b/>
                <w:i w:val="0"/>
                <w:color w:val="FFFFFF"/>
                <w:sz w:val="16"/>
              </w:rPr>
              <w:t>Prix d'achat</w:t>
            </w:r>
          </w:p>
        </w:tc>
        <w:tc>
          <w:tcPr>
            <w:tcW w:type="dxa" w:w="1700"/>
            <w:shd w:val="clear" w:color="auto" w:fill="2E5496"/>
          </w:tcPr>
          <w:p>
            <w:pPr>
              <w:jc w:val="center"/>
            </w:pPr>
            <w:r>
              <w:rPr>
                <w:rFonts w:ascii="Calibri" w:hAnsi="Calibri"/>
                <w:b/>
                <w:i w:val="0"/>
                <w:color w:val="FFFFFF"/>
                <w:sz w:val="16"/>
              </w:rPr>
              <w:t>Vente ↑ (objectif)</w:t>
            </w:r>
          </w:p>
        </w:tc>
        <w:tc>
          <w:tcPr>
            <w:tcW w:type="dxa" w:w="1600"/>
            <w:shd w:val="clear" w:color="auto" w:fill="2E5496"/>
          </w:tcPr>
          <w:p>
            <w:pPr>
              <w:jc w:val="center"/>
            </w:pPr>
            <w:r>
              <w:rPr>
                <w:rFonts w:ascii="Calibri" w:hAnsi="Calibri"/>
                <w:b/>
                <w:i w:val="0"/>
                <w:color w:val="FFFFFF"/>
                <w:sz w:val="16"/>
              </w:rPr>
              <w:t>Vente ↓ (stop)</w:t>
            </w:r>
          </w:p>
        </w:tc>
        <w:tc>
          <w:tcPr>
            <w:tcW w:type="dxa" w:w="900"/>
            <w:shd w:val="clear" w:color="auto" w:fill="2E5496"/>
          </w:tcPr>
          <w:p>
            <w:pPr>
              <w:jc w:val="center"/>
            </w:pPr>
            <w:r>
              <w:rPr>
                <w:rFonts w:ascii="Calibri" w:hAnsi="Calibri"/>
                <w:b/>
                <w:i w:val="0"/>
                <w:color w:val="FFFFFF"/>
                <w:sz w:val="16"/>
              </w:rPr>
              <w:t>Durée (j)</w:t>
            </w:r>
          </w:p>
        </w:tc>
        <w:tc>
          <w:tcPr>
            <w:tcW w:type="dxa" w:w="900"/>
            <w:shd w:val="clear" w:color="auto" w:fill="2E5496"/>
          </w:tcPr>
          <w:p>
            <w:pPr>
              <w:jc w:val="center"/>
            </w:pPr>
            <w:r>
              <w:rPr>
                <w:rFonts w:ascii="Calibri" w:hAnsi="Calibri"/>
                <w:b/>
                <w:i w:val="0"/>
                <w:color w:val="FFFFFF"/>
                <w:sz w:val="16"/>
              </w:rPr>
              <w:t>Ratio G/P</w:t>
            </w:r>
          </w:p>
        </w:tc>
      </w:tr>
      <w:tr>
        <w:tc>
          <w:tcPr>
            <w:tcW w:type="dxa" w:w="1150"/>
          </w:tcPr>
          <w:p>
            <w:pPr>
              <w:jc w:val="left"/>
            </w:pPr>
            <w:r>
              <w:rPr>
                <w:rFonts w:ascii="Calibri" w:hAnsi="Calibri"/>
                <w:b/>
                <w:i w:val="0"/>
                <w:sz w:val="16"/>
              </w:rPr>
              <w:t>BTC</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$84 377.97</w:t>
            </w:r>
          </w:p>
        </w:tc>
        <w:tc>
          <w:tcPr>
            <w:tcW w:type="dxa" w:w="1700"/>
          </w:tcPr>
          <w:p>
            <w:pPr>
              <w:jc w:val="center"/>
            </w:pPr>
            <w:r>
              <w:rPr>
                <w:rFonts w:ascii="Calibri" w:hAnsi="Calibri"/>
                <w:b w:val="0"/>
                <w:i w:val="0"/>
                <w:color w:val="1E7D32"/>
                <w:sz w:val="16"/>
              </w:rPr>
              <w:t>$103 260.69  (+22%)</w:t>
            </w:r>
          </w:p>
        </w:tc>
        <w:tc>
          <w:tcPr>
            <w:tcW w:type="dxa" w:w="1600"/>
          </w:tcPr>
          <w:p>
            <w:pPr>
              <w:jc w:val="center"/>
            </w:pPr>
            <w:r>
              <w:rPr>
                <w:rFonts w:ascii="Calibri" w:hAnsi="Calibri"/>
                <w:b w:val="0"/>
                <w:i w:val="0"/>
                <w:color w:val="C62828"/>
                <w:sz w:val="16"/>
              </w:rPr>
              <w:t>$73 749.38  (-13%)</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1.78</w:t>
            </w:r>
          </w:p>
        </w:tc>
      </w:tr>
      <w:tr>
        <w:tc>
          <w:tcPr>
            <w:tcW w:type="dxa" w:w="1150"/>
            <w:shd w:val="clear" w:color="auto" w:fill="F2F5FB"/>
          </w:tcPr>
          <w:p>
            <w:pPr>
              <w:jc w:val="left"/>
            </w:pPr>
            <w:r>
              <w:rPr>
                <w:rFonts w:ascii="Calibri" w:hAnsi="Calibri"/>
                <w:b/>
                <w:i w:val="0"/>
                <w:sz w:val="16"/>
              </w:rPr>
              <w:t>ETH</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$2 687.13</w:t>
            </w:r>
          </w:p>
        </w:tc>
        <w:tc>
          <w:tcPr>
            <w:tcW w:type="dxa" w:w="1700"/>
            <w:shd w:val="clear" w:color="auto" w:fill="F2F5FB"/>
          </w:tcPr>
          <w:p>
            <w:pPr>
              <w:jc w:val="center"/>
            </w:pPr>
            <w:r>
              <w:rPr>
                <w:rFonts w:ascii="Calibri" w:hAnsi="Calibri"/>
                <w:b w:val="0"/>
                <w:i w:val="0"/>
                <w:color w:val="1E7D32"/>
                <w:sz w:val="16"/>
              </w:rPr>
              <w:t>$3 419.47  (+27%)</w:t>
            </w:r>
          </w:p>
        </w:tc>
        <w:tc>
          <w:tcPr>
            <w:tcW w:type="dxa" w:w="1600"/>
            <w:shd w:val="clear" w:color="auto" w:fill="F2F5FB"/>
          </w:tcPr>
          <w:p>
            <w:pPr>
              <w:jc w:val="center"/>
            </w:pPr>
            <w:r>
              <w:rPr>
                <w:rFonts w:ascii="Calibri" w:hAnsi="Calibri"/>
                <w:b w:val="0"/>
                <w:i w:val="0"/>
                <w:color w:val="C62828"/>
                <w:sz w:val="16"/>
              </w:rPr>
              <w:t>$2 288.27  (-15%)</w:t>
            </w:r>
          </w:p>
        </w:tc>
        <w:tc>
          <w:tcPr>
            <w:tcW w:type="dxa" w:w="900"/>
            <w:shd w:val="clear" w:color="auto" w:fill="F2F5FB"/>
          </w:tcPr>
          <w:p>
            <w:pPr>
              <w:jc w:val="center"/>
            </w:pPr>
            <w:r>
              <w:rPr>
                <w:rFonts w:ascii="Calibri" w:hAnsi="Calibri"/>
                <w:b w:val="0"/>
                <w:i w:val="0"/>
                <w:sz w:val="16"/>
              </w:rPr>
              <w:t>33</w:t>
            </w:r>
          </w:p>
        </w:tc>
        <w:tc>
          <w:tcPr>
            <w:tcW w:type="dxa" w:w="900"/>
            <w:shd w:val="clear" w:color="auto" w:fill="F2F5FB"/>
          </w:tcPr>
          <w:p>
            <w:pPr>
              <w:jc w:val="center"/>
            </w:pPr>
            <w:r>
              <w:rPr>
                <w:rFonts w:ascii="Calibri" w:hAnsi="Calibri"/>
                <w:b w:val="0"/>
                <w:i w:val="0"/>
                <w:sz w:val="16"/>
              </w:rPr>
              <w:t>1.84</w:t>
            </w:r>
          </w:p>
        </w:tc>
      </w:tr>
      <w:tr>
        <w:tc>
          <w:tcPr>
            <w:tcW w:type="dxa" w:w="1150"/>
          </w:tcPr>
          <w:p>
            <w:pPr>
              <w:jc w:val="left"/>
            </w:pPr>
            <w:r>
              <w:rPr>
                <w:rFonts w:ascii="Calibri" w:hAnsi="Calibri"/>
                <w:b/>
                <w:i w:val="0"/>
                <w:sz w:val="16"/>
              </w:rPr>
              <w:t>BNB</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$776.4242</w:t>
            </w:r>
          </w:p>
        </w:tc>
        <w:tc>
          <w:tcPr>
            <w:tcW w:type="dxa" w:w="1700"/>
          </w:tcPr>
          <w:p>
            <w:pPr>
              <w:jc w:val="center"/>
            </w:pPr>
            <w:r>
              <w:rPr>
                <w:rFonts w:ascii="Calibri" w:hAnsi="Calibri"/>
                <w:b w:val="0"/>
                <w:i w:val="0"/>
                <w:color w:val="1E7D32"/>
                <w:sz w:val="16"/>
              </w:rPr>
              <w:t>$944.7183  (+22%)</w:t>
            </w:r>
          </w:p>
        </w:tc>
        <w:tc>
          <w:tcPr>
            <w:tcW w:type="dxa" w:w="1600"/>
          </w:tcPr>
          <w:p>
            <w:pPr>
              <w:jc w:val="center"/>
            </w:pPr>
            <w:r>
              <w:rPr>
                <w:rFonts w:ascii="Calibri" w:hAnsi="Calibri"/>
                <w:b w:val="0"/>
                <w:i w:val="0"/>
                <w:color w:val="C62828"/>
                <w:sz w:val="16"/>
              </w:rPr>
              <w:t>$681.2349  (-12%)</w:t>
            </w:r>
          </w:p>
        </w:tc>
        <w:tc>
          <w:tcPr>
            <w:tcW w:type="dxa" w:w="900"/>
          </w:tcPr>
          <w:p>
            <w:pPr>
              <w:jc w:val="center"/>
            </w:pPr>
            <w:r>
              <w:rPr>
                <w:rFonts w:ascii="Calibri" w:hAnsi="Calibri"/>
                <w:b w:val="0"/>
                <w:i w:val="0"/>
                <w:sz w:val="16"/>
              </w:rPr>
              <w:t>40</w:t>
            </w:r>
          </w:p>
        </w:tc>
        <w:tc>
          <w:tcPr>
            <w:tcW w:type="dxa" w:w="900"/>
          </w:tcPr>
          <w:p>
            <w:pPr>
              <w:jc w:val="center"/>
            </w:pPr>
            <w:r>
              <w:rPr>
                <w:rFonts w:ascii="Calibri" w:hAnsi="Calibri"/>
                <w:b w:val="0"/>
                <w:i w:val="0"/>
                <w:sz w:val="16"/>
              </w:rPr>
              <w:t>1.77</w:t>
            </w:r>
          </w:p>
        </w:tc>
      </w:tr>
      <w:tr>
        <w:tc>
          <w:tcPr>
            <w:tcW w:type="dxa" w:w="1150"/>
            <w:shd w:val="clear" w:color="auto" w:fill="F2F5FB"/>
          </w:tcPr>
          <w:p>
            <w:pPr>
              <w:jc w:val="left"/>
            </w:pPr>
            <w:r>
              <w:rPr>
                <w:rFonts w:ascii="Calibri" w:hAnsi="Calibri"/>
                <w:b/>
                <w:i w:val="0"/>
                <w:sz w:val="16"/>
              </w:rPr>
              <w:t>XRP</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$1.5340</w:t>
            </w:r>
          </w:p>
        </w:tc>
        <w:tc>
          <w:tcPr>
            <w:tcW w:type="dxa" w:w="1700"/>
            <w:shd w:val="clear" w:color="auto" w:fill="F2F5FB"/>
          </w:tcPr>
          <w:p>
            <w:pPr>
              <w:jc w:val="center"/>
            </w:pPr>
            <w:r>
              <w:rPr>
                <w:rFonts w:ascii="Calibri" w:hAnsi="Calibri"/>
                <w:b w:val="0"/>
                <w:i w:val="0"/>
                <w:color w:val="1E7D32"/>
                <w:sz w:val="16"/>
              </w:rPr>
              <w:t>$1.9642  (+28%)</w:t>
            </w:r>
          </w:p>
        </w:tc>
        <w:tc>
          <w:tcPr>
            <w:tcW w:type="dxa" w:w="1600"/>
            <w:shd w:val="clear" w:color="auto" w:fill="F2F5FB"/>
          </w:tcPr>
          <w:p>
            <w:pPr>
              <w:jc w:val="center"/>
            </w:pPr>
            <w:r>
              <w:rPr>
                <w:rFonts w:ascii="Calibri" w:hAnsi="Calibri"/>
                <w:b w:val="0"/>
                <w:i w:val="0"/>
                <w:color w:val="C62828"/>
                <w:sz w:val="16"/>
              </w:rPr>
              <w:t>$1.3009  (-15%)</w:t>
            </w:r>
          </w:p>
        </w:tc>
        <w:tc>
          <w:tcPr>
            <w:tcW w:type="dxa" w:w="900"/>
            <w:shd w:val="clear" w:color="auto" w:fill="F2F5FB"/>
          </w:tcPr>
          <w:p>
            <w:pPr>
              <w:jc w:val="center"/>
            </w:pPr>
            <w:r>
              <w:rPr>
                <w:rFonts w:ascii="Calibri" w:hAnsi="Calibri"/>
                <w:b w:val="0"/>
                <w:i w:val="0"/>
                <w:sz w:val="16"/>
              </w:rPr>
              <w:t>31</w:t>
            </w:r>
          </w:p>
        </w:tc>
        <w:tc>
          <w:tcPr>
            <w:tcW w:type="dxa" w:w="900"/>
            <w:shd w:val="clear" w:color="auto" w:fill="F2F5FB"/>
          </w:tcPr>
          <w:p>
            <w:pPr>
              <w:jc w:val="center"/>
            </w:pPr>
            <w:r>
              <w:rPr>
                <w:rFonts w:ascii="Calibri" w:hAnsi="Calibri"/>
                <w:b w:val="0"/>
                <w:i w:val="0"/>
                <w:sz w:val="16"/>
              </w:rPr>
              <w:t>1.85</w:t>
            </w:r>
          </w:p>
        </w:tc>
      </w:tr>
      <w:tr>
        <w:tc>
          <w:tcPr>
            <w:tcW w:type="dxa" w:w="1150"/>
          </w:tcPr>
          <w:p>
            <w:pPr>
              <w:jc w:val="left"/>
            </w:pPr>
            <w:r>
              <w:rPr>
                <w:rFonts w:ascii="Calibri" w:hAnsi="Calibri"/>
                <w:b/>
                <w:i w:val="0"/>
                <w:sz w:val="16"/>
              </w:rPr>
              <w:t>SOL</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$117.0095</w:t>
            </w:r>
          </w:p>
        </w:tc>
        <w:tc>
          <w:tcPr>
            <w:tcW w:type="dxa" w:w="1700"/>
          </w:tcPr>
          <w:p>
            <w:pPr>
              <w:jc w:val="center"/>
            </w:pPr>
            <w:r>
              <w:rPr>
                <w:rFonts w:ascii="Calibri" w:hAnsi="Calibri"/>
                <w:b w:val="0"/>
                <w:i w:val="0"/>
                <w:color w:val="1E7D32"/>
                <w:sz w:val="16"/>
              </w:rPr>
              <w:t>$149.3995  (+28%)</w:t>
            </w:r>
          </w:p>
        </w:tc>
        <w:tc>
          <w:tcPr>
            <w:tcW w:type="dxa" w:w="1600"/>
          </w:tcPr>
          <w:p>
            <w:pPr>
              <w:jc w:val="center"/>
            </w:pPr>
            <w:r>
              <w:rPr>
                <w:rFonts w:ascii="Calibri" w:hAnsi="Calibri"/>
                <w:b w:val="0"/>
                <w:i w:val="0"/>
                <w:color w:val="C62828"/>
                <w:sz w:val="16"/>
              </w:rPr>
              <w:t>$99.4189  (-15%)</w:t>
            </w:r>
          </w:p>
        </w:tc>
        <w:tc>
          <w:tcPr>
            <w:tcW w:type="dxa" w:w="900"/>
          </w:tcPr>
          <w:p>
            <w:pPr>
              <w:jc w:val="center"/>
            </w:pPr>
            <w:r>
              <w:rPr>
                <w:rFonts w:ascii="Calibri" w:hAnsi="Calibri"/>
                <w:b w:val="0"/>
                <w:i w:val="0"/>
                <w:sz w:val="16"/>
              </w:rPr>
              <w:t>31</w:t>
            </w:r>
          </w:p>
        </w:tc>
        <w:tc>
          <w:tcPr>
            <w:tcW w:type="dxa" w:w="900"/>
          </w:tcPr>
          <w:p>
            <w:pPr>
              <w:jc w:val="center"/>
            </w:pPr>
            <w:r>
              <w:rPr>
                <w:rFonts w:ascii="Calibri" w:hAnsi="Calibri"/>
                <w:b w:val="0"/>
                <w:i w:val="0"/>
                <w:sz w:val="16"/>
              </w:rPr>
              <w:t>1.84</w:t>
            </w:r>
          </w:p>
        </w:tc>
      </w:tr>
      <w:tr>
        <w:tc>
          <w:tcPr>
            <w:tcW w:type="dxa" w:w="1150"/>
            <w:shd w:val="clear" w:color="auto" w:fill="F2F5FB"/>
          </w:tcPr>
          <w:p>
            <w:pPr>
              <w:jc w:val="left"/>
            </w:pPr>
            <w:r>
              <w:rPr>
                <w:rFonts w:ascii="Calibri" w:hAnsi="Calibri"/>
                <w:b/>
                <w:i w:val="0"/>
                <w:sz w:val="16"/>
              </w:rPr>
              <w:t>TRX</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$0.340147</w:t>
            </w:r>
          </w:p>
        </w:tc>
        <w:tc>
          <w:tcPr>
            <w:tcW w:type="dxa" w:w="1700"/>
            <w:shd w:val="clear" w:color="auto" w:fill="F2F5FB"/>
          </w:tcPr>
          <w:p>
            <w:pPr>
              <w:jc w:val="center"/>
            </w:pPr>
            <w:r>
              <w:rPr>
                <w:rFonts w:ascii="Calibri" w:hAnsi="Calibri"/>
                <w:b w:val="0"/>
                <w:i w:val="0"/>
                <w:color w:val="1E7D32"/>
                <w:sz w:val="16"/>
              </w:rPr>
              <w:t>$0.380073  (+12%)</w:t>
            </w:r>
          </w:p>
        </w:tc>
        <w:tc>
          <w:tcPr>
            <w:tcW w:type="dxa" w:w="1600"/>
            <w:shd w:val="clear" w:color="auto" w:fill="F2F5FB"/>
          </w:tcPr>
          <w:p>
            <w:pPr>
              <w:jc w:val="center"/>
            </w:pPr>
            <w:r>
              <w:rPr>
                <w:rFonts w:ascii="Calibri" w:hAnsi="Calibri"/>
                <w:b w:val="0"/>
                <w:i w:val="0"/>
                <w:color w:val="C62828"/>
                <w:sz w:val="16"/>
              </w:rPr>
              <w:t>$0.315887  (-7%)</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1.65</w:t>
            </w:r>
          </w:p>
        </w:tc>
      </w:tr>
      <w:tr>
        <w:tc>
          <w:tcPr>
            <w:tcW w:type="dxa" w:w="1150"/>
          </w:tcPr>
          <w:p>
            <w:pPr>
              <w:jc w:val="left"/>
            </w:pPr>
            <w:r>
              <w:rPr>
                <w:rFonts w:ascii="Calibri" w:hAnsi="Calibri"/>
                <w:b/>
                <w:i w:val="0"/>
                <w:sz w:val="16"/>
              </w:rPr>
              <w:t>ZEC</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$1 546.12</w:t>
            </w:r>
          </w:p>
        </w:tc>
        <w:tc>
          <w:tcPr>
            <w:tcW w:type="dxa" w:w="1700"/>
          </w:tcPr>
          <w:p>
            <w:pPr>
              <w:jc w:val="center"/>
            </w:pPr>
            <w:r>
              <w:rPr>
                <w:rFonts w:ascii="Calibri" w:hAnsi="Calibri"/>
                <w:b w:val="0"/>
                <w:i w:val="0"/>
                <w:color w:val="1E7D32"/>
                <w:sz w:val="16"/>
              </w:rPr>
              <w:t>$2 255.96  (+46%)</w:t>
            </w:r>
          </w:p>
        </w:tc>
        <w:tc>
          <w:tcPr>
            <w:tcW w:type="dxa" w:w="1600"/>
          </w:tcPr>
          <w:p>
            <w:pPr>
              <w:jc w:val="center"/>
            </w:pPr>
            <w:r>
              <w:rPr>
                <w:rFonts w:ascii="Calibri" w:hAnsi="Calibri"/>
                <w:b w:val="0"/>
                <w:i w:val="0"/>
                <w:color w:val="C62828"/>
                <w:sz w:val="16"/>
              </w:rPr>
              <w:t>$1 201.85  (-22%)</w:t>
            </w:r>
          </w:p>
        </w:tc>
        <w:tc>
          <w:tcPr>
            <w:tcW w:type="dxa" w:w="900"/>
          </w:tcPr>
          <w:p>
            <w:pPr>
              <w:jc w:val="center"/>
            </w:pPr>
            <w:r>
              <w:rPr>
                <w:rFonts w:ascii="Calibri" w:hAnsi="Calibri"/>
                <w:b w:val="0"/>
                <w:i w:val="0"/>
                <w:sz w:val="16"/>
              </w:rPr>
              <w:t>13</w:t>
            </w:r>
          </w:p>
        </w:tc>
        <w:tc>
          <w:tcPr>
            <w:tcW w:type="dxa" w:w="900"/>
          </w:tcPr>
          <w:p>
            <w:pPr>
              <w:jc w:val="center"/>
            </w:pPr>
            <w:r>
              <w:rPr>
                <w:rFonts w:ascii="Calibri" w:hAnsi="Calibri"/>
                <w:b w:val="0"/>
                <w:i w:val="0"/>
                <w:sz w:val="16"/>
              </w:rPr>
              <w:t>2.06</w:t>
            </w:r>
          </w:p>
        </w:tc>
      </w:tr>
      <w:tr>
        <w:tc>
          <w:tcPr>
            <w:tcW w:type="dxa" w:w="1150"/>
            <w:shd w:val="clear" w:color="auto" w:fill="F2F5FB"/>
          </w:tcPr>
          <w:p>
            <w:pPr>
              <w:jc w:val="left"/>
            </w:pPr>
            <w:r>
              <w:rPr>
                <w:rFonts w:ascii="Calibri" w:hAnsi="Calibri"/>
                <w:b/>
                <w:i w:val="0"/>
                <w:sz w:val="16"/>
              </w:rPr>
              <w:t>FIGR_HELOC</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$1.0259</w:t>
            </w:r>
          </w:p>
        </w:tc>
        <w:tc>
          <w:tcPr>
            <w:tcW w:type="dxa" w:w="1700"/>
            <w:shd w:val="clear" w:color="auto" w:fill="F2F5FB"/>
          </w:tcPr>
          <w:p>
            <w:pPr>
              <w:jc w:val="center"/>
            </w:pPr>
            <w:r>
              <w:rPr>
                <w:rFonts w:ascii="Calibri" w:hAnsi="Calibri"/>
                <w:b w:val="0"/>
                <w:i w:val="0"/>
                <w:color w:val="1E7D32"/>
                <w:sz w:val="16"/>
              </w:rPr>
              <w:t>$1.1067  (+8%)</w:t>
            </w:r>
          </w:p>
        </w:tc>
        <w:tc>
          <w:tcPr>
            <w:tcW w:type="dxa" w:w="1600"/>
            <w:shd w:val="clear" w:color="auto" w:fill="F2F5FB"/>
          </w:tcPr>
          <w:p>
            <w:pPr>
              <w:jc w:val="center"/>
            </w:pPr>
            <w:r>
              <w:rPr>
                <w:rFonts w:ascii="Calibri" w:hAnsi="Calibri"/>
                <w:b w:val="0"/>
                <w:i w:val="0"/>
                <w:color w:val="C62828"/>
                <w:sz w:val="16"/>
              </w:rPr>
              <w:t>$0.975348  (-5%)</w:t>
            </w:r>
          </w:p>
        </w:tc>
        <w:tc>
          <w:tcPr>
            <w:tcW w:type="dxa" w:w="900"/>
            <w:shd w:val="clear" w:color="auto" w:fill="F2F5FB"/>
          </w:tcPr>
          <w:p>
            <w:pPr>
              <w:jc w:val="center"/>
            </w:pPr>
            <w:r>
              <w:rPr>
                <w:rFonts w:ascii="Calibri" w:hAnsi="Calibri"/>
                <w:b w:val="0"/>
                <w:i w:val="0"/>
                <w:sz w:val="16"/>
              </w:rPr>
              <w:t>9</w:t>
            </w:r>
          </w:p>
        </w:tc>
        <w:tc>
          <w:tcPr>
            <w:tcW w:type="dxa" w:w="900"/>
            <w:shd w:val="clear" w:color="auto" w:fill="F2F5FB"/>
          </w:tcPr>
          <w:p>
            <w:pPr>
              <w:jc w:val="center"/>
            </w:pPr>
            <w:r>
              <w:rPr>
                <w:rFonts w:ascii="Calibri" w:hAnsi="Calibri"/>
                <w:b w:val="0"/>
                <w:i w:val="0"/>
                <w:sz w:val="16"/>
              </w:rPr>
              <w:t>1.6</w:t>
            </w:r>
          </w:p>
        </w:tc>
      </w:tr>
      <w:tr>
        <w:tc>
          <w:tcPr>
            <w:tcW w:type="dxa" w:w="1150"/>
          </w:tcPr>
          <w:p>
            <w:pPr>
              <w:jc w:val="left"/>
            </w:pPr>
            <w:r>
              <w:rPr>
                <w:rFonts w:ascii="Calibri" w:hAnsi="Calibri"/>
                <w:b/>
                <w:i w:val="0"/>
                <w:sz w:val="16"/>
              </w:rPr>
              <w:t>HYPE</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$92.0847</w:t>
            </w:r>
          </w:p>
        </w:tc>
        <w:tc>
          <w:tcPr>
            <w:tcW w:type="dxa" w:w="1700"/>
          </w:tcPr>
          <w:p>
            <w:pPr>
              <w:jc w:val="center"/>
            </w:pPr>
            <w:r>
              <w:rPr>
                <w:rFonts w:ascii="Calibri" w:hAnsi="Calibri"/>
                <w:b w:val="0"/>
                <w:i w:val="0"/>
                <w:color w:val="1E7D32"/>
                <w:sz w:val="16"/>
              </w:rPr>
              <w:t>$126.7823  (+38%)</w:t>
            </w:r>
          </w:p>
        </w:tc>
        <w:tc>
          <w:tcPr>
            <w:tcW w:type="dxa" w:w="1600"/>
          </w:tcPr>
          <w:p>
            <w:pPr>
              <w:jc w:val="center"/>
            </w:pPr>
            <w:r>
              <w:rPr>
                <w:rFonts w:ascii="Calibri" w:hAnsi="Calibri"/>
                <w:b w:val="0"/>
                <w:i w:val="0"/>
                <w:color w:val="C62828"/>
                <w:sz w:val="16"/>
              </w:rPr>
              <w:t>$74.4058  (-19%)</w:t>
            </w:r>
          </w:p>
        </w:tc>
        <w:tc>
          <w:tcPr>
            <w:tcW w:type="dxa" w:w="900"/>
          </w:tcPr>
          <w:p>
            <w:pPr>
              <w:jc w:val="center"/>
            </w:pPr>
            <w:r>
              <w:rPr>
                <w:rFonts w:ascii="Calibri" w:hAnsi="Calibri"/>
                <w:b w:val="0"/>
                <w:i w:val="0"/>
                <w:sz w:val="16"/>
              </w:rPr>
              <w:t>23</w:t>
            </w:r>
          </w:p>
        </w:tc>
        <w:tc>
          <w:tcPr>
            <w:tcW w:type="dxa" w:w="900"/>
          </w:tcPr>
          <w:p>
            <w:pPr>
              <w:jc w:val="center"/>
            </w:pPr>
            <w:r>
              <w:rPr>
                <w:rFonts w:ascii="Calibri" w:hAnsi="Calibri"/>
                <w:b w:val="0"/>
                <w:i w:val="0"/>
                <w:sz w:val="16"/>
              </w:rPr>
              <w:t>1.96</w:t>
            </w:r>
          </w:p>
        </w:tc>
      </w:tr>
      <w:tr>
        <w:tc>
          <w:tcPr>
            <w:tcW w:type="dxa" w:w="1150"/>
            <w:shd w:val="clear" w:color="auto" w:fill="F2F5FB"/>
          </w:tcPr>
          <w:p>
            <w:pPr>
              <w:jc w:val="left"/>
            </w:pPr>
            <w:r>
              <w:rPr>
                <w:rFonts w:ascii="Calibri" w:hAnsi="Calibri"/>
                <w:b/>
                <w:i w:val="0"/>
                <w:sz w:val="16"/>
              </w:rPr>
              <w:t>DOGE</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$0.095748</w:t>
            </w:r>
          </w:p>
        </w:tc>
        <w:tc>
          <w:tcPr>
            <w:tcW w:type="dxa" w:w="1700"/>
            <w:shd w:val="clear" w:color="auto" w:fill="F2F5FB"/>
          </w:tcPr>
          <w:p>
            <w:pPr>
              <w:jc w:val="center"/>
            </w:pPr>
            <w:r>
              <w:rPr>
                <w:rFonts w:ascii="Calibri" w:hAnsi="Calibri"/>
                <w:b w:val="0"/>
                <w:i w:val="0"/>
                <w:color w:val="1E7D32"/>
                <w:sz w:val="16"/>
              </w:rPr>
              <w:t>$0.121355  (+27%)</w:t>
            </w:r>
          </w:p>
        </w:tc>
        <w:tc>
          <w:tcPr>
            <w:tcW w:type="dxa" w:w="1600"/>
            <w:shd w:val="clear" w:color="auto" w:fill="F2F5FB"/>
          </w:tcPr>
          <w:p>
            <w:pPr>
              <w:jc w:val="center"/>
            </w:pPr>
            <w:r>
              <w:rPr>
                <w:rFonts w:ascii="Calibri" w:hAnsi="Calibri"/>
                <w:b w:val="0"/>
                <w:i w:val="0"/>
                <w:color w:val="C62828"/>
                <w:sz w:val="16"/>
              </w:rPr>
              <w:t>$0.081755  (-15%)</w:t>
            </w:r>
          </w:p>
        </w:tc>
        <w:tc>
          <w:tcPr>
            <w:tcW w:type="dxa" w:w="900"/>
            <w:shd w:val="clear" w:color="auto" w:fill="F2F5FB"/>
          </w:tcPr>
          <w:p>
            <w:pPr>
              <w:jc w:val="center"/>
            </w:pPr>
            <w:r>
              <w:rPr>
                <w:rFonts w:ascii="Calibri" w:hAnsi="Calibri"/>
                <w:b w:val="0"/>
                <w:i w:val="0"/>
                <w:sz w:val="16"/>
              </w:rPr>
              <w:t>29</w:t>
            </w:r>
          </w:p>
        </w:tc>
        <w:tc>
          <w:tcPr>
            <w:tcW w:type="dxa" w:w="900"/>
            <w:shd w:val="clear" w:color="auto" w:fill="F2F5FB"/>
          </w:tcPr>
          <w:p>
            <w:pPr>
              <w:jc w:val="center"/>
            </w:pPr>
            <w:r>
              <w:rPr>
                <w:rFonts w:ascii="Calibri" w:hAnsi="Calibri"/>
                <w:b w:val="0"/>
                <w:i w:val="0"/>
                <w:sz w:val="16"/>
              </w:rPr>
              <w:t>1.83</w:t>
            </w:r>
          </w:p>
        </w:tc>
      </w:tr>
      <w:tr>
        <w:tc>
          <w:tcPr>
            <w:tcW w:type="dxa" w:w="1150"/>
          </w:tcPr>
          <w:p>
            <w:pPr>
              <w:jc w:val="left"/>
            </w:pPr>
            <w:r>
              <w:rPr>
                <w:rFonts w:ascii="Calibri" w:hAnsi="Calibri"/>
                <w:b/>
                <w:i w:val="0"/>
                <w:sz w:val="16"/>
              </w:rPr>
              <w:t>XMR</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$565.5865</w:t>
            </w:r>
          </w:p>
        </w:tc>
        <w:tc>
          <w:tcPr>
            <w:tcW w:type="dxa" w:w="1700"/>
          </w:tcPr>
          <w:p>
            <w:pPr>
              <w:jc w:val="center"/>
            </w:pPr>
            <w:r>
              <w:rPr>
                <w:rFonts w:ascii="Calibri" w:hAnsi="Calibri"/>
                <w:b w:val="0"/>
                <w:i w:val="0"/>
                <w:color w:val="1E7D32"/>
                <w:sz w:val="16"/>
              </w:rPr>
              <w:t>$750.0675  (+33%)</w:t>
            </w:r>
          </w:p>
        </w:tc>
        <w:tc>
          <w:tcPr>
            <w:tcW w:type="dxa" w:w="1600"/>
          </w:tcPr>
          <w:p>
            <w:pPr>
              <w:jc w:val="center"/>
            </w:pPr>
            <w:r>
              <w:rPr>
                <w:rFonts w:ascii="Calibri" w:hAnsi="Calibri"/>
                <w:b w:val="0"/>
                <w:i w:val="0"/>
                <w:color w:val="C62828"/>
                <w:sz w:val="16"/>
              </w:rPr>
              <w:t>$468.5596  (-17%)</w:t>
            </w:r>
          </w:p>
        </w:tc>
        <w:tc>
          <w:tcPr>
            <w:tcW w:type="dxa" w:w="900"/>
          </w:tcPr>
          <w:p>
            <w:pPr>
              <w:jc w:val="center"/>
            </w:pPr>
            <w:r>
              <w:rPr>
                <w:rFonts w:ascii="Calibri" w:hAnsi="Calibri"/>
                <w:b w:val="0"/>
                <w:i w:val="0"/>
                <w:sz w:val="16"/>
              </w:rPr>
              <w:t>25</w:t>
            </w:r>
          </w:p>
        </w:tc>
        <w:tc>
          <w:tcPr>
            <w:tcW w:type="dxa" w:w="900"/>
          </w:tcPr>
          <w:p>
            <w:pPr>
              <w:jc w:val="center"/>
            </w:pPr>
            <w:r>
              <w:rPr>
                <w:rFonts w:ascii="Calibri" w:hAnsi="Calibri"/>
                <w:b w:val="0"/>
                <w:i w:val="0"/>
                <w:sz w:val="16"/>
              </w:rPr>
              <w:t>1.9</w:t>
            </w:r>
          </w:p>
        </w:tc>
      </w:tr>
      <w:tr>
        <w:tc>
          <w:tcPr>
            <w:tcW w:type="dxa" w:w="1150"/>
            <w:shd w:val="clear" w:color="auto" w:fill="F2F5FB"/>
          </w:tcPr>
          <w:p>
            <w:pPr>
              <w:jc w:val="left"/>
            </w:pPr>
            <w:r>
              <w:rPr>
                <w:rFonts w:ascii="Calibri" w:hAnsi="Calibri"/>
                <w:b/>
                <w:i w:val="0"/>
                <w:sz w:val="16"/>
              </w:rPr>
              <w:t>LINK</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$13.2136</w:t>
            </w:r>
          </w:p>
        </w:tc>
        <w:tc>
          <w:tcPr>
            <w:tcW w:type="dxa" w:w="1700"/>
            <w:shd w:val="clear" w:color="auto" w:fill="F2F5FB"/>
          </w:tcPr>
          <w:p>
            <w:pPr>
              <w:jc w:val="center"/>
            </w:pPr>
            <w:r>
              <w:rPr>
                <w:rFonts w:ascii="Calibri" w:hAnsi="Calibri"/>
                <w:b w:val="0"/>
                <w:i w:val="0"/>
                <w:color w:val="1E7D32"/>
                <w:sz w:val="16"/>
              </w:rPr>
              <w:t>$16.8409  (+27%)</w:t>
            </w:r>
          </w:p>
        </w:tc>
        <w:tc>
          <w:tcPr>
            <w:tcW w:type="dxa" w:w="1600"/>
            <w:shd w:val="clear" w:color="auto" w:fill="F2F5FB"/>
          </w:tcPr>
          <w:p>
            <w:pPr>
              <w:jc w:val="center"/>
            </w:pPr>
            <w:r>
              <w:rPr>
                <w:rFonts w:ascii="Calibri" w:hAnsi="Calibri"/>
                <w:b w:val="0"/>
                <w:i w:val="0"/>
                <w:color w:val="C62828"/>
                <w:sz w:val="16"/>
              </w:rPr>
              <w:t>$11.2407  (-15%)</w:t>
            </w:r>
          </w:p>
        </w:tc>
        <w:tc>
          <w:tcPr>
            <w:tcW w:type="dxa" w:w="900"/>
            <w:shd w:val="clear" w:color="auto" w:fill="F2F5FB"/>
          </w:tcPr>
          <w:p>
            <w:pPr>
              <w:jc w:val="center"/>
            </w:pPr>
            <w:r>
              <w:rPr>
                <w:rFonts w:ascii="Calibri" w:hAnsi="Calibri"/>
                <w:b w:val="0"/>
                <w:i w:val="0"/>
                <w:sz w:val="16"/>
              </w:rPr>
              <w:t>28</w:t>
            </w:r>
          </w:p>
        </w:tc>
        <w:tc>
          <w:tcPr>
            <w:tcW w:type="dxa" w:w="900"/>
            <w:shd w:val="clear" w:color="auto" w:fill="F2F5FB"/>
          </w:tcPr>
          <w:p>
            <w:pPr>
              <w:jc w:val="center"/>
            </w:pPr>
            <w:r>
              <w:rPr>
                <w:rFonts w:ascii="Calibri" w:hAnsi="Calibri"/>
                <w:b w:val="0"/>
                <w:i w:val="0"/>
                <w:sz w:val="16"/>
              </w:rPr>
              <w:t>1.84</w:t>
            </w:r>
          </w:p>
        </w:tc>
      </w:tr>
      <w:tr>
        <w:tc>
          <w:tcPr>
            <w:tcW w:type="dxa" w:w="1150"/>
          </w:tcPr>
          <w:p>
            <w:pPr>
              <w:jc w:val="left"/>
            </w:pPr>
            <w:r>
              <w:rPr>
                <w:rFonts w:ascii="Calibri" w:hAnsi="Calibri"/>
                <w:b/>
                <w:i w:val="0"/>
                <w:sz w:val="16"/>
              </w:rPr>
              <w:t>WBT</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$84.1557</w:t>
            </w:r>
          </w:p>
        </w:tc>
        <w:tc>
          <w:tcPr>
            <w:tcW w:type="dxa" w:w="1700"/>
          </w:tcPr>
          <w:p>
            <w:pPr>
              <w:jc w:val="center"/>
            </w:pPr>
            <w:r>
              <w:rPr>
                <w:rFonts w:ascii="Calibri" w:hAnsi="Calibri"/>
                <w:b w:val="0"/>
                <w:i w:val="0"/>
                <w:color w:val="1E7D32"/>
                <w:sz w:val="16"/>
              </w:rPr>
              <w:t>$107.6025  (+28%)</w:t>
            </w:r>
          </w:p>
        </w:tc>
        <w:tc>
          <w:tcPr>
            <w:tcW w:type="dxa" w:w="1600"/>
          </w:tcPr>
          <w:p>
            <w:pPr>
              <w:jc w:val="center"/>
            </w:pPr>
            <w:r>
              <w:rPr>
                <w:rFonts w:ascii="Calibri" w:hAnsi="Calibri"/>
                <w:b w:val="0"/>
                <w:i w:val="0"/>
                <w:color w:val="C62828"/>
                <w:sz w:val="16"/>
              </w:rPr>
              <w:t>$71.4372  (-15%)</w:t>
            </w:r>
          </w:p>
        </w:tc>
        <w:tc>
          <w:tcPr>
            <w:tcW w:type="dxa" w:w="900"/>
          </w:tcPr>
          <w:p>
            <w:pPr>
              <w:jc w:val="center"/>
            </w:pPr>
            <w:r>
              <w:rPr>
                <w:rFonts w:ascii="Calibri" w:hAnsi="Calibri"/>
                <w:b w:val="0"/>
                <w:i w:val="0"/>
                <w:sz w:val="16"/>
              </w:rPr>
              <w:t>38</w:t>
            </w:r>
          </w:p>
        </w:tc>
        <w:tc>
          <w:tcPr>
            <w:tcW w:type="dxa" w:w="900"/>
          </w:tcPr>
          <w:p>
            <w:pPr>
              <w:jc w:val="center"/>
            </w:pPr>
            <w:r>
              <w:rPr>
                <w:rFonts w:ascii="Calibri" w:hAnsi="Calibri"/>
                <w:b w:val="0"/>
                <w:i w:val="0"/>
                <w:sz w:val="16"/>
              </w:rPr>
              <w:t>1.84</w:t>
            </w:r>
          </w:p>
        </w:tc>
      </w:tr>
      <w:tr>
        <w:tc>
          <w:tcPr>
            <w:tcW w:type="dxa" w:w="1150"/>
            <w:shd w:val="clear" w:color="auto" w:fill="F2F5FB"/>
          </w:tcPr>
          <w:p>
            <w:pPr>
              <w:jc w:val="left"/>
            </w:pPr>
            <w:r>
              <w:rPr>
                <w:rFonts w:ascii="Calibri" w:hAnsi="Calibri"/>
                <w:b/>
                <w:i w:val="0"/>
                <w:sz w:val="16"/>
              </w:rPr>
              <w:t>ADA</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$0.247590</w:t>
            </w:r>
          </w:p>
        </w:tc>
        <w:tc>
          <w:tcPr>
            <w:tcW w:type="dxa" w:w="1700"/>
            <w:shd w:val="clear" w:color="auto" w:fill="F2F5FB"/>
          </w:tcPr>
          <w:p>
            <w:pPr>
              <w:jc w:val="center"/>
            </w:pPr>
            <w:r>
              <w:rPr>
                <w:rFonts w:ascii="Calibri" w:hAnsi="Calibri"/>
                <w:b w:val="0"/>
                <w:i w:val="0"/>
                <w:color w:val="1E7D32"/>
                <w:sz w:val="16"/>
              </w:rPr>
              <w:t>$0.327315  (+32%)</w:t>
            </w:r>
          </w:p>
        </w:tc>
        <w:tc>
          <w:tcPr>
            <w:tcW w:type="dxa" w:w="1600"/>
            <w:shd w:val="clear" w:color="auto" w:fill="F2F5FB"/>
          </w:tcPr>
          <w:p>
            <w:pPr>
              <w:jc w:val="center"/>
            </w:pPr>
            <w:r>
              <w:rPr>
                <w:rFonts w:ascii="Calibri" w:hAnsi="Calibri"/>
                <w:b w:val="0"/>
                <w:i w:val="0"/>
                <w:color w:val="C62828"/>
                <w:sz w:val="16"/>
              </w:rPr>
              <w:t>$0.205547  (-17%)</w:t>
            </w:r>
          </w:p>
        </w:tc>
        <w:tc>
          <w:tcPr>
            <w:tcW w:type="dxa" w:w="900"/>
            <w:shd w:val="clear" w:color="auto" w:fill="F2F5FB"/>
          </w:tcPr>
          <w:p>
            <w:pPr>
              <w:jc w:val="center"/>
            </w:pPr>
            <w:r>
              <w:rPr>
                <w:rFonts w:ascii="Calibri" w:hAnsi="Calibri"/>
                <w:b w:val="0"/>
                <w:i w:val="0"/>
                <w:sz w:val="16"/>
              </w:rPr>
              <w:t>25</w:t>
            </w:r>
          </w:p>
        </w:tc>
        <w:tc>
          <w:tcPr>
            <w:tcW w:type="dxa" w:w="900"/>
            <w:shd w:val="clear" w:color="auto" w:fill="F2F5FB"/>
          </w:tcPr>
          <w:p>
            <w:pPr>
              <w:jc w:val="center"/>
            </w:pPr>
            <w:r>
              <w:rPr>
                <w:rFonts w:ascii="Calibri" w:hAnsi="Calibri"/>
                <w:b w:val="0"/>
                <w:i w:val="0"/>
                <w:sz w:val="16"/>
              </w:rPr>
              <w:t>1.9</w:t>
            </w:r>
          </w:p>
        </w:tc>
      </w:tr>
      <w:tr>
        <w:tc>
          <w:tcPr>
            <w:tcW w:type="dxa" w:w="1150"/>
          </w:tcPr>
          <w:p>
            <w:pPr>
              <w:jc w:val="left"/>
            </w:pPr>
            <w:r>
              <w:rPr>
                <w:rFonts w:ascii="Calibri" w:hAnsi="Calibri"/>
                <w:b/>
                <w:i w:val="0"/>
                <w:sz w:val="16"/>
              </w:rPr>
              <w:t>RAIN</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$0.012032</w:t>
            </w:r>
          </w:p>
        </w:tc>
        <w:tc>
          <w:tcPr>
            <w:tcW w:type="dxa" w:w="1700"/>
          </w:tcPr>
          <w:p>
            <w:pPr>
              <w:jc w:val="center"/>
            </w:pPr>
            <w:r>
              <w:rPr>
                <w:rFonts w:ascii="Calibri" w:hAnsi="Calibri"/>
                <w:b w:val="0"/>
                <w:i w:val="0"/>
                <w:color w:val="1E7D32"/>
                <w:sz w:val="16"/>
              </w:rPr>
              <w:t>$0.016382  (+36%)</w:t>
            </w:r>
          </w:p>
        </w:tc>
        <w:tc>
          <w:tcPr>
            <w:tcW w:type="dxa" w:w="1600"/>
          </w:tcPr>
          <w:p>
            <w:pPr>
              <w:jc w:val="center"/>
            </w:pPr>
            <w:r>
              <w:rPr>
                <w:rFonts w:ascii="Calibri" w:hAnsi="Calibri"/>
                <w:b w:val="0"/>
                <w:i w:val="0"/>
                <w:color w:val="C62828"/>
                <w:sz w:val="16"/>
              </w:rPr>
              <w:t>$0.009795  (-19%)</w:t>
            </w:r>
          </w:p>
        </w:tc>
        <w:tc>
          <w:tcPr>
            <w:tcW w:type="dxa" w:w="900"/>
          </w:tcPr>
          <w:p>
            <w:pPr>
              <w:jc w:val="center"/>
            </w:pPr>
            <w:r>
              <w:rPr>
                <w:rFonts w:ascii="Calibri" w:hAnsi="Calibri"/>
                <w:b w:val="0"/>
                <w:i w:val="0"/>
                <w:sz w:val="16"/>
              </w:rPr>
              <w:t>18</w:t>
            </w:r>
          </w:p>
        </w:tc>
        <w:tc>
          <w:tcPr>
            <w:tcW w:type="dxa" w:w="900"/>
          </w:tcPr>
          <w:p>
            <w:pPr>
              <w:jc w:val="center"/>
            </w:pPr>
            <w:r>
              <w:rPr>
                <w:rFonts w:ascii="Calibri" w:hAnsi="Calibri"/>
                <w:b w:val="0"/>
                <w:i w:val="0"/>
                <w:sz w:val="16"/>
              </w:rPr>
              <w:t>1.94</w:t>
            </w:r>
          </w:p>
        </w:tc>
      </w:tr>
      <w:tr>
        <w:tc>
          <w:tcPr>
            <w:tcW w:type="dxa" w:w="1150"/>
            <w:shd w:val="clear" w:color="auto" w:fill="F2F5FB"/>
          </w:tcPr>
          <w:p>
            <w:pPr>
              <w:jc w:val="left"/>
            </w:pPr>
            <w:r>
              <w:rPr>
                <w:rFonts w:ascii="Calibri" w:hAnsi="Calibri"/>
                <w:b/>
                <w:i w:val="0"/>
                <w:sz w:val="16"/>
              </w:rPr>
              <w:t>LEO</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$8.9149</w:t>
            </w:r>
          </w:p>
        </w:tc>
        <w:tc>
          <w:tcPr>
            <w:tcW w:type="dxa" w:w="1700"/>
            <w:shd w:val="clear" w:color="auto" w:fill="F2F5FB"/>
          </w:tcPr>
          <w:p>
            <w:pPr>
              <w:jc w:val="center"/>
            </w:pPr>
            <w:r>
              <w:rPr>
                <w:rFonts w:ascii="Calibri" w:hAnsi="Calibri"/>
                <w:b w:val="0"/>
                <w:i w:val="0"/>
                <w:color w:val="1E7D32"/>
                <w:sz w:val="16"/>
              </w:rPr>
              <w:t>$10.1733  (+14%)</w:t>
            </w:r>
          </w:p>
        </w:tc>
        <w:tc>
          <w:tcPr>
            <w:tcW w:type="dxa" w:w="1600"/>
            <w:shd w:val="clear" w:color="auto" w:fill="F2F5FB"/>
          </w:tcPr>
          <w:p>
            <w:pPr>
              <w:jc w:val="center"/>
            </w:pPr>
            <w:r>
              <w:rPr>
                <w:rFonts w:ascii="Calibri" w:hAnsi="Calibri"/>
                <w:b w:val="0"/>
                <w:i w:val="0"/>
                <w:color w:val="C62828"/>
                <w:sz w:val="16"/>
              </w:rPr>
              <w:t>$8.1637  (-8%)</w:t>
            </w:r>
          </w:p>
        </w:tc>
        <w:tc>
          <w:tcPr>
            <w:tcW w:type="dxa" w:w="900"/>
            <w:shd w:val="clear" w:color="auto" w:fill="F2F5FB"/>
          </w:tcPr>
          <w:p>
            <w:pPr>
              <w:jc w:val="center"/>
            </w:pPr>
            <w:r>
              <w:rPr>
                <w:rFonts w:ascii="Calibri" w:hAnsi="Calibri"/>
                <w:b w:val="0"/>
                <w:i w:val="0"/>
                <w:sz w:val="16"/>
              </w:rPr>
              <w:t>38</w:t>
            </w:r>
          </w:p>
        </w:tc>
        <w:tc>
          <w:tcPr>
            <w:tcW w:type="dxa" w:w="900"/>
            <w:shd w:val="clear" w:color="auto" w:fill="F2F5FB"/>
          </w:tcPr>
          <w:p>
            <w:pPr>
              <w:jc w:val="center"/>
            </w:pPr>
            <w:r>
              <w:rPr>
                <w:rFonts w:ascii="Calibri" w:hAnsi="Calibri"/>
                <w:b w:val="0"/>
                <w:i w:val="0"/>
                <w:sz w:val="16"/>
              </w:rPr>
              <w:t>1.68</w:t>
            </w:r>
          </w:p>
        </w:tc>
      </w:tr>
      <w:tr>
        <w:tc>
          <w:tcPr>
            <w:tcW w:type="dxa" w:w="1150"/>
          </w:tcPr>
          <w:p>
            <w:pPr>
              <w:jc w:val="left"/>
            </w:pPr>
            <w:r>
              <w:rPr>
                <w:rFonts w:ascii="Calibri" w:hAnsi="Calibri"/>
                <w:b/>
                <w:i w:val="0"/>
                <w:sz w:val="16"/>
              </w:rPr>
              <w:t>XLM</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$0.217435</w:t>
            </w:r>
          </w:p>
        </w:tc>
        <w:tc>
          <w:tcPr>
            <w:tcW w:type="dxa" w:w="1700"/>
          </w:tcPr>
          <w:p>
            <w:pPr>
              <w:jc w:val="center"/>
            </w:pPr>
            <w:r>
              <w:rPr>
                <w:rFonts w:ascii="Calibri" w:hAnsi="Calibri"/>
                <w:b w:val="0"/>
                <w:i w:val="0"/>
                <w:color w:val="1E7D32"/>
                <w:sz w:val="16"/>
              </w:rPr>
              <w:t>$0.304964  (+40%)</w:t>
            </w:r>
          </w:p>
        </w:tc>
        <w:tc>
          <w:tcPr>
            <w:tcW w:type="dxa" w:w="1600"/>
          </w:tcPr>
          <w:p>
            <w:pPr>
              <w:jc w:val="center"/>
            </w:pPr>
            <w:r>
              <w:rPr>
                <w:rFonts w:ascii="Calibri" w:hAnsi="Calibri"/>
                <w:b w:val="0"/>
                <w:i w:val="0"/>
                <w:color w:val="C62828"/>
                <w:sz w:val="16"/>
              </w:rPr>
              <w:t>$0.173533  (-20%)</w:t>
            </w:r>
          </w:p>
        </w:tc>
        <w:tc>
          <w:tcPr>
            <w:tcW w:type="dxa" w:w="900"/>
          </w:tcPr>
          <w:p>
            <w:pPr>
              <w:jc w:val="center"/>
            </w:pPr>
            <w:r>
              <w:rPr>
                <w:rFonts w:ascii="Calibri" w:hAnsi="Calibri"/>
                <w:b w:val="0"/>
                <w:i w:val="0"/>
                <w:sz w:val="16"/>
              </w:rPr>
              <w:t>26</w:t>
            </w:r>
          </w:p>
        </w:tc>
        <w:tc>
          <w:tcPr>
            <w:tcW w:type="dxa" w:w="900"/>
          </w:tcPr>
          <w:p>
            <w:pPr>
              <w:jc w:val="center"/>
            </w:pPr>
            <w:r>
              <w:rPr>
                <w:rFonts w:ascii="Calibri" w:hAnsi="Calibri"/>
                <w:b w:val="0"/>
                <w:i w:val="0"/>
                <w:sz w:val="16"/>
              </w:rPr>
              <w:t>1.99</w:t>
            </w:r>
          </w:p>
        </w:tc>
      </w:tr>
      <w:tr>
        <w:tc>
          <w:tcPr>
            <w:tcW w:type="dxa" w:w="1150"/>
            <w:shd w:val="clear" w:color="auto" w:fill="F2F5FB"/>
          </w:tcPr>
          <w:p>
            <w:pPr>
              <w:jc w:val="left"/>
            </w:pPr>
            <w:r>
              <w:rPr>
                <w:rFonts w:ascii="Calibri" w:hAnsi="Calibri"/>
                <w:b/>
                <w:i w:val="0"/>
                <w:sz w:val="16"/>
              </w:rPr>
              <w:t>BCH</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$338.3931</w:t>
            </w:r>
          </w:p>
        </w:tc>
        <w:tc>
          <w:tcPr>
            <w:tcW w:type="dxa" w:w="1700"/>
            <w:shd w:val="clear" w:color="auto" w:fill="F2F5FB"/>
          </w:tcPr>
          <w:p>
            <w:pPr>
              <w:jc w:val="center"/>
            </w:pPr>
            <w:r>
              <w:rPr>
                <w:rFonts w:ascii="Calibri" w:hAnsi="Calibri"/>
                <w:b w:val="0"/>
                <w:i w:val="0"/>
                <w:color w:val="1E7D32"/>
                <w:sz w:val="16"/>
              </w:rPr>
              <w:t>$472.2042  (+40%)</w:t>
            </w:r>
          </w:p>
        </w:tc>
        <w:tc>
          <w:tcPr>
            <w:tcW w:type="dxa" w:w="1600"/>
            <w:shd w:val="clear" w:color="auto" w:fill="F2F5FB"/>
          </w:tcPr>
          <w:p>
            <w:pPr>
              <w:jc w:val="center"/>
            </w:pPr>
            <w:r>
              <w:rPr>
                <w:rFonts w:ascii="Calibri" w:hAnsi="Calibri"/>
                <w:b w:val="0"/>
                <w:i w:val="0"/>
                <w:color w:val="C62828"/>
                <w:sz w:val="16"/>
              </w:rPr>
              <w:t>$270.9875  (-20%)</w:t>
            </w:r>
          </w:p>
        </w:tc>
        <w:tc>
          <w:tcPr>
            <w:tcW w:type="dxa" w:w="900"/>
            <w:shd w:val="clear" w:color="auto" w:fill="F2F5FB"/>
          </w:tcPr>
          <w:p>
            <w:pPr>
              <w:jc w:val="center"/>
            </w:pPr>
            <w:r>
              <w:rPr>
                <w:rFonts w:ascii="Calibri" w:hAnsi="Calibri"/>
                <w:b w:val="0"/>
                <w:i w:val="0"/>
                <w:sz w:val="16"/>
              </w:rPr>
              <w:t>27</w:t>
            </w:r>
          </w:p>
        </w:tc>
        <w:tc>
          <w:tcPr>
            <w:tcW w:type="dxa" w:w="900"/>
            <w:shd w:val="clear" w:color="auto" w:fill="F2F5FB"/>
          </w:tcPr>
          <w:p>
            <w:pPr>
              <w:jc w:val="center"/>
            </w:pPr>
            <w:r>
              <w:rPr>
                <w:rFonts w:ascii="Calibri" w:hAnsi="Calibri"/>
                <w:b w:val="0"/>
                <w:i w:val="0"/>
                <w:sz w:val="16"/>
              </w:rPr>
              <w:t>1.99</w:t>
            </w:r>
          </w:p>
        </w:tc>
      </w:tr>
      <w:tr>
        <w:tc>
          <w:tcPr>
            <w:tcW w:type="dxa" w:w="1150"/>
          </w:tcPr>
          <w:p>
            <w:pPr>
              <w:jc w:val="left"/>
            </w:pPr>
            <w:r>
              <w:rPr>
                <w:rFonts w:ascii="Calibri" w:hAnsi="Calibri"/>
                <w:b/>
                <w:i w:val="0"/>
                <w:sz w:val="16"/>
              </w:rPr>
              <w:t>NEAR</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$4.5892</w:t>
            </w:r>
          </w:p>
        </w:tc>
        <w:tc>
          <w:tcPr>
            <w:tcW w:type="dxa" w:w="1700"/>
          </w:tcPr>
          <w:p>
            <w:pPr>
              <w:jc w:val="center"/>
            </w:pPr>
            <w:r>
              <w:rPr>
                <w:rFonts w:ascii="Calibri" w:hAnsi="Calibri"/>
                <w:b w:val="0"/>
                <w:i w:val="0"/>
                <w:color w:val="1E7D32"/>
                <w:sz w:val="16"/>
              </w:rPr>
              <w:t>$6.5631  (+43%)</w:t>
            </w:r>
          </w:p>
        </w:tc>
        <w:tc>
          <w:tcPr>
            <w:tcW w:type="dxa" w:w="1600"/>
          </w:tcPr>
          <w:p>
            <w:pPr>
              <w:jc w:val="center"/>
            </w:pPr>
            <w:r>
              <w:rPr>
                <w:rFonts w:ascii="Calibri" w:hAnsi="Calibri"/>
                <w:b w:val="0"/>
                <w:i w:val="0"/>
                <w:color w:val="C62828"/>
                <w:sz w:val="16"/>
              </w:rPr>
              <w:t>$3.6154  (-21%)</w:t>
            </w:r>
          </w:p>
        </w:tc>
        <w:tc>
          <w:tcPr>
            <w:tcW w:type="dxa" w:w="900"/>
          </w:tcPr>
          <w:p>
            <w:pPr>
              <w:jc w:val="center"/>
            </w:pPr>
            <w:r>
              <w:rPr>
                <w:rFonts w:ascii="Calibri" w:hAnsi="Calibri"/>
                <w:b w:val="0"/>
                <w:i w:val="0"/>
                <w:sz w:val="16"/>
              </w:rPr>
              <w:t>20</w:t>
            </w:r>
          </w:p>
        </w:tc>
        <w:tc>
          <w:tcPr>
            <w:tcW w:type="dxa" w:w="900"/>
          </w:tcPr>
          <w:p>
            <w:pPr>
              <w:jc w:val="center"/>
            </w:pPr>
            <w:r>
              <w:rPr>
                <w:rFonts w:ascii="Calibri" w:hAnsi="Calibri"/>
                <w:b w:val="0"/>
                <w:i w:val="0"/>
                <w:sz w:val="16"/>
              </w:rPr>
              <w:t>2.03</w:t>
            </w:r>
          </w:p>
        </w:tc>
      </w:tr>
      <w:tr>
        <w:tc>
          <w:tcPr>
            <w:tcW w:type="dxa" w:w="1150"/>
            <w:shd w:val="clear" w:color="auto" w:fill="F2F5FB"/>
          </w:tcPr>
          <w:p>
            <w:pPr>
              <w:jc w:val="left"/>
            </w:pPr>
            <w:r>
              <w:rPr>
                <w:rFonts w:ascii="Calibri" w:hAnsi="Calibri"/>
                <w:b/>
                <w:i w:val="0"/>
                <w:sz w:val="16"/>
              </w:rPr>
              <w:t>UNI</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$9.1473</w:t>
            </w:r>
          </w:p>
        </w:tc>
        <w:tc>
          <w:tcPr>
            <w:tcW w:type="dxa" w:w="1700"/>
            <w:shd w:val="clear" w:color="auto" w:fill="F2F5FB"/>
          </w:tcPr>
          <w:p>
            <w:pPr>
              <w:jc w:val="center"/>
            </w:pPr>
            <w:r>
              <w:rPr>
                <w:rFonts w:ascii="Calibri" w:hAnsi="Calibri"/>
                <w:b w:val="0"/>
                <w:i w:val="0"/>
                <w:color w:val="1E7D32"/>
                <w:sz w:val="16"/>
              </w:rPr>
              <w:t>$12.4906  (+37%)</w:t>
            </w:r>
          </w:p>
        </w:tc>
        <w:tc>
          <w:tcPr>
            <w:tcW w:type="dxa" w:w="1600"/>
            <w:shd w:val="clear" w:color="auto" w:fill="F2F5FB"/>
          </w:tcPr>
          <w:p>
            <w:pPr>
              <w:jc w:val="center"/>
            </w:pPr>
            <w:r>
              <w:rPr>
                <w:rFonts w:ascii="Calibri" w:hAnsi="Calibri"/>
                <w:b w:val="0"/>
                <w:i w:val="0"/>
                <w:color w:val="C62828"/>
                <w:sz w:val="16"/>
              </w:rPr>
              <w:t>$7.4318  (-19%)</w:t>
            </w:r>
          </w:p>
        </w:tc>
        <w:tc>
          <w:tcPr>
            <w:tcW w:type="dxa" w:w="900"/>
            <w:shd w:val="clear" w:color="auto" w:fill="F2F5FB"/>
          </w:tcPr>
          <w:p>
            <w:pPr>
              <w:jc w:val="center"/>
            </w:pPr>
            <w:r>
              <w:rPr>
                <w:rFonts w:ascii="Calibri" w:hAnsi="Calibri"/>
                <w:b w:val="0"/>
                <w:i w:val="0"/>
                <w:sz w:val="16"/>
              </w:rPr>
              <w:t>21</w:t>
            </w:r>
          </w:p>
        </w:tc>
        <w:tc>
          <w:tcPr>
            <w:tcW w:type="dxa" w:w="900"/>
            <w:shd w:val="clear" w:color="auto" w:fill="F2F5FB"/>
          </w:tcPr>
          <w:p>
            <w:pPr>
              <w:jc w:val="center"/>
            </w:pPr>
            <w:r>
              <w:rPr>
                <w:rFonts w:ascii="Calibri" w:hAnsi="Calibri"/>
                <w:b w:val="0"/>
                <w:i w:val="0"/>
                <w:sz w:val="16"/>
              </w:rPr>
              <w:t>1.95</w:t>
            </w:r>
          </w:p>
        </w:tc>
      </w:tr>
    </w:tbl>
    <w:p>
      <w:r>
        <w:rPr>
          <w:rFonts w:ascii="Calibri" w:hAnsi="Calibri"/>
          <w:b w:val="0"/>
          <w:i w:val="0"/>
          <w:color w:val="555555"/>
          <w:sz w:val="16"/>
        </w:rPr>
        <w:t>Ratio G/P = gain visé ÷ perte au stop (1,5 par défaut). Ces niveaux sont pleinement actionnables surtout quand la décision est INVESTIR ; pour CONSERVER/ÉVITER, ils servent de niveaux de surveillance. Ce ne sont pas des ordres ni un conseil.</w:t>
      </w:r>
    </w:p>
    <w:p>
      <w:r>
        <w:br w:type="page"/>
      </w:r>
    </w:p>
    <w:p>
      <w:pPr>
        <w:pStyle w:val="Heading1"/>
      </w:pPr>
      <w:r>
        <w:t>4. Analyse détaillée par crypto</w:t>
      </w:r>
    </w:p>
    <w:p>
      <w:pPr>
        <w:pStyle w:val="Heading2"/>
      </w:pPr>
      <w:r/>
      <w:r>
        <w:rPr>
          <w:rFonts w:ascii="Calibri" w:hAnsi="Calibri"/>
          <w:b/>
          <w:i w:val="0"/>
          <w:color w:val="1F3864"/>
          <w:sz w:val="26"/>
        </w:rPr>
        <w:t xml:space="preserve">BTC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$84 377.97   |   Composite +0.25   |   Indicateurs actifs : ma,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+1.5%  ·  volatilité annualisée +45.3%  ·  drawdown vs plus-haut -32.4%  ·  momentum 7j/30j/90j +10.5% / +7.5% / +40.6%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0.469)  ·  </w:t>
      </w:r>
      <w:r>
        <w:rPr>
          <w:rFonts w:ascii="Calibri" w:hAnsi="Calibri"/>
          <w:b w:val="0"/>
          <w:i w:val="0"/>
          <w:color w:val="1E7D32"/>
          <w:sz w:val="18"/>
        </w:rPr>
        <w:t>Risque vert (vol 0.45)</w:t>
      </w:r>
    </w:p>
    <w:p>
      <w:r>
        <w:rPr>
          <w:rFonts w:ascii="Calibri" w:hAnsi="Calibri"/>
          <w:b/>
          <w:i w:val="0"/>
          <w:sz w:val="19"/>
        </w:rPr>
        <w:t xml:space="preserve">Projection 30j (fourchette, pas une prévision) : </w:t>
      </w:r>
      <w:r>
        <w:rPr>
          <w:rFonts w:ascii="Calibri" w:hAnsi="Calibri"/>
          <w:b w:val="0"/>
          <w:i w:val="0"/>
          <w:sz w:val="19"/>
        </w:rPr>
        <w:t>-19% à +24%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~$84 377.97  ·  </w:t>
      </w:r>
      <w:r>
        <w:rPr>
          <w:rFonts w:ascii="Calibri" w:hAnsi="Calibri"/>
          <w:b w:val="0"/>
          <w:i w:val="0"/>
          <w:color w:val="1E7D32"/>
          <w:sz w:val="18"/>
        </w:rPr>
        <w:t>vente ↑ $103 260.69 (+22%)</w:t>
      </w:r>
      <w:r>
        <w:rPr>
          <w:rFonts w:ascii="Calibri" w:hAnsi="Calibri"/>
          <w:b w:val="0"/>
          <w:i w:val="0"/>
          <w:sz w:val="18"/>
        </w:rPr>
        <w:t xml:space="preserve">  ·  </w:t>
      </w:r>
      <w:r>
        <w:rPr>
          <w:rFonts w:ascii="Calibri" w:hAnsi="Calibri"/>
          <w:b w:val="0"/>
          <w:i w:val="0"/>
          <w:color w:val="C62828"/>
          <w:sz w:val="18"/>
        </w:rPr>
        <w:t>vente ↓ $73 749.38 (-13%)</w:t>
      </w:r>
      <w:r>
        <w:rPr>
          <w:rFonts w:ascii="Calibri" w:hAnsi="Calibri"/>
          <w:b w:val="0"/>
          <w:i w:val="0"/>
          <w:sz w:val="18"/>
        </w:rPr>
        <w:t xml:space="preserve">  ·  détention ~45 j  ·  ratio G/P 1.78</w:t>
      </w:r>
    </w:p>
    <w:p>
      <w:pPr>
        <w:pStyle w:val="Heading2"/>
      </w:pPr>
      <w:r/>
      <w:r>
        <w:rPr>
          <w:rFonts w:ascii="Calibri" w:hAnsi="Calibri"/>
          <w:b/>
          <w:i w:val="0"/>
          <w:color w:val="1F3864"/>
          <w:sz w:val="26"/>
        </w:rPr>
        <w:t xml:space="preserve">ETH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$2 687.13   |   Composite +0.25   |   Indicateurs actifs : ma,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+1.8%  ·  volatilité annualisée +64.2%  ·  drawdown vs plus-haut -42.7%  ·  momentum 7j/30j/90j +9.9% / +10.0% / +70.4%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83)  ·  </w:t>
      </w:r>
      <w:r>
        <w:rPr>
          <w:rFonts w:ascii="Calibri" w:hAnsi="Calibri"/>
          <w:b w:val="0"/>
          <w:i w:val="0"/>
          <w:sz w:val="18"/>
        </w:rPr>
        <w:t xml:space="preserve">Prédiction rouge (AUC 0.594)  ·  </w:t>
      </w:r>
      <w:r>
        <w:rPr>
          <w:rFonts w:ascii="Calibri" w:hAnsi="Calibri"/>
          <w:b w:val="0"/>
          <w:i w:val="0"/>
          <w:color w:val="1E7D32"/>
          <w:sz w:val="18"/>
        </w:rPr>
        <w:t>Risque vert (vol 0.64)</w:t>
      </w:r>
    </w:p>
    <w:p>
      <w:r>
        <w:rPr>
          <w:rFonts w:ascii="Calibri" w:hAnsi="Calibri"/>
          <w:b/>
          <w:i w:val="0"/>
          <w:sz w:val="19"/>
        </w:rPr>
        <w:t xml:space="preserve">Projection 30j (fourchette, pas une prévision) : </w:t>
      </w:r>
      <w:r>
        <w:rPr>
          <w:rFonts w:ascii="Calibri" w:hAnsi="Calibri"/>
          <w:b w:val="0"/>
          <w:i w:val="0"/>
          <w:sz w:val="19"/>
        </w:rPr>
        <w:t>-26% à +35%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~$2 687.13  ·  </w:t>
      </w:r>
      <w:r>
        <w:rPr>
          <w:rFonts w:ascii="Calibri" w:hAnsi="Calibri"/>
          <w:b w:val="0"/>
          <w:i w:val="0"/>
          <w:color w:val="1E7D32"/>
          <w:sz w:val="18"/>
        </w:rPr>
        <w:t>vente ↑ $3 419.47 (+27%)</w:t>
      </w:r>
      <w:r>
        <w:rPr>
          <w:rFonts w:ascii="Calibri" w:hAnsi="Calibri"/>
          <w:b w:val="0"/>
          <w:i w:val="0"/>
          <w:sz w:val="18"/>
        </w:rPr>
        <w:t xml:space="preserve">  ·  </w:t>
      </w:r>
      <w:r>
        <w:rPr>
          <w:rFonts w:ascii="Calibri" w:hAnsi="Calibri"/>
          <w:b w:val="0"/>
          <w:i w:val="0"/>
          <w:color w:val="C62828"/>
          <w:sz w:val="18"/>
        </w:rPr>
        <w:t>vente ↓ $2 288.27 (-15%)</w:t>
      </w:r>
      <w:r>
        <w:rPr>
          <w:rFonts w:ascii="Calibri" w:hAnsi="Calibri"/>
          <w:b w:val="0"/>
          <w:i w:val="0"/>
          <w:sz w:val="18"/>
        </w:rPr>
        <w:t xml:space="preserve">  ·  détention ~33 j  ·  ratio G/P 1.84</w:t>
      </w:r>
    </w:p>
    <w:p>
      <w:pPr>
        <w:pStyle w:val="Heading2"/>
      </w:pPr>
      <w:r/>
      <w:r>
        <w:rPr>
          <w:rFonts w:ascii="Calibri" w:hAnsi="Calibri"/>
          <w:b/>
          <w:i w:val="0"/>
          <w:color w:val="1F3864"/>
          <w:sz w:val="26"/>
        </w:rPr>
        <w:t xml:space="preserve">BNB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$776.4242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+1.7%  ·  volatilité annualisée +52.3%  ·  drawdown vs plus-haut -40.6%  ·  momentum 7j/30j/90j +5.2% / +11.8% / +37.0%</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65)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0.52)</w:t>
      </w:r>
    </w:p>
    <w:p>
      <w:r>
        <w:rPr>
          <w:rFonts w:ascii="Calibri" w:hAnsi="Calibri"/>
          <w:b/>
          <w:i w:val="0"/>
          <w:sz w:val="19"/>
        </w:rPr>
        <w:t xml:space="preserve">Projection 30j (fourchette, pas une prévision) : </w:t>
      </w:r>
      <w:r>
        <w:rPr>
          <w:rFonts w:ascii="Calibri" w:hAnsi="Calibri"/>
          <w:b w:val="0"/>
          <w:i w:val="0"/>
          <w:sz w:val="19"/>
        </w:rPr>
        <w:t>-20% à +25%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~$776.4242  ·  </w:t>
      </w:r>
      <w:r>
        <w:rPr>
          <w:rFonts w:ascii="Calibri" w:hAnsi="Calibri"/>
          <w:b w:val="0"/>
          <w:i w:val="0"/>
          <w:color w:val="1E7D32"/>
          <w:sz w:val="18"/>
        </w:rPr>
        <w:t>vente ↑ $944.7183 (+22%)</w:t>
      </w:r>
      <w:r>
        <w:rPr>
          <w:rFonts w:ascii="Calibri" w:hAnsi="Calibri"/>
          <w:b w:val="0"/>
          <w:i w:val="0"/>
          <w:sz w:val="18"/>
        </w:rPr>
        <w:t xml:space="preserve">  ·  </w:t>
      </w:r>
      <w:r>
        <w:rPr>
          <w:rFonts w:ascii="Calibri" w:hAnsi="Calibri"/>
          <w:b w:val="0"/>
          <w:i w:val="0"/>
          <w:color w:val="C62828"/>
          <w:sz w:val="18"/>
        </w:rPr>
        <w:t>vente ↓ $681.2349 (-12%)</w:t>
      </w:r>
      <w:r>
        <w:rPr>
          <w:rFonts w:ascii="Calibri" w:hAnsi="Calibri"/>
          <w:b w:val="0"/>
          <w:i w:val="0"/>
          <w:sz w:val="18"/>
        </w:rPr>
        <w:t xml:space="preserve">  ·  détention ~40 j  ·  ratio G/P 1.77</w:t>
      </w:r>
    </w:p>
    <w:p>
      <w:pPr>
        <w:pStyle w:val="Heading2"/>
      </w:pPr>
      <w:r/>
      <w:r>
        <w:rPr>
          <w:rFonts w:ascii="Calibri" w:hAnsi="Calibri"/>
          <w:b/>
          <w:i w:val="0"/>
          <w:color w:val="1F3864"/>
          <w:sz w:val="26"/>
        </w:rPr>
        <w:t xml:space="preserve">XRP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$1.5340   |   Composite +0.00   |   Indicateurs actifs :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+2.9%  ·  volatilité annualisée +67.7%  ·  drawdown vs plus-haut -49.6%  ·  momentum 7j/30j/90j +18.4% / +7.0% / +46.6%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0.68)</w:t>
      </w:r>
    </w:p>
    <w:p>
      <w:r>
        <w:rPr>
          <w:rFonts w:ascii="Calibri" w:hAnsi="Calibri"/>
          <w:b/>
          <w:i w:val="0"/>
          <w:sz w:val="19"/>
        </w:rPr>
        <w:t xml:space="preserve">Projection 30j (fourchette, pas une prévision) : </w:t>
      </w:r>
      <w:r>
        <w:rPr>
          <w:rFonts w:ascii="Calibri" w:hAnsi="Calibri"/>
          <w:b w:val="0"/>
          <w:i w:val="0"/>
          <w:sz w:val="19"/>
        </w:rPr>
        <w:t>-27% à +37%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~$1.5340  ·  </w:t>
      </w:r>
      <w:r>
        <w:rPr>
          <w:rFonts w:ascii="Calibri" w:hAnsi="Calibri"/>
          <w:b w:val="0"/>
          <w:i w:val="0"/>
          <w:color w:val="1E7D32"/>
          <w:sz w:val="18"/>
        </w:rPr>
        <w:t>vente ↑ $1.9642 (+28%)</w:t>
      </w:r>
      <w:r>
        <w:rPr>
          <w:rFonts w:ascii="Calibri" w:hAnsi="Calibri"/>
          <w:b w:val="0"/>
          <w:i w:val="0"/>
          <w:sz w:val="18"/>
        </w:rPr>
        <w:t xml:space="preserve">  ·  </w:t>
      </w:r>
      <w:r>
        <w:rPr>
          <w:rFonts w:ascii="Calibri" w:hAnsi="Calibri"/>
          <w:b w:val="0"/>
          <w:i w:val="0"/>
          <w:color w:val="C62828"/>
          <w:sz w:val="18"/>
        </w:rPr>
        <w:t>vente ↓ $1.3009 (-15%)</w:t>
      </w:r>
      <w:r>
        <w:rPr>
          <w:rFonts w:ascii="Calibri" w:hAnsi="Calibri"/>
          <w:b w:val="0"/>
          <w:i w:val="0"/>
          <w:sz w:val="18"/>
        </w:rPr>
        <w:t xml:space="preserve">  ·  détention ~31 j  ·  ratio G/P 1.85</w:t>
      </w:r>
    </w:p>
    <w:p>
      <w:pPr>
        <w:pStyle w:val="Heading2"/>
      </w:pPr>
      <w:r/>
      <w:r>
        <w:rPr>
          <w:rFonts w:ascii="Calibri" w:hAnsi="Calibri"/>
          <w:b/>
          <w:i w:val="0"/>
          <w:color w:val="1F3864"/>
          <w:sz w:val="26"/>
        </w:rPr>
        <w:t xml:space="preserve">SOL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$117.0095   |   Composite +0.50   |   Indicateurs actifs : rsi,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+2.5%  ·  volatilité annualisée +68.3%  ·  drawdown vs plus-haut -50.2%  ·  momentum 7j/30j/90j +15.2% / +21.2% / +62.9%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83)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0.68)</w:t>
      </w:r>
    </w:p>
    <w:p>
      <w:r>
        <w:rPr>
          <w:rFonts w:ascii="Calibri" w:hAnsi="Calibri"/>
          <w:b/>
          <w:i w:val="0"/>
          <w:sz w:val="19"/>
        </w:rPr>
        <w:t xml:space="preserve">Projection 30j (fourchette, pas une prévision) : </w:t>
      </w:r>
      <w:r>
        <w:rPr>
          <w:rFonts w:ascii="Calibri" w:hAnsi="Calibri"/>
          <w:b w:val="0"/>
          <w:i w:val="0"/>
          <w:sz w:val="19"/>
        </w:rPr>
        <w:t>-27% à +37%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~$117.0095  ·  </w:t>
      </w:r>
      <w:r>
        <w:rPr>
          <w:rFonts w:ascii="Calibri" w:hAnsi="Calibri"/>
          <w:b w:val="0"/>
          <w:i w:val="0"/>
          <w:color w:val="1E7D32"/>
          <w:sz w:val="18"/>
        </w:rPr>
        <w:t>vente ↑ $149.3995 (+28%)</w:t>
      </w:r>
      <w:r>
        <w:rPr>
          <w:rFonts w:ascii="Calibri" w:hAnsi="Calibri"/>
          <w:b w:val="0"/>
          <w:i w:val="0"/>
          <w:sz w:val="18"/>
        </w:rPr>
        <w:t xml:space="preserve">  ·  </w:t>
      </w:r>
      <w:r>
        <w:rPr>
          <w:rFonts w:ascii="Calibri" w:hAnsi="Calibri"/>
          <w:b w:val="0"/>
          <w:i w:val="0"/>
          <w:color w:val="C62828"/>
          <w:sz w:val="18"/>
        </w:rPr>
        <w:t>vente ↓ $99.4189 (-15%)</w:t>
      </w:r>
      <w:r>
        <w:rPr>
          <w:rFonts w:ascii="Calibri" w:hAnsi="Calibri"/>
          <w:b w:val="0"/>
          <w:i w:val="0"/>
          <w:sz w:val="18"/>
        </w:rPr>
        <w:t xml:space="preserve">  ·  détention ~31 j  ·  ratio G/P 1.84</w:t>
      </w:r>
    </w:p>
    <w:p>
      <w:pPr>
        <w:pStyle w:val="Heading2"/>
      </w:pPr>
      <w:r/>
      <w:r>
        <w:rPr>
          <w:rFonts w:ascii="Calibri" w:hAnsi="Calibri"/>
          <w:b/>
          <w:i w:val="0"/>
          <w:color w:val="1F3864"/>
          <w:sz w:val="26"/>
        </w:rPr>
        <w:t xml:space="preserve">TRX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$0.340147   |   Composite +1.00   |   Indicateurs actifs : ma</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+0.6%  ·  volatilité annualisée +25.3%  ·  drawdown vs plus-haut -9.3%  ·  momentum 7j/30j/90j +1.6% / +1.2% / +6.2%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58)  ·  </w:t>
      </w:r>
      <w:r>
        <w:rPr>
          <w:rFonts w:ascii="Calibri" w:hAnsi="Calibri"/>
          <w:b w:val="0"/>
          <w:i w:val="0"/>
          <w:sz w:val="18"/>
        </w:rPr>
        <w:t xml:space="preserve">Prédiction neutre (modele sans edge mesure -&gt; ignore) (AUC 0.453)  ·  </w:t>
      </w:r>
      <w:r>
        <w:rPr>
          <w:rFonts w:ascii="Calibri" w:hAnsi="Calibri"/>
          <w:b w:val="0"/>
          <w:i w:val="0"/>
          <w:color w:val="1E7D32"/>
          <w:sz w:val="18"/>
        </w:rPr>
        <w:t>Risque vert (vol 0.25)</w:t>
      </w:r>
    </w:p>
    <w:p>
      <w:r>
        <w:rPr>
          <w:rFonts w:ascii="Calibri" w:hAnsi="Calibri"/>
          <w:b/>
          <w:i w:val="0"/>
          <w:sz w:val="19"/>
        </w:rPr>
        <w:t xml:space="preserve">Projection 30j (fourchette, pas une prévision) : </w:t>
      </w:r>
      <w:r>
        <w:rPr>
          <w:rFonts w:ascii="Calibri" w:hAnsi="Calibri"/>
          <w:b w:val="0"/>
          <w:i w:val="0"/>
          <w:sz w:val="19"/>
        </w:rPr>
        <w:t>-11% à +13%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~$0.340147  ·  </w:t>
      </w:r>
      <w:r>
        <w:rPr>
          <w:rFonts w:ascii="Calibri" w:hAnsi="Calibri"/>
          <w:b w:val="0"/>
          <w:i w:val="0"/>
          <w:color w:val="1E7D32"/>
          <w:sz w:val="18"/>
        </w:rPr>
        <w:t>vente ↑ $0.380073 (+12%)</w:t>
      </w:r>
      <w:r>
        <w:rPr>
          <w:rFonts w:ascii="Calibri" w:hAnsi="Calibri"/>
          <w:b w:val="0"/>
          <w:i w:val="0"/>
          <w:sz w:val="18"/>
        </w:rPr>
        <w:t xml:space="preserve">  ·  </w:t>
      </w:r>
      <w:r>
        <w:rPr>
          <w:rFonts w:ascii="Calibri" w:hAnsi="Calibri"/>
          <w:b w:val="0"/>
          <w:i w:val="0"/>
          <w:color w:val="C62828"/>
          <w:sz w:val="18"/>
        </w:rPr>
        <w:t>vente ↓ $0.315887 (-7%)</w:t>
      </w:r>
      <w:r>
        <w:rPr>
          <w:rFonts w:ascii="Calibri" w:hAnsi="Calibri"/>
          <w:b w:val="0"/>
          <w:i w:val="0"/>
          <w:sz w:val="18"/>
        </w:rPr>
        <w:t xml:space="preserve">  ·  détention ~45 j  ·  ratio G/P 1.65</w:t>
      </w:r>
    </w:p>
    <w:p>
      <w:pPr>
        <w:pStyle w:val="Heading2"/>
      </w:pPr>
      <w:r/>
      <w:r>
        <w:rPr>
          <w:rFonts w:ascii="Calibri" w:hAnsi="Calibri"/>
          <w:b/>
          <w:i w:val="0"/>
          <w:color w:val="1F3864"/>
          <w:sz w:val="26"/>
        </w:rPr>
        <w:t xml:space="preserve">ZEC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$1 546.12   |   Composite +0.67   |   Indicateurs actifs : ma, rsi,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+5.2%  ·  volatilité annualisée +157.0%  ·  drawdown vs plus-haut -5.1%  ·  momentum 7j/30j/90j +5.4% / +101.3% / +269.2%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0.508)  ·  </w:t>
      </w:r>
      <w:r>
        <w:rPr>
          <w:rFonts w:ascii="Calibri" w:hAnsi="Calibri"/>
          <w:b w:val="0"/>
          <w:i w:val="0"/>
          <w:color w:val="C62828"/>
          <w:sz w:val="18"/>
        </w:rPr>
        <w:t>Risque rouge (vol 1.57)</w:t>
      </w:r>
    </w:p>
    <w:p>
      <w:r>
        <w:rPr>
          <w:rFonts w:ascii="Calibri" w:hAnsi="Calibri"/>
          <w:b/>
          <w:i w:val="0"/>
          <w:sz w:val="19"/>
        </w:rPr>
        <w:t xml:space="preserve">Projection 30j (fourchette, pas une prévision) : </w:t>
      </w:r>
      <w:r>
        <w:rPr>
          <w:rFonts w:ascii="Calibri" w:hAnsi="Calibri"/>
          <w:b w:val="0"/>
          <w:i w:val="0"/>
          <w:sz w:val="19"/>
        </w:rPr>
        <w:t>-53% à +112%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~$1 546.12  ·  </w:t>
      </w:r>
      <w:r>
        <w:rPr>
          <w:rFonts w:ascii="Calibri" w:hAnsi="Calibri"/>
          <w:b w:val="0"/>
          <w:i w:val="0"/>
          <w:color w:val="1E7D32"/>
          <w:sz w:val="18"/>
        </w:rPr>
        <w:t>vente ↑ $2 255.96 (+46%)</w:t>
      </w:r>
      <w:r>
        <w:rPr>
          <w:rFonts w:ascii="Calibri" w:hAnsi="Calibri"/>
          <w:b w:val="0"/>
          <w:i w:val="0"/>
          <w:sz w:val="18"/>
        </w:rPr>
        <w:t xml:space="preserve">  ·  </w:t>
      </w:r>
      <w:r>
        <w:rPr>
          <w:rFonts w:ascii="Calibri" w:hAnsi="Calibri"/>
          <w:b w:val="0"/>
          <w:i w:val="0"/>
          <w:color w:val="C62828"/>
          <w:sz w:val="18"/>
        </w:rPr>
        <w:t>vente ↓ $1 201.85 (-22%)</w:t>
      </w:r>
      <w:r>
        <w:rPr>
          <w:rFonts w:ascii="Calibri" w:hAnsi="Calibri"/>
          <w:b w:val="0"/>
          <w:i w:val="0"/>
          <w:sz w:val="18"/>
        </w:rPr>
        <w:t xml:space="preserve">  ·  détention ~13 j  ·  ratio G/P 2.06</w:t>
      </w:r>
    </w:p>
    <w:p>
      <w:pPr>
        <w:pStyle w:val="Heading2"/>
      </w:pPr>
      <w:r/>
      <w:r>
        <w:rPr>
          <w:rFonts w:ascii="Calibri" w:hAnsi="Calibri"/>
          <w:b/>
          <w:i w:val="0"/>
          <w:color w:val="1F3864"/>
          <w:sz w:val="26"/>
        </w:rPr>
        <w:t xml:space="preserve">FIGR_HELOC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$1.0259   |   Composite +0.00   |   Indicateurs actifs :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+1.5%  ·  volatilité annualisée +246.5%  ·  drawdown vs plus-haut -2.3%  ·  momentum 7j/30j/90j -0.2% / -1.2% / +1.1%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83)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2.46)</w:t>
      </w:r>
    </w:p>
    <w:p>
      <w:r>
        <w:rPr>
          <w:rFonts w:ascii="Calibri" w:hAnsi="Calibri"/>
          <w:b/>
          <w:i w:val="0"/>
          <w:sz w:val="19"/>
        </w:rPr>
        <w:t xml:space="preserve">Projection 30j (fourchette, pas une prévision) : </w:t>
      </w:r>
      <w:r>
        <w:rPr>
          <w:rFonts w:ascii="Calibri" w:hAnsi="Calibri"/>
          <w:b w:val="0"/>
          <w:i w:val="0"/>
          <w:sz w:val="19"/>
        </w:rPr>
        <w:t>-17% à +20%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~$1.0259  ·  </w:t>
      </w:r>
      <w:r>
        <w:rPr>
          <w:rFonts w:ascii="Calibri" w:hAnsi="Calibri"/>
          <w:b w:val="0"/>
          <w:i w:val="0"/>
          <w:color w:val="1E7D32"/>
          <w:sz w:val="18"/>
        </w:rPr>
        <w:t>vente ↑ $1.1067 (+8%)</w:t>
      </w:r>
      <w:r>
        <w:rPr>
          <w:rFonts w:ascii="Calibri" w:hAnsi="Calibri"/>
          <w:b w:val="0"/>
          <w:i w:val="0"/>
          <w:sz w:val="18"/>
        </w:rPr>
        <w:t xml:space="preserve">  ·  </w:t>
      </w:r>
      <w:r>
        <w:rPr>
          <w:rFonts w:ascii="Calibri" w:hAnsi="Calibri"/>
          <w:b w:val="0"/>
          <w:i w:val="0"/>
          <w:color w:val="C62828"/>
          <w:sz w:val="18"/>
        </w:rPr>
        <w:t>vente ↓ $0.975348 (-5%)</w:t>
      </w:r>
      <w:r>
        <w:rPr>
          <w:rFonts w:ascii="Calibri" w:hAnsi="Calibri"/>
          <w:b w:val="0"/>
          <w:i w:val="0"/>
          <w:sz w:val="18"/>
        </w:rPr>
        <w:t xml:space="preserve">  ·  détention ~9 j  ·  ratio G/P 1.6</w:t>
      </w:r>
    </w:p>
    <w:p>
      <w:pPr>
        <w:pStyle w:val="Heading2"/>
      </w:pPr>
      <w:r/>
      <w:r>
        <w:rPr>
          <w:rFonts w:ascii="Calibri" w:hAnsi="Calibri"/>
          <w:b/>
          <w:i w:val="0"/>
          <w:color w:val="1F3864"/>
          <w:sz w:val="26"/>
        </w:rPr>
        <w:t xml:space="preserve">HYPE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$92.0847   |   Composite +0.50   |   Indicateurs actifs : ma,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+2.8%  ·  volatilité annualisée +92.8%  ·  drawdown vs plus-haut -5.3%  ·  momentum 7j/30j/90j +8.3% / +15.6% / +43.2%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90)  ·  </w:t>
      </w:r>
      <w:r>
        <w:rPr>
          <w:rFonts w:ascii="Calibri" w:hAnsi="Calibri"/>
          <w:b w:val="0"/>
          <w:i w:val="0"/>
          <w:sz w:val="18"/>
        </w:rPr>
        <w:t xml:space="preserve">Prédiction rouge (AUC 0.562)  ·  </w:t>
      </w:r>
      <w:r>
        <w:rPr>
          <w:rFonts w:ascii="Calibri" w:hAnsi="Calibri"/>
          <w:b w:val="0"/>
          <w:i w:val="0"/>
          <w:color w:val="1E7D32"/>
          <w:sz w:val="18"/>
        </w:rPr>
        <w:t>Risque vert (vol 0.93)</w:t>
      </w:r>
    </w:p>
    <w:p>
      <w:r>
        <w:rPr>
          <w:rFonts w:ascii="Calibri" w:hAnsi="Calibri"/>
          <w:b/>
          <w:i w:val="0"/>
          <w:sz w:val="19"/>
        </w:rPr>
        <w:t xml:space="preserve">Projection 30j (fourchette, pas une prévision) : </w:t>
      </w:r>
      <w:r>
        <w:rPr>
          <w:rFonts w:ascii="Calibri" w:hAnsi="Calibri"/>
          <w:b w:val="0"/>
          <w:i w:val="0"/>
          <w:sz w:val="19"/>
        </w:rPr>
        <w:t>-38% à +61%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~$92.0847  ·  </w:t>
      </w:r>
      <w:r>
        <w:rPr>
          <w:rFonts w:ascii="Calibri" w:hAnsi="Calibri"/>
          <w:b w:val="0"/>
          <w:i w:val="0"/>
          <w:color w:val="1E7D32"/>
          <w:sz w:val="18"/>
        </w:rPr>
        <w:t>vente ↑ $126.7823 (+38%)</w:t>
      </w:r>
      <w:r>
        <w:rPr>
          <w:rFonts w:ascii="Calibri" w:hAnsi="Calibri"/>
          <w:b w:val="0"/>
          <w:i w:val="0"/>
          <w:sz w:val="18"/>
        </w:rPr>
        <w:t xml:space="preserve">  ·  </w:t>
      </w:r>
      <w:r>
        <w:rPr>
          <w:rFonts w:ascii="Calibri" w:hAnsi="Calibri"/>
          <w:b w:val="0"/>
          <w:i w:val="0"/>
          <w:color w:val="C62828"/>
          <w:sz w:val="18"/>
        </w:rPr>
        <w:t>vente ↓ $74.4058 (-19%)</w:t>
      </w:r>
      <w:r>
        <w:rPr>
          <w:rFonts w:ascii="Calibri" w:hAnsi="Calibri"/>
          <w:b w:val="0"/>
          <w:i w:val="0"/>
          <w:sz w:val="18"/>
        </w:rPr>
        <w:t xml:space="preserve">  ·  détention ~23 j  ·  ratio G/P 1.96</w:t>
      </w:r>
    </w:p>
    <w:p>
      <w:pPr>
        <w:pStyle w:val="Heading2"/>
      </w:pPr>
      <w:r/>
      <w:r>
        <w:rPr>
          <w:rFonts w:ascii="Calibri" w:hAnsi="Calibri"/>
          <w:b/>
          <w:i w:val="0"/>
          <w:color w:val="1F3864"/>
          <w:sz w:val="26"/>
        </w:rPr>
        <w:t xml:space="preserve">DOGE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$0.095748   |   Composite +0.67   |   Indicateurs actifs : ma, rsi,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+3.1%  ·  volatilité annualisée +73.3%  ·  drawdown vs plus-haut -64.1%  ·  momentum 7j/30j/90j +17.2% / +11.8% / +26.5%</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83)  ·  </w:t>
      </w:r>
      <w:r>
        <w:rPr>
          <w:rFonts w:ascii="Calibri" w:hAnsi="Calibri"/>
          <w:b w:val="0"/>
          <w:i w:val="0"/>
          <w:sz w:val="18"/>
        </w:rPr>
        <w:t xml:space="preserve">Prédiction rouge (AUC 0.561)  ·  </w:t>
      </w:r>
      <w:r>
        <w:rPr>
          <w:rFonts w:ascii="Calibri" w:hAnsi="Calibri"/>
          <w:b w:val="0"/>
          <w:i w:val="0"/>
          <w:color w:val="1E7D32"/>
          <w:sz w:val="18"/>
        </w:rPr>
        <w:t>Risque vert (vol 0.73)</w:t>
      </w:r>
    </w:p>
    <w:p>
      <w:r>
        <w:rPr>
          <w:rFonts w:ascii="Calibri" w:hAnsi="Calibri"/>
          <w:b/>
          <w:i w:val="0"/>
          <w:sz w:val="19"/>
        </w:rPr>
        <w:t xml:space="preserve">Projection 30j (fourchette, pas une prévision) : </w:t>
      </w:r>
      <w:r>
        <w:rPr>
          <w:rFonts w:ascii="Calibri" w:hAnsi="Calibri"/>
          <w:b w:val="0"/>
          <w:i w:val="0"/>
          <w:sz w:val="19"/>
        </w:rPr>
        <w:t>-27% à +37%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~$0.095748  ·  </w:t>
      </w:r>
      <w:r>
        <w:rPr>
          <w:rFonts w:ascii="Calibri" w:hAnsi="Calibri"/>
          <w:b w:val="0"/>
          <w:i w:val="0"/>
          <w:color w:val="1E7D32"/>
          <w:sz w:val="18"/>
        </w:rPr>
        <w:t>vente ↑ $0.121355 (+27%)</w:t>
      </w:r>
      <w:r>
        <w:rPr>
          <w:rFonts w:ascii="Calibri" w:hAnsi="Calibri"/>
          <w:b w:val="0"/>
          <w:i w:val="0"/>
          <w:sz w:val="18"/>
        </w:rPr>
        <w:t xml:space="preserve">  ·  </w:t>
      </w:r>
      <w:r>
        <w:rPr>
          <w:rFonts w:ascii="Calibri" w:hAnsi="Calibri"/>
          <w:b w:val="0"/>
          <w:i w:val="0"/>
          <w:color w:val="C62828"/>
          <w:sz w:val="18"/>
        </w:rPr>
        <w:t>vente ↓ $0.081755 (-15%)</w:t>
      </w:r>
      <w:r>
        <w:rPr>
          <w:rFonts w:ascii="Calibri" w:hAnsi="Calibri"/>
          <w:b w:val="0"/>
          <w:i w:val="0"/>
          <w:sz w:val="18"/>
        </w:rPr>
        <w:t xml:space="preserve">  ·  détention ~29 j  ·  ratio G/P 1.83</w:t>
      </w:r>
    </w:p>
    <w:p>
      <w:pPr>
        <w:pStyle w:val="Heading2"/>
      </w:pPr>
      <w:r/>
      <w:r>
        <w:rPr>
          <w:rFonts w:ascii="Calibri" w:hAnsi="Calibri"/>
          <w:b/>
          <w:i w:val="0"/>
          <w:color w:val="1F3864"/>
          <w:sz w:val="26"/>
        </w:rPr>
        <w:t xml:space="preserve">XMR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$565.5865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+2.9%  ·  volatilité annualisée +85.5%  ·  drawdown vs plus-haut -19.8%  ·  momentum 7j/30j/90j +9.4% / +28.8% / +76.4%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58)  ·  </w:t>
      </w:r>
      <w:r>
        <w:rPr>
          <w:rFonts w:ascii="Calibri" w:hAnsi="Calibri"/>
          <w:b w:val="0"/>
          <w:i w:val="0"/>
          <w:sz w:val="18"/>
        </w:rPr>
        <w:t xml:space="preserve">Prédiction rouge (AUC 0.643)  ·  </w:t>
      </w:r>
      <w:r>
        <w:rPr>
          <w:rFonts w:ascii="Calibri" w:hAnsi="Calibri"/>
          <w:b w:val="0"/>
          <w:i w:val="0"/>
          <w:color w:val="1E7D32"/>
          <w:sz w:val="18"/>
        </w:rPr>
        <w:t>Risque vert (vol 0.86)</w:t>
      </w:r>
    </w:p>
    <w:p>
      <w:r>
        <w:rPr>
          <w:rFonts w:ascii="Calibri" w:hAnsi="Calibri"/>
          <w:b/>
          <w:i w:val="0"/>
          <w:sz w:val="19"/>
        </w:rPr>
        <w:t xml:space="preserve">Projection 30j (fourchette, pas une prévision) : </w:t>
      </w:r>
      <w:r>
        <w:rPr>
          <w:rFonts w:ascii="Calibri" w:hAnsi="Calibri"/>
          <w:b w:val="0"/>
          <w:i w:val="0"/>
          <w:sz w:val="19"/>
        </w:rPr>
        <w:t>-33% à +50%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~$565.5865  ·  </w:t>
      </w:r>
      <w:r>
        <w:rPr>
          <w:rFonts w:ascii="Calibri" w:hAnsi="Calibri"/>
          <w:b w:val="0"/>
          <w:i w:val="0"/>
          <w:color w:val="1E7D32"/>
          <w:sz w:val="18"/>
        </w:rPr>
        <w:t>vente ↑ $750.0675 (+33%)</w:t>
      </w:r>
      <w:r>
        <w:rPr>
          <w:rFonts w:ascii="Calibri" w:hAnsi="Calibri"/>
          <w:b w:val="0"/>
          <w:i w:val="0"/>
          <w:sz w:val="18"/>
        </w:rPr>
        <w:t xml:space="preserve">  ·  </w:t>
      </w:r>
      <w:r>
        <w:rPr>
          <w:rFonts w:ascii="Calibri" w:hAnsi="Calibri"/>
          <w:b w:val="0"/>
          <w:i w:val="0"/>
          <w:color w:val="C62828"/>
          <w:sz w:val="18"/>
        </w:rPr>
        <w:t>vente ↓ $468.5596 (-17%)</w:t>
      </w:r>
      <w:r>
        <w:rPr>
          <w:rFonts w:ascii="Calibri" w:hAnsi="Calibri"/>
          <w:b w:val="0"/>
          <w:i w:val="0"/>
          <w:sz w:val="18"/>
        </w:rPr>
        <w:t xml:space="preserve">  ·  détention ~25 j  ·  ratio G/P 1.9</w:t>
      </w:r>
    </w:p>
    <w:p>
      <w:pPr>
        <w:pStyle w:val="Heading2"/>
      </w:pPr>
      <w:r/>
      <w:r>
        <w:rPr>
          <w:rFonts w:ascii="Calibri" w:hAnsi="Calibri"/>
          <w:b/>
          <w:i w:val="0"/>
          <w:color w:val="1F3864"/>
          <w:sz w:val="26"/>
        </w:rPr>
        <w:t xml:space="preserve">LINK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$13.2136   |   Composite +0.50   |   Indicateurs actifs : rsi,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+3.1%  ·  volatilité annualisée +76.0%  ·  drawdown vs plus-haut -43.7%  ·  momentum 7j/30j/90j +16.1% / +17.0% / +79.9%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0.76)</w:t>
      </w:r>
    </w:p>
    <w:p>
      <w:r>
        <w:rPr>
          <w:rFonts w:ascii="Calibri" w:hAnsi="Calibri"/>
          <w:b/>
          <w:i w:val="0"/>
          <w:sz w:val="19"/>
        </w:rPr>
        <w:t xml:space="preserve">Projection 30j (fourchette, pas une prévision) : </w:t>
      </w:r>
      <w:r>
        <w:rPr>
          <w:rFonts w:ascii="Calibri" w:hAnsi="Calibri"/>
          <w:b w:val="0"/>
          <w:i w:val="0"/>
          <w:sz w:val="19"/>
        </w:rPr>
        <w:t>-28% à +39%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~$13.2136  ·  </w:t>
      </w:r>
      <w:r>
        <w:rPr>
          <w:rFonts w:ascii="Calibri" w:hAnsi="Calibri"/>
          <w:b w:val="0"/>
          <w:i w:val="0"/>
          <w:color w:val="1E7D32"/>
          <w:sz w:val="18"/>
        </w:rPr>
        <w:t>vente ↑ $16.8409 (+27%)</w:t>
      </w:r>
      <w:r>
        <w:rPr>
          <w:rFonts w:ascii="Calibri" w:hAnsi="Calibri"/>
          <w:b w:val="0"/>
          <w:i w:val="0"/>
          <w:sz w:val="18"/>
        </w:rPr>
        <w:t xml:space="preserve">  ·  </w:t>
      </w:r>
      <w:r>
        <w:rPr>
          <w:rFonts w:ascii="Calibri" w:hAnsi="Calibri"/>
          <w:b w:val="0"/>
          <w:i w:val="0"/>
          <w:color w:val="C62828"/>
          <w:sz w:val="18"/>
        </w:rPr>
        <w:t>vente ↓ $11.2407 (-15%)</w:t>
      </w:r>
      <w:r>
        <w:rPr>
          <w:rFonts w:ascii="Calibri" w:hAnsi="Calibri"/>
          <w:b w:val="0"/>
          <w:i w:val="0"/>
          <w:sz w:val="18"/>
        </w:rPr>
        <w:t xml:space="preserve">  ·  détention ~28 j  ·  ratio G/P 1.84</w:t>
      </w:r>
    </w:p>
    <w:p>
      <w:pPr>
        <w:pStyle w:val="Heading2"/>
      </w:pPr>
      <w:r/>
      <w:r>
        <w:rPr>
          <w:rFonts w:ascii="Calibri" w:hAnsi="Calibri"/>
          <w:b/>
          <w:i w:val="0"/>
          <w:color w:val="1F3864"/>
          <w:sz w:val="26"/>
        </w:rPr>
        <w:t xml:space="preserve">WBT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$84.1557   |   Composite +0.50   |   Indicateurs actifs : rsi,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+1.7%  ·  volatilité annualisée +54.6%  ·  drawdown vs plus-haut -3.4%  ·  momentum 7j/30j/90j +6.9% / +16.2% / +73.7%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65)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0.55)</w:t>
      </w:r>
    </w:p>
    <w:p>
      <w:r>
        <w:rPr>
          <w:rFonts w:ascii="Calibri" w:hAnsi="Calibri"/>
          <w:b/>
          <w:i w:val="0"/>
          <w:sz w:val="19"/>
        </w:rPr>
        <w:t xml:space="preserve">Projection 30j (fourchette, pas une prévision) : </w:t>
      </w:r>
      <w:r>
        <w:rPr>
          <w:rFonts w:ascii="Calibri" w:hAnsi="Calibri"/>
          <w:b w:val="0"/>
          <w:i w:val="0"/>
          <w:sz w:val="19"/>
        </w:rPr>
        <w:t>-25% à +33%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~$84.1557  ·  </w:t>
      </w:r>
      <w:r>
        <w:rPr>
          <w:rFonts w:ascii="Calibri" w:hAnsi="Calibri"/>
          <w:b w:val="0"/>
          <w:i w:val="0"/>
          <w:color w:val="1E7D32"/>
          <w:sz w:val="18"/>
        </w:rPr>
        <w:t>vente ↑ $107.6025 (+28%)</w:t>
      </w:r>
      <w:r>
        <w:rPr>
          <w:rFonts w:ascii="Calibri" w:hAnsi="Calibri"/>
          <w:b w:val="0"/>
          <w:i w:val="0"/>
          <w:sz w:val="18"/>
        </w:rPr>
        <w:t xml:space="preserve">  ·  </w:t>
      </w:r>
      <w:r>
        <w:rPr>
          <w:rFonts w:ascii="Calibri" w:hAnsi="Calibri"/>
          <w:b w:val="0"/>
          <w:i w:val="0"/>
          <w:color w:val="C62828"/>
          <w:sz w:val="18"/>
        </w:rPr>
        <w:t>vente ↓ $71.4372 (-15%)</w:t>
      </w:r>
      <w:r>
        <w:rPr>
          <w:rFonts w:ascii="Calibri" w:hAnsi="Calibri"/>
          <w:b w:val="0"/>
          <w:i w:val="0"/>
          <w:sz w:val="18"/>
        </w:rPr>
        <w:t xml:space="preserve">  ·  détention ~38 j  ·  ratio G/P 1.84</w:t>
      </w:r>
    </w:p>
    <w:p>
      <w:pPr>
        <w:pStyle w:val="Heading2"/>
      </w:pPr>
      <w:r/>
      <w:r>
        <w:rPr>
          <w:rFonts w:ascii="Calibri" w:hAnsi="Calibri"/>
          <w:b/>
          <w:i w:val="0"/>
          <w:color w:val="1F3864"/>
          <w:sz w:val="26"/>
        </w:rPr>
        <w:t xml:space="preserve">ADA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$0.247590   |   Composite -1.00   |   Indicateurs actifs :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+3.1%  ·  volatilité annualisée +82.5%  ·  drawdown vs plus-haut -71.7%  ·  momentum 7j/30j/90j +22.3% / +18.4% / +67.0%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82)  ·  </w:t>
      </w:r>
      <w:r>
        <w:rPr>
          <w:rFonts w:ascii="Calibri" w:hAnsi="Calibri"/>
          <w:b w:val="0"/>
          <w:i w:val="0"/>
          <w:sz w:val="18"/>
        </w:rPr>
        <w:t xml:space="preserve">Prédiction rouge (AUC 0.778)  ·  </w:t>
      </w:r>
      <w:r>
        <w:rPr>
          <w:rFonts w:ascii="Calibri" w:hAnsi="Calibri"/>
          <w:b w:val="0"/>
          <w:i w:val="0"/>
          <w:color w:val="1E7D32"/>
          <w:sz w:val="18"/>
        </w:rPr>
        <w:t>Risque vert (vol 0.83)</w:t>
      </w:r>
    </w:p>
    <w:p>
      <w:r>
        <w:rPr>
          <w:rFonts w:ascii="Calibri" w:hAnsi="Calibri"/>
          <w:b/>
          <w:i w:val="0"/>
          <w:sz w:val="19"/>
        </w:rPr>
        <w:t xml:space="preserve">Projection 30j (fourchette, pas une prévision) : </w:t>
      </w:r>
      <w:r>
        <w:rPr>
          <w:rFonts w:ascii="Calibri" w:hAnsi="Calibri"/>
          <w:b w:val="0"/>
          <w:i w:val="0"/>
          <w:sz w:val="19"/>
        </w:rPr>
        <w:t>-33% à +49%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~$0.247590  ·  </w:t>
      </w:r>
      <w:r>
        <w:rPr>
          <w:rFonts w:ascii="Calibri" w:hAnsi="Calibri"/>
          <w:b w:val="0"/>
          <w:i w:val="0"/>
          <w:color w:val="1E7D32"/>
          <w:sz w:val="18"/>
        </w:rPr>
        <w:t>vente ↑ $0.327315 (+32%)</w:t>
      </w:r>
      <w:r>
        <w:rPr>
          <w:rFonts w:ascii="Calibri" w:hAnsi="Calibri"/>
          <w:b w:val="0"/>
          <w:i w:val="0"/>
          <w:sz w:val="18"/>
        </w:rPr>
        <w:t xml:space="preserve">  ·  </w:t>
      </w:r>
      <w:r>
        <w:rPr>
          <w:rFonts w:ascii="Calibri" w:hAnsi="Calibri"/>
          <w:b w:val="0"/>
          <w:i w:val="0"/>
          <w:color w:val="C62828"/>
          <w:sz w:val="18"/>
        </w:rPr>
        <w:t>vente ↓ $0.205547 (-17%)</w:t>
      </w:r>
      <w:r>
        <w:rPr>
          <w:rFonts w:ascii="Calibri" w:hAnsi="Calibri"/>
          <w:b w:val="0"/>
          <w:i w:val="0"/>
          <w:sz w:val="18"/>
        </w:rPr>
        <w:t xml:space="preserve">  ·  détention ~25 j  ·  ratio G/P 1.9</w:t>
      </w:r>
    </w:p>
    <w:p>
      <w:pPr>
        <w:pStyle w:val="Heading2"/>
      </w:pPr>
      <w:r/>
      <w:r>
        <w:rPr>
          <w:rFonts w:ascii="Calibri" w:hAnsi="Calibri"/>
          <w:b/>
          <w:i w:val="0"/>
          <w:color w:val="1F3864"/>
          <w:sz w:val="26"/>
        </w:rPr>
        <w:t xml:space="preserve">RAIN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$0.012032   |   Composite -1.00   |   Indicateurs actifs : macd</w:t>
      </w:r>
    </w:p>
    <w:p>
      <w:r>
        <w:rPr>
          <w:rFonts w:ascii="Calibri" w:hAnsi="Calibri"/>
          <w:b/>
          <w:i w:val="0"/>
          <w:sz w:val="19"/>
        </w:rPr>
        <w:t xml:space="preserve">Signal technique : </w:t>
      </w:r>
      <w:r>
        <w:rPr>
          <w:rFonts w:ascii="Calibri" w:hAnsi="Calibri"/>
          <w:b w:val="0"/>
          <w:i w:val="0"/>
          <w:color w:val="C62828"/>
          <w:sz w:val="19"/>
        </w:rPr>
        <w:t>VENTE (score -0.333)</w:t>
      </w:r>
    </w:p>
    <w:p>
      <w:r>
        <w:rPr>
          <w:rFonts w:ascii="Calibri" w:hAnsi="Calibri"/>
          <w:b/>
          <w:i w:val="0"/>
          <w:sz w:val="19"/>
        </w:rPr>
        <w:t xml:space="preserve">Profil de risque : </w:t>
      </w:r>
      <w:r>
        <w:rPr>
          <w:rFonts w:ascii="Calibri" w:hAnsi="Calibri"/>
          <w:b w:val="0"/>
          <w:i w:val="0"/>
          <w:sz w:val="19"/>
        </w:rPr>
        <w:t>ATR +3.8%  ·  volatilité annualisée +118.9%  ·  drawdown vs plus-haut -33.7%  ·  momentum 7j/30j/90j -5.7% / -33.7% / -23.4%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57)  ·  </w:t>
      </w:r>
      <w:r>
        <w:rPr>
          <w:rFonts w:ascii="Calibri" w:hAnsi="Calibri"/>
          <w:b w:val="0"/>
          <w:i w:val="0"/>
          <w:sz w:val="18"/>
        </w:rPr>
        <w:t xml:space="preserve">Prédiction rouge (AUC 0.595)  ·  </w:t>
      </w:r>
      <w:r>
        <w:rPr>
          <w:rFonts w:ascii="Calibri" w:hAnsi="Calibri"/>
          <w:b w:val="0"/>
          <w:i w:val="0"/>
          <w:color w:val="1E7D32"/>
          <w:sz w:val="18"/>
        </w:rPr>
        <w:t>Risque vert (vol 1.19)</w:t>
      </w:r>
    </w:p>
    <w:p>
      <w:r>
        <w:rPr>
          <w:rFonts w:ascii="Calibri" w:hAnsi="Calibri"/>
          <w:b/>
          <w:i w:val="0"/>
          <w:sz w:val="19"/>
        </w:rPr>
        <w:t xml:space="preserve">Projection 30j (fourchette, pas une prévision) : </w:t>
      </w:r>
      <w:r>
        <w:rPr>
          <w:rFonts w:ascii="Calibri" w:hAnsi="Calibri"/>
          <w:b w:val="0"/>
          <w:i w:val="0"/>
          <w:sz w:val="19"/>
        </w:rPr>
        <w:t>-41% à +68%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~$0.012032  ·  </w:t>
      </w:r>
      <w:r>
        <w:rPr>
          <w:rFonts w:ascii="Calibri" w:hAnsi="Calibri"/>
          <w:b w:val="0"/>
          <w:i w:val="0"/>
          <w:color w:val="1E7D32"/>
          <w:sz w:val="18"/>
        </w:rPr>
        <w:t>vente ↑ $0.016382 (+36%)</w:t>
      </w:r>
      <w:r>
        <w:rPr>
          <w:rFonts w:ascii="Calibri" w:hAnsi="Calibri"/>
          <w:b w:val="0"/>
          <w:i w:val="0"/>
          <w:sz w:val="18"/>
        </w:rPr>
        <w:t xml:space="preserve">  ·  </w:t>
      </w:r>
      <w:r>
        <w:rPr>
          <w:rFonts w:ascii="Calibri" w:hAnsi="Calibri"/>
          <w:b w:val="0"/>
          <w:i w:val="0"/>
          <w:color w:val="C62828"/>
          <w:sz w:val="18"/>
        </w:rPr>
        <w:t>vente ↓ $0.009795 (-19%)</w:t>
      </w:r>
      <w:r>
        <w:rPr>
          <w:rFonts w:ascii="Calibri" w:hAnsi="Calibri"/>
          <w:b w:val="0"/>
          <w:i w:val="0"/>
          <w:sz w:val="18"/>
        </w:rPr>
        <w:t xml:space="preserve">  ·  détention ~18 j  ·  ratio G/P 1.94</w:t>
      </w:r>
    </w:p>
    <w:p>
      <w:pPr>
        <w:pStyle w:val="Heading2"/>
      </w:pPr>
      <w:r/>
      <w:r>
        <w:rPr>
          <w:rFonts w:ascii="Calibri" w:hAnsi="Calibri"/>
          <w:b/>
          <w:i w:val="0"/>
          <w:color w:val="1F3864"/>
          <w:sz w:val="26"/>
        </w:rPr>
        <w:t xml:space="preserve">LEO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$8.9149   |   Composite +0.00   |   Indicateurs actifs : aucun</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+0.8%  ·  volatilité annualisée +54.5%  ·  drawdown vs plus-haut -15.5%  ·  momentum 7j/30j/90j +0.1% / -4.5% / -3.8%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50)  ·  </w:t>
      </w:r>
      <w:r>
        <w:rPr>
          <w:rFonts w:ascii="Calibri" w:hAnsi="Calibri"/>
          <w:b w:val="0"/>
          <w:i w:val="0"/>
          <w:sz w:val="18"/>
        </w:rPr>
        <w:t xml:space="preserve">Prédiction rouge (AUC 0.62)  ·  </w:t>
      </w:r>
      <w:r>
        <w:rPr>
          <w:rFonts w:ascii="Calibri" w:hAnsi="Calibri"/>
          <w:b w:val="0"/>
          <w:i w:val="0"/>
          <w:color w:val="1E7D32"/>
          <w:sz w:val="18"/>
        </w:rPr>
        <w:t>Risque vert (vol 0.55)</w:t>
      </w:r>
    </w:p>
    <w:p>
      <w:r>
        <w:rPr>
          <w:rFonts w:ascii="Calibri" w:hAnsi="Calibri"/>
          <w:b/>
          <w:i w:val="0"/>
          <w:sz w:val="19"/>
        </w:rPr>
        <w:t xml:space="preserve">Projection 30j (fourchette, pas une prévision) : </w:t>
      </w:r>
      <w:r>
        <w:rPr>
          <w:rFonts w:ascii="Calibri" w:hAnsi="Calibri"/>
          <w:b w:val="0"/>
          <w:i w:val="0"/>
          <w:sz w:val="19"/>
        </w:rPr>
        <w:t>-14% à +17%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~$8.9149  ·  </w:t>
      </w:r>
      <w:r>
        <w:rPr>
          <w:rFonts w:ascii="Calibri" w:hAnsi="Calibri"/>
          <w:b w:val="0"/>
          <w:i w:val="0"/>
          <w:color w:val="1E7D32"/>
          <w:sz w:val="18"/>
        </w:rPr>
        <w:t>vente ↑ $10.1733 (+14%)</w:t>
      </w:r>
      <w:r>
        <w:rPr>
          <w:rFonts w:ascii="Calibri" w:hAnsi="Calibri"/>
          <w:b w:val="0"/>
          <w:i w:val="0"/>
          <w:sz w:val="18"/>
        </w:rPr>
        <w:t xml:space="preserve">  ·  </w:t>
      </w:r>
      <w:r>
        <w:rPr>
          <w:rFonts w:ascii="Calibri" w:hAnsi="Calibri"/>
          <w:b w:val="0"/>
          <w:i w:val="0"/>
          <w:color w:val="C62828"/>
          <w:sz w:val="18"/>
        </w:rPr>
        <w:t>vente ↓ $8.1637 (-8%)</w:t>
      </w:r>
      <w:r>
        <w:rPr>
          <w:rFonts w:ascii="Calibri" w:hAnsi="Calibri"/>
          <w:b w:val="0"/>
          <w:i w:val="0"/>
          <w:sz w:val="18"/>
        </w:rPr>
        <w:t xml:space="preserve">  ·  détention ~38 j  ·  ratio G/P 1.68</w:t>
      </w:r>
    </w:p>
    <w:p>
      <w:pPr>
        <w:pStyle w:val="Heading2"/>
      </w:pPr>
      <w:r/>
      <w:r>
        <w:rPr>
          <w:rFonts w:ascii="Calibri" w:hAnsi="Calibri"/>
          <w:b/>
          <w:i w:val="0"/>
          <w:color w:val="1F3864"/>
          <w:sz w:val="26"/>
        </w:rPr>
        <w:t xml:space="preserve">XLM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$0.217435   |   Composite +0.00   |   Indicateurs actifs : rsi,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+3.3%  ·  volatilité annualisée +80.3%  ·  drawdown vs plus-haut -47.0%  ·  momentum 7j/30j/90j +18.6% / +19.1% / +22.5%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75)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0.8)</w:t>
      </w:r>
    </w:p>
    <w:p>
      <w:r>
        <w:rPr>
          <w:rFonts w:ascii="Calibri" w:hAnsi="Calibri"/>
          <w:b/>
          <w:i w:val="0"/>
          <w:sz w:val="19"/>
        </w:rPr>
        <w:t xml:space="preserve">Projection 30j (fourchette, pas une prévision) : </w:t>
      </w:r>
      <w:r>
        <w:rPr>
          <w:rFonts w:ascii="Calibri" w:hAnsi="Calibri"/>
          <w:b w:val="0"/>
          <w:i w:val="0"/>
          <w:sz w:val="19"/>
        </w:rPr>
        <w:t>-38% à +61%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~$0.217435  ·  </w:t>
      </w:r>
      <w:r>
        <w:rPr>
          <w:rFonts w:ascii="Calibri" w:hAnsi="Calibri"/>
          <w:b w:val="0"/>
          <w:i w:val="0"/>
          <w:color w:val="1E7D32"/>
          <w:sz w:val="18"/>
        </w:rPr>
        <w:t>vente ↑ $0.304964 (+40%)</w:t>
      </w:r>
      <w:r>
        <w:rPr>
          <w:rFonts w:ascii="Calibri" w:hAnsi="Calibri"/>
          <w:b w:val="0"/>
          <w:i w:val="0"/>
          <w:sz w:val="18"/>
        </w:rPr>
        <w:t xml:space="preserve">  ·  </w:t>
      </w:r>
      <w:r>
        <w:rPr>
          <w:rFonts w:ascii="Calibri" w:hAnsi="Calibri"/>
          <w:b w:val="0"/>
          <w:i w:val="0"/>
          <w:color w:val="C62828"/>
          <w:sz w:val="18"/>
        </w:rPr>
        <w:t>vente ↓ $0.173533 (-20%)</w:t>
      </w:r>
      <w:r>
        <w:rPr>
          <w:rFonts w:ascii="Calibri" w:hAnsi="Calibri"/>
          <w:b w:val="0"/>
          <w:i w:val="0"/>
          <w:sz w:val="18"/>
        </w:rPr>
        <w:t xml:space="preserve">  ·  détention ~26 j  ·  ratio G/P 1.99</w:t>
      </w:r>
    </w:p>
    <w:p>
      <w:pPr>
        <w:pStyle w:val="Heading2"/>
      </w:pPr>
      <w:r/>
      <w:r>
        <w:rPr>
          <w:rFonts w:ascii="Calibri" w:hAnsi="Calibri"/>
          <w:b/>
          <w:i w:val="0"/>
          <w:color w:val="1F3864"/>
          <w:sz w:val="26"/>
        </w:rPr>
        <w:t xml:space="preserve">BCH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$338.3931   |   Composite +0.00   |   Indicateurs actifs : rsi,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+3.3%  ·  volatilité annualisée +76.6%  ·  drawdown vs plus-haut -48.3%  ·  momentum 7j/30j/90j +44.7% / +27.3% / +71.7%</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rouge (AUC 0.625)  ·  </w:t>
      </w:r>
      <w:r>
        <w:rPr>
          <w:rFonts w:ascii="Calibri" w:hAnsi="Calibri"/>
          <w:b w:val="0"/>
          <w:i w:val="0"/>
          <w:color w:val="1E7D32"/>
          <w:sz w:val="18"/>
        </w:rPr>
        <w:t>Risque vert (vol 0.77)</w:t>
      </w:r>
    </w:p>
    <w:p>
      <w:r>
        <w:rPr>
          <w:rFonts w:ascii="Calibri" w:hAnsi="Calibri"/>
          <w:b/>
          <w:i w:val="0"/>
          <w:sz w:val="19"/>
        </w:rPr>
        <w:t xml:space="preserve">Projection 30j (fourchette, pas une prévision) : </w:t>
      </w:r>
      <w:r>
        <w:rPr>
          <w:rFonts w:ascii="Calibri" w:hAnsi="Calibri"/>
          <w:b w:val="0"/>
          <w:i w:val="0"/>
          <w:sz w:val="19"/>
        </w:rPr>
        <w:t>-37% à +58%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~$338.3931  ·  </w:t>
      </w:r>
      <w:r>
        <w:rPr>
          <w:rFonts w:ascii="Calibri" w:hAnsi="Calibri"/>
          <w:b w:val="0"/>
          <w:i w:val="0"/>
          <w:color w:val="1E7D32"/>
          <w:sz w:val="18"/>
        </w:rPr>
        <w:t>vente ↑ $472.2042 (+40%)</w:t>
      </w:r>
      <w:r>
        <w:rPr>
          <w:rFonts w:ascii="Calibri" w:hAnsi="Calibri"/>
          <w:b w:val="0"/>
          <w:i w:val="0"/>
          <w:sz w:val="18"/>
        </w:rPr>
        <w:t xml:space="preserve">  ·  </w:t>
      </w:r>
      <w:r>
        <w:rPr>
          <w:rFonts w:ascii="Calibri" w:hAnsi="Calibri"/>
          <w:b w:val="0"/>
          <w:i w:val="0"/>
          <w:color w:val="C62828"/>
          <w:sz w:val="18"/>
        </w:rPr>
        <w:t>vente ↓ $270.9875 (-20%)</w:t>
      </w:r>
      <w:r>
        <w:rPr>
          <w:rFonts w:ascii="Calibri" w:hAnsi="Calibri"/>
          <w:b w:val="0"/>
          <w:i w:val="0"/>
          <w:sz w:val="18"/>
        </w:rPr>
        <w:t xml:space="preserve">  ·  détention ~27 j  ·  ratio G/P 1.99</w:t>
      </w:r>
    </w:p>
    <w:p>
      <w:pPr>
        <w:pStyle w:val="Heading2"/>
      </w:pPr>
      <w:r/>
      <w:r>
        <w:rPr>
          <w:rFonts w:ascii="Calibri" w:hAnsi="Calibri"/>
          <w:b/>
          <w:i w:val="0"/>
          <w:color w:val="1F3864"/>
          <w:sz w:val="26"/>
        </w:rPr>
        <w:t xml:space="preserve">NEAR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$4.5892   |   Composite +0.00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+4.0%  ·  volatilité annualisée +103.0%  ·  drawdown vs plus-haut +0.0%  ·  momentum 7j/30j/90j +45.8% / +146.7% / +154.9%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0.505)  ·  </w:t>
      </w:r>
      <w:r>
        <w:rPr>
          <w:rFonts w:ascii="Calibri" w:hAnsi="Calibri"/>
          <w:b w:val="0"/>
          <w:i w:val="0"/>
          <w:color w:val="1E7D32"/>
          <w:sz w:val="18"/>
        </w:rPr>
        <w:t>Risque vert (vol 1.03)</w:t>
      </w:r>
    </w:p>
    <w:p>
      <w:r>
        <w:rPr>
          <w:rFonts w:ascii="Calibri" w:hAnsi="Calibri"/>
          <w:b/>
          <w:i w:val="0"/>
          <w:sz w:val="19"/>
        </w:rPr>
        <w:t xml:space="preserve">Projection 30j (fourchette, pas une prévision) : </w:t>
      </w:r>
      <w:r>
        <w:rPr>
          <w:rFonts w:ascii="Calibri" w:hAnsi="Calibri"/>
          <w:b w:val="0"/>
          <w:i w:val="0"/>
          <w:sz w:val="19"/>
        </w:rPr>
        <w:t>-44% à +77%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~$4.5892  ·  </w:t>
      </w:r>
      <w:r>
        <w:rPr>
          <w:rFonts w:ascii="Calibri" w:hAnsi="Calibri"/>
          <w:b w:val="0"/>
          <w:i w:val="0"/>
          <w:color w:val="1E7D32"/>
          <w:sz w:val="18"/>
        </w:rPr>
        <w:t>vente ↑ $6.5631 (+43%)</w:t>
      </w:r>
      <w:r>
        <w:rPr>
          <w:rFonts w:ascii="Calibri" w:hAnsi="Calibri"/>
          <w:b w:val="0"/>
          <w:i w:val="0"/>
          <w:sz w:val="18"/>
        </w:rPr>
        <w:t xml:space="preserve">  ·  </w:t>
      </w:r>
      <w:r>
        <w:rPr>
          <w:rFonts w:ascii="Calibri" w:hAnsi="Calibri"/>
          <w:b w:val="0"/>
          <w:i w:val="0"/>
          <w:color w:val="C62828"/>
          <w:sz w:val="18"/>
        </w:rPr>
        <w:t>vente ↓ $3.6154 (-21%)</w:t>
      </w:r>
      <w:r>
        <w:rPr>
          <w:rFonts w:ascii="Calibri" w:hAnsi="Calibri"/>
          <w:b w:val="0"/>
          <w:i w:val="0"/>
          <w:sz w:val="18"/>
        </w:rPr>
        <w:t xml:space="preserve">  ·  détention ~20 j  ·  ratio G/P 2.03</w:t>
      </w:r>
    </w:p>
    <w:p>
      <w:pPr>
        <w:pStyle w:val="Heading2"/>
      </w:pPr>
      <w:r/>
      <w:r>
        <w:rPr>
          <w:rFonts w:ascii="Calibri" w:hAnsi="Calibri"/>
          <w:b/>
          <w:i w:val="0"/>
          <w:color w:val="1F3864"/>
          <w:sz w:val="26"/>
        </w:rPr>
        <w:t xml:space="preserve">UNI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$9.1473   |   Composite +0.33   |   Indicateurs actifs : ma,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+4.6%  ·  volatilité annualisée +101.6%  ·  drawdown vs plus-haut -10.5%  ·  momentum 7j/30j/90j +17.4% / +114.2% / +209.1%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rouge (AUC 0.595)  ·  </w:t>
      </w:r>
      <w:r>
        <w:rPr>
          <w:rFonts w:ascii="Calibri" w:hAnsi="Calibri"/>
          <w:b w:val="0"/>
          <w:i w:val="0"/>
          <w:color w:val="1E7D32"/>
          <w:sz w:val="18"/>
        </w:rPr>
        <w:t>Risque vert (vol 1.02)</w:t>
      </w:r>
    </w:p>
    <w:p>
      <w:r>
        <w:rPr>
          <w:rFonts w:ascii="Calibri" w:hAnsi="Calibri"/>
          <w:b/>
          <w:i w:val="0"/>
          <w:sz w:val="19"/>
        </w:rPr>
        <w:t xml:space="preserve">Projection 30j (fourchette, pas une prévision) : </w:t>
      </w:r>
      <w:r>
        <w:rPr>
          <w:rFonts w:ascii="Calibri" w:hAnsi="Calibri"/>
          <w:b w:val="0"/>
          <w:i w:val="0"/>
          <w:sz w:val="19"/>
        </w:rPr>
        <w:t>-39% à +63%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~$9.1473  ·  </w:t>
      </w:r>
      <w:r>
        <w:rPr>
          <w:rFonts w:ascii="Calibri" w:hAnsi="Calibri"/>
          <w:b w:val="0"/>
          <w:i w:val="0"/>
          <w:color w:val="1E7D32"/>
          <w:sz w:val="18"/>
        </w:rPr>
        <w:t>vente ↑ $12.4906 (+37%)</w:t>
      </w:r>
      <w:r>
        <w:rPr>
          <w:rFonts w:ascii="Calibri" w:hAnsi="Calibri"/>
          <w:b w:val="0"/>
          <w:i w:val="0"/>
          <w:sz w:val="18"/>
        </w:rPr>
        <w:t xml:space="preserve">  ·  </w:t>
      </w:r>
      <w:r>
        <w:rPr>
          <w:rFonts w:ascii="Calibri" w:hAnsi="Calibri"/>
          <w:b w:val="0"/>
          <w:i w:val="0"/>
          <w:color w:val="C62828"/>
          <w:sz w:val="18"/>
        </w:rPr>
        <w:t>vente ↓ $7.4318 (-19%)</w:t>
      </w:r>
      <w:r>
        <w:rPr>
          <w:rFonts w:ascii="Calibri" w:hAnsi="Calibri"/>
          <w:b w:val="0"/>
          <w:i w:val="0"/>
          <w:sz w:val="18"/>
        </w:rPr>
        <w:t xml:space="preserve">  ·  détention ~21 j  ·  ratio G/P 1.95</w:t>
      </w:r>
    </w:p>
    <w:p>
      <w:r>
        <w:br w:type="page"/>
      </w:r>
    </w:p>
    <w:p>
      <w:pPr>
        <w:pStyle w:val="Heading1"/>
      </w:pPr>
      <w:r>
        <w:t>5. Méthodologie &amp; avertissements</w:t>
      </w:r>
    </w:p>
    <w:p>
      <w:r>
        <w:rPr>
          <w:rFonts w:ascii="Calibri" w:hAnsi="Calibri"/>
          <w:b/>
          <w:i w:val="0"/>
          <w:color w:val="2E5496"/>
          <w:sz w:val="20"/>
        </w:rPr>
        <w:t>Deux couches complémentaires</w:t>
      </w:r>
    </w:p>
    <w:p>
      <w:r>
        <w:rPr>
          <w:rFonts w:ascii="Calibri" w:hAnsi="Calibri"/>
          <w:b w:val="0"/>
          <w:i w:val="0"/>
          <w:sz w:val="19"/>
        </w:rPr>
        <w:t>Le SIGNAL TECHNIQUE résume ce que disent les indicateurs. La DÉCISION à 4 feux n'affiche INVESTIR que si Technique, Fondamental, Prédiction et Risque convergent. Un signal peut être neutre alors que la décision est INVESTIR, et inversement.</w:t>
      </w:r>
    </w:p>
    <w:p>
      <w:r>
        <w:rPr>
          <w:rFonts w:ascii="Calibri" w:hAnsi="Calibri"/>
          <w:b/>
          <w:i w:val="0"/>
          <w:color w:val="2E5496"/>
          <w:sz w:val="20"/>
        </w:rPr>
        <w:t>Les 5 indicateurs</w:t>
      </w:r>
    </w:p>
    <w:p>
      <w:r>
        <w:rPr>
          <w:rFonts w:ascii="Calibri" w:hAnsi="Calibri"/>
          <w:b w:val="0"/>
          <w:i w:val="0"/>
          <w:sz w:val="19"/>
        </w:rPr>
        <w:t>Moyennes mobiles, RSI, MACD, Stochastique, Bandes de Bollinger — paramètres ré-optimisés chaque semaine en walk-forward. Un indicateur qui ne bat pas le buy-and-hold hors-échantillon est désactivé.</w:t>
      </w:r>
    </w:p>
    <w:p>
      <w:r>
        <w:rPr>
          <w:rFonts w:ascii="Calibri" w:hAnsi="Calibri"/>
          <w:b/>
          <w:i w:val="0"/>
          <w:color w:val="2E5496"/>
          <w:sz w:val="20"/>
        </w:rPr>
        <w:t>Feu Prédiction</w:t>
      </w:r>
    </w:p>
    <w:p>
      <w:r>
        <w:rPr>
          <w:rFonts w:ascii="Calibri" w:hAnsi="Calibri"/>
          <w:b w:val="0"/>
          <w:i w:val="0"/>
          <w:sz w:val="19"/>
        </w:rPr>
        <w:t>Modèle logistique dont l'AUC est mesurée hors-échantillon. Sans edge (AUC ≈ 0,5), il est ignoré : aucune prédiction n'est présentée comme fiable sans pouvoir prédictif démontré.</w:t>
      </w:r>
    </w:p>
    <w:p>
      <w:r>
        <w:rPr>
          <w:rFonts w:ascii="Calibri" w:hAnsi="Calibri"/>
          <w:b/>
          <w:i w:val="0"/>
          <w:color w:val="2E5496"/>
          <w:sz w:val="20"/>
        </w:rPr>
        <w:t>Projection 30 jours</w:t>
      </w:r>
    </w:p>
    <w:p>
      <w:r>
        <w:rPr>
          <w:rFonts w:ascii="Calibri" w:hAnsi="Calibri"/>
          <w:b w:val="0"/>
          <w:i w:val="0"/>
          <w:sz w:val="19"/>
        </w:rPr>
        <w:t>Fourchette de plausibilité (marche aléatoire) : sa largeur mesure l'incertitude. Ce n'est pas une prévision de prix et elle n'indique aucune direction.</w:t>
      </w:r>
    </w:p>
    <w:p>
      <w:r>
        <w:rPr>
          <w:rFonts w:ascii="Calibri" w:hAnsi="Calibri"/>
          <w:b/>
          <w:i w:val="0"/>
          <w:color w:val="2E5496"/>
          <w:sz w:val="20"/>
        </w:rPr>
        <w:t>Plan de trade (niveaux)</w:t>
      </w:r>
    </w:p>
    <w:p>
      <w:r>
        <w:rPr>
          <w:rFonts w:ascii="Calibri" w:hAnsi="Calibri"/>
          <w:b w:val="0"/>
          <w:i w:val="0"/>
          <w:sz w:val="19"/>
        </w:rPr>
        <w:t>Prix d'achat = prix actuel (référence). Objectif de vente à la hausse = prix × exp(+1,5σ) et stop à la baisse = prix × exp(−1,0σ), où σ est l'amplitude typique (volatilité) sur la durée de détention. La durée = 21 ÷ volatilité annualisée, bornée 7–45 jours (un actif calme se tient plus longtemps). Ces niveaux sont des repères de gestion du risque dérivés de la volatilité, PAS des prévisions ni des ordres : ajustez-les à votre tolérance au risque.</w:t>
      </w:r>
    </w:p>
    <w:p>
      <w:r>
        <w:rPr>
          <w:rFonts w:ascii="Calibri" w:hAnsi="Calibri"/>
          <w:b/>
          <w:i w:val="0"/>
          <w:color w:val="2E5496"/>
          <w:sz w:val="20"/>
        </w:rPr>
        <w:t>Données</w:t>
      </w:r>
    </w:p>
    <w:p>
      <w:r>
        <w:rPr>
          <w:rFonts w:ascii="Calibri" w:hAnsi="Calibri"/>
          <w:b w:val="0"/>
          <w:i w:val="0"/>
          <w:sz w:val="19"/>
        </w:rPr>
        <w:t>Cours quotidiens CoinGecko (historique limité à 365 jours sur le plan gratuit).</w:t>
      </w:r>
    </w:p>
    <w:p>
      <w:r>
        <w:rPr>
          <w:rFonts w:ascii="Calibri" w:hAnsi="Calibri"/>
          <w:b/>
          <w:i w:val="0"/>
          <w:color w:val="C62828"/>
          <w:sz w:val="20"/>
        </w:rPr>
        <w:t>Avertissement</w:t>
      </w:r>
    </w:p>
    <w:p>
      <w:r>
        <w:rPr>
          <w:rFonts w:ascii="Calibri" w:hAnsi="Calibri"/>
          <w:b w:val="0"/>
          <w:i w:val="0"/>
          <w:sz w:val="19"/>
        </w:rPr>
        <w:t>Document d'information à but éducatif — pas un conseil en investissement. Cryptomonnaies très volatiles : pertes possibles, y compris totales. Les performances passées ne préjugent pas des performances futures.</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