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2026-09-23</w:t>
            </w:r>
          </w:p>
        </w:tc>
      </w:tr>
    </w:tbl>
    <w:p/>
    <w:p>
      <w:r>
        <w:rPr>
          <w:rFonts w:ascii="Calibri" w:hAnsi="Calibri"/>
          <w:b w:val="0"/>
          <w:i/>
          <w:color w:val="555555"/>
          <w:sz w:val="18"/>
        </w:rPr>
        <w:t>Univers analysé : 20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20 cryptomonnaies :</w:t>
      </w:r>
    </w:p>
    <w:p>
      <w:pPr>
        <w:pStyle w:val="ListBullet"/>
      </w:pPr>
      <w:r>
        <w:rPr>
          <w:rFonts w:ascii="Calibri" w:hAnsi="Calibri"/>
          <w:b/>
          <w:i w:val="0"/>
          <w:color w:val="1E7D32"/>
          <w:sz w:val="20"/>
        </w:rPr>
        <w:t>INVESTIR (4 feux verts) : 5 — BNB, SOL, WBT, LINK, NEAR.</w:t>
      </w:r>
    </w:p>
    <w:p>
      <w:pPr>
        <w:pStyle w:val="ListBullet"/>
      </w:pPr>
      <w:r>
        <w:rPr>
          <w:rFonts w:ascii="Calibri" w:hAnsi="Calibri"/>
          <w:b/>
          <w:i w:val="0"/>
          <w:color w:val="B26A00"/>
          <w:sz w:val="20"/>
        </w:rPr>
        <w:t>CONSERVER (pas de signal net) : 12.</w:t>
      </w:r>
    </w:p>
    <w:p>
      <w:pPr>
        <w:pStyle w:val="ListBullet"/>
      </w:pPr>
      <w:r>
        <w:rPr>
          <w:rFonts w:ascii="Calibri" w:hAnsi="Calibri"/>
          <w:b/>
          <w:i w:val="0"/>
          <w:color w:val="C62828"/>
          <w:sz w:val="20"/>
        </w:rPr>
        <w:t>ÉVITER (fondamental ou risque en échec) : 3 — ZEC, FIGR_HELOC, LEO.</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0.643</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0.778</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-40%..+68%</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0.62</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-37%..+60%</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0.625</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0.505</w:t>
            </w:r>
          </w:p>
        </w:tc>
        <w:tc>
          <w:tcPr>
            <w:tcW w:type="dxa" w:w="2100"/>
            <w:shd w:val="clear" w:color="auto" w:fill="F2F5FB"/>
          </w:tcPr>
          <w:p>
            <w:pPr>
              <w:jc w:val="center"/>
            </w:pPr>
            <w:r>
              <w:rPr>
                <w:rFonts w:ascii="Calibri" w:hAnsi="Calibri"/>
                <w:b w:val="0"/>
                <w:i w:val="0"/>
                <w:sz w:val="16"/>
              </w:rPr>
              <w:t>-44%..+77%</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$86 183.29</w:t>
            </w:r>
          </w:p>
        </w:tc>
        <w:tc>
          <w:tcPr>
            <w:tcW w:type="dxa" w:w="1700"/>
          </w:tcPr>
          <w:p>
            <w:pPr>
              <w:jc w:val="center"/>
            </w:pPr>
            <w:r>
              <w:rPr>
                <w:rFonts w:ascii="Calibri" w:hAnsi="Calibri"/>
                <w:b w:val="0"/>
                <w:i w:val="0"/>
                <w:color w:val="1E7D32"/>
                <w:sz w:val="16"/>
              </w:rPr>
              <w:t>$105 597.46  (+23%)</w:t>
            </w:r>
          </w:p>
        </w:tc>
        <w:tc>
          <w:tcPr>
            <w:tcW w:type="dxa" w:w="1600"/>
          </w:tcPr>
          <w:p>
            <w:pPr>
              <w:jc w:val="center"/>
            </w:pPr>
            <w:r>
              <w:rPr>
                <w:rFonts w:ascii="Calibri" w:hAnsi="Calibri"/>
                <w:b w:val="0"/>
                <w:i w:val="0"/>
                <w:color w:val="C62828"/>
                <w:sz w:val="16"/>
              </w:rPr>
              <w:t>$75 266.69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$2 752.63</w:t>
            </w:r>
          </w:p>
        </w:tc>
        <w:tc>
          <w:tcPr>
            <w:tcW w:type="dxa" w:w="1700"/>
            <w:shd w:val="clear" w:color="auto" w:fill="F2F5FB"/>
          </w:tcPr>
          <w:p>
            <w:pPr>
              <w:jc w:val="center"/>
            </w:pPr>
            <w:r>
              <w:rPr>
                <w:rFonts w:ascii="Calibri" w:hAnsi="Calibri"/>
                <w:b w:val="0"/>
                <w:i w:val="0"/>
                <w:color w:val="1E7D32"/>
                <w:sz w:val="16"/>
              </w:rPr>
              <w:t>$3 504.64  (+27%)</w:t>
            </w:r>
          </w:p>
        </w:tc>
        <w:tc>
          <w:tcPr>
            <w:tcW w:type="dxa" w:w="1600"/>
            <w:shd w:val="clear" w:color="auto" w:fill="F2F5FB"/>
          </w:tcPr>
          <w:p>
            <w:pPr>
              <w:jc w:val="center"/>
            </w:pPr>
            <w:r>
              <w:rPr>
                <w:rFonts w:ascii="Calibri" w:hAnsi="Calibri"/>
                <w:b w:val="0"/>
                <w:i w:val="0"/>
                <w:color w:val="C62828"/>
                <w:sz w:val="16"/>
              </w:rPr>
              <w:t>$2 343.24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$788.1391</w:t>
            </w:r>
          </w:p>
        </w:tc>
        <w:tc>
          <w:tcPr>
            <w:tcW w:type="dxa" w:w="1700"/>
          </w:tcPr>
          <w:p>
            <w:pPr>
              <w:jc w:val="center"/>
            </w:pPr>
            <w:r>
              <w:rPr>
                <w:rFonts w:ascii="Calibri" w:hAnsi="Calibri"/>
                <w:b w:val="0"/>
                <w:i w:val="0"/>
                <w:color w:val="1E7D32"/>
                <w:sz w:val="16"/>
              </w:rPr>
              <w:t>$958.6995  (+22%)</w:t>
            </w:r>
          </w:p>
        </w:tc>
        <w:tc>
          <w:tcPr>
            <w:tcW w:type="dxa" w:w="1600"/>
          </w:tcPr>
          <w:p>
            <w:pPr>
              <w:jc w:val="center"/>
            </w:pPr>
            <w:r>
              <w:rPr>
                <w:rFonts w:ascii="Calibri" w:hAnsi="Calibri"/>
                <w:b w:val="0"/>
                <w:i w:val="0"/>
                <w:color w:val="C62828"/>
                <w:sz w:val="16"/>
              </w:rPr>
              <w:t>$691.6448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$1.5713</w:t>
            </w:r>
          </w:p>
        </w:tc>
        <w:tc>
          <w:tcPr>
            <w:tcW w:type="dxa" w:w="1700"/>
            <w:shd w:val="clear" w:color="auto" w:fill="F2F5FB"/>
          </w:tcPr>
          <w:p>
            <w:pPr>
              <w:jc w:val="center"/>
            </w:pPr>
            <w:r>
              <w:rPr>
                <w:rFonts w:ascii="Calibri" w:hAnsi="Calibri"/>
                <w:b w:val="0"/>
                <w:i w:val="0"/>
                <w:color w:val="1E7D32"/>
                <w:sz w:val="16"/>
              </w:rPr>
              <w:t>$2.0096  (+28%)</w:t>
            </w:r>
          </w:p>
        </w:tc>
        <w:tc>
          <w:tcPr>
            <w:tcW w:type="dxa" w:w="1600"/>
            <w:shd w:val="clear" w:color="auto" w:fill="F2F5FB"/>
          </w:tcPr>
          <w:p>
            <w:pPr>
              <w:jc w:val="center"/>
            </w:pPr>
            <w:r>
              <w:rPr>
                <w:rFonts w:ascii="Calibri" w:hAnsi="Calibri"/>
                <w:b w:val="0"/>
                <w:i w:val="0"/>
                <w:color w:val="C62828"/>
                <w:sz w:val="16"/>
              </w:rPr>
              <w:t>$1.3336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$118.5071</w:t>
            </w:r>
          </w:p>
        </w:tc>
        <w:tc>
          <w:tcPr>
            <w:tcW w:type="dxa" w:w="1700"/>
          </w:tcPr>
          <w:p>
            <w:pPr>
              <w:jc w:val="center"/>
            </w:pPr>
            <w:r>
              <w:rPr>
                <w:rFonts w:ascii="Calibri" w:hAnsi="Calibri"/>
                <w:b w:val="0"/>
                <w:i w:val="0"/>
                <w:color w:val="1E7D32"/>
                <w:sz w:val="16"/>
              </w:rPr>
              <w:t>$151.4128  (+28%)</w:t>
            </w:r>
          </w:p>
        </w:tc>
        <w:tc>
          <w:tcPr>
            <w:tcW w:type="dxa" w:w="1600"/>
          </w:tcPr>
          <w:p>
            <w:pPr>
              <w:jc w:val="center"/>
            </w:pPr>
            <w:r>
              <w:rPr>
                <w:rFonts w:ascii="Calibri" w:hAnsi="Calibri"/>
                <w:b w:val="0"/>
                <w:i w:val="0"/>
                <w:color w:val="C62828"/>
                <w:sz w:val="16"/>
              </w:rPr>
              <w:t>$100.6465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$0.342008</w:t>
            </w:r>
          </w:p>
        </w:tc>
        <w:tc>
          <w:tcPr>
            <w:tcW w:type="dxa" w:w="1700"/>
            <w:shd w:val="clear" w:color="auto" w:fill="F2F5FB"/>
          </w:tcPr>
          <w:p>
            <w:pPr>
              <w:jc w:val="center"/>
            </w:pPr>
            <w:r>
              <w:rPr>
                <w:rFonts w:ascii="Calibri" w:hAnsi="Calibri"/>
                <w:b w:val="0"/>
                <w:i w:val="0"/>
                <w:color w:val="1E7D32"/>
                <w:sz w:val="16"/>
              </w:rPr>
              <w:t>$0.382460  (+12%)</w:t>
            </w:r>
          </w:p>
        </w:tc>
        <w:tc>
          <w:tcPr>
            <w:tcW w:type="dxa" w:w="1600"/>
            <w:shd w:val="clear" w:color="auto" w:fill="F2F5FB"/>
          </w:tcPr>
          <w:p>
            <w:pPr>
              <w:jc w:val="center"/>
            </w:pPr>
            <w:r>
              <w:rPr>
                <w:rFonts w:ascii="Calibri" w:hAnsi="Calibri"/>
                <w:b w:val="0"/>
                <w:i w:val="0"/>
                <w:color w:val="C62828"/>
                <w:sz w:val="16"/>
              </w:rPr>
              <w:t>$0.317445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$1 628.53</w:t>
            </w:r>
          </w:p>
        </w:tc>
        <w:tc>
          <w:tcPr>
            <w:tcW w:type="dxa" w:w="1700"/>
          </w:tcPr>
          <w:p>
            <w:pPr>
              <w:jc w:val="center"/>
            </w:pPr>
            <w:r>
              <w:rPr>
                <w:rFonts w:ascii="Calibri" w:hAnsi="Calibri"/>
                <w:b w:val="0"/>
                <w:i w:val="0"/>
                <w:color w:val="1E7D32"/>
                <w:sz w:val="16"/>
              </w:rPr>
              <w:t>$2 372.49  (+46%)</w:t>
            </w:r>
          </w:p>
        </w:tc>
        <w:tc>
          <w:tcPr>
            <w:tcW w:type="dxa" w:w="1600"/>
          </w:tcPr>
          <w:p>
            <w:pPr>
              <w:jc w:val="center"/>
            </w:pPr>
            <w:r>
              <w:rPr>
                <w:rFonts w:ascii="Calibri" w:hAnsi="Calibri"/>
                <w:b w:val="0"/>
                <w:i w:val="0"/>
                <w:color w:val="C62828"/>
                <w:sz w:val="16"/>
              </w:rPr>
              <w:t>$1 267.24  (-22%)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$1.0318</w:t>
            </w:r>
          </w:p>
        </w:tc>
        <w:tc>
          <w:tcPr>
            <w:tcW w:type="dxa" w:w="1700"/>
            <w:shd w:val="clear" w:color="auto" w:fill="F2F5FB"/>
          </w:tcPr>
          <w:p>
            <w:pPr>
              <w:jc w:val="center"/>
            </w:pPr>
            <w:r>
              <w:rPr>
                <w:rFonts w:ascii="Calibri" w:hAnsi="Calibri"/>
                <w:b w:val="0"/>
                <w:i w:val="0"/>
                <w:color w:val="1E7D32"/>
                <w:sz w:val="16"/>
              </w:rPr>
              <w:t>$1.1131  (+8%)</w:t>
            </w:r>
          </w:p>
        </w:tc>
        <w:tc>
          <w:tcPr>
            <w:tcW w:type="dxa" w:w="1600"/>
            <w:shd w:val="clear" w:color="auto" w:fill="F2F5FB"/>
          </w:tcPr>
          <w:p>
            <w:pPr>
              <w:jc w:val="center"/>
            </w:pPr>
            <w:r>
              <w:rPr>
                <w:rFonts w:ascii="Calibri" w:hAnsi="Calibri"/>
                <w:b w:val="0"/>
                <w:i w:val="0"/>
                <w:color w:val="C62828"/>
                <w:sz w:val="16"/>
              </w:rPr>
              <w:t>$0.980915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$97.1905</w:t>
            </w:r>
          </w:p>
        </w:tc>
        <w:tc>
          <w:tcPr>
            <w:tcW w:type="dxa" w:w="1700"/>
          </w:tcPr>
          <w:p>
            <w:pPr>
              <w:jc w:val="center"/>
            </w:pPr>
            <w:r>
              <w:rPr>
                <w:rFonts w:ascii="Calibri" w:hAnsi="Calibri"/>
                <w:b w:val="0"/>
                <w:i w:val="0"/>
                <w:color w:val="1E7D32"/>
                <w:sz w:val="16"/>
              </w:rPr>
              <w:t>$133.7253  (+38%)</w:t>
            </w:r>
          </w:p>
        </w:tc>
        <w:tc>
          <w:tcPr>
            <w:tcW w:type="dxa" w:w="1600"/>
          </w:tcPr>
          <w:p>
            <w:pPr>
              <w:jc w:val="center"/>
            </w:pPr>
            <w:r>
              <w:rPr>
                <w:rFonts w:ascii="Calibri" w:hAnsi="Calibri"/>
                <w:b w:val="0"/>
                <w:i w:val="0"/>
                <w:color w:val="C62828"/>
                <w:sz w:val="16"/>
              </w:rPr>
              <w:t>$78.5653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$0.100359</w:t>
            </w:r>
          </w:p>
        </w:tc>
        <w:tc>
          <w:tcPr>
            <w:tcW w:type="dxa" w:w="1700"/>
            <w:shd w:val="clear" w:color="auto" w:fill="F2F5FB"/>
          </w:tcPr>
          <w:p>
            <w:pPr>
              <w:jc w:val="center"/>
            </w:pPr>
            <w:r>
              <w:rPr>
                <w:rFonts w:ascii="Calibri" w:hAnsi="Calibri"/>
                <w:b w:val="0"/>
                <w:i w:val="0"/>
                <w:color w:val="1E7D32"/>
                <w:sz w:val="16"/>
              </w:rPr>
              <w:t>$0.126554  (+26%)</w:t>
            </w:r>
          </w:p>
        </w:tc>
        <w:tc>
          <w:tcPr>
            <w:tcW w:type="dxa" w:w="1600"/>
            <w:shd w:val="clear" w:color="auto" w:fill="F2F5FB"/>
          </w:tcPr>
          <w:p>
            <w:pPr>
              <w:jc w:val="center"/>
            </w:pPr>
            <w:r>
              <w:rPr>
                <w:rFonts w:ascii="Calibri" w:hAnsi="Calibri"/>
                <w:b w:val="0"/>
                <w:i w:val="0"/>
                <w:color w:val="C62828"/>
                <w:sz w:val="16"/>
              </w:rPr>
              <w:t>$0.085983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$573.9543</w:t>
            </w:r>
          </w:p>
        </w:tc>
        <w:tc>
          <w:tcPr>
            <w:tcW w:type="dxa" w:w="1700"/>
          </w:tcPr>
          <w:p>
            <w:pPr>
              <w:jc w:val="center"/>
            </w:pPr>
            <w:r>
              <w:rPr>
                <w:rFonts w:ascii="Calibri" w:hAnsi="Calibri"/>
                <w:b w:val="0"/>
                <w:i w:val="0"/>
                <w:color w:val="1E7D32"/>
                <w:sz w:val="16"/>
              </w:rPr>
              <w:t>$760.4229  (+32%)</w:t>
            </w:r>
          </w:p>
        </w:tc>
        <w:tc>
          <w:tcPr>
            <w:tcW w:type="dxa" w:w="1600"/>
          </w:tcPr>
          <w:p>
            <w:pPr>
              <w:jc w:val="center"/>
            </w:pPr>
            <w:r>
              <w:rPr>
                <w:rFonts w:ascii="Calibri" w:hAnsi="Calibri"/>
                <w:b w:val="0"/>
                <w:i w:val="0"/>
                <w:color w:val="C62828"/>
                <w:sz w:val="16"/>
              </w:rPr>
              <w:t>$475.8010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$86.6643</w:t>
            </w:r>
          </w:p>
        </w:tc>
        <w:tc>
          <w:tcPr>
            <w:tcW w:type="dxa" w:w="1700"/>
            <w:shd w:val="clear" w:color="auto" w:fill="F2F5FB"/>
          </w:tcPr>
          <w:p>
            <w:pPr>
              <w:jc w:val="center"/>
            </w:pPr>
            <w:r>
              <w:rPr>
                <w:rFonts w:ascii="Calibri" w:hAnsi="Calibri"/>
                <w:b w:val="0"/>
                <w:i w:val="0"/>
                <w:color w:val="1E7D32"/>
                <w:sz w:val="16"/>
              </w:rPr>
              <w:t>$111.0833  (+28%)</w:t>
            </w:r>
          </w:p>
        </w:tc>
        <w:tc>
          <w:tcPr>
            <w:tcW w:type="dxa" w:w="1600"/>
            <w:shd w:val="clear" w:color="auto" w:fill="F2F5FB"/>
          </w:tcPr>
          <w:p>
            <w:pPr>
              <w:jc w:val="center"/>
            </w:pPr>
            <w:r>
              <w:rPr>
                <w:rFonts w:ascii="Calibri" w:hAnsi="Calibri"/>
                <w:b w:val="0"/>
                <w:i w:val="0"/>
                <w:color w:val="C62828"/>
                <w:sz w:val="16"/>
              </w:rPr>
              <w:t>$73.4459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$13.0348</w:t>
            </w:r>
          </w:p>
        </w:tc>
        <w:tc>
          <w:tcPr>
            <w:tcW w:type="dxa" w:w="1700"/>
          </w:tcPr>
          <w:p>
            <w:pPr>
              <w:jc w:val="center"/>
            </w:pPr>
            <w:r>
              <w:rPr>
                <w:rFonts w:ascii="Calibri" w:hAnsi="Calibri"/>
                <w:b w:val="0"/>
                <w:i w:val="0"/>
                <w:color w:val="1E7D32"/>
                <w:sz w:val="16"/>
              </w:rPr>
              <w:t>$16.7069  (+28%)</w:t>
            </w:r>
          </w:p>
        </w:tc>
        <w:tc>
          <w:tcPr>
            <w:tcW w:type="dxa" w:w="1600"/>
          </w:tcPr>
          <w:p>
            <w:pPr>
              <w:jc w:val="center"/>
            </w:pPr>
            <w:r>
              <w:rPr>
                <w:rFonts w:ascii="Calibri" w:hAnsi="Calibri"/>
                <w:b w:val="0"/>
                <w:i w:val="0"/>
                <w:color w:val="C62828"/>
                <w:sz w:val="16"/>
              </w:rPr>
              <w:t>$11.0470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$0.254023</w:t>
            </w:r>
          </w:p>
        </w:tc>
        <w:tc>
          <w:tcPr>
            <w:tcW w:type="dxa" w:w="1700"/>
            <w:shd w:val="clear" w:color="auto" w:fill="F2F5FB"/>
          </w:tcPr>
          <w:p>
            <w:pPr>
              <w:jc w:val="center"/>
            </w:pPr>
            <w:r>
              <w:rPr>
                <w:rFonts w:ascii="Calibri" w:hAnsi="Calibri"/>
                <w:b w:val="0"/>
                <w:i w:val="0"/>
                <w:color w:val="1E7D32"/>
                <w:sz w:val="16"/>
              </w:rPr>
              <w:t>$0.338172  (+33%)</w:t>
            </w:r>
          </w:p>
        </w:tc>
        <w:tc>
          <w:tcPr>
            <w:tcW w:type="dxa" w:w="1600"/>
            <w:shd w:val="clear" w:color="auto" w:fill="F2F5FB"/>
          </w:tcPr>
          <w:p>
            <w:pPr>
              <w:jc w:val="center"/>
            </w:pPr>
            <w:r>
              <w:rPr>
                <w:rFonts w:ascii="Calibri" w:hAnsi="Calibri"/>
                <w:b w:val="0"/>
                <w:i w:val="0"/>
                <w:color w:val="C62828"/>
                <w:sz w:val="16"/>
              </w:rPr>
              <w:t>$0.209908  (-17%)</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$0.013099</w:t>
            </w:r>
          </w:p>
        </w:tc>
        <w:tc>
          <w:tcPr>
            <w:tcW w:type="dxa" w:w="1700"/>
          </w:tcPr>
          <w:p>
            <w:pPr>
              <w:jc w:val="center"/>
            </w:pPr>
            <w:r>
              <w:rPr>
                <w:rFonts w:ascii="Calibri" w:hAnsi="Calibri"/>
                <w:b w:val="0"/>
                <w:i w:val="0"/>
                <w:color w:val="1E7D32"/>
                <w:sz w:val="16"/>
              </w:rPr>
              <w:t>$0.017806  (+36%)</w:t>
            </w:r>
          </w:p>
        </w:tc>
        <w:tc>
          <w:tcPr>
            <w:tcW w:type="dxa" w:w="1600"/>
          </w:tcPr>
          <w:p>
            <w:pPr>
              <w:jc w:val="center"/>
            </w:pPr>
            <w:r>
              <w:rPr>
                <w:rFonts w:ascii="Calibri" w:hAnsi="Calibri"/>
                <w:b w:val="0"/>
                <w:i w:val="0"/>
                <w:color w:val="C62828"/>
                <w:sz w:val="16"/>
              </w:rPr>
              <w:t>$0.010675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$8.9723</w:t>
            </w:r>
          </w:p>
        </w:tc>
        <w:tc>
          <w:tcPr>
            <w:tcW w:type="dxa" w:w="1700"/>
            <w:shd w:val="clear" w:color="auto" w:fill="F2F5FB"/>
          </w:tcPr>
          <w:p>
            <w:pPr>
              <w:jc w:val="center"/>
            </w:pPr>
            <w:r>
              <w:rPr>
                <w:rFonts w:ascii="Calibri" w:hAnsi="Calibri"/>
                <w:b w:val="0"/>
                <w:i w:val="0"/>
                <w:color w:val="1E7D32"/>
                <w:sz w:val="16"/>
              </w:rPr>
              <w:t>$10.2388  (+14%)</w:t>
            </w:r>
          </w:p>
        </w:tc>
        <w:tc>
          <w:tcPr>
            <w:tcW w:type="dxa" w:w="1600"/>
            <w:shd w:val="clear" w:color="auto" w:fill="F2F5FB"/>
          </w:tcPr>
          <w:p>
            <w:pPr>
              <w:jc w:val="center"/>
            </w:pPr>
            <w:r>
              <w:rPr>
                <w:rFonts w:ascii="Calibri" w:hAnsi="Calibri"/>
                <w:b w:val="0"/>
                <w:i w:val="0"/>
                <w:color w:val="C62828"/>
                <w:sz w:val="16"/>
              </w:rPr>
              <w:t>$8.2162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$0.216011</w:t>
            </w:r>
          </w:p>
        </w:tc>
        <w:tc>
          <w:tcPr>
            <w:tcW w:type="dxa" w:w="1700"/>
          </w:tcPr>
          <w:p>
            <w:pPr>
              <w:jc w:val="center"/>
            </w:pPr>
            <w:r>
              <w:rPr>
                <w:rFonts w:ascii="Calibri" w:hAnsi="Calibri"/>
                <w:b w:val="0"/>
                <w:i w:val="0"/>
                <w:color w:val="1E7D32"/>
                <w:sz w:val="16"/>
              </w:rPr>
              <w:t>$0.301787  (+40%)</w:t>
            </w:r>
          </w:p>
        </w:tc>
        <w:tc>
          <w:tcPr>
            <w:tcW w:type="dxa" w:w="1600"/>
          </w:tcPr>
          <w:p>
            <w:pPr>
              <w:jc w:val="center"/>
            </w:pPr>
            <w:r>
              <w:rPr>
                <w:rFonts w:ascii="Calibri" w:hAnsi="Calibri"/>
                <w:b w:val="0"/>
                <w:i w:val="0"/>
                <w:color w:val="C62828"/>
                <w:sz w:val="16"/>
              </w:rPr>
              <w:t>$0.172846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$344.9666</w:t>
            </w:r>
          </w:p>
        </w:tc>
        <w:tc>
          <w:tcPr>
            <w:tcW w:type="dxa" w:w="1700"/>
            <w:shd w:val="clear" w:color="auto" w:fill="F2F5FB"/>
          </w:tcPr>
          <w:p>
            <w:pPr>
              <w:jc w:val="center"/>
            </w:pPr>
            <w:r>
              <w:rPr>
                <w:rFonts w:ascii="Calibri" w:hAnsi="Calibri"/>
                <w:b w:val="0"/>
                <w:i w:val="0"/>
                <w:color w:val="1E7D32"/>
                <w:sz w:val="16"/>
              </w:rPr>
              <w:t>$481.4146  (+40%)</w:t>
            </w:r>
          </w:p>
        </w:tc>
        <w:tc>
          <w:tcPr>
            <w:tcW w:type="dxa" w:w="1600"/>
            <w:shd w:val="clear" w:color="auto" w:fill="F2F5FB"/>
          </w:tcPr>
          <w:p>
            <w:pPr>
              <w:jc w:val="center"/>
            </w:pPr>
            <w:r>
              <w:rPr>
                <w:rFonts w:ascii="Calibri" w:hAnsi="Calibri"/>
                <w:b w:val="0"/>
                <w:i w:val="0"/>
                <w:color w:val="C62828"/>
                <w:sz w:val="16"/>
              </w:rPr>
              <w:t>$276.2372  (-20%)</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$10.2187</w:t>
            </w:r>
          </w:p>
        </w:tc>
        <w:tc>
          <w:tcPr>
            <w:tcW w:type="dxa" w:w="1700"/>
          </w:tcPr>
          <w:p>
            <w:pPr>
              <w:jc w:val="center"/>
            </w:pPr>
            <w:r>
              <w:rPr>
                <w:rFonts w:ascii="Calibri" w:hAnsi="Calibri"/>
                <w:b w:val="0"/>
                <w:i w:val="0"/>
                <w:color w:val="1E7D32"/>
                <w:sz w:val="16"/>
              </w:rPr>
              <w:t>$13.9576  (+37%)</w:t>
            </w:r>
          </w:p>
        </w:tc>
        <w:tc>
          <w:tcPr>
            <w:tcW w:type="dxa" w:w="1600"/>
          </w:tcPr>
          <w:p>
            <w:pPr>
              <w:jc w:val="center"/>
            </w:pPr>
            <w:r>
              <w:rPr>
                <w:rFonts w:ascii="Calibri" w:hAnsi="Calibri"/>
                <w:b w:val="0"/>
                <w:i w:val="0"/>
                <w:color w:val="C62828"/>
                <w:sz w:val="16"/>
              </w:rPr>
              <w:t>$8.3008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$4.4121</w:t>
            </w:r>
          </w:p>
        </w:tc>
        <w:tc>
          <w:tcPr>
            <w:tcW w:type="dxa" w:w="1700"/>
            <w:shd w:val="clear" w:color="auto" w:fill="F2F5FB"/>
          </w:tcPr>
          <w:p>
            <w:pPr>
              <w:jc w:val="center"/>
            </w:pPr>
            <w:r>
              <w:rPr>
                <w:rFonts w:ascii="Calibri" w:hAnsi="Calibri"/>
                <w:b w:val="0"/>
                <w:i w:val="0"/>
                <w:color w:val="1E7D32"/>
                <w:sz w:val="16"/>
              </w:rPr>
              <w:t>$6.3076  (+43%)</w:t>
            </w:r>
          </w:p>
        </w:tc>
        <w:tc>
          <w:tcPr>
            <w:tcW w:type="dxa" w:w="1600"/>
            <w:shd w:val="clear" w:color="auto" w:fill="F2F5FB"/>
          </w:tcPr>
          <w:p>
            <w:pPr>
              <w:jc w:val="center"/>
            </w:pPr>
            <w:r>
              <w:rPr>
                <w:rFonts w:ascii="Calibri" w:hAnsi="Calibri"/>
                <w:b w:val="0"/>
                <w:i w:val="0"/>
                <w:color w:val="C62828"/>
                <w:sz w:val="16"/>
              </w:rPr>
              <w:t>$3.4766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$86 183.29   |   Composite +0.25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+45.3%  ·  drawdown vs plus-haut -30.9%  ·  momentum 7j/30j/90j +14.0% / +10.9% / +41.3%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0.469)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~$86 183.29  ·  </w:t>
      </w:r>
      <w:r>
        <w:rPr>
          <w:rFonts w:ascii="Calibri" w:hAnsi="Calibri"/>
          <w:b w:val="0"/>
          <w:i w:val="0"/>
          <w:color w:val="1E7D32"/>
          <w:sz w:val="18"/>
        </w:rPr>
        <w:t>vente ↑ $105 597.46 (+23%)</w:t>
      </w:r>
      <w:r>
        <w:rPr>
          <w:rFonts w:ascii="Calibri" w:hAnsi="Calibri"/>
          <w:b w:val="0"/>
          <w:i w:val="0"/>
          <w:sz w:val="18"/>
        </w:rPr>
        <w:t xml:space="preserve">  ·  </w:t>
      </w:r>
      <w:r>
        <w:rPr>
          <w:rFonts w:ascii="Calibri" w:hAnsi="Calibri"/>
          <w:b w:val="0"/>
          <w:i w:val="0"/>
          <w:color w:val="C62828"/>
          <w:sz w:val="18"/>
        </w:rPr>
        <w:t>vente ↓ $75 266.69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$2 752.63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+1.9%  ·  volatilité annualisée +64.2%  ·  drawdown vs plus-haut -41.3%  ·  momentum 7j/30j/90j +14.8% / +11.8% / +69.8%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0.594)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~$2 752.63  ·  </w:t>
      </w:r>
      <w:r>
        <w:rPr>
          <w:rFonts w:ascii="Calibri" w:hAnsi="Calibri"/>
          <w:b w:val="0"/>
          <w:i w:val="0"/>
          <w:color w:val="1E7D32"/>
          <w:sz w:val="18"/>
        </w:rPr>
        <w:t>vente ↑ $3 504.64 (+27%)</w:t>
      </w:r>
      <w:r>
        <w:rPr>
          <w:rFonts w:ascii="Calibri" w:hAnsi="Calibri"/>
          <w:b w:val="0"/>
          <w:i w:val="0"/>
          <w:sz w:val="18"/>
        </w:rPr>
        <w:t xml:space="preserve">  ·  </w:t>
      </w:r>
      <w:r>
        <w:rPr>
          <w:rFonts w:ascii="Calibri" w:hAnsi="Calibri"/>
          <w:b w:val="0"/>
          <w:i w:val="0"/>
          <w:color w:val="C62828"/>
          <w:sz w:val="18"/>
        </w:rPr>
        <w:t>vente ↓ $2 343.24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$788.1391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+1.6%  ·  volatilité annualisée +52.4%  ·  drawdown vs plus-haut -39.7%  ·  momentum 7j/30j/90j +10.7% / +12.2% / +39.7%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~$788.1391  ·  </w:t>
      </w:r>
      <w:r>
        <w:rPr>
          <w:rFonts w:ascii="Calibri" w:hAnsi="Calibri"/>
          <w:b w:val="0"/>
          <w:i w:val="0"/>
          <w:color w:val="1E7D32"/>
          <w:sz w:val="18"/>
        </w:rPr>
        <w:t>vente ↑ $958.6995 (+22%)</w:t>
      </w:r>
      <w:r>
        <w:rPr>
          <w:rFonts w:ascii="Calibri" w:hAnsi="Calibri"/>
          <w:b w:val="0"/>
          <w:i w:val="0"/>
          <w:sz w:val="18"/>
        </w:rPr>
        <w:t xml:space="preserve">  ·  </w:t>
      </w:r>
      <w:r>
        <w:rPr>
          <w:rFonts w:ascii="Calibri" w:hAnsi="Calibri"/>
          <w:b w:val="0"/>
          <w:i w:val="0"/>
          <w:color w:val="C62828"/>
          <w:sz w:val="18"/>
        </w:rPr>
        <w:t>vente ↓ $691.6448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$1.5713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+67.5%  ·  drawdown vs plus-haut -48.3%  ·  momentum 7j/30j/90j +22.4% / +3.3% / +46.5%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~$1.5713  ·  </w:t>
      </w:r>
      <w:r>
        <w:rPr>
          <w:rFonts w:ascii="Calibri" w:hAnsi="Calibri"/>
          <w:b w:val="0"/>
          <w:i w:val="0"/>
          <w:color w:val="1E7D32"/>
          <w:sz w:val="18"/>
        </w:rPr>
        <w:t>vente ↑ $2.0096 (+28%)</w:t>
      </w:r>
      <w:r>
        <w:rPr>
          <w:rFonts w:ascii="Calibri" w:hAnsi="Calibri"/>
          <w:b w:val="0"/>
          <w:i w:val="0"/>
          <w:sz w:val="18"/>
        </w:rPr>
        <w:t xml:space="preserve">  ·  </w:t>
      </w:r>
      <w:r>
        <w:rPr>
          <w:rFonts w:ascii="Calibri" w:hAnsi="Calibri"/>
          <w:b w:val="0"/>
          <w:i w:val="0"/>
          <w:color w:val="C62828"/>
          <w:sz w:val="18"/>
        </w:rPr>
        <w:t>vente ↓ $1.3336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$118.5071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+2.5%  ·  volatilité annualisée +68.3%  ·  drawdown vs plus-haut -49.5%  ·  momentum 7j/30j/90j +22.3% / +24.2% / +74.4%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~$118.5071  ·  </w:t>
      </w:r>
      <w:r>
        <w:rPr>
          <w:rFonts w:ascii="Calibri" w:hAnsi="Calibri"/>
          <w:b w:val="0"/>
          <w:i w:val="0"/>
          <w:color w:val="1E7D32"/>
          <w:sz w:val="18"/>
        </w:rPr>
        <w:t>vente ↑ $151.4128 (+28%)</w:t>
      </w:r>
      <w:r>
        <w:rPr>
          <w:rFonts w:ascii="Calibri" w:hAnsi="Calibri"/>
          <w:b w:val="0"/>
          <w:i w:val="0"/>
          <w:sz w:val="18"/>
        </w:rPr>
        <w:t xml:space="preserve">  ·  </w:t>
      </w:r>
      <w:r>
        <w:rPr>
          <w:rFonts w:ascii="Calibri" w:hAnsi="Calibri"/>
          <w:b w:val="0"/>
          <w:i w:val="0"/>
          <w:color w:val="C62828"/>
          <w:sz w:val="18"/>
        </w:rPr>
        <w:t>vente ↓ $100.6465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$0.342008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+0.7%  ·  volatilité annualisée +25.3%  ·  drawdown vs plus-haut -8.8%  ·  momentum 7j/30j/90j +2.8% / -0.6% / +4.6%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~$0.342008  ·  </w:t>
      </w:r>
      <w:r>
        <w:rPr>
          <w:rFonts w:ascii="Calibri" w:hAnsi="Calibri"/>
          <w:b w:val="0"/>
          <w:i w:val="0"/>
          <w:color w:val="1E7D32"/>
          <w:sz w:val="18"/>
        </w:rPr>
        <w:t>vente ↑ $0.382460 (+12%)</w:t>
      </w:r>
      <w:r>
        <w:rPr>
          <w:rFonts w:ascii="Calibri" w:hAnsi="Calibri"/>
          <w:b w:val="0"/>
          <w:i w:val="0"/>
          <w:sz w:val="18"/>
        </w:rPr>
        <w:t xml:space="preserve">  ·  </w:t>
      </w:r>
      <w:r>
        <w:rPr>
          <w:rFonts w:ascii="Calibri" w:hAnsi="Calibri"/>
          <w:b w:val="0"/>
          <w:i w:val="0"/>
          <w:color w:val="C62828"/>
          <w:sz w:val="18"/>
        </w:rPr>
        <w:t>vente ↓ $0.317445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$1 628.53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+4.9%  ·  volatilité annualisée +157.5%  ·  drawdown vs plus-haut +0.0%  ·  momentum 7j/30j/90j +46.7% / +91.0% / +291.6%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0.508)  ·  </w:t>
      </w:r>
      <w:r>
        <w:rPr>
          <w:rFonts w:ascii="Calibri" w:hAnsi="Calibri"/>
          <w:b w:val="0"/>
          <w:i w:val="0"/>
          <w:color w:val="C62828"/>
          <w:sz w:val="18"/>
        </w:rPr>
        <w:t>Risque rouge (vol 1.58)</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~$1 628.53  ·  </w:t>
      </w:r>
      <w:r>
        <w:rPr>
          <w:rFonts w:ascii="Calibri" w:hAnsi="Calibri"/>
          <w:b w:val="0"/>
          <w:i w:val="0"/>
          <w:color w:val="1E7D32"/>
          <w:sz w:val="18"/>
        </w:rPr>
        <w:t>vente ↑ $2 372.49 (+46%)</w:t>
      </w:r>
      <w:r>
        <w:rPr>
          <w:rFonts w:ascii="Calibri" w:hAnsi="Calibri"/>
          <w:b w:val="0"/>
          <w:i w:val="0"/>
          <w:sz w:val="18"/>
        </w:rPr>
        <w:t xml:space="preserve">  ·  </w:t>
      </w:r>
      <w:r>
        <w:rPr>
          <w:rFonts w:ascii="Calibri" w:hAnsi="Calibri"/>
          <w:b w:val="0"/>
          <w:i w:val="0"/>
          <w:color w:val="C62828"/>
          <w:sz w:val="18"/>
        </w:rPr>
        <w:t>vente ↓ $1 267.24 (-22%)</w:t>
      </w:r>
      <w:r>
        <w:rPr>
          <w:rFonts w:ascii="Calibri" w:hAnsi="Calibri"/>
          <w:b w:val="0"/>
          <w:i w:val="0"/>
          <w:sz w:val="18"/>
        </w:rPr>
        <w:t xml:space="preserve">  ·  détention ~13 j  ·  ratio G/P 2.06</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$1.0318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+246.6%  ·  drawdown vs plus-haut -1.7%  ·  momentum 7j/30j/90j +2.9% / -0.7%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~$1.0318  ·  </w:t>
      </w:r>
      <w:r>
        <w:rPr>
          <w:rFonts w:ascii="Calibri" w:hAnsi="Calibri"/>
          <w:b w:val="0"/>
          <w:i w:val="0"/>
          <w:color w:val="1E7D32"/>
          <w:sz w:val="18"/>
        </w:rPr>
        <w:t>vente ↑ $1.1131 (+8%)</w:t>
      </w:r>
      <w:r>
        <w:rPr>
          <w:rFonts w:ascii="Calibri" w:hAnsi="Calibri"/>
          <w:b w:val="0"/>
          <w:i w:val="0"/>
          <w:sz w:val="18"/>
        </w:rPr>
        <w:t xml:space="preserve">  ·  </w:t>
      </w:r>
      <w:r>
        <w:rPr>
          <w:rFonts w:ascii="Calibri" w:hAnsi="Calibri"/>
          <w:b w:val="0"/>
          <w:i w:val="0"/>
          <w:color w:val="C62828"/>
          <w:sz w:val="18"/>
        </w:rPr>
        <w:t>vente ↓ $0.980915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$97.1905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+2.6%  ·  volatilité annualisée +92.7%  ·  drawdown vs plus-haut +0.0%  ·  momentum 7j/30j/90j +26.4% / +18.2% / +52.3%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0.562)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~$97.1905  ·  </w:t>
      </w:r>
      <w:r>
        <w:rPr>
          <w:rFonts w:ascii="Calibri" w:hAnsi="Calibri"/>
          <w:b w:val="0"/>
          <w:i w:val="0"/>
          <w:color w:val="1E7D32"/>
          <w:sz w:val="18"/>
        </w:rPr>
        <w:t>vente ↑ $133.7253 (+38%)</w:t>
      </w:r>
      <w:r>
        <w:rPr>
          <w:rFonts w:ascii="Calibri" w:hAnsi="Calibri"/>
          <w:b w:val="0"/>
          <w:i w:val="0"/>
          <w:sz w:val="18"/>
        </w:rPr>
        <w:t xml:space="preserve">  ·  </w:t>
      </w:r>
      <w:r>
        <w:rPr>
          <w:rFonts w:ascii="Calibri" w:hAnsi="Calibri"/>
          <w:b w:val="0"/>
          <w:i w:val="0"/>
          <w:color w:val="C62828"/>
          <w:sz w:val="18"/>
        </w:rPr>
        <w:t>vente ↓ $78.5653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$0.100359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+72.8%  ·  drawdown vs plus-haut -62.4%  ·  momentum 7j/30j/90j +25.4% / +7.5% / +31.9%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0.561)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~$0.100359  ·  </w:t>
      </w:r>
      <w:r>
        <w:rPr>
          <w:rFonts w:ascii="Calibri" w:hAnsi="Calibri"/>
          <w:b w:val="0"/>
          <w:i w:val="0"/>
          <w:color w:val="1E7D32"/>
          <w:sz w:val="18"/>
        </w:rPr>
        <w:t>vente ↑ $0.126554 (+26%)</w:t>
      </w:r>
      <w:r>
        <w:rPr>
          <w:rFonts w:ascii="Calibri" w:hAnsi="Calibri"/>
          <w:b w:val="0"/>
          <w:i w:val="0"/>
          <w:sz w:val="18"/>
        </w:rPr>
        <w:t xml:space="preserve">  ·  </w:t>
      </w:r>
      <w:r>
        <w:rPr>
          <w:rFonts w:ascii="Calibri" w:hAnsi="Calibri"/>
          <w:b w:val="0"/>
          <w:i w:val="0"/>
          <w:color w:val="C62828"/>
          <w:sz w:val="18"/>
        </w:rPr>
        <w:t>vente ↓ $0.085983 (-14%)</w:t>
      </w:r>
      <w:r>
        <w:rPr>
          <w:rFonts w:ascii="Calibri" w:hAnsi="Calibri"/>
          <w:b w:val="0"/>
          <w:i w:val="0"/>
          <w:sz w:val="18"/>
        </w:rPr>
        <w:t xml:space="preserve">  ·  détention ~29 j  ·  ratio G/P 1.82</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$573.9543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+85.4%  ·  drawdown vs plus-haut -18.7%  ·  momentum 7j/30j/90j +13.3% / +36.2% / +82.4%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0.643)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~$573.9543  ·  </w:t>
      </w:r>
      <w:r>
        <w:rPr>
          <w:rFonts w:ascii="Calibri" w:hAnsi="Calibri"/>
          <w:b w:val="0"/>
          <w:i w:val="0"/>
          <w:color w:val="1E7D32"/>
          <w:sz w:val="18"/>
        </w:rPr>
        <w:t>vente ↑ $760.4229 (+32%)</w:t>
      </w:r>
      <w:r>
        <w:rPr>
          <w:rFonts w:ascii="Calibri" w:hAnsi="Calibri"/>
          <w:b w:val="0"/>
          <w:i w:val="0"/>
          <w:sz w:val="18"/>
        </w:rPr>
        <w:t xml:space="preserve">  ·  </w:t>
      </w:r>
      <w:r>
        <w:rPr>
          <w:rFonts w:ascii="Calibri" w:hAnsi="Calibri"/>
          <w:b w:val="0"/>
          <w:i w:val="0"/>
          <w:color w:val="C62828"/>
          <w:sz w:val="18"/>
        </w:rPr>
        <w:t>vente ↓ $475.8010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$86.6643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+1.7%  ·  volatilité annualisée +54.5%  ·  drawdown vs plus-haut -0.6%  ·  momentum 7j/30j/90j +11.5% / +19.4% / +75.5%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~$86.6643  ·  </w:t>
      </w:r>
      <w:r>
        <w:rPr>
          <w:rFonts w:ascii="Calibri" w:hAnsi="Calibri"/>
          <w:b w:val="0"/>
          <w:i w:val="0"/>
          <w:color w:val="1E7D32"/>
          <w:sz w:val="18"/>
        </w:rPr>
        <w:t>vente ↑ $111.0833 (+28%)</w:t>
      </w:r>
      <w:r>
        <w:rPr>
          <w:rFonts w:ascii="Calibri" w:hAnsi="Calibri"/>
          <w:b w:val="0"/>
          <w:i w:val="0"/>
          <w:sz w:val="18"/>
        </w:rPr>
        <w:t xml:space="preserve">  ·  </w:t>
      </w:r>
      <w:r>
        <w:rPr>
          <w:rFonts w:ascii="Calibri" w:hAnsi="Calibri"/>
          <w:b w:val="0"/>
          <w:i w:val="0"/>
          <w:color w:val="C62828"/>
          <w:sz w:val="18"/>
        </w:rPr>
        <w:t>vente ↓ $73.4459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$13.0348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+75.5%  ·  drawdown vs plus-haut -44.4%  ·  momentum 7j/30j/90j +19.8% / +13.0% / +75.8%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~$13.0348  ·  </w:t>
      </w:r>
      <w:r>
        <w:rPr>
          <w:rFonts w:ascii="Calibri" w:hAnsi="Calibri"/>
          <w:b w:val="0"/>
          <w:i w:val="0"/>
          <w:color w:val="1E7D32"/>
          <w:sz w:val="18"/>
        </w:rPr>
        <w:t>vente ↑ $16.7069 (+28%)</w:t>
      </w:r>
      <w:r>
        <w:rPr>
          <w:rFonts w:ascii="Calibri" w:hAnsi="Calibri"/>
          <w:b w:val="0"/>
          <w:i w:val="0"/>
          <w:sz w:val="18"/>
        </w:rPr>
        <w:t xml:space="preserve">  ·  </w:t>
      </w:r>
      <w:r>
        <w:rPr>
          <w:rFonts w:ascii="Calibri" w:hAnsi="Calibri"/>
          <w:b w:val="0"/>
          <w:i w:val="0"/>
          <w:color w:val="C62828"/>
          <w:sz w:val="18"/>
        </w:rPr>
        <w:t>vente ↓ $11.0470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$0.254023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+82.2%  ·  drawdown vs plus-haut -70.9%  ·  momentum 7j/30j/90j +30.0% / +12.0% / +70.9%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0.778)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~$0.254023  ·  </w:t>
      </w:r>
      <w:r>
        <w:rPr>
          <w:rFonts w:ascii="Calibri" w:hAnsi="Calibri"/>
          <w:b w:val="0"/>
          <w:i w:val="0"/>
          <w:color w:val="1E7D32"/>
          <w:sz w:val="18"/>
        </w:rPr>
        <w:t>vente ↑ $0.338172 (+33%)</w:t>
      </w:r>
      <w:r>
        <w:rPr>
          <w:rFonts w:ascii="Calibri" w:hAnsi="Calibri"/>
          <w:b w:val="0"/>
          <w:i w:val="0"/>
          <w:sz w:val="18"/>
        </w:rPr>
        <w:t xml:space="preserve">  ·  </w:t>
      </w:r>
      <w:r>
        <w:rPr>
          <w:rFonts w:ascii="Calibri" w:hAnsi="Calibri"/>
          <w:b w:val="0"/>
          <w:i w:val="0"/>
          <w:color w:val="C62828"/>
          <w:sz w:val="18"/>
        </w:rPr>
        <w:t>vente ↓ $0.209908 (-17%)</w:t>
      </w:r>
      <w:r>
        <w:rPr>
          <w:rFonts w:ascii="Calibri" w:hAnsi="Calibri"/>
          <w:b w:val="0"/>
          <w:i w:val="0"/>
          <w:sz w:val="18"/>
        </w:rPr>
        <w:t xml:space="preserve">  ·  détention ~26 j  ·  ratio G/P 1.91</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$0.013099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+118.8%  ·  drawdown vs plus-haut -27.9%  ·  momentum 7j/30j/90j -6.7% / -6.6%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~$0.013099  ·  </w:t>
      </w:r>
      <w:r>
        <w:rPr>
          <w:rFonts w:ascii="Calibri" w:hAnsi="Calibri"/>
          <w:b w:val="0"/>
          <w:i w:val="0"/>
          <w:color w:val="1E7D32"/>
          <w:sz w:val="18"/>
        </w:rPr>
        <w:t>vente ↑ $0.017806 (+36%)</w:t>
      </w:r>
      <w:r>
        <w:rPr>
          <w:rFonts w:ascii="Calibri" w:hAnsi="Calibri"/>
          <w:b w:val="0"/>
          <w:i w:val="0"/>
          <w:sz w:val="18"/>
        </w:rPr>
        <w:t xml:space="preserve">  ·  </w:t>
      </w:r>
      <w:r>
        <w:rPr>
          <w:rFonts w:ascii="Calibri" w:hAnsi="Calibri"/>
          <w:b w:val="0"/>
          <w:i w:val="0"/>
          <w:color w:val="C62828"/>
          <w:sz w:val="18"/>
        </w:rPr>
        <w:t>vente ↓ $0.010675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$8.9723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+0.8%  ·  volatilité annualisée +54.6%  ·  drawdown vs plus-haut -14.9%  ·  momentum 7j/30j/90j +1.6% / -5.5% / -4.9%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0.62)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~$8.9723  ·  </w:t>
      </w:r>
      <w:r>
        <w:rPr>
          <w:rFonts w:ascii="Calibri" w:hAnsi="Calibri"/>
          <w:b w:val="0"/>
          <w:i w:val="0"/>
          <w:color w:val="1E7D32"/>
          <w:sz w:val="18"/>
        </w:rPr>
        <w:t>vente ↑ $10.2388 (+14%)</w:t>
      </w:r>
      <w:r>
        <w:rPr>
          <w:rFonts w:ascii="Calibri" w:hAnsi="Calibri"/>
          <w:b w:val="0"/>
          <w:i w:val="0"/>
          <w:sz w:val="18"/>
        </w:rPr>
        <w:t xml:space="preserve">  ·  </w:t>
      </w:r>
      <w:r>
        <w:rPr>
          <w:rFonts w:ascii="Calibri" w:hAnsi="Calibri"/>
          <w:b w:val="0"/>
          <w:i w:val="0"/>
          <w:color w:val="C62828"/>
          <w:sz w:val="18"/>
        </w:rPr>
        <w:t>vente ↓ $8.2162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$0.216011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+2.7%  ·  volatilité annualisée +79.8%  ·  drawdown vs plus-haut -47.3%  ·  momentum 7j/30j/90j +22.7% / +8.2% / +16.6%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-37%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~$0.216011  ·  </w:t>
      </w:r>
      <w:r>
        <w:rPr>
          <w:rFonts w:ascii="Calibri" w:hAnsi="Calibri"/>
          <w:b w:val="0"/>
          <w:i w:val="0"/>
          <w:color w:val="1E7D32"/>
          <w:sz w:val="18"/>
        </w:rPr>
        <w:t>vente ↑ $0.301787 (+40%)</w:t>
      </w:r>
      <w:r>
        <w:rPr>
          <w:rFonts w:ascii="Calibri" w:hAnsi="Calibri"/>
          <w:b w:val="0"/>
          <w:i w:val="0"/>
          <w:sz w:val="18"/>
        </w:rPr>
        <w:t xml:space="preserve">  ·  </w:t>
      </w:r>
      <w:r>
        <w:rPr>
          <w:rFonts w:ascii="Calibri" w:hAnsi="Calibri"/>
          <w:b w:val="0"/>
          <w:i w:val="0"/>
          <w:color w:val="C62828"/>
          <w:sz w:val="18"/>
        </w:rPr>
        <w:t>vente ↓ $0.172846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$344.9666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+76.6%  ·  drawdown vs plus-haut -47.3%  ·  momentum 7j/30j/90j +59.2% / +25.8% / +81.2%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0.625)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~$344.9666  ·  </w:t>
      </w:r>
      <w:r>
        <w:rPr>
          <w:rFonts w:ascii="Calibri" w:hAnsi="Calibri"/>
          <w:b w:val="0"/>
          <w:i w:val="0"/>
          <w:color w:val="1E7D32"/>
          <w:sz w:val="18"/>
        </w:rPr>
        <w:t>vente ↑ $481.4146 (+40%)</w:t>
      </w:r>
      <w:r>
        <w:rPr>
          <w:rFonts w:ascii="Calibri" w:hAnsi="Calibri"/>
          <w:b w:val="0"/>
          <w:i w:val="0"/>
          <w:sz w:val="18"/>
        </w:rPr>
        <w:t xml:space="preserve">  ·  </w:t>
      </w:r>
      <w:r>
        <w:rPr>
          <w:rFonts w:ascii="Calibri" w:hAnsi="Calibri"/>
          <w:b w:val="0"/>
          <w:i w:val="0"/>
          <w:color w:val="C62828"/>
          <w:sz w:val="18"/>
        </w:rPr>
        <w:t>vente ↓ $276.2372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$10.2187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+101.1%  ·  drawdown vs plus-haut +0.0%  ·  momentum 7j/30j/90j +60.6% / +126.0% / +250.1%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~$10.2187  ·  </w:t>
      </w:r>
      <w:r>
        <w:rPr>
          <w:rFonts w:ascii="Calibri" w:hAnsi="Calibri"/>
          <w:b w:val="0"/>
          <w:i w:val="0"/>
          <w:color w:val="1E7D32"/>
          <w:sz w:val="18"/>
        </w:rPr>
        <w:t>vente ↑ $13.9576 (+37%)</w:t>
      </w:r>
      <w:r>
        <w:rPr>
          <w:rFonts w:ascii="Calibri" w:hAnsi="Calibri"/>
          <w:b w:val="0"/>
          <w:i w:val="0"/>
          <w:sz w:val="18"/>
        </w:rPr>
        <w:t xml:space="preserve">  ·  </w:t>
      </w:r>
      <w:r>
        <w:rPr>
          <w:rFonts w:ascii="Calibri" w:hAnsi="Calibri"/>
          <w:b w:val="0"/>
          <w:i w:val="0"/>
          <w:color w:val="C62828"/>
          <w:sz w:val="18"/>
        </w:rPr>
        <w:t>vente ↓ $8.3008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$4.4121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+103.0%  ·  drawdown vs plus-haut +0.0%  ·  momentum 7j/30j/90j +88.9% / +119.1% / +124.9%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~$4.4121  ·  </w:t>
      </w:r>
      <w:r>
        <w:rPr>
          <w:rFonts w:ascii="Calibri" w:hAnsi="Calibri"/>
          <w:b w:val="0"/>
          <w:i w:val="0"/>
          <w:color w:val="1E7D32"/>
          <w:sz w:val="18"/>
        </w:rPr>
        <w:t>vente ↑ $6.3076 (+43%)</w:t>
      </w:r>
      <w:r>
        <w:rPr>
          <w:rFonts w:ascii="Calibri" w:hAnsi="Calibri"/>
          <w:b w:val="0"/>
          <w:i w:val="0"/>
          <w:sz w:val="18"/>
        </w:rPr>
        <w:t xml:space="preserve">  ·  </w:t>
      </w:r>
      <w:r>
        <w:rPr>
          <w:rFonts w:ascii="Calibri" w:hAnsi="Calibri"/>
          <w:b w:val="0"/>
          <w:i w:val="0"/>
          <w:color w:val="C62828"/>
          <w:sz w:val="18"/>
        </w:rPr>
        <w:t>vente ↓ $3.4766 (-21%)</w:t>
      </w:r>
      <w:r>
        <w:rPr>
          <w:rFonts w:ascii="Calibri" w:hAnsi="Calibri"/>
          <w:b w:val="0"/>
          <w:i w:val="0"/>
          <w:sz w:val="18"/>
        </w:rPr>
        <w:t xml:space="preserve">  ·  détention ~20 j  ·  ratio G/P 2.03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