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2026-09-22</w:t>
            </w:r>
          </w:p>
        </w:tc>
      </w:tr>
    </w:tbl>
    <w:p/>
    <w:p>
      <w:r>
        <w:rPr>
          <w:rFonts w:ascii="Calibri" w:hAnsi="Calibri"/>
          <w:b w:val="0"/>
          <w:i/>
          <w:color w:val="555555"/>
          <w:sz w:val="18"/>
        </w:rPr>
        <w:t>Univers analysé : 20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20 cryptomonnaies :</w:t>
      </w:r>
    </w:p>
    <w:p>
      <w:pPr>
        <w:pStyle w:val="ListBullet"/>
      </w:pPr>
      <w:r>
        <w:rPr>
          <w:rFonts w:ascii="Calibri" w:hAnsi="Calibri"/>
          <w:b/>
          <w:i w:val="0"/>
          <w:color w:val="1E7D32"/>
          <w:sz w:val="20"/>
        </w:rPr>
        <w:t>INVESTIR (4 feux verts) : 6 — BTC, BNB, SOL, WBT, LINK, NEAR.</w:t>
      </w:r>
    </w:p>
    <w:p>
      <w:pPr>
        <w:pStyle w:val="ListBullet"/>
      </w:pPr>
      <w:r>
        <w:rPr>
          <w:rFonts w:ascii="Calibri" w:hAnsi="Calibri"/>
          <w:b/>
          <w:i w:val="0"/>
          <w:color w:val="B26A00"/>
          <w:sz w:val="20"/>
        </w:rPr>
        <w:t>CONSERVER (pas de signal net) : 11.</w:t>
      </w:r>
    </w:p>
    <w:p>
      <w:pPr>
        <w:pStyle w:val="ListBullet"/>
      </w:pPr>
      <w:r>
        <w:rPr>
          <w:rFonts w:ascii="Calibri" w:hAnsi="Calibri"/>
          <w:b/>
          <w:i w:val="0"/>
          <w:color w:val="C62828"/>
          <w:sz w:val="20"/>
        </w:rPr>
        <w:t>ÉVITER (fondamental ou risque en échec) : 3 — ZEC, FIGR_HELOC, LEO.</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0.469</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0.643</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0.778</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0.505</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0.625</w:t>
            </w:r>
          </w:p>
        </w:tc>
        <w:tc>
          <w:tcPr>
            <w:tcW w:type="dxa" w:w="2100"/>
            <w:shd w:val="clear" w:color="auto" w:fill="F2F5FB"/>
          </w:tcPr>
          <w:p>
            <w:pPr>
              <w:jc w:val="center"/>
            </w:pPr>
            <w:r>
              <w:rPr>
                <w:rFonts w:ascii="Calibri" w:hAnsi="Calibri"/>
                <w:b w:val="0"/>
                <w:i w:val="0"/>
                <w:sz w:val="16"/>
              </w:rPr>
              <w:t>-34%..+51%</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$86 596.74</w:t>
            </w:r>
          </w:p>
        </w:tc>
        <w:tc>
          <w:tcPr>
            <w:tcW w:type="dxa" w:w="1700"/>
          </w:tcPr>
          <w:p>
            <w:pPr>
              <w:jc w:val="center"/>
            </w:pPr>
            <w:r>
              <w:rPr>
                <w:rFonts w:ascii="Calibri" w:hAnsi="Calibri"/>
                <w:b w:val="0"/>
                <w:i w:val="0"/>
                <w:color w:val="1E7D32"/>
                <w:sz w:val="16"/>
              </w:rPr>
              <w:t>$106 307.09  (+23%)</w:t>
            </w:r>
          </w:p>
        </w:tc>
        <w:tc>
          <w:tcPr>
            <w:tcW w:type="dxa" w:w="1600"/>
          </w:tcPr>
          <w:p>
            <w:pPr>
              <w:jc w:val="center"/>
            </w:pPr>
            <w:r>
              <w:rPr>
                <w:rFonts w:ascii="Calibri" w:hAnsi="Calibri"/>
                <w:b w:val="0"/>
                <w:i w:val="0"/>
                <w:color w:val="C62828"/>
                <w:sz w:val="16"/>
              </w:rPr>
              <w:t>$75 531.44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$2 775.17</w:t>
            </w:r>
          </w:p>
        </w:tc>
        <w:tc>
          <w:tcPr>
            <w:tcW w:type="dxa" w:w="1700"/>
            <w:shd w:val="clear" w:color="auto" w:fill="F2F5FB"/>
          </w:tcPr>
          <w:p>
            <w:pPr>
              <w:jc w:val="center"/>
            </w:pPr>
            <w:r>
              <w:rPr>
                <w:rFonts w:ascii="Calibri" w:hAnsi="Calibri"/>
                <w:b w:val="0"/>
                <w:i w:val="0"/>
                <w:color w:val="1E7D32"/>
                <w:sz w:val="16"/>
              </w:rPr>
              <w:t>$3 541.87  (+28%)</w:t>
            </w:r>
          </w:p>
        </w:tc>
        <w:tc>
          <w:tcPr>
            <w:tcW w:type="dxa" w:w="1600"/>
            <w:shd w:val="clear" w:color="auto" w:fill="F2F5FB"/>
          </w:tcPr>
          <w:p>
            <w:pPr>
              <w:jc w:val="center"/>
            </w:pPr>
            <w:r>
              <w:rPr>
                <w:rFonts w:ascii="Calibri" w:hAnsi="Calibri"/>
                <w:b w:val="0"/>
                <w:i w:val="0"/>
                <w:color w:val="C62828"/>
                <w:sz w:val="16"/>
              </w:rPr>
              <w:t>$2 358.63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$799.1367</w:t>
            </w:r>
          </w:p>
        </w:tc>
        <w:tc>
          <w:tcPr>
            <w:tcW w:type="dxa" w:w="1700"/>
          </w:tcPr>
          <w:p>
            <w:pPr>
              <w:jc w:val="center"/>
            </w:pPr>
            <w:r>
              <w:rPr>
                <w:rFonts w:ascii="Calibri" w:hAnsi="Calibri"/>
                <w:b w:val="0"/>
                <w:i w:val="0"/>
                <w:color w:val="1E7D32"/>
                <w:sz w:val="16"/>
              </w:rPr>
              <w:t>$973.0920  (+22%)</w:t>
            </w:r>
          </w:p>
        </w:tc>
        <w:tc>
          <w:tcPr>
            <w:tcW w:type="dxa" w:w="1600"/>
          </w:tcPr>
          <w:p>
            <w:pPr>
              <w:jc w:val="center"/>
            </w:pPr>
            <w:r>
              <w:rPr>
                <w:rFonts w:ascii="Calibri" w:hAnsi="Calibri"/>
                <w:b w:val="0"/>
                <w:i w:val="0"/>
                <w:color w:val="C62828"/>
                <w:sz w:val="16"/>
              </w:rPr>
              <w:t>$700.8082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$1.5350</w:t>
            </w:r>
          </w:p>
        </w:tc>
        <w:tc>
          <w:tcPr>
            <w:tcW w:type="dxa" w:w="1700"/>
            <w:shd w:val="clear" w:color="auto" w:fill="F2F5FB"/>
          </w:tcPr>
          <w:p>
            <w:pPr>
              <w:jc w:val="center"/>
            </w:pPr>
            <w:r>
              <w:rPr>
                <w:rFonts w:ascii="Calibri" w:hAnsi="Calibri"/>
                <w:b w:val="0"/>
                <w:i w:val="0"/>
                <w:color w:val="1E7D32"/>
                <w:sz w:val="16"/>
              </w:rPr>
              <w:t>$1.9648  (+28%)</w:t>
            </w:r>
          </w:p>
        </w:tc>
        <w:tc>
          <w:tcPr>
            <w:tcW w:type="dxa" w:w="1600"/>
            <w:shd w:val="clear" w:color="auto" w:fill="F2F5FB"/>
          </w:tcPr>
          <w:p>
            <w:pPr>
              <w:jc w:val="center"/>
            </w:pPr>
            <w:r>
              <w:rPr>
                <w:rFonts w:ascii="Calibri" w:hAnsi="Calibri"/>
                <w:b w:val="0"/>
                <w:i w:val="0"/>
                <w:color w:val="C62828"/>
                <w:sz w:val="16"/>
              </w:rPr>
              <w:t>$1.3020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$118.8722</w:t>
            </w:r>
          </w:p>
        </w:tc>
        <w:tc>
          <w:tcPr>
            <w:tcW w:type="dxa" w:w="1700"/>
          </w:tcPr>
          <w:p>
            <w:pPr>
              <w:jc w:val="center"/>
            </w:pPr>
            <w:r>
              <w:rPr>
                <w:rFonts w:ascii="Calibri" w:hAnsi="Calibri"/>
                <w:b w:val="0"/>
                <w:i w:val="0"/>
                <w:color w:val="1E7D32"/>
                <w:sz w:val="16"/>
              </w:rPr>
              <w:t>$152.3111  (+28%)</w:t>
            </w:r>
          </w:p>
        </w:tc>
        <w:tc>
          <w:tcPr>
            <w:tcW w:type="dxa" w:w="1600"/>
          </w:tcPr>
          <w:p>
            <w:pPr>
              <w:jc w:val="center"/>
            </w:pPr>
            <w:r>
              <w:rPr>
                <w:rFonts w:ascii="Calibri" w:hAnsi="Calibri"/>
                <w:b w:val="0"/>
                <w:i w:val="0"/>
                <w:color w:val="C62828"/>
                <w:sz w:val="16"/>
              </w:rPr>
              <w:t>$100.7656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$0.344551</w:t>
            </w:r>
          </w:p>
        </w:tc>
        <w:tc>
          <w:tcPr>
            <w:tcW w:type="dxa" w:w="1700"/>
            <w:shd w:val="clear" w:color="auto" w:fill="F2F5FB"/>
          </w:tcPr>
          <w:p>
            <w:pPr>
              <w:jc w:val="center"/>
            </w:pPr>
            <w:r>
              <w:rPr>
                <w:rFonts w:ascii="Calibri" w:hAnsi="Calibri"/>
                <w:b w:val="0"/>
                <w:i w:val="0"/>
                <w:color w:val="1E7D32"/>
                <w:sz w:val="16"/>
              </w:rPr>
              <w:t>$0.385343  (+12%)</w:t>
            </w:r>
          </w:p>
        </w:tc>
        <w:tc>
          <w:tcPr>
            <w:tcW w:type="dxa" w:w="1600"/>
            <w:shd w:val="clear" w:color="auto" w:fill="F2F5FB"/>
          </w:tcPr>
          <w:p>
            <w:pPr>
              <w:jc w:val="center"/>
            </w:pPr>
            <w:r>
              <w:rPr>
                <w:rFonts w:ascii="Calibri" w:hAnsi="Calibri"/>
                <w:b w:val="0"/>
                <w:i w:val="0"/>
                <w:color w:val="C62828"/>
                <w:sz w:val="16"/>
              </w:rPr>
              <w:t>$0.319784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$1 470.81</w:t>
            </w:r>
          </w:p>
        </w:tc>
        <w:tc>
          <w:tcPr>
            <w:tcW w:type="dxa" w:w="1700"/>
          </w:tcPr>
          <w:p>
            <w:pPr>
              <w:jc w:val="center"/>
            </w:pPr>
            <w:r>
              <w:rPr>
                <w:rFonts w:ascii="Calibri" w:hAnsi="Calibri"/>
                <w:b w:val="0"/>
                <w:i w:val="0"/>
                <w:color w:val="1E7D32"/>
                <w:sz w:val="16"/>
              </w:rPr>
              <w:t>$2 140.28  (+46%)</w:t>
            </w:r>
          </w:p>
        </w:tc>
        <w:tc>
          <w:tcPr>
            <w:tcW w:type="dxa" w:w="1600"/>
          </w:tcPr>
          <w:p>
            <w:pPr>
              <w:jc w:val="center"/>
            </w:pPr>
            <w:r>
              <w:rPr>
                <w:rFonts w:ascii="Calibri" w:hAnsi="Calibri"/>
                <w:b w:val="0"/>
                <w:i w:val="0"/>
                <w:color w:val="C62828"/>
                <w:sz w:val="16"/>
              </w:rPr>
              <w:t>$1 145.38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$1.0137</w:t>
            </w:r>
          </w:p>
        </w:tc>
        <w:tc>
          <w:tcPr>
            <w:tcW w:type="dxa" w:w="1700"/>
            <w:shd w:val="clear" w:color="auto" w:fill="F2F5FB"/>
          </w:tcPr>
          <w:p>
            <w:pPr>
              <w:jc w:val="center"/>
            </w:pPr>
            <w:r>
              <w:rPr>
                <w:rFonts w:ascii="Calibri" w:hAnsi="Calibri"/>
                <w:b w:val="0"/>
                <w:i w:val="0"/>
                <w:color w:val="1E7D32"/>
                <w:sz w:val="16"/>
              </w:rPr>
              <w:t>$1.0934  (+8%)</w:t>
            </w:r>
          </w:p>
        </w:tc>
        <w:tc>
          <w:tcPr>
            <w:tcW w:type="dxa" w:w="1600"/>
            <w:shd w:val="clear" w:color="auto" w:fill="F2F5FB"/>
          </w:tcPr>
          <w:p>
            <w:pPr>
              <w:jc w:val="center"/>
            </w:pPr>
            <w:r>
              <w:rPr>
                <w:rFonts w:ascii="Calibri" w:hAnsi="Calibri"/>
                <w:b w:val="0"/>
                <w:i w:val="0"/>
                <w:color w:val="C62828"/>
                <w:sz w:val="16"/>
              </w:rPr>
              <w:t>$0.963857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$94.0498</w:t>
            </w:r>
          </w:p>
        </w:tc>
        <w:tc>
          <w:tcPr>
            <w:tcW w:type="dxa" w:w="1700"/>
          </w:tcPr>
          <w:p>
            <w:pPr>
              <w:jc w:val="center"/>
            </w:pPr>
            <w:r>
              <w:rPr>
                <w:rFonts w:ascii="Calibri" w:hAnsi="Calibri"/>
                <w:b w:val="0"/>
                <w:i w:val="0"/>
                <w:color w:val="1E7D32"/>
                <w:sz w:val="16"/>
              </w:rPr>
              <w:t>$129.4226  (+38%)</w:t>
            </w:r>
          </w:p>
        </w:tc>
        <w:tc>
          <w:tcPr>
            <w:tcW w:type="dxa" w:w="1600"/>
          </w:tcPr>
          <w:p>
            <w:pPr>
              <w:jc w:val="center"/>
            </w:pPr>
            <w:r>
              <w:rPr>
                <w:rFonts w:ascii="Calibri" w:hAnsi="Calibri"/>
                <w:b w:val="0"/>
                <w:i w:val="0"/>
                <w:color w:val="C62828"/>
                <w:sz w:val="16"/>
              </w:rPr>
              <w:t>$76.0192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$0.099802</w:t>
            </w:r>
          </w:p>
        </w:tc>
        <w:tc>
          <w:tcPr>
            <w:tcW w:type="dxa" w:w="1700"/>
            <w:shd w:val="clear" w:color="auto" w:fill="F2F5FB"/>
          </w:tcPr>
          <w:p>
            <w:pPr>
              <w:jc w:val="center"/>
            </w:pPr>
            <w:r>
              <w:rPr>
                <w:rFonts w:ascii="Calibri" w:hAnsi="Calibri"/>
                <w:b w:val="0"/>
                <w:i w:val="0"/>
                <w:color w:val="1E7D32"/>
                <w:sz w:val="16"/>
              </w:rPr>
              <w:t>$0.126045  (+26%)</w:t>
            </w:r>
          </w:p>
        </w:tc>
        <w:tc>
          <w:tcPr>
            <w:tcW w:type="dxa" w:w="1600"/>
            <w:shd w:val="clear" w:color="auto" w:fill="F2F5FB"/>
          </w:tcPr>
          <w:p>
            <w:pPr>
              <w:jc w:val="center"/>
            </w:pPr>
            <w:r>
              <w:rPr>
                <w:rFonts w:ascii="Calibri" w:hAnsi="Calibri"/>
                <w:b w:val="0"/>
                <w:i w:val="0"/>
                <w:color w:val="C62828"/>
                <w:sz w:val="16"/>
              </w:rPr>
              <w:t>$0.085418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$590.7869</w:t>
            </w:r>
          </w:p>
        </w:tc>
        <w:tc>
          <w:tcPr>
            <w:tcW w:type="dxa" w:w="1700"/>
          </w:tcPr>
          <w:p>
            <w:pPr>
              <w:jc w:val="center"/>
            </w:pPr>
            <w:r>
              <w:rPr>
                <w:rFonts w:ascii="Calibri" w:hAnsi="Calibri"/>
                <w:b w:val="0"/>
                <w:i w:val="0"/>
                <w:color w:val="1E7D32"/>
                <w:sz w:val="16"/>
              </w:rPr>
              <w:t>$783.3702  (+33%)</w:t>
            </w:r>
          </w:p>
        </w:tc>
        <w:tc>
          <w:tcPr>
            <w:tcW w:type="dxa" w:w="1600"/>
          </w:tcPr>
          <w:p>
            <w:pPr>
              <w:jc w:val="center"/>
            </w:pPr>
            <w:r>
              <w:rPr>
                <w:rFonts w:ascii="Calibri" w:hAnsi="Calibri"/>
                <w:b w:val="0"/>
                <w:i w:val="0"/>
                <w:color w:val="C62828"/>
                <w:sz w:val="16"/>
              </w:rPr>
              <w:t>$489.4858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$87.1583</w:t>
            </w:r>
          </w:p>
        </w:tc>
        <w:tc>
          <w:tcPr>
            <w:tcW w:type="dxa" w:w="1700"/>
            <w:shd w:val="clear" w:color="auto" w:fill="F2F5FB"/>
          </w:tcPr>
          <w:p>
            <w:pPr>
              <w:jc w:val="center"/>
            </w:pPr>
            <w:r>
              <w:rPr>
                <w:rFonts w:ascii="Calibri" w:hAnsi="Calibri"/>
                <w:b w:val="0"/>
                <w:i w:val="0"/>
                <w:color w:val="1E7D32"/>
                <w:sz w:val="16"/>
              </w:rPr>
              <w:t>$111.5035  (+28%)</w:t>
            </w:r>
          </w:p>
        </w:tc>
        <w:tc>
          <w:tcPr>
            <w:tcW w:type="dxa" w:w="1600"/>
            <w:shd w:val="clear" w:color="auto" w:fill="F2F5FB"/>
          </w:tcPr>
          <w:p>
            <w:pPr>
              <w:jc w:val="center"/>
            </w:pPr>
            <w:r>
              <w:rPr>
                <w:rFonts w:ascii="Calibri" w:hAnsi="Calibri"/>
                <w:b w:val="0"/>
                <w:i w:val="0"/>
                <w:color w:val="C62828"/>
                <w:sz w:val="16"/>
              </w:rPr>
              <w:t>$73.9586  (-15%)</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$13.1750</w:t>
            </w:r>
          </w:p>
        </w:tc>
        <w:tc>
          <w:tcPr>
            <w:tcW w:type="dxa" w:w="1700"/>
          </w:tcPr>
          <w:p>
            <w:pPr>
              <w:jc w:val="center"/>
            </w:pPr>
            <w:r>
              <w:rPr>
                <w:rFonts w:ascii="Calibri" w:hAnsi="Calibri"/>
                <w:b w:val="0"/>
                <w:i w:val="0"/>
                <w:color w:val="1E7D32"/>
                <w:sz w:val="16"/>
              </w:rPr>
              <w:t>$16.9147  (+28%)</w:t>
            </w:r>
          </w:p>
        </w:tc>
        <w:tc>
          <w:tcPr>
            <w:tcW w:type="dxa" w:w="1600"/>
          </w:tcPr>
          <w:p>
            <w:pPr>
              <w:jc w:val="center"/>
            </w:pPr>
            <w:r>
              <w:rPr>
                <w:rFonts w:ascii="Calibri" w:hAnsi="Calibri"/>
                <w:b w:val="0"/>
                <w:i w:val="0"/>
                <w:color w:val="C62828"/>
                <w:sz w:val="16"/>
              </w:rPr>
              <w:t>$11.1534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$0.013980</w:t>
            </w:r>
          </w:p>
        </w:tc>
        <w:tc>
          <w:tcPr>
            <w:tcW w:type="dxa" w:w="1700"/>
            <w:shd w:val="clear" w:color="auto" w:fill="F2F5FB"/>
          </w:tcPr>
          <w:p>
            <w:pPr>
              <w:jc w:val="center"/>
            </w:pPr>
            <w:r>
              <w:rPr>
                <w:rFonts w:ascii="Calibri" w:hAnsi="Calibri"/>
                <w:b w:val="0"/>
                <w:i w:val="0"/>
                <w:color w:val="1E7D32"/>
                <w:sz w:val="16"/>
              </w:rPr>
              <w:t>$0.019013  (+36%)</w:t>
            </w:r>
          </w:p>
        </w:tc>
        <w:tc>
          <w:tcPr>
            <w:tcW w:type="dxa" w:w="1600"/>
            <w:shd w:val="clear" w:color="auto" w:fill="F2F5FB"/>
          </w:tcPr>
          <w:p>
            <w:pPr>
              <w:jc w:val="center"/>
            </w:pPr>
            <w:r>
              <w:rPr>
                <w:rFonts w:ascii="Calibri" w:hAnsi="Calibri"/>
                <w:b w:val="0"/>
                <w:i w:val="0"/>
                <w:color w:val="C62828"/>
                <w:sz w:val="16"/>
              </w:rPr>
              <w:t>$0.011389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$0.245042</w:t>
            </w:r>
          </w:p>
        </w:tc>
        <w:tc>
          <w:tcPr>
            <w:tcW w:type="dxa" w:w="1700"/>
          </w:tcPr>
          <w:p>
            <w:pPr>
              <w:jc w:val="center"/>
            </w:pPr>
            <w:r>
              <w:rPr>
                <w:rFonts w:ascii="Calibri" w:hAnsi="Calibri"/>
                <w:b w:val="0"/>
                <w:i w:val="0"/>
                <w:color w:val="1E7D32"/>
                <w:sz w:val="16"/>
              </w:rPr>
              <w:t>$0.326490  (+33%)</w:t>
            </w:r>
          </w:p>
        </w:tc>
        <w:tc>
          <w:tcPr>
            <w:tcW w:type="dxa" w:w="1600"/>
          </w:tcPr>
          <w:p>
            <w:pPr>
              <w:jc w:val="center"/>
            </w:pPr>
            <w:r>
              <w:rPr>
                <w:rFonts w:ascii="Calibri" w:hAnsi="Calibri"/>
                <w:b w:val="0"/>
                <w:i w:val="0"/>
                <w:color w:val="C62828"/>
                <w:sz w:val="16"/>
              </w:rPr>
              <w:t>$0.202373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$8.9748</w:t>
            </w:r>
          </w:p>
        </w:tc>
        <w:tc>
          <w:tcPr>
            <w:tcW w:type="dxa" w:w="1700"/>
            <w:shd w:val="clear" w:color="auto" w:fill="F2F5FB"/>
          </w:tcPr>
          <w:p>
            <w:pPr>
              <w:jc w:val="center"/>
            </w:pPr>
            <w:r>
              <w:rPr>
                <w:rFonts w:ascii="Calibri" w:hAnsi="Calibri"/>
                <w:b w:val="0"/>
                <w:i w:val="0"/>
                <w:color w:val="1E7D32"/>
                <w:sz w:val="16"/>
              </w:rPr>
              <w:t>$10.2474  (+14%)</w:t>
            </w:r>
          </w:p>
        </w:tc>
        <w:tc>
          <w:tcPr>
            <w:tcW w:type="dxa" w:w="1600"/>
            <w:shd w:val="clear" w:color="auto" w:fill="F2F5FB"/>
          </w:tcPr>
          <w:p>
            <w:pPr>
              <w:jc w:val="center"/>
            </w:pPr>
            <w:r>
              <w:rPr>
                <w:rFonts w:ascii="Calibri" w:hAnsi="Calibri"/>
                <w:b w:val="0"/>
                <w:i w:val="0"/>
                <w:color w:val="C62828"/>
                <w:sz w:val="16"/>
              </w:rPr>
              <w:t>$8.2155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$0.215339</w:t>
            </w:r>
          </w:p>
        </w:tc>
        <w:tc>
          <w:tcPr>
            <w:tcW w:type="dxa" w:w="1700"/>
          </w:tcPr>
          <w:p>
            <w:pPr>
              <w:jc w:val="center"/>
            </w:pPr>
            <w:r>
              <w:rPr>
                <w:rFonts w:ascii="Calibri" w:hAnsi="Calibri"/>
                <w:b w:val="0"/>
                <w:i w:val="0"/>
                <w:color w:val="1E7D32"/>
                <w:sz w:val="16"/>
              </w:rPr>
              <w:t>$0.300895  (+40%)</w:t>
            </w:r>
          </w:p>
        </w:tc>
        <w:tc>
          <w:tcPr>
            <w:tcW w:type="dxa" w:w="1600"/>
          </w:tcPr>
          <w:p>
            <w:pPr>
              <w:jc w:val="center"/>
            </w:pPr>
            <w:r>
              <w:rPr>
                <w:rFonts w:ascii="Calibri" w:hAnsi="Calibri"/>
                <w:b w:val="0"/>
                <w:i w:val="0"/>
                <w:color w:val="C62828"/>
                <w:sz w:val="16"/>
              </w:rPr>
              <w:t>$0.172291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$4.2669</w:t>
            </w:r>
          </w:p>
        </w:tc>
        <w:tc>
          <w:tcPr>
            <w:tcW w:type="dxa" w:w="1700"/>
            <w:shd w:val="clear" w:color="auto" w:fill="F2F5FB"/>
          </w:tcPr>
          <w:p>
            <w:pPr>
              <w:jc w:val="center"/>
            </w:pPr>
            <w:r>
              <w:rPr>
                <w:rFonts w:ascii="Calibri" w:hAnsi="Calibri"/>
                <w:b w:val="0"/>
                <w:i w:val="0"/>
                <w:color w:val="1E7D32"/>
                <w:sz w:val="16"/>
              </w:rPr>
              <w:t>$6.1033  (+43%)</w:t>
            </w:r>
          </w:p>
        </w:tc>
        <w:tc>
          <w:tcPr>
            <w:tcW w:type="dxa" w:w="1600"/>
            <w:shd w:val="clear" w:color="auto" w:fill="F2F5FB"/>
          </w:tcPr>
          <w:p>
            <w:pPr>
              <w:jc w:val="center"/>
            </w:pPr>
            <w:r>
              <w:rPr>
                <w:rFonts w:ascii="Calibri" w:hAnsi="Calibri"/>
                <w:b w:val="0"/>
                <w:i w:val="0"/>
                <w:color w:val="C62828"/>
                <w:sz w:val="16"/>
              </w:rPr>
              <w:t>$3.3610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$8.9900</w:t>
            </w:r>
          </w:p>
        </w:tc>
        <w:tc>
          <w:tcPr>
            <w:tcW w:type="dxa" w:w="1700"/>
          </w:tcPr>
          <w:p>
            <w:pPr>
              <w:jc w:val="center"/>
            </w:pPr>
            <w:r>
              <w:rPr>
                <w:rFonts w:ascii="Calibri" w:hAnsi="Calibri"/>
                <w:b w:val="0"/>
                <w:i w:val="0"/>
                <w:color w:val="1E7D32"/>
                <w:sz w:val="16"/>
              </w:rPr>
              <w:t>$12.2102  (+36%)</w:t>
            </w:r>
          </w:p>
        </w:tc>
        <w:tc>
          <w:tcPr>
            <w:tcW w:type="dxa" w:w="1600"/>
          </w:tcPr>
          <w:p>
            <w:pPr>
              <w:jc w:val="center"/>
            </w:pPr>
            <w:r>
              <w:rPr>
                <w:rFonts w:ascii="Calibri" w:hAnsi="Calibri"/>
                <w:b w:val="0"/>
                <w:i w:val="0"/>
                <w:color w:val="C62828"/>
                <w:sz w:val="16"/>
              </w:rPr>
              <w:t>$7.3302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$267.0947</w:t>
            </w:r>
          </w:p>
        </w:tc>
        <w:tc>
          <w:tcPr>
            <w:tcW w:type="dxa" w:w="1700"/>
            <w:shd w:val="clear" w:color="auto" w:fill="F2F5FB"/>
          </w:tcPr>
          <w:p>
            <w:pPr>
              <w:jc w:val="center"/>
            </w:pPr>
            <w:r>
              <w:rPr>
                <w:rFonts w:ascii="Calibri" w:hAnsi="Calibri"/>
                <w:b w:val="0"/>
                <w:i w:val="0"/>
                <w:color w:val="1E7D32"/>
                <w:sz w:val="16"/>
              </w:rPr>
              <w:t>$363.6433  (+36%)</w:t>
            </w:r>
          </w:p>
        </w:tc>
        <w:tc>
          <w:tcPr>
            <w:tcW w:type="dxa" w:w="1600"/>
            <w:shd w:val="clear" w:color="auto" w:fill="F2F5FB"/>
          </w:tcPr>
          <w:p>
            <w:pPr>
              <w:jc w:val="center"/>
            </w:pPr>
            <w:r>
              <w:rPr>
                <w:rFonts w:ascii="Calibri" w:hAnsi="Calibri"/>
                <w:b w:val="0"/>
                <w:i w:val="0"/>
                <w:color w:val="C62828"/>
                <w:sz w:val="16"/>
              </w:rPr>
              <w:t>$217.4329  (-19%)</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1.94</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$86 596.74   |   Composite +0.50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+45.3%  ·  drawdown vs plus-haut -30.6%  ·  momentum 7j/30j/90j +10.8% / +12.3% / +38.2%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~$86 596.74  ·  </w:t>
      </w:r>
      <w:r>
        <w:rPr>
          <w:rFonts w:ascii="Calibri" w:hAnsi="Calibri"/>
          <w:b w:val="0"/>
          <w:i w:val="0"/>
          <w:color w:val="1E7D32"/>
          <w:sz w:val="18"/>
        </w:rPr>
        <w:t>vente ↑ $106 307.09 (+23%)</w:t>
      </w:r>
      <w:r>
        <w:rPr>
          <w:rFonts w:ascii="Calibri" w:hAnsi="Calibri"/>
          <w:b w:val="0"/>
          <w:i w:val="0"/>
          <w:sz w:val="18"/>
        </w:rPr>
        <w:t xml:space="preserve">  ·  </w:t>
      </w:r>
      <w:r>
        <w:rPr>
          <w:rFonts w:ascii="Calibri" w:hAnsi="Calibri"/>
          <w:b w:val="0"/>
          <w:i w:val="0"/>
          <w:color w:val="C62828"/>
          <w:sz w:val="18"/>
        </w:rPr>
        <w:t>vente ↓ $75 531.44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$2 775.17   |   Composite +0.50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+64.3%  ·  drawdown vs plus-haut -40.8%  ·  momentum 7j/30j/90j +10.4% / +14.5% / +66.6%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0.594)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~$2 775.17  ·  </w:t>
      </w:r>
      <w:r>
        <w:rPr>
          <w:rFonts w:ascii="Calibri" w:hAnsi="Calibri"/>
          <w:b w:val="0"/>
          <w:i w:val="0"/>
          <w:color w:val="1E7D32"/>
          <w:sz w:val="18"/>
        </w:rPr>
        <w:t>vente ↑ $3 541.87 (+28%)</w:t>
      </w:r>
      <w:r>
        <w:rPr>
          <w:rFonts w:ascii="Calibri" w:hAnsi="Calibri"/>
          <w:b w:val="0"/>
          <w:i w:val="0"/>
          <w:sz w:val="18"/>
        </w:rPr>
        <w:t xml:space="preserve">  ·  </w:t>
      </w:r>
      <w:r>
        <w:rPr>
          <w:rFonts w:ascii="Calibri" w:hAnsi="Calibri"/>
          <w:b w:val="0"/>
          <w:i w:val="0"/>
          <w:color w:val="C62828"/>
          <w:sz w:val="18"/>
        </w:rPr>
        <w:t>vente ↓ $2 358.63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$799.1367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+52.5%  ·  drawdown vs plus-haut -38.9%  ·  momentum 7j/30j/90j +10.9% / +14.9% / +38.4%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~$799.1367  ·  </w:t>
      </w:r>
      <w:r>
        <w:rPr>
          <w:rFonts w:ascii="Calibri" w:hAnsi="Calibri"/>
          <w:b w:val="0"/>
          <w:i w:val="0"/>
          <w:color w:val="1E7D32"/>
          <w:sz w:val="18"/>
        </w:rPr>
        <w:t>vente ↑ $973.0920 (+22%)</w:t>
      </w:r>
      <w:r>
        <w:rPr>
          <w:rFonts w:ascii="Calibri" w:hAnsi="Calibri"/>
          <w:b w:val="0"/>
          <w:i w:val="0"/>
          <w:sz w:val="18"/>
        </w:rPr>
        <w:t xml:space="preserve">  ·  </w:t>
      </w:r>
      <w:r>
        <w:rPr>
          <w:rFonts w:ascii="Calibri" w:hAnsi="Calibri"/>
          <w:b w:val="0"/>
          <w:i w:val="0"/>
          <w:color w:val="C62828"/>
          <w:sz w:val="18"/>
        </w:rPr>
        <w:t>vente ↓ $700.8082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$1.5350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+67.5%  ·  drawdown vs plus-haut -49.5%  ·  momentum 7j/30j/90j +7.9% / +4.9% / +38.4%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~$1.5350  ·  </w:t>
      </w:r>
      <w:r>
        <w:rPr>
          <w:rFonts w:ascii="Calibri" w:hAnsi="Calibri"/>
          <w:b w:val="0"/>
          <w:i w:val="0"/>
          <w:color w:val="1E7D32"/>
          <w:sz w:val="18"/>
        </w:rPr>
        <w:t>vente ↑ $1.9648 (+28%)</w:t>
      </w:r>
      <w:r>
        <w:rPr>
          <w:rFonts w:ascii="Calibri" w:hAnsi="Calibri"/>
          <w:b w:val="0"/>
          <w:i w:val="0"/>
          <w:sz w:val="18"/>
        </w:rPr>
        <w:t xml:space="preserve">  ·  </w:t>
      </w:r>
      <w:r>
        <w:rPr>
          <w:rFonts w:ascii="Calibri" w:hAnsi="Calibri"/>
          <w:b w:val="0"/>
          <w:i w:val="0"/>
          <w:color w:val="C62828"/>
          <w:sz w:val="18"/>
        </w:rPr>
        <w:t>vente ↓ $1.3020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$118.8722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+68.4%  ·  drawdown vs plus-haut -49.4%  ·  momentum 7j/30j/90j +16.0% / +26.6% / +70.8%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~$118.8722  ·  </w:t>
      </w:r>
      <w:r>
        <w:rPr>
          <w:rFonts w:ascii="Calibri" w:hAnsi="Calibri"/>
          <w:b w:val="0"/>
          <w:i w:val="0"/>
          <w:color w:val="1E7D32"/>
          <w:sz w:val="18"/>
        </w:rPr>
        <w:t>vente ↑ $152.3111 (+28%)</w:t>
      </w:r>
      <w:r>
        <w:rPr>
          <w:rFonts w:ascii="Calibri" w:hAnsi="Calibri"/>
          <w:b w:val="0"/>
          <w:i w:val="0"/>
          <w:sz w:val="18"/>
        </w:rPr>
        <w:t xml:space="preserve">  ·  </w:t>
      </w:r>
      <w:r>
        <w:rPr>
          <w:rFonts w:ascii="Calibri" w:hAnsi="Calibri"/>
          <w:b w:val="0"/>
          <w:i w:val="0"/>
          <w:color w:val="C62828"/>
          <w:sz w:val="18"/>
        </w:rPr>
        <w:t>vente ↓ $100.7656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$0.344551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+0.7%  ·  volatilité annualisée +25.3%  ·  drawdown vs plus-haut -8.1%  ·  momentum 7j/30j/90j +1.9% / +0.1%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~$0.344551  ·  </w:t>
      </w:r>
      <w:r>
        <w:rPr>
          <w:rFonts w:ascii="Calibri" w:hAnsi="Calibri"/>
          <w:b w:val="0"/>
          <w:i w:val="0"/>
          <w:color w:val="1E7D32"/>
          <w:sz w:val="18"/>
        </w:rPr>
        <w:t>vente ↑ $0.385343 (+12%)</w:t>
      </w:r>
      <w:r>
        <w:rPr>
          <w:rFonts w:ascii="Calibri" w:hAnsi="Calibri"/>
          <w:b w:val="0"/>
          <w:i w:val="0"/>
          <w:sz w:val="18"/>
        </w:rPr>
        <w:t xml:space="preserve">  ·  </w:t>
      </w:r>
      <w:r>
        <w:rPr>
          <w:rFonts w:ascii="Calibri" w:hAnsi="Calibri"/>
          <w:b w:val="0"/>
          <w:i w:val="0"/>
          <w:color w:val="C62828"/>
          <w:sz w:val="18"/>
        </w:rPr>
        <w:t>vente ↓ $0.319784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$1 470.81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+157.6%  ·  drawdown vs plus-haut -5.8%  ·  momentum 7j/30j/90j +26.4% / +83.1% / +253.8%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0.508)  ·  </w:t>
      </w:r>
      <w:r>
        <w:rPr>
          <w:rFonts w:ascii="Calibri" w:hAnsi="Calibri"/>
          <w:b w:val="0"/>
          <w:i w:val="0"/>
          <w:color w:val="C62828"/>
          <w:sz w:val="18"/>
        </w:rPr>
        <w:t>Risque rouge (vol 1.58)</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~$1 470.81  ·  </w:t>
      </w:r>
      <w:r>
        <w:rPr>
          <w:rFonts w:ascii="Calibri" w:hAnsi="Calibri"/>
          <w:b w:val="0"/>
          <w:i w:val="0"/>
          <w:color w:val="1E7D32"/>
          <w:sz w:val="18"/>
        </w:rPr>
        <w:t>vente ↑ $2 140.28 (+46%)</w:t>
      </w:r>
      <w:r>
        <w:rPr>
          <w:rFonts w:ascii="Calibri" w:hAnsi="Calibri"/>
          <w:b w:val="0"/>
          <w:i w:val="0"/>
          <w:sz w:val="18"/>
        </w:rPr>
        <w:t xml:space="preserve">  ·  </w:t>
      </w:r>
      <w:r>
        <w:rPr>
          <w:rFonts w:ascii="Calibri" w:hAnsi="Calibri"/>
          <w:b w:val="0"/>
          <w:i w:val="0"/>
          <w:color w:val="C62828"/>
          <w:sz w:val="18"/>
        </w:rPr>
        <w:t>vente ↓ $1 145.38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$1.0137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+246.6%  ·  drawdown vs plus-haut -3.4%  ·  momentum 7j/30j/90j -2.0% / +0.9%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~$1.0137  ·  </w:t>
      </w:r>
      <w:r>
        <w:rPr>
          <w:rFonts w:ascii="Calibri" w:hAnsi="Calibri"/>
          <w:b w:val="0"/>
          <w:i w:val="0"/>
          <w:color w:val="1E7D32"/>
          <w:sz w:val="18"/>
        </w:rPr>
        <w:t>vente ↑ $1.0934 (+8%)</w:t>
      </w:r>
      <w:r>
        <w:rPr>
          <w:rFonts w:ascii="Calibri" w:hAnsi="Calibri"/>
          <w:b w:val="0"/>
          <w:i w:val="0"/>
          <w:sz w:val="18"/>
        </w:rPr>
        <w:t xml:space="preserve">  ·  </w:t>
      </w:r>
      <w:r>
        <w:rPr>
          <w:rFonts w:ascii="Calibri" w:hAnsi="Calibri"/>
          <w:b w:val="0"/>
          <w:i w:val="0"/>
          <w:color w:val="C62828"/>
          <w:sz w:val="18"/>
        </w:rPr>
        <w:t>vente ↓ $0.963857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$94.0498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+92.7%  ·  drawdown vs plus-haut +0.0%  ·  momentum 7j/30j/90j +17.1% / +18.3%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0.562)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~$94.0498  ·  </w:t>
      </w:r>
      <w:r>
        <w:rPr>
          <w:rFonts w:ascii="Calibri" w:hAnsi="Calibri"/>
          <w:b w:val="0"/>
          <w:i w:val="0"/>
          <w:color w:val="1E7D32"/>
          <w:sz w:val="18"/>
        </w:rPr>
        <w:t>vente ↑ $129.4226 (+38%)</w:t>
      </w:r>
      <w:r>
        <w:rPr>
          <w:rFonts w:ascii="Calibri" w:hAnsi="Calibri"/>
          <w:b w:val="0"/>
          <w:i w:val="0"/>
          <w:sz w:val="18"/>
        </w:rPr>
        <w:t xml:space="preserve">  ·  </w:t>
      </w:r>
      <w:r>
        <w:rPr>
          <w:rFonts w:ascii="Calibri" w:hAnsi="Calibri"/>
          <w:b w:val="0"/>
          <w:i w:val="0"/>
          <w:color w:val="C62828"/>
          <w:sz w:val="18"/>
        </w:rPr>
        <w:t>vente ↓ $76.0192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$0.099802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+72.8%  ·  drawdown vs plus-haut -62.6%  ·  momentum 7j/30j/90j +19.3% / +8.5%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~$0.099802  ·  </w:t>
      </w:r>
      <w:r>
        <w:rPr>
          <w:rFonts w:ascii="Calibri" w:hAnsi="Calibri"/>
          <w:b w:val="0"/>
          <w:i w:val="0"/>
          <w:color w:val="1E7D32"/>
          <w:sz w:val="18"/>
        </w:rPr>
        <w:t>vente ↑ $0.126045 (+26%)</w:t>
      </w:r>
      <w:r>
        <w:rPr>
          <w:rFonts w:ascii="Calibri" w:hAnsi="Calibri"/>
          <w:b w:val="0"/>
          <w:i w:val="0"/>
          <w:sz w:val="18"/>
        </w:rPr>
        <w:t xml:space="preserve">  ·  </w:t>
      </w:r>
      <w:r>
        <w:rPr>
          <w:rFonts w:ascii="Calibri" w:hAnsi="Calibri"/>
          <w:b w:val="0"/>
          <w:i w:val="0"/>
          <w:color w:val="C62828"/>
          <w:sz w:val="18"/>
        </w:rPr>
        <w:t>vente ↓ $0.085418 (-14%)</w:t>
      </w:r>
      <w:r>
        <w:rPr>
          <w:rFonts w:ascii="Calibri" w:hAnsi="Calibri"/>
          <w:b w:val="0"/>
          <w:i w:val="0"/>
          <w:sz w:val="18"/>
        </w:rPr>
        <w:t xml:space="preserve">  ·  détention ~29 j  ·  ratio G/P 1.82</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$590.7869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+85.4%  ·  drawdown vs plus-haut -16.3%  ·  momentum 7j/30j/90j +14.8% / +36.5% / +85.6%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0.643)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~$590.7869  ·  </w:t>
      </w:r>
      <w:r>
        <w:rPr>
          <w:rFonts w:ascii="Calibri" w:hAnsi="Calibri"/>
          <w:b w:val="0"/>
          <w:i w:val="0"/>
          <w:color w:val="1E7D32"/>
          <w:sz w:val="18"/>
        </w:rPr>
        <w:t>vente ↑ $783.3702 (+33%)</w:t>
      </w:r>
      <w:r>
        <w:rPr>
          <w:rFonts w:ascii="Calibri" w:hAnsi="Calibri"/>
          <w:b w:val="0"/>
          <w:i w:val="0"/>
          <w:sz w:val="18"/>
        </w:rPr>
        <w:t xml:space="preserve">  ·  </w:t>
      </w:r>
      <w:r>
        <w:rPr>
          <w:rFonts w:ascii="Calibri" w:hAnsi="Calibri"/>
          <w:b w:val="0"/>
          <w:i w:val="0"/>
          <w:color w:val="C62828"/>
          <w:sz w:val="18"/>
        </w:rPr>
        <w:t>vente ↓ $489.4858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$87.1583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+54.5%  ·  drawdown vs plus-haut +0.0%  ·  momentum 7j/30j/90j +7.8% / +21.3% / +71.2%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~$87.1583  ·  </w:t>
      </w:r>
      <w:r>
        <w:rPr>
          <w:rFonts w:ascii="Calibri" w:hAnsi="Calibri"/>
          <w:b w:val="0"/>
          <w:i w:val="0"/>
          <w:color w:val="1E7D32"/>
          <w:sz w:val="18"/>
        </w:rPr>
        <w:t>vente ↑ $111.5035 (+28%)</w:t>
      </w:r>
      <w:r>
        <w:rPr>
          <w:rFonts w:ascii="Calibri" w:hAnsi="Calibri"/>
          <w:b w:val="0"/>
          <w:i w:val="0"/>
          <w:sz w:val="18"/>
        </w:rPr>
        <w:t xml:space="preserve">  ·  </w:t>
      </w:r>
      <w:r>
        <w:rPr>
          <w:rFonts w:ascii="Calibri" w:hAnsi="Calibri"/>
          <w:b w:val="0"/>
          <w:i w:val="0"/>
          <w:color w:val="C62828"/>
          <w:sz w:val="18"/>
        </w:rPr>
        <w:t>vente ↓ $73.9586 (-15%)</w:t>
      </w:r>
      <w:r>
        <w:rPr>
          <w:rFonts w:ascii="Calibri" w:hAnsi="Calibri"/>
          <w:b w:val="0"/>
          <w:i w:val="0"/>
          <w:sz w:val="18"/>
        </w:rPr>
        <w:t xml:space="preserve">  ·  détention ~38 j  ·  ratio G/P 1.84</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$13.1750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+75.6%  ·  drawdown vs plus-haut -43.8%  ·  momentum 7j/30j/90j +14.4% / +13.1% / +72.8%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~$13.1750  ·  </w:t>
      </w:r>
      <w:r>
        <w:rPr>
          <w:rFonts w:ascii="Calibri" w:hAnsi="Calibri"/>
          <w:b w:val="0"/>
          <w:i w:val="0"/>
          <w:color w:val="1E7D32"/>
          <w:sz w:val="18"/>
        </w:rPr>
        <w:t>vente ↑ $16.9147 (+28%)</w:t>
      </w:r>
      <w:r>
        <w:rPr>
          <w:rFonts w:ascii="Calibri" w:hAnsi="Calibri"/>
          <w:b w:val="0"/>
          <w:i w:val="0"/>
          <w:sz w:val="18"/>
        </w:rPr>
        <w:t xml:space="preserve">  ·  </w:t>
      </w:r>
      <w:r>
        <w:rPr>
          <w:rFonts w:ascii="Calibri" w:hAnsi="Calibri"/>
          <w:b w:val="0"/>
          <w:i w:val="0"/>
          <w:color w:val="C62828"/>
          <w:sz w:val="18"/>
        </w:rPr>
        <w:t>vente ↓ $11.1534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$0.013980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+3.0%  ·  volatilité annualisée +118.6%  ·  drawdown vs plus-haut -23.0%  ·  momentum 7j/30j/90j -2.0% / -0.6%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~$0.013980  ·  </w:t>
      </w:r>
      <w:r>
        <w:rPr>
          <w:rFonts w:ascii="Calibri" w:hAnsi="Calibri"/>
          <w:b w:val="0"/>
          <w:i w:val="0"/>
          <w:color w:val="1E7D32"/>
          <w:sz w:val="18"/>
        </w:rPr>
        <w:t>vente ↑ $0.019013 (+36%)</w:t>
      </w:r>
      <w:r>
        <w:rPr>
          <w:rFonts w:ascii="Calibri" w:hAnsi="Calibri"/>
          <w:b w:val="0"/>
          <w:i w:val="0"/>
          <w:sz w:val="18"/>
        </w:rPr>
        <w:t xml:space="preserve">  ·  </w:t>
      </w:r>
      <w:r>
        <w:rPr>
          <w:rFonts w:ascii="Calibri" w:hAnsi="Calibri"/>
          <w:b w:val="0"/>
          <w:i w:val="0"/>
          <w:color w:val="C62828"/>
          <w:sz w:val="18"/>
        </w:rPr>
        <w:t>vente ↓ $0.011389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$0.245042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+82.2%  ·  drawdown vs plus-haut -72.0%  ·  momentum 7j/30j/90j +17.5% / +8.4% / +62.0%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0.778)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~$0.245042  ·  </w:t>
      </w:r>
      <w:r>
        <w:rPr>
          <w:rFonts w:ascii="Calibri" w:hAnsi="Calibri"/>
          <w:b w:val="0"/>
          <w:i w:val="0"/>
          <w:color w:val="1E7D32"/>
          <w:sz w:val="18"/>
        </w:rPr>
        <w:t>vente ↑ $0.326490 (+33%)</w:t>
      </w:r>
      <w:r>
        <w:rPr>
          <w:rFonts w:ascii="Calibri" w:hAnsi="Calibri"/>
          <w:b w:val="0"/>
          <w:i w:val="0"/>
          <w:sz w:val="18"/>
        </w:rPr>
        <w:t xml:space="preserve">  ·  </w:t>
      </w:r>
      <w:r>
        <w:rPr>
          <w:rFonts w:ascii="Calibri" w:hAnsi="Calibri"/>
          <w:b w:val="0"/>
          <w:i w:val="0"/>
          <w:color w:val="C62828"/>
          <w:sz w:val="18"/>
        </w:rPr>
        <w:t>vente ↓ $0.202373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$8.9748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+54.6%  ·  drawdown vs plus-haut -14.9%  ·  momentum 7j/30j/90j -0.3% / -4.4%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0.62)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~$8.9748  ·  </w:t>
      </w:r>
      <w:r>
        <w:rPr>
          <w:rFonts w:ascii="Calibri" w:hAnsi="Calibri"/>
          <w:b w:val="0"/>
          <w:i w:val="0"/>
          <w:color w:val="1E7D32"/>
          <w:sz w:val="18"/>
        </w:rPr>
        <w:t>vente ↑ $10.2474 (+14%)</w:t>
      </w:r>
      <w:r>
        <w:rPr>
          <w:rFonts w:ascii="Calibri" w:hAnsi="Calibri"/>
          <w:b w:val="0"/>
          <w:i w:val="0"/>
          <w:sz w:val="18"/>
        </w:rPr>
        <w:t xml:space="preserve">  ·  </w:t>
      </w:r>
      <w:r>
        <w:rPr>
          <w:rFonts w:ascii="Calibri" w:hAnsi="Calibri"/>
          <w:b w:val="0"/>
          <w:i w:val="0"/>
          <w:color w:val="C62828"/>
          <w:sz w:val="18"/>
        </w:rPr>
        <w:t>vente ↓ $8.2155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$0.215339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+79.8%  ·  drawdown vs plus-haut -47.5%  ·  momentum 7j/30j/90j +12.4% / +10.1% / +10.5%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~$0.215339  ·  </w:t>
      </w:r>
      <w:r>
        <w:rPr>
          <w:rFonts w:ascii="Calibri" w:hAnsi="Calibri"/>
          <w:b w:val="0"/>
          <w:i w:val="0"/>
          <w:color w:val="1E7D32"/>
          <w:sz w:val="18"/>
        </w:rPr>
        <w:t>vente ↑ $0.300895 (+40%)</w:t>
      </w:r>
      <w:r>
        <w:rPr>
          <w:rFonts w:ascii="Calibri" w:hAnsi="Calibri"/>
          <w:b w:val="0"/>
          <w:i w:val="0"/>
          <w:sz w:val="18"/>
        </w:rPr>
        <w:t xml:space="preserve">  ·  </w:t>
      </w:r>
      <w:r>
        <w:rPr>
          <w:rFonts w:ascii="Calibri" w:hAnsi="Calibri"/>
          <w:b w:val="0"/>
          <w:i w:val="0"/>
          <w:color w:val="C62828"/>
          <w:sz w:val="18"/>
        </w:rPr>
        <w:t>vente ↓ $0.172291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$4.2669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+103.0%  ·  drawdown vs plus-haut +0.0%  ·  momentum 7j/30j/90j +72.9% / +127.1% / +115.5%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~$4.2669  ·  </w:t>
      </w:r>
      <w:r>
        <w:rPr>
          <w:rFonts w:ascii="Calibri" w:hAnsi="Calibri"/>
          <w:b w:val="0"/>
          <w:i w:val="0"/>
          <w:color w:val="1E7D32"/>
          <w:sz w:val="18"/>
        </w:rPr>
        <w:t>vente ↑ $6.1033 (+43%)</w:t>
      </w:r>
      <w:r>
        <w:rPr>
          <w:rFonts w:ascii="Calibri" w:hAnsi="Calibri"/>
          <w:b w:val="0"/>
          <w:i w:val="0"/>
          <w:sz w:val="18"/>
        </w:rPr>
        <w:t xml:space="preserve">  ·  </w:t>
      </w:r>
      <w:r>
        <w:rPr>
          <w:rFonts w:ascii="Calibri" w:hAnsi="Calibri"/>
          <w:b w:val="0"/>
          <w:i w:val="0"/>
          <w:color w:val="C62828"/>
          <w:sz w:val="18"/>
        </w:rPr>
        <w:t>vente ↓ $3.3610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$8.9900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+100.3%  ·  drawdown vs plus-haut -4.5%  ·  momentum 7j/30j/90j +37.7% / +108.8% / +207.8%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~$8.9900  ·  </w:t>
      </w:r>
      <w:r>
        <w:rPr>
          <w:rFonts w:ascii="Calibri" w:hAnsi="Calibri"/>
          <w:b w:val="0"/>
          <w:i w:val="0"/>
          <w:color w:val="1E7D32"/>
          <w:sz w:val="18"/>
        </w:rPr>
        <w:t>vente ↑ $12.2102 (+36%)</w:t>
      </w:r>
      <w:r>
        <w:rPr>
          <w:rFonts w:ascii="Calibri" w:hAnsi="Calibri"/>
          <w:b w:val="0"/>
          <w:i w:val="0"/>
          <w:sz w:val="18"/>
        </w:rPr>
        <w:t xml:space="preserve">  ·  </w:t>
      </w:r>
      <w:r>
        <w:rPr>
          <w:rFonts w:ascii="Calibri" w:hAnsi="Calibri"/>
          <w:b w:val="0"/>
          <w:i w:val="0"/>
          <w:color w:val="C62828"/>
          <w:sz w:val="18"/>
        </w:rPr>
        <w:t>vente ↓ $7.3302 (-18%)</w:t>
      </w:r>
      <w:r>
        <w:rPr>
          <w:rFonts w:ascii="Calibri" w:hAnsi="Calibri"/>
          <w:b w:val="0"/>
          <w:i w:val="0"/>
          <w:sz w:val="18"/>
        </w:rPr>
        <w:t xml:space="preserve">  ·  détention ~21 j  ·  ratio G/P 1.94</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$267.0947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+2.8%  ·  volatilité annualisée +72.1%  ·  drawdown vs plus-haut -59.2%  ·  momentum 7j/30j/90j +19.6% / -3.5% / +37.4%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~$267.0947  ·  </w:t>
      </w:r>
      <w:r>
        <w:rPr>
          <w:rFonts w:ascii="Calibri" w:hAnsi="Calibri"/>
          <w:b w:val="0"/>
          <w:i w:val="0"/>
          <w:color w:val="1E7D32"/>
          <w:sz w:val="18"/>
        </w:rPr>
        <w:t>vente ↑ $363.6433 (+36%)</w:t>
      </w:r>
      <w:r>
        <w:rPr>
          <w:rFonts w:ascii="Calibri" w:hAnsi="Calibri"/>
          <w:b w:val="0"/>
          <w:i w:val="0"/>
          <w:sz w:val="18"/>
        </w:rPr>
        <w:t xml:space="preserve">  ·  </w:t>
      </w:r>
      <w:r>
        <w:rPr>
          <w:rFonts w:ascii="Calibri" w:hAnsi="Calibri"/>
          <w:b w:val="0"/>
          <w:i w:val="0"/>
          <w:color w:val="C62828"/>
          <w:sz w:val="18"/>
        </w:rPr>
        <w:t>vente ↓ $217.4329 (-19%)</w:t>
      </w:r>
      <w:r>
        <w:rPr>
          <w:rFonts w:ascii="Calibri" w:hAnsi="Calibri"/>
          <w:b w:val="0"/>
          <w:i w:val="0"/>
          <w:sz w:val="18"/>
        </w:rPr>
        <w:t xml:space="preserve">  ·  détention ~29 j  ·  ratio G/P 1.94</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