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H Sarabun New" w:cs="TH Sarabun New" w:eastAsia="TH Sarabun New" w:hAnsi="TH Sarabun New"/>
          <w:b/>
          <w:bCs/>
          <w:color w:val="087E8B"/>
          <w:sz w:val="34"/>
          <w:szCs w:val="34"/>
        </w:rPr>
        <w:t xml:space="preserve">ENGSE206 | สอบปลายภาค · ส่วน ก งานกลุ่ม</w:t>
      </w:r>
    </w:p>
    <w:p>
      <w:pPr>
        <w:spacing w:after="0"/>
        <w:jc w:val="center"/>
      </w:pPr>
      <w:r>
        <w:rPr>
          <w:rFonts w:ascii="TH Sarabun New" w:cs="TH Sarabun New" w:eastAsia="TH Sarabun New" w:hAnsi="TH Sarabun New"/>
          <w:b/>
          <w:bCs/>
          <w:color w:val="173B65"/>
          <w:sz w:val="52"/>
          <w:szCs w:val="52"/>
        </w:rPr>
        <w:t xml:space="preserve">แบบฟอร์มคำตอบ Change-to-Design</w:t>
      </w:r>
    </w:p>
    <w:p>
      <w:pPr>
        <w:spacing w:after="160"/>
        <w:jc w:val="center"/>
      </w:pPr>
      <w:r>
        <w:t xml:space="preserve">ระบบยืม–คืนอุปกรณ์กีฬาและกิจกรรม (Case 08)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73B65" w:sz="8"/>
              <w:left w:val="single" w:color="173B65" w:sz="8"/>
              <w:bottom w:val="single" w:color="173B65" w:sz="8"/>
              <w:right w:val="single" w:color="173B65" w:sz="8"/>
            </w:tcBorders>
            <w:shd w:fill="F4F8FB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30"/>
                <w:szCs w:val="30"/>
              </w:rPr>
              <w:t xml:space="preserve">คำแนะนำ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บันทึกไฟล์นี้เป็น final-exam/final-exam-group-answer.docx ใน branch final-exam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ข้อความสีเทาในวงเล็บเป็นคำแนะนำ ลบออกก่อนส่ง · เพิ่มแถวในตารางได้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ทุกช่องอ้าง ID ของ case กลุ่ม · ค่าที่ไม่รู้เขียน TBD แล้วบันทึกเป็น OI หรือ DD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7325"/>
      </w:tblGrid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กลุ่ม / Case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Group 08 · Case 08 — ระบบยืม–คืนอุปกรณ์กีฬาและกิจกรรม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สมาชิก (ชื่อ–รหัส)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Kirttamet · sinrawat · kit77-atr (GitHub username; ไม่ลงรหัสนักศึกษาใน repo สาธารณะ)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CR เสริมที่เลือก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TBD — sinrawat เลือก 02A หรือ 02B ใน G5 พร้อมเหตุผล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งานเดิมที่ใช้เป็นฐาน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ทุกไฟล์ ณ commit f5e19eb28903781b7d0f3d14a5a9fcdeb98af788</w:t>
            </w:r>
          </w:p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SRS: docs/07-srs-v1.md (0.1-draft); W06: docs/06-requirement-models-v2.md; W08: docs/08-validation-traceability.md</w:t>
            </w:r>
          </w:p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W10: design/10-design-strategy.md และ design/00-design-spine.md ยังเป็น template; W11: ใช้ design/11-conceptual-architecture.md เป็นฐานเดิม ส่วน .docx v0.1 ยังเป็น template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สถานะ SRS ของกลุ่ม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Draft — ตาม SRS §0; CR-FX-01 Pending; ไม่เปลี่ยน baseline เดิม</w:t>
            </w:r>
          </w:p>
        </w:tc>
      </w:tr>
    </w:tbl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G1 Change Request + Impact + Trace (1.5 คะแนน)</w:t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1.1 บันทึก CR-FX-01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751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color w:val="9FD6DD"/>
                <w:sz w:val="28"/>
                <w:szCs w:val="28"/>
              </w:rPr>
              <w:t xml:space="preserve">CR-FX-01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   แจ้งเตือนอัตโนมัติ</w:t>
            </w:r>
            <w:r>
              <w:rPr>
                <w:rFonts w:ascii="TH Sarabun New" w:cs="TH Sarabun New" w:eastAsia="TH Sarabun New" w:hAnsi="TH Sarabun New"/>
                <w:b/>
                <w:bCs/>
                <w:color w:val="F2C46D"/>
                <w:sz w:val="26"/>
                <w:szCs w:val="26"/>
              </w:rPr>
              <w:t xml:space="preserve">   [Pending]</w:t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ขอเปลี่ยน (สรุปตาม case กลุ่ม)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เมื่อสถานะรายการยืม–คืนเปลี่ยน ให้แจ้งผู้เกี่ยวข้อง; เตือนกำหนดคืนอัตโนมัติโดยไม่มีคนกด; ผู้ใช้เลือก opt-in ช่องทางภายนอก และข้อความใช้ข้อมูลเท่าที่จำเป็น การยืม/รับคืนยึด FR-EQP-11/12 ไม่เพิ่มสถานะอนุมัติที่ยังเป็น Extension</w:t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เหตุผลที่ผู้เสนออ้าง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ผู้บริหารหน่วยงานเจ้าของระบบขอให้ทำเร็วที่สุดและทุกส่วนเป็น Build now ตาม CR-FX-01; เหตุผลที่ตีความใน case คือให้ผู้ยืม/ชมรมทราบความคืบหน้าและกำหนดสำคัญ ทั้งนี้ SRS §8 และ OI-06 ยังไม่กำหนดช่องทาง/กำหนดคืน ไม่อ้างเป็นผลสัมภาษณ์ใหม่</w:t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กระทบข้อกำหนด (ID)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เดิม: FR-EQP-11, FR-EQP-12; RG-01, RG-03, RG-04; NFR-EQP-01; DR-02, DR-03, DR-04; OI-01, OI-02, OI-05, OI-06</w:t>
            </w:r>
          </w:p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เสนอเพิ่ม: FR-FX-01–03, BR-FX-01, NFR-FX-01, DR-FX-01; แก้ DR-02 เฉพาะ delta ในเอกสารนี้</w:t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กระทบ model และ trace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เดิม W06 v2: US-03/UC-03/AC-03–04 และ US-04/UC-04/AC-06; ไม่ใช้ AC-05 ที่ยังขัดกับ UC-04 (SRS OI-02)</w:t>
            </w:r>
          </w:p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เพิ่ม US-FX-01–03, UC-FX-01, AC-FX-01–05; เชื่อม SRS §3–10 กับ G3/G4; W08 ใช้เลข FR/UC รุ่นเก่าบางส่วน จึงไม่ถือว่าหมายถึงข้อเดียวกันโดยอัตโนมัติ</w:t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กระทบการออกแบบ / ทดสอบ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ตรวจจุดเปลี่ยนสถานะของ C-04/C-05 และ C-10 Notification Service (TBD) ใน W11 เดิม; ต้องพิจารณางานตามเวลาและขอบเขต UI/API/data ใน G4 ไม่ถือทุก component เป็น container แยก</w:t>
            </w:r>
          </w:p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แผนทดสอบ: สถานะเปลี่ยนจริง/ถูกปฏิเสธ, opt-in/out, ข้อมูลส่วนบุคคล และการเตือนตามค่าที่ได้รับคำตอบ; ยังไม่มีผลทดสอบจริง</w:t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ทางเลือก (≥ 2)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A เสนอทำส่วนแจ้งสถานะ/จัดการความยินยอมที่นิยามได้ก่อน และวางขอบเขตช่องทาง/งานตามเวลาเป็น Overview ระหว่างรอคำตอบ</w:t>
            </w:r>
          </w:p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B ทำทุกส่วนในรุ่นแรกหลังผู้มีอำนาจยืนยันเวลา ช่องทาง ฟิลด์ และทรัพยากร; เสี่ยงรอจนงานส่วนที่ชัดเจนชะงัก</w:t>
            </w:r>
          </w:p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C เลื่อนทั้ง CR จนได้คำตอบครบ; ง่ายแต่ยังไม่ตอบการแจ้งสถานะ</w:t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Decision ที่กลุ่มเสนอ + ใครมีอำนาจตัดสิน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Proposed: เลือก A เพื่อแยกส่วนที่นิยามได้ออกจากข้อผูกพันที่ยัง TBD; ให้ G3 ประเมินระดับ scope รายความสามารถ ไม่มีคำขอใดเป็น Build now เพียงเพราะผู้เสนอพูด</w:t>
            </w:r>
          </w:p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CR ยัง Pending ผู้บริหารเจ้าของระบบ/ผู้มีอำนาจที่ได้รับมอบหมายต้องตัดสิน รอผู้สอน/scope owner ยืนยันผู้มีอำนาจจริง ไม่อนุมัติแทน</w:t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Next action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Kirttamet ตรวจ G1–G2 กับ SRS; เสนอ owner ขอคำตอบ OI-FX-01–04; ส่งให้ sinrawat จัด scope/Spine/DD ใน G3 และ kit77-atr ตัดสิน container ใน G4; บันทึกผลตัดสินก่อนนำ delta ไปเปลี่ยน baseline ไม่แก้งานเดิมรายสัปดาห์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1.2 ตารางผลกระทบ (≥ 5 แถว)</w:t>
      </w:r>
    </w:p>
    <w:p>
      <w:pPr>
        <w:spacing w:after="100"/>
      </w:pPr>
      <w:r>
        <w:t xml:space="preserve">รหัส -FX- ด้านล่างเป็นข้อเสนอใหม่เฉพาะ final-exam ไม่ใช่ ID เดิมใน SRS; ตรวจ ID เดิมกับ W06 v2 ที่ SRS §0 อ้าง ไม่ใช้ W06 รุ่นเก่าแทนกัน ชื่อ C-xx ใน W11 เดิมเป็น component ไม่ใช่ container; mapping container ใหม่รอ G3–G4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"/>
        <w:gridCol w:w="1638"/>
        <w:gridCol w:w="1638"/>
        <w:gridCol w:w="1542"/>
        <w:gridCol w:w="1156"/>
        <w:gridCol w:w="1831"/>
        <w:gridCol w:w="1352"/>
      </w:tblGrid>
      <w:tr>
        <w:trPr>
          <w:cantSplit/>
          <w:tblHeader/>
        </w:trPr>
        <w:tc>
          <w:tcPr>
            <w:tcW w:type="dxa" w:w="48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</w:t>
            </w:r>
          </w:p>
        </w:tc>
        <w:tc>
          <w:tcPr>
            <w:tcW w:type="dxa" w:w="163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Source / เหตุผล</w:t>
            </w:r>
          </w:p>
        </w:tc>
        <w:tc>
          <w:tcPr>
            <w:tcW w:type="dxa" w:w="163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FR / BR / NFR / DR</w:t>
            </w:r>
          </w:p>
        </w:tc>
        <w:tc>
          <w:tcPr>
            <w:tcW w:type="dxa" w:w="154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US / UC / AC</w:t>
            </w:r>
          </w:p>
        </w:tc>
        <w:tc>
          <w:tcPr>
            <w:tcW w:type="dxa" w:w="115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SRS หัวข้อ</w:t>
            </w:r>
          </w:p>
        </w:tc>
        <w:tc>
          <w:tcPr>
            <w:tcW w:type="dxa" w:w="183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Design (Spine / container)</w:t>
            </w:r>
          </w:p>
        </w:tc>
        <w:tc>
          <w:tcPr>
            <w:tcW w:type="dxa" w:w="135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ผลกระทบ</w:t>
            </w:r>
          </w:p>
        </w:tc>
      </w:tr>
      <w:tr>
        <w:trPr>
          <w:cantSplit/>
          <w:trHeight w:val="624" w:hRule="atLeast"/>
        </w:trPr>
        <w:tc>
          <w:tcPr>
            <w:tcW w:type="dxa" w:w="48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1</w:t>
            </w:r>
          </w:p>
        </w:tc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CR-FX-01(1); SRS §7.1</w:t>
            </w:r>
          </w:p>
        </w:tc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FR-EQP-11 → FR-FX-01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US-03/UC-03/AC-03 → US-FX-01/AC-FX-01</w:t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§3, §7, §9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C-04 → C-10 เดิม; Spine/กล่องใหม่ TBD G3/G4</w:t>
            </w:r>
          </w:p>
        </w:tc>
        <w:tc>
          <w:tcPr>
            <w:tcW w:type="dxa" w:w="13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เพิ่มแจ้งหลังยืมสำเร็จ; ไม่แจ้งเปลี่ยนสถานะเมื่อ AC-04 ปฏิเสธ</w:t>
            </w:r>
          </w:p>
        </w:tc>
      </w:tr>
      <w:tr>
        <w:trPr>
          <w:cantSplit/>
          <w:trHeight w:val="624" w:hRule="atLeast"/>
        </w:trPr>
        <w:tc>
          <w:tcPr>
            <w:tcW w:type="dxa" w:w="48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2</w:t>
            </w:r>
          </w:p>
        </w:tc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CR-FX-01(1); SRS OI-02</w:t>
            </w:r>
          </w:p>
        </w:tc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FR-EQP-12; RG-04 → FR-FX-01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US-04/UC-04/AC-06 → AC-FX-02</w:t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§3, §4, §7.1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C-05 → C-10; ตรวจสิทธิ์ที่ application</w:t>
            </w:r>
          </w:p>
        </w:tc>
        <w:tc>
          <w:tcPr>
            <w:tcW w:type="dxa" w:w="13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เพิ่มหลังผู้ดูแลยืนยัน; AC-05 ขัดกัน ยังไม่ยืนยัน</w:t>
            </w:r>
          </w:p>
        </w:tc>
      </w:tr>
      <w:tr>
        <w:trPr>
          <w:cantSplit/>
          <w:trHeight w:val="624" w:hRule="atLeast"/>
        </w:trPr>
        <w:tc>
          <w:tcPr>
            <w:tcW w:type="dxa" w:w="48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3</w:t>
            </w:r>
          </w:p>
        </w:tc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CR-FX-01(2); SRS OI-06</w:t>
            </w:r>
          </w:p>
        </w:tc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DR-02 → FR-FX-02 + DR-02 delta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US-03/UC-03 เดิมยังไม่มีกำหนดคืน → US-FX-02/UC-FX-01/AC-FX-03</w:t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§3, §6, §7, §10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อ่านกำหนดคืน; งานตามเวลา/container TBD G4</w:t>
            </w:r>
          </w:p>
        </w:tc>
        <w:tc>
          <w:tcPr>
            <w:tcW w:type="dxa" w:w="13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เพิ่ม; ค่าเวลา/แหล่งกำหนดคืน TBD OI-FX-02</w:t>
            </w:r>
          </w:p>
        </w:tc>
      </w:tr>
      <w:tr>
        <w:trPr>
          <w:cantSplit/>
          <w:trHeight w:val="624" w:hRule="atLeast"/>
        </w:trPr>
        <w:tc>
          <w:tcPr>
            <w:tcW w:type="dxa" w:w="48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4</w:t>
            </w:r>
          </w:p>
        </w:tc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CR-FX-01(3); CT-02</w:t>
            </w:r>
          </w:p>
        </w:tc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NFR-EQP-01; DR-03 → FR-FX-03/BR-FX-01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เดิมไม่มี opt-in model → US-FX-03/AC-FX-04</w:t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§2.4, §3, §4, §6, §8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C-01/C-02/C-10 เดิม; UI/API/data TBD</w:t>
            </w:r>
          </w:p>
        </w:tc>
        <w:tc>
          <w:tcPr>
            <w:tcW w:type="dxa" w:w="13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เพิ่ม consent; ไม่ส่งภายนอกหากไม่ยินยอม</w:t>
            </w:r>
          </w:p>
        </w:tc>
      </w:tr>
      <w:tr>
        <w:trPr>
          <w:cantSplit/>
          <w:trHeight w:val="624" w:hRule="atLeast"/>
        </w:trPr>
        <w:tc>
          <w:tcPr>
            <w:tcW w:type="dxa" w:w="48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5</w:t>
            </w:r>
          </w:p>
        </w:tc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CR-FX-01(3); SRS OI-05</w:t>
            </w:r>
          </w:p>
        </w:tc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NFR-EQP-01 → NFR-FX-01/DR-FX-01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เดิมไม่มี quality scenario → AC-FX-05</w:t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§5, §6, §8, §10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จำกัด payload ก่อนออกภายนอก; C-02/C-10</w:t>
            </w:r>
          </w:p>
        </w:tc>
        <w:tc>
          <w:tcPr>
            <w:tcW w:type="dxa" w:w="13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เพิ่ม; allowlist/สิทธิ์ TBD OI-FX-03</w:t>
            </w:r>
          </w:p>
        </w:tc>
      </w:tr>
      <w:tr>
        <w:trPr>
          <w:cantSplit/>
          <w:trHeight w:val="624" w:hRule="atLeast"/>
        </w:trPr>
        <w:tc>
          <w:tcPr>
            <w:tcW w:type="dxa" w:w="48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6</w:t>
            </w:r>
          </w:p>
        </w:tc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CR-FX-01; SRS §8</w:t>
            </w:r>
          </w:p>
        </w:tc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FR-FX-01/02/03; NFR-FX-01</w:t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UC-FX-01/AC-FX-03–05; เดิมช่องทางไม่มี UC</w:t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§8, §9, §10</w:t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C-10 เดิมยัง TBD; external boundary/เทคโนโลยีรอ G4</w:t>
            </w:r>
          </w:p>
        </w:tc>
        <w:tc>
          <w:tcPr>
            <w:tcW w:type="dxa" w:w="13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เพิ่ม; ช่องทาง/protocol Cannot Verify จากฐานเดิม → OI-FX-01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ageBreakBefore/>
        <w:pBdr>
          <w:bottom w:val="single" w:color="008699" w:sz="8" w:space="2"/>
        </w:pBdr>
        <w:spacing w:after="100" w:before="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G2 แก้ Requirement และ Model (1.5 คะแนน)</w:t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2.1 User Story (≥ 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"/>
        <w:gridCol w:w="5782"/>
        <w:gridCol w:w="1445"/>
        <w:gridCol w:w="1448"/>
      </w:tblGrid>
      <w:tr>
        <w:trPr>
          <w:cantSplit/>
          <w:tblHeader/>
        </w:trPr>
        <w:tc>
          <w:tcPr>
            <w:tcW w:type="dxa" w:w="96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ID</w:t>
            </w:r>
          </w:p>
        </w:tc>
        <w:tc>
          <w:tcPr>
            <w:tcW w:type="dxa" w:w="578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ในฐานะ… ฉันต้องการ… เพื่อ…</w:t>
            </w:r>
          </w:p>
        </w:tc>
        <w:tc>
          <w:tcPr>
            <w:tcW w:type="dxa" w:w="144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FR</w:t>
            </w:r>
          </w:p>
        </w:tc>
        <w:tc>
          <w:tcPr>
            <w:tcW w:type="dxa" w:w="144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ใหม่ / แก้</w:t>
            </w:r>
          </w:p>
        </w:tc>
      </w:tr>
      <w:tr>
        <w:trPr>
          <w:cantSplit/>
          <w:trHeight w:val="680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US-FX-01</w:t>
            </w:r>
          </w:p>
        </w:tc>
        <w:tc>
          <w:tcPr>
            <w:tcW w:type="dxa" w:w="57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ในฐานะผู้ยืมหรือชมรม/ผู้จัดกิจกรรม ฉันต้องการทราบเมื่อรายการยืม–คืนของฉันเปลี่ยนสถานะ เพื่อทราบผลของรายการโดยไม่ต้องสอบถามผู้ดูแล</w:t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FR-FX-01; FR-EQP-11/12</w:t>
            </w:r>
          </w:p>
        </w:tc>
        <w:tc>
          <w:tcPr>
            <w:tcW w:type="dxa" w:w="144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ใหม่ Proposed</w:t>
            </w:r>
          </w:p>
        </w:tc>
      </w:tr>
      <w:tr>
        <w:trPr>
          <w:cantSplit/>
          <w:trHeight w:val="680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US-FX-02</w:t>
            </w:r>
          </w:p>
        </w:tc>
        <w:tc>
          <w:tcPr>
            <w:tcW w:type="dxa" w:w="57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ในฐานะผู้ยืมหรือชมรม/ผู้จัดกิจกรรม ฉันต้องการรับคำเตือนก่อนกำหนดคืนที่ยืนยันแล้วโดยไม่มีเจ้าหน้าที่กดส่ง เพื่อเตรียมคืนอุปกรณ์ตามกำหนด</w:t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FR-FX-02; DR-02 delta</w:t>
            </w:r>
          </w:p>
        </w:tc>
        <w:tc>
          <w:tcPr>
            <w:tcW w:type="dxa" w:w="144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ใหม่ Proposed; เวลา TBD</w:t>
            </w:r>
          </w:p>
        </w:tc>
      </w:tr>
      <w:tr>
        <w:trPr>
          <w:cantSplit/>
          <w:trHeight w:val="680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US-FX-03</w:t>
            </w:r>
          </w:p>
        </w:tc>
        <w:tc>
          <w:tcPr>
            <w:tcW w:type="dxa" w:w="57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ในฐานะผู้ยืมหรือชมรม/ผู้จัดกิจกรรม ฉันต้องการเลือกและเปลี่ยนความยินยอมรับข้อความผ่านช่องทางภายนอก เพื่อควบคุมการรับข้อความเกี่ยวกับรายการของฉัน</w:t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FR-FX-03; BR-FX-01; NFR-FX-01</w:t>
            </w:r>
          </w:p>
        </w:tc>
        <w:tc>
          <w:tcPr>
            <w:tcW w:type="dxa" w:w="144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ใหม่ Proposed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2.2 Use Case flow (≥ 1)</w:t>
      </w:r>
    </w:p>
    <w:p>
      <w:pPr>
        <w:keepNext w:val="false"/>
        <w:spacing w:after="100"/>
      </w:pPr>
      <w:r>
        <w:t xml:space="preserve">UC-FX-01 เตือนกำหนดคืนอัตโนมัติ · Main + Alternate · ใหม่ Proposed; ต่อจาก UC-03 โดยไม่เปลี่ยน flow เดิม
Primary actor ผู้ยืม/ชมรม; Trigger ถึงจุดเตือนตามนโยบายที่ยืนยัน (ไม่ใช่ผู้ใช้กด); Preconditions มีรายการยืมที่ยังไม่รับคืนและกำหนดคืนที่ยืนยันแล้ว; ค่าเวลา/แหล่งกำหนดคืน TBD OI-FX-02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"/>
        <w:gridCol w:w="2120"/>
        <w:gridCol w:w="6555"/>
      </w:tblGrid>
      <w:tr>
        <w:trPr>
          <w:cantSplit/>
          <w:tblHeader/>
        </w:trPr>
        <w:tc>
          <w:tcPr>
            <w:tcW w:type="dxa" w:w="96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Step</w:t>
            </w:r>
          </w:p>
        </w:tc>
        <w:tc>
          <w:tcPr>
            <w:tcW w:type="dxa" w:w="212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Lane (Actor / System)</w:t>
            </w:r>
          </w:p>
        </w:tc>
        <w:tc>
          <w:tcPr>
            <w:tcW w:type="dxa" w:w="655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Behavior</w:t>
            </w:r>
          </w:p>
        </w:tc>
      </w:tr>
      <w:tr>
        <w:trPr>
          <w:cantSplit/>
          <w:trHeight w:val="510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1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Actor: ผู้ยืม/ชมรม</w:t>
            </w:r>
          </w:p>
        </w:tc>
        <w:tc>
          <w:tcPr>
            <w:tcW w:type="dxa" w:w="655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เลือก opt-in หรือ opt-out ของช่องทางภายนอกสำหรับบัญชีตนเอง (FR-FX-03)</w:t>
            </w:r>
          </w:p>
        </w:tc>
      </w:tr>
      <w:tr>
        <w:trPr>
          <w:cantSplit/>
          <w:trHeight w:val="510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2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System</w:t>
            </w:r>
          </w:p>
        </w:tc>
        <w:tc>
          <w:tcPr>
            <w:tcW w:type="dxa" w:w="655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เมื่อถึงจุดเตือนตามนโยบายที่ได้รับการยืนยัน ตรวจรายการยืมกับกำหนดคืน และยืนยันว่ายังไม่รับคืน; ไม่ต้องให้ actor กดส่ง</w:t>
            </w:r>
          </w:p>
        </w:tc>
      </w:tr>
      <w:tr>
        <w:trPr>
          <w:cantSplit/>
          <w:trHeight w:val="510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3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System</w:t>
            </w:r>
          </w:p>
        </w:tc>
        <w:tc>
          <w:tcPr>
            <w:tcW w:type="dxa" w:w="655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ระบุผู้รับที่เกี่ยวข้องตามสิทธิ์ของรายการ และเตรียมข้อมูลเตือนตาม FR-FX-02; payload ต้องอยู่ใน allowlist ที่ยืนยันแล้ว</w:t>
            </w:r>
          </w:p>
        </w:tc>
      </w:tr>
      <w:tr>
        <w:trPr>
          <w:cantSplit/>
          <w:trHeight w:val="510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4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System</w:t>
            </w:r>
          </w:p>
        </w:tc>
        <w:tc>
          <w:tcPr>
            <w:tcW w:type="dxa" w:w="655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ตรวจ consent ล่าสุดและปลายทางที่ยืนยัน ก่อนส่งออกช่องทางภายนอกตาม BR-FX-01; ถ้า opt-out ไม่ส่งภายนอก</w:t>
            </w:r>
          </w:p>
        </w:tc>
      </w:tr>
      <w:tr>
        <w:trPr>
          <w:cantSplit/>
          <w:trHeight w:val="510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5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Actor: ผู้ยืม/ชมรม</w:t>
            </w:r>
          </w:p>
        </w:tc>
        <w:tc>
          <w:tcPr>
            <w:tcW w:type="dxa" w:w="655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เมื่อได้รับข้อความ สามารถรับทราบว่ามีรายการต้องคืน; รายละเอียดส่วนตัวดูได้เฉพาะหลังผ่านการตรวจสิทธิ์ตามที่ G4 จะออกแบบ</w:t>
            </w:r>
          </w:p>
        </w:tc>
      </w:tr>
      <w:tr>
        <w:trPr>
          <w:cantSplit/>
          <w:trHeight w:val="510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6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System: Alternate</w:t>
            </w:r>
          </w:p>
        </w:tc>
        <w:tc>
          <w:tcPr>
            <w:tcW w:type="dxa" w:w="655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A1 รับคืนแล้ว: ไม่เตือนกำหนดคืนรายการนั้น; A2 กำหนดคืน/เวลาเตือน/ผู้รับ/payload/ช่องทางยัง TBD: ไม่สมมติค่าหรือส่งจริง ถือเป็นเงื่อนไขที่ยังทดสอบครบไม่ได้; A3 ภายนอกขัดข้อง: ผลส่งและนโยบาย retry เป็น OI-FX-04 ไม่ถือว่าส่งสำเร็จ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2.3 Acceptance Criteria (≥ 3)</w:t>
      </w:r>
    </w:p>
    <w:p>
      <w:pPr>
        <w:spacing w:after="100"/>
      </w:pPr>
      <w:r>
        <w:t xml:space="preserve">AC ต่อไปนี้เป็นเกณฑ์เสนอเพื่อทดสอบ ไม่ใช่ผลทดสอบผ่าน; ค่าที่ TBD ต้องได้คำตอบก่อนทดสอบแบบครบวงจร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1850"/>
        <w:gridCol w:w="1850"/>
        <w:gridCol w:w="3200"/>
        <w:gridCol w:w="1238"/>
      </w:tblGrid>
      <w:tr>
        <w:trPr>
          <w:cantSplit/>
          <w:tblHeader/>
        </w:trPr>
        <w:tc>
          <w:tcPr>
            <w:tcW w:type="dxa" w:w="100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AC</w:t>
            </w:r>
          </w:p>
        </w:tc>
        <w:tc>
          <w:tcPr>
            <w:tcW w:type="dxa" w:w="185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Given</w:t>
            </w:r>
          </w:p>
        </w:tc>
        <w:tc>
          <w:tcPr>
            <w:tcW w:type="dxa" w:w="185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When</w:t>
            </w:r>
          </w:p>
        </w:tc>
        <w:tc>
          <w:tcPr>
            <w:tcW w:type="dxa" w:w="320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Then</w:t>
            </w:r>
          </w:p>
        </w:tc>
        <w:tc>
          <w:tcPr>
            <w:tcW w:type="dxa" w:w="123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Coverage</w:t>
            </w:r>
          </w:p>
        </w:tc>
      </w:tr>
      <w:tr>
        <w:trPr>
          <w:cantSplit/>
          <w:trHeight w:val="737" w:hRule="atLeast"/>
        </w:trPr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AC-FX-01</w:t>
            </w:r>
          </w:p>
        </w:tc>
        <w:tc>
          <w:tcPr>
            <w:tcW w:type="dxa" w:w="18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อุปกรณ์ว่าง และผู้ยืมยืนยันยืมตาม UC-03</w:t>
            </w:r>
          </w:p>
        </w:tc>
        <w:tc>
          <w:tcPr>
            <w:tcW w:type="dxa" w:w="18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ระบบบันทึกการยืมสำเร็จและเปลี่ยนเป็นถูกยืม</w:t>
            </w:r>
          </w:p>
        </w:tc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เกิดการแจ้งการเปลี่ยนสถานะแก่ผู้เกี่ยวข้อง; การส่งภายนอกต้องผ่าน consent; หาก AC-04 ปฏิเสธต้องไม่แจ้งว่ายืมสำเร็จ</w:t>
            </w:r>
          </w:p>
        </w:tc>
        <w:tc>
          <w:tcPr>
            <w:tcW w:type="dxa" w:w="1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FR-EQP-11; FR-FX-01; US-FX-01</w:t>
            </w:r>
          </w:p>
        </w:tc>
      </w:tr>
      <w:tr>
        <w:trPr>
          <w:cantSplit/>
          <w:trHeight w:val="737" w:hRule="atLeast"/>
        </w:trPr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AC-FX-02</w:t>
            </w:r>
          </w:p>
        </w:tc>
        <w:tc>
          <w:tcPr>
            <w:tcW w:type="dxa" w:w="18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มีรายการถูกยืม และผู้ดูแลตรวจรับคืนตาม UC-04</w:t>
            </w:r>
          </w:p>
        </w:tc>
        <w:tc>
          <w:tcPr>
            <w:tcW w:type="dxa" w:w="18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ผู้ดูแลยืนยันรับคืนสำเร็จ</w:t>
            </w:r>
          </w:p>
        </w:tc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บันทึกวันเวลาคืน เปลี่ยนเป็นว่าง และแจ้งผลแก่ผู้เกี่ยวข้อง; การขอคืนของผู้ยืมเพียงอย่างเดียวไม่ใช่เหตุให้แจ้งว่ารับคืนสำเร็จ</w:t>
            </w:r>
          </w:p>
        </w:tc>
        <w:tc>
          <w:tcPr>
            <w:tcW w:type="dxa" w:w="1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FR-EQP-12; RG-04; AC-06; OI-02; FR-FX-01</w:t>
            </w:r>
          </w:p>
        </w:tc>
      </w:tr>
      <w:tr>
        <w:trPr>
          <w:cantSplit/>
          <w:trHeight w:val="737" w:hRule="atLeast"/>
        </w:trPr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AC-FX-03</w:t>
            </w:r>
          </w:p>
        </w:tc>
        <w:tc>
          <w:tcPr>
            <w:tcW w:type="dxa" w:w="18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รายการยังไม่รับคืน มีกำหนดคืนและนโยบายเวลาเตือนที่ยืนยันแล้ว</w:t>
            </w:r>
          </w:p>
        </w:tc>
        <w:tc>
          <w:tcPr>
            <w:tcW w:type="dxa" w:w="18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เวลาเดินถึงจุดเตือน โดยไม่มี actor กด</w:t>
            </w:r>
          </w:p>
        </w:tc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ระบบสร้างการเตือนสำหรับผู้เกี่ยวข้อง; หากรับคืนแล้วไม่เตือน; การส่งภายนอกยังตรวจ opt-in; ค่ากำหนดคืน/เวลาเตือน TBD ตาม OI-FX-02</w:t>
            </w:r>
          </w:p>
        </w:tc>
        <w:tc>
          <w:tcPr>
            <w:tcW w:type="dxa" w:w="1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FR-FX-02; UC-FX-01; DR-02 delta</w:t>
            </w:r>
          </w:p>
        </w:tc>
      </w:tr>
      <w:tr>
        <w:trPr>
          <w:cantSplit/>
          <w:trHeight w:val="737" w:hRule="atLeast"/>
        </w:trPr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AC-FX-04</w:t>
            </w:r>
          </w:p>
        </w:tc>
        <w:tc>
          <w:tcPr>
            <w:tcW w:type="dxa" w:w="18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มีเหตุแจ้งเตือนและทราบ consent ของผู้ใช้</w:t>
            </w:r>
          </w:p>
        </w:tc>
        <w:tc>
          <w:tcPr>
            <w:tcW w:type="dxa" w:w="18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ผู้ใช้เลือกไม่รับ/เปลี่ยนเป็น opt-out ก่อนส่ง หรือยังไม่มีการยินยอมที่ยืนยัน</w:t>
            </w:r>
          </w:p>
        </w:tc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ระบบไม่ส่งข้อความออกช่องทางภายนอกให้ผู้ใช้นั้น; เมื่อ opt-in จึงส่งได้หากเงื่อนไขอื่นครบ ไม่ถือว่า opt-in ของคนหนึ่งใช้แทนอีกคน</w:t>
            </w:r>
          </w:p>
        </w:tc>
        <w:tc>
          <w:tcPr>
            <w:tcW w:type="dxa" w:w="1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FR-FX-03; BR-FX-01; US-FX-03</w:t>
            </w:r>
          </w:p>
        </w:tc>
      </w:tr>
      <w:tr>
        <w:trPr>
          <w:cantSplit/>
          <w:trHeight w:val="737" w:hRule="atLeast"/>
        </w:trPr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AC-FX-05</w:t>
            </w:r>
          </w:p>
        </w:tc>
        <w:tc>
          <w:tcPr>
            <w:tcW w:type="dxa" w:w="18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ผู้ใช้ opt-in และมี allowlist ของข้อมูลที่จำเป็นที่ได้รับคำตอบแล้ว</w:t>
            </w:r>
          </w:p>
        </w:tc>
        <w:tc>
          <w:tcPr>
            <w:tcW w:type="dxa" w:w="18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ระบบเตรียมและส่งข้อความภายนอก</w:t>
            </w:r>
          </w:p>
        </w:tc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payload ไม่มีข้อมูลนอก allowlist; ไม่แนบข้อมูลผู้ยืมรายอื่นหรือหลักฐานสภาพโดยอัตโนมัติ; ถ้า allowlist ยัง TBD ยังไม่ส่งจริงและยังไม่อ้างว่าตรวจผ่าน</w:t>
            </w:r>
          </w:p>
        </w:tc>
        <w:tc>
          <w:tcPr>
            <w:tcW w:type="dxa" w:w="1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NFR-EQP-01; NFR-FX-01; DR-FX-01; OI-FX-03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2.4 บรรทัด SRS ที่เพิ่ม / แก้ (≥ 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0"/>
        <w:gridCol w:w="4200"/>
        <w:gridCol w:w="1000"/>
        <w:gridCol w:w="1550"/>
        <w:gridCol w:w="1638"/>
      </w:tblGrid>
      <w:tr>
        <w:trPr>
          <w:cantSplit/>
          <w:tblHeader/>
        </w:trPr>
        <w:tc>
          <w:tcPr>
            <w:tcW w:type="dxa" w:w="125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ID</w:t>
            </w:r>
          </w:p>
        </w:tc>
        <w:tc>
          <w:tcPr>
            <w:tcW w:type="dxa" w:w="420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ข้อความ requirement</w:t>
            </w:r>
          </w:p>
        </w:tc>
        <w:tc>
          <w:tcPr>
            <w:tcW w:type="dxa" w:w="100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ใหม่ / แก้</w:t>
            </w:r>
          </w:p>
        </w:tc>
        <w:tc>
          <w:tcPr>
            <w:tcW w:type="dxa" w:w="155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Source</w:t>
            </w:r>
          </w:p>
        </w:tc>
        <w:tc>
          <w:tcPr>
            <w:tcW w:type="dxa" w:w="163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สถานะ</w:t>
            </w:r>
          </w:p>
        </w:tc>
      </w:tr>
      <w:tr>
        <w:trPr>
          <w:cantSplit/>
          <w:trHeight w:val="624" w:hRule="atLeast"/>
        </w:trPr>
        <w:tc>
          <w:tcPr>
            <w:tcW w:type="dxa" w:w="12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FR-FX-01</w:t>
            </w:r>
          </w:p>
        </w:tc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ระบบต้องแจ้งผู้เกี่ยวข้องเมื่อรายการยืม–คืนเปลี่ยนสถานะสำเร็จตาม FR-EQP-11/12 และไม่แจ้งการเปลี่ยนสถานะสำเร็จเมื่อรายการถูกปฏิเสธ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ใหม่ §3</w:t>
            </w:r>
          </w:p>
        </w:tc>
        <w:tc>
          <w:tcPr>
            <w:tcW w:type="dxa" w:w="15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CR-FX-01(1); SRS §3/7.1</w:t>
            </w:r>
          </w:p>
        </w:tc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Proposed; routing TBD OI-FX-03</w:t>
            </w:r>
          </w:p>
        </w:tc>
      </w:tr>
      <w:tr>
        <w:trPr>
          <w:cantSplit/>
          <w:trHeight w:val="624" w:hRule="atLeast"/>
        </w:trPr>
        <w:tc>
          <w:tcPr>
            <w:tcW w:type="dxa" w:w="12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FR-FX-02</w:t>
            </w:r>
          </w:p>
        </w:tc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ระบบต้องเตือนผู้เกี่ยวข้องก่อนกำหนดคืนที่ยืนยันแล้วโดยอัตโนมัติเมื่อถึงจุดเตือนตามนโยบาย โดยไม่ต้องมีผู้กดส่ง; เวลาเตือนและแหล่งกำหนดคืน TBD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ใหม่ §3</w:t>
            </w:r>
          </w:p>
        </w:tc>
        <w:tc>
          <w:tcPr>
            <w:tcW w:type="dxa" w:w="15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CR-FX-01(2); SRS OI-06</w:t>
            </w:r>
          </w:p>
        </w:tc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Proposed; OI-FX-02</w:t>
            </w:r>
          </w:p>
        </w:tc>
      </w:tr>
      <w:tr>
        <w:trPr>
          <w:cantSplit/>
          <w:trHeight w:val="624" w:hRule="atLeast"/>
        </w:trPr>
        <w:tc>
          <w:tcPr>
            <w:tcW w:type="dxa" w:w="12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FR-FX-03</w:t>
            </w:r>
          </w:p>
        </w:tc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ระบบต้องให้ผู้ใช้เลือกและเปลี่ยนความยินยอมรับข้อความผ่านช่องทางภายนอก และใช้ความยินยอมล่าสุดก่อนส่ง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ใหม่ §3</w:t>
            </w:r>
          </w:p>
        </w:tc>
        <w:tc>
          <w:tcPr>
            <w:tcW w:type="dxa" w:w="15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CR-FX-01(3)</w:t>
            </w:r>
          </w:p>
        </w:tc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Proposed; OI-FX-01/03</w:t>
            </w:r>
          </w:p>
        </w:tc>
      </w:tr>
      <w:tr>
        <w:trPr>
          <w:cantSplit/>
          <w:trHeight w:val="624" w:hRule="atLeast"/>
        </w:trPr>
        <w:tc>
          <w:tcPr>
            <w:tcW w:type="dxa" w:w="12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BR-FX-01</w:t>
            </w:r>
          </w:p>
        </w:tc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ส่งข้อความภายนอกได้เฉพาะผู้รับที่เกี่ยวข้องซึ่งมี opt-in ยืนยันอยู่; opt-out หรือไม่มีการยินยอมยืนยันต้องไม่ถูกส่งภายนอก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ใหม่ §4</w:t>
            </w:r>
          </w:p>
        </w:tc>
        <w:tc>
          <w:tcPr>
            <w:tcW w:type="dxa" w:w="15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CR-FX-01(3); NFR-EQP-01</w:t>
            </w:r>
          </w:p>
        </w:tc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Proposed</w:t>
            </w:r>
          </w:p>
        </w:tc>
      </w:tr>
      <w:tr>
        <w:trPr>
          <w:cantSplit/>
          <w:trHeight w:val="624" w:hRule="atLeast"/>
        </w:trPr>
        <w:tc>
          <w:tcPr>
            <w:tcW w:type="dxa" w:w="12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NFR-FX-01</w:t>
            </w:r>
          </w:p>
        </w:tc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ข้อความภายนอกต้องมีเฉพาะข้อมูลใน allowlist ที่จำเป็นและยืนยันแล้ว ตรวจ payload เทียบ allowlist ได้ทุกข้อความ; รายการฟิลด์ TBD และไม่ลดข้อห้ามเชื่อมบัญชี/ค่าปรับ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ใหม่ §5; ขยาย NFR-EQP-01</w:t>
            </w:r>
          </w:p>
        </w:tc>
        <w:tc>
          <w:tcPr>
            <w:tcW w:type="dxa" w:w="15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CR-FX-01(3); SRS CT-02/§5</w:t>
            </w:r>
          </w:p>
        </w:tc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Proposed; OI-FX-03</w:t>
            </w:r>
          </w:p>
        </w:tc>
      </w:tr>
      <w:tr>
        <w:trPr>
          <w:cantSplit/>
          <w:trHeight w:val="624" w:hRule="atLeast"/>
        </w:trPr>
        <w:tc>
          <w:tcPr>
            <w:tcW w:type="dxa" w:w="12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DR-FX-01</w:t>
            </w:r>
          </w:p>
        </w:tc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ข้อมูล preference/การแจ้งต้องเชื่อมผู้รับและรายการที่เกี่ยวข้อง เก็บช่องทางกับ consent เท่าที่จำเป็น; ฟิลด์ เวลาเก็บ และการควบคุมสิทธิ์ TBD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ใหม่ §6</w:t>
            </w:r>
          </w:p>
        </w:tc>
        <w:tc>
          <w:tcPr>
            <w:tcW w:type="dxa" w:w="15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CR-FX-01(1–3); DR-03/04</w:t>
            </w:r>
          </w:p>
        </w:tc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Proposed; OI-FX-01/03</w:t>
            </w:r>
          </w:p>
        </w:tc>
      </w:tr>
      <w:tr>
        <w:trPr>
          <w:cantSplit/>
          <w:trHeight w:val="624" w:hRule="atLeast"/>
        </w:trPr>
        <w:tc>
          <w:tcPr>
            <w:tcW w:type="dxa" w:w="12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DR-02 delta</w:t>
            </w:r>
          </w:p>
        </w:tc>
        <w:tc>
          <w:tcPr>
            <w:tcW w:type="dxa" w:w="4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เสนอเพิ่มกำหนดคืนที่ยืนยันแล้วสำหรับการเตือน โดยคงความสัมพันธ์อุปกรณ์–ผู้ยืมและวันเวลารับคืนเดิม; ห้ามอนุมานกำหนดคืนจากสมมติฐาน 1–3 วัน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แก้เฉพาะข้อเสนอ §6 ไม่แก้ source</w:t>
            </w:r>
          </w:p>
        </w:tc>
        <w:tc>
          <w:tcPr>
            <w:tcW w:type="dxa" w:w="15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CR-FX-01(2); SRS DR-02/OI-06</w:t>
            </w:r>
          </w:p>
        </w:tc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Proposed; OI-FX-02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2.5 Open Issue (≥ 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600"/>
        <w:gridCol w:w="1600"/>
        <w:gridCol w:w="1800"/>
        <w:gridCol w:w="2538"/>
      </w:tblGrid>
      <w:tr>
        <w:trPr>
          <w:cantSplit/>
          <w:tblHeader/>
        </w:trPr>
        <w:tc>
          <w:tcPr>
            <w:tcW w:type="dxa" w:w="110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OI</w:t>
            </w:r>
          </w:p>
        </w:tc>
        <w:tc>
          <w:tcPr>
            <w:tcW w:type="dxa" w:w="260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คำถาม / TBD</w:t>
            </w:r>
          </w:p>
        </w:tc>
        <w:tc>
          <w:tcPr>
            <w:tcW w:type="dxa" w:w="160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กระทบ ID</w:t>
            </w:r>
          </w:p>
        </w:tc>
        <w:tc>
          <w:tcPr>
            <w:tcW w:type="dxa" w:w="180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Owner</w:t>
            </w:r>
          </w:p>
        </w:tc>
        <w:tc>
          <w:tcPr>
            <w:tcW w:type="dxa" w:w="253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Next action</w:t>
            </w:r>
          </w:p>
        </w:tc>
      </w:tr>
      <w:tr>
        <w:trPr>
          <w:cantSplit/>
          <w:trHeight w:val="624" w:hRule="atLeast"/>
        </w:trPr>
        <w:tc>
          <w:tcPr>
            <w:tcW w:type="dxa" w:w="1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OI-FX-01</w:t>
            </w:r>
          </w:p>
        </w:tc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ช่องทางภายนอกใด ใครควบคุม และเชื่อมต่ออย่างไร? ทั้ง provider/protocol TBD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FR-FX-01/02/03; DR-FX-01; SRS §8</w:t>
            </w:r>
          </w:p>
        </w:tc>
        <w:tc>
          <w:tcPr>
            <w:tcW w:type="dxa" w:w="1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เสนอ: ผู้บริหารเจ้าของระบบร่วมกับผู้ดูแลระบบ; sinrawat ติดตาม</w:t>
            </w:r>
          </w:p>
        </w:tc>
        <w:tc>
          <w:tcPr>
            <w:tcW w:type="dxa" w:w="2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ยืนยัน channel/interface และข้อจำกัดกับผู้มีอำนาจ; ส่งผลให้ G3 สร้าง DD และ G4 ตัดสิน boundary ก่อนผูกเทคโนโลยี</w:t>
            </w:r>
          </w:p>
        </w:tc>
      </w:tr>
      <w:tr>
        <w:trPr>
          <w:cantSplit/>
          <w:trHeight w:val="624" w:hRule="atLeast"/>
        </w:trPr>
        <w:tc>
          <w:tcPr>
            <w:tcW w:type="dxa" w:w="1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OI-FX-02</w:t>
            </w:r>
          </w:p>
        </w:tc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ใครกำหนดกำหนดคืน? เตือนล่วงหน้าเท่าไร ใช้เวลาอ้างอิงใด? หากใช้เรื่องค้างแทน เกณฑ์คืออะไร? TBD ไม่เลือก fallback เอง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FR-FX-02; DR-02 delta; AC-FX-03; SRS OI-06</w:t>
            </w:r>
          </w:p>
        </w:tc>
        <w:tc>
          <w:tcPr>
            <w:tcW w:type="dxa" w:w="1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เสนอ: ผู้ดูแลอุปกรณ์และผู้บริหารเจ้าของระบบ; Kirttamet ติดตาม</w:t>
            </w:r>
          </w:p>
        </w:tc>
        <w:tc>
          <w:tcPr>
            <w:tcW w:type="dxa" w:w="2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ขอหลักฐานนโยบายเวลาและกำหนดคืน; ระหว่างรอออกแบบเชิงพารามิเตอร์ ไม่เปิดส่งจริงด้วยค่าที่เดา</w:t>
            </w:r>
          </w:p>
        </w:tc>
      </w:tr>
      <w:tr>
        <w:trPr>
          <w:cantSplit/>
          <w:trHeight w:val="624" w:hRule="atLeast"/>
        </w:trPr>
        <w:tc>
          <w:tcPr>
            <w:tcW w:type="dxa" w:w="1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OI-FX-03</w:t>
            </w:r>
          </w:p>
        </w:tc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ผู้เกี่ยวข้องของแต่ละเหตุการณ์คือใคร? allowlist payload/ข้อมูลปลายทางที่จำเป็น วิธีพิสูจน์ consent และอายุข้อมูลคืออะไร? TBD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NFR-EQP-01; NFR-FX-01; FR-FX-03; DR-FX-01; SRS OI-05</w:t>
            </w:r>
          </w:p>
        </w:tc>
        <w:tc>
          <w:tcPr>
            <w:tcW w:type="dxa" w:w="1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เสนอ: ผู้บริหาร/ผู้ดูแลข้อมูลร่วมกับผู้ดูแลอุปกรณ์; Kirttamet ติดตาม</w:t>
            </w:r>
          </w:p>
        </w:tc>
        <w:tc>
          <w:tcPr>
            <w:tcW w:type="dxa" w:w="2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ยืนยันตารางผู้รับ–สิทธิ์–ฟิลด์–consent; ไม่ส่งภายนอกหากยังไม่ทราบผู้รับ/ข้อมูลที่อนุญาต; ให้ kit77-atr ผูก NFR กับ container</w:t>
            </w:r>
          </w:p>
        </w:tc>
      </w:tr>
      <w:tr>
        <w:trPr>
          <w:cantSplit/>
          <w:trHeight w:val="624" w:hRule="atLeast"/>
        </w:trPr>
        <w:tc>
          <w:tcPr>
            <w:tcW w:type="dxa" w:w="1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OI-FX-04</w:t>
            </w:r>
          </w:p>
        </w:tc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ถ้าส่งไม่สำเร็จ ต้องลองใหม่เมื่อไร กี่ครั้ง และป้องกันข้อความซ้ำอย่างไร? เปลี่ยนกำหนดคืนระหว่างรอส่งจัดการอย่างไร? TBD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FR-FX-01/02; UC-FX-01; DR-FX-01</w:t>
            </w:r>
          </w:p>
        </w:tc>
        <w:tc>
          <w:tcPr>
            <w:tcW w:type="dxa" w:w="1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เสนอ: ผู้มีอำนาจเจ้าของระบบร่วมกับทีม Dev; kit77-atr ติดตาม</w:t>
            </w:r>
          </w:p>
        </w:tc>
        <w:tc>
          <w:tcPr>
            <w:tcW w:type="dxa" w:w="2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เสนอทางเลือกผ่าน decision card; ยืนยัน semantics ผลส่งและความล้มเหลวก่อนกำหนด acceptance เพิ่ม ไม่อ้างว่าส่งสำเร็จเมื่อ provider ยังไม่ตอบ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ageBreakBefore/>
        <w:pBdr>
          <w:bottom w:val="single" w:color="008699" w:sz="8" w:space="2"/>
        </w:pBdr>
        <w:spacing w:after="100" w:before="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G3 Design Strategy หลังการเปลี่ยน (1.5 คะแนน)</w:t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3.1 Scope ของความสามารถใหม่</w:t>
      </w: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7F8C99"/>
          <w:sz w:val="28"/>
          <w:szCs w:val="28"/>
        </w:rPr>
        <w:t xml:space="preserve">(คำแนะนำ: ตอบด้วยว่าทำไมไม่ใช่ทุกข้อเป็น Build now (หรือทำไมใช่) — อ้าง driver, Extension หรือ TBD)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505"/>
        <w:gridCol w:w="4242"/>
      </w:tblGrid>
      <w:tr>
        <w:trPr>
          <w:cantSplit/>
          <w:tblHeader/>
        </w:trPr>
        <w:tc>
          <w:tcPr>
            <w:tcW w:type="dxa" w:w="289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ความสามารถจาก CR</w:t>
            </w:r>
          </w:p>
        </w:tc>
        <w:tc>
          <w:tcPr>
            <w:tcW w:type="dxa" w:w="250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ระดับ (Build now / Overview / Later / ไม่ทำในวิชานี้)</w:t>
            </w:r>
          </w:p>
        </w:tc>
        <w:tc>
          <w:tcPr>
            <w:tcW w:type="dxa" w:w="424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เหตุผล 1 บรรทัด (อ้าง ID)</w:t>
            </w:r>
          </w:p>
        </w:tc>
      </w:tr>
      <w:tr>
        <w:trPr>
          <w:cantSplit/>
          <w:trHeight w:val="680" w:hRule="atLeast"/>
        </w:trPr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แจ้งเมื่อสถานะเปลี่ยน</w:t>
            </w:r>
          </w:p>
        </w:tc>
        <w:tc>
          <w:tcPr>
            <w:tcW w:type="dxa" w:w="2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42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เตือนก่อนถึงกำหนด / เมื่อค้างนาน</w:t>
            </w:r>
          </w:p>
        </w:tc>
        <w:tc>
          <w:tcPr>
            <w:tcW w:type="dxa" w:w="2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42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ช่องทางแจ้งเตือนภายนอก + opt-in</w:t>
            </w:r>
          </w:p>
        </w:tc>
        <w:tc>
          <w:tcPr>
            <w:tcW w:type="dxa" w:w="2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42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2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42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3.2 Driver check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662"/>
        <w:gridCol w:w="3663"/>
      </w:tblGrid>
      <w:tr>
        <w:trPr>
          <w:cantSplit/>
          <w:tblHeader/>
        </w:trPr>
        <w:tc>
          <w:tcPr>
            <w:tcW w:type="dxa" w:w="231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Driver (เดิมหรือใหม่)</w:t>
            </w:r>
          </w:p>
        </w:tc>
        <w:tc>
          <w:tcPr>
            <w:tcW w:type="dxa" w:w="366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CR กระทบอย่างไร</w:t>
            </w:r>
          </w:p>
        </w:tc>
        <w:tc>
          <w:tcPr>
            <w:tcW w:type="dxa" w:w="366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ผลต่อการออกแบบ</w:t>
            </w:r>
          </w:p>
        </w:tc>
      </w:tr>
      <w:tr>
        <w:trPr>
          <w:cantSplit/>
          <w:trHeight w:val="680" w:hRule="atLeast"/>
        </w:trPr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</w:t>
            </w:r>
          </w:p>
        </w:tc>
        <w:tc>
          <w:tcPr>
            <w:tcW w:type="dxa" w:w="36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6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</w:t>
            </w:r>
          </w:p>
        </w:tc>
        <w:tc>
          <w:tcPr>
            <w:tcW w:type="dxa" w:w="36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6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 (ใหม่ ถ้ามี)</w:t>
            </w:r>
          </w:p>
        </w:tc>
        <w:tc>
          <w:tcPr>
            <w:tcW w:type="dxa" w:w="36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6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3.3 Design Spine — แถวที่เพิ่มหรือเปลี่ยน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2505"/>
        <w:gridCol w:w="963"/>
        <w:gridCol w:w="1349"/>
        <w:gridCol w:w="2505"/>
        <w:gridCol w:w="1738"/>
      </w:tblGrid>
      <w:tr>
        <w:trPr>
          <w:cantSplit/>
          <w:tblHeader/>
        </w:trPr>
        <w:tc>
          <w:tcPr>
            <w:tcW w:type="dxa" w:w="57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</w:t>
            </w:r>
          </w:p>
        </w:tc>
        <w:tc>
          <w:tcPr>
            <w:tcW w:type="dxa" w:w="250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ขั้นในเส้นทางงานหลัก</w:t>
            </w:r>
          </w:p>
        </w:tc>
        <w:tc>
          <w:tcPr>
            <w:tcW w:type="dxa" w:w="96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UC</w:t>
            </w:r>
          </w:p>
        </w:tc>
        <w:tc>
          <w:tcPr>
            <w:tcW w:type="dxa" w:w="134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W10 ระดับ</w:t>
            </w:r>
          </w:p>
        </w:tc>
        <w:tc>
          <w:tcPr>
            <w:tcW w:type="dxa" w:w="250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W11 เดินผ่าน container</w:t>
            </w:r>
          </w:p>
        </w:tc>
        <w:tc>
          <w:tcPr>
            <w:tcW w:type="dxa" w:w="173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เปลี่ยนอะไร</w:t>
            </w:r>
          </w:p>
        </w:tc>
      </w:tr>
      <w:tr>
        <w:trPr>
          <w:cantSplit/>
          <w:trHeight w:val="680" w:hRule="atLeast"/>
        </w:trPr>
        <w:tc>
          <w:tcPr>
            <w:tcW w:type="dxa" w:w="57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2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W w:type="dxa" w:w="57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2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W w:type="dxa" w:w="57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2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3.4 Open decisions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2698"/>
        <w:gridCol w:w="1927"/>
        <w:gridCol w:w="2505"/>
        <w:gridCol w:w="1545"/>
      </w:tblGrid>
      <w:tr>
        <w:trPr>
          <w:cantSplit/>
          <w:tblHeader/>
        </w:trPr>
        <w:tc>
          <w:tcPr>
            <w:tcW w:type="dxa" w:w="96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ID</w:t>
            </w:r>
          </w:p>
        </w:tc>
        <w:tc>
          <w:tcPr>
            <w:tcW w:type="dxa" w:w="269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เรื่อง</w:t>
            </w:r>
          </w:p>
        </w:tc>
        <w:tc>
          <w:tcPr>
            <w:tcW w:type="dxa" w:w="192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กระทบ container</w:t>
            </w:r>
          </w:p>
        </w:tc>
        <w:tc>
          <w:tcPr>
            <w:tcW w:type="dxa" w:w="250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ระหว่างรอทำอย่างไร</w:t>
            </w:r>
          </w:p>
        </w:tc>
        <w:tc>
          <w:tcPr>
            <w:tcW w:type="dxa" w:w="154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เจ้าของคำตอบ</w:t>
            </w:r>
          </w:p>
        </w:tc>
      </w:tr>
      <w:tr>
        <w:trPr>
          <w:cantSplit/>
          <w:trHeight w:val="680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DD-</w:t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DD-</w:t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DD-</w:t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G4 Context + Container หลังการเปลี่ยน (2.5 คะแนน)</w:t>
      </w: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7F8C99"/>
          <w:sz w:val="28"/>
          <w:szCs w:val="28"/>
        </w:rPr>
        <w:t xml:space="preserve">(คำแนะนำ: ภาพที่ 1 (Context) และภาพที่ 2 (Container) อยู่ท้ายหัวข้อ G4 — เขียนสรุปสิ่งที่เปลี่ยนไว้ตรงนี้)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4.1 Context diagram — เปลี่ยนอะไรจากเดิม: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........................................................................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4.2 Container diagram — เปลี่ยนอะไรจากเดิม: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........................................................................</w:t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4.3 ตาราง container (เฉพาะแถวใหม่หรือเปลี่ยน)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2313"/>
        <w:gridCol w:w="1445"/>
        <w:gridCol w:w="1542"/>
        <w:gridCol w:w="1252"/>
        <w:gridCol w:w="1737"/>
      </w:tblGrid>
      <w:tr>
        <w:trPr>
          <w:cantSplit/>
          <w:tblHeader/>
        </w:trPr>
        <w:tc>
          <w:tcPr>
            <w:tcW w:type="dxa" w:w="134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Container</w:t>
            </w:r>
          </w:p>
        </w:tc>
        <w:tc>
          <w:tcPr>
            <w:tcW w:type="dxa" w:w="231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หน้าที่</w:t>
            </w:r>
          </w:p>
        </w:tc>
        <w:tc>
          <w:tcPr>
            <w:tcW w:type="dxa" w:w="144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ชนิด · stack</w:t>
            </w:r>
          </w:p>
        </w:tc>
        <w:tc>
          <w:tcPr>
            <w:tcW w:type="dxa" w:w="154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รันที่ไหน · ใครควบคุม</w:t>
            </w:r>
          </w:p>
        </w:tc>
        <w:tc>
          <w:tcPr>
            <w:tcW w:type="dxa" w:w="125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ข้อมูลที่เก็บ</w:t>
            </w:r>
          </w:p>
        </w:tc>
        <w:tc>
          <w:tcPr>
            <w:tcW w:type="dxa" w:w="173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คุยกับ (ส่งอะไร)</w:t>
            </w:r>
          </w:p>
        </w:tc>
      </w:tr>
      <w:tr>
        <w:trPr>
          <w:cantSplit/>
          <w:trHeight w:val="737" w:hRule="atLeast"/>
        </w:trPr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2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737" w:hRule="atLeast"/>
        </w:trPr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2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737" w:hRule="atLeast"/>
        </w:trPr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2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4.4 NFR → container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2891"/>
        <w:gridCol w:w="3469"/>
        <w:gridCol w:w="2122"/>
      </w:tblGrid>
      <w:tr>
        <w:trPr>
          <w:cantSplit/>
          <w:tblHeader/>
        </w:trPr>
        <w:tc>
          <w:tcPr>
            <w:tcW w:type="dxa" w:w="115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NFR</w:t>
            </w:r>
          </w:p>
        </w:tc>
        <w:tc>
          <w:tcPr>
            <w:tcW w:type="dxa" w:w="289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ต้องการอะไร</w:t>
            </w:r>
          </w:p>
        </w:tc>
        <w:tc>
          <w:tcPr>
            <w:tcW w:type="dxa" w:w="346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ผลต่อ container</w:t>
            </w:r>
          </w:p>
        </w:tc>
        <w:tc>
          <w:tcPr>
            <w:tcW w:type="dxa" w:w="212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สถานะ (ออกแบบแล้ว / TBD)</w:t>
            </w:r>
          </w:p>
        </w:tc>
      </w:tr>
      <w:tr>
        <w:trPr>
          <w:cantSplit/>
          <w:trHeight w:val="680" w:hRule="atLeast"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NFR-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46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NFR-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46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NFR-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46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4.5 Decision cards (≤ 2 · อย่างน้อย 1 ใบตอบว่าต้องเพิ่ม container หรือไม่)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color w:val="9FD6DD"/>
                <w:sz w:val="28"/>
                <w:szCs w:val="28"/>
              </w:rPr>
              <w:t xml:space="preserve">DEC-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   [ตัดสินใจเรื่องอะไร]</w:t>
            </w:r>
            <w:r>
              <w:rPr>
                <w:rFonts w:ascii="TH Sarabun New" w:cs="TH Sarabun New" w:eastAsia="TH Sarabun New" w:hAnsi="TH Sarabun New"/>
                <w:b/>
                <w:bCs/>
                <w:color w:val="F2C46D"/>
                <w:sz w:val="26"/>
                <w:szCs w:val="26"/>
              </w:rPr>
              <w:t xml:space="preserve">   [Proposed]</w:t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ตัดสินใจ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เพราะ (NFR / BR / driver)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ทางเลือกที่ไม่เลือก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ผลที่ตามมา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color w:val="9FD6DD"/>
                <w:sz w:val="28"/>
                <w:szCs w:val="28"/>
              </w:rPr>
              <w:t xml:space="preserve">DEC-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   [ตัดสินใจเรื่องอะไร]</w:t>
            </w:r>
            <w:r>
              <w:rPr>
                <w:rFonts w:ascii="TH Sarabun New" w:cs="TH Sarabun New" w:eastAsia="TH Sarabun New" w:hAnsi="TH Sarabun New"/>
                <w:b/>
                <w:bCs/>
                <w:color w:val="F2C46D"/>
                <w:sz w:val="26"/>
                <w:szCs w:val="26"/>
              </w:rPr>
              <w:t xml:space="preserve">   [Proposed]</w:t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ตัดสินใจ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เพราะ (NFR / BR / driver)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ทางเลือกที่ไม่เลือก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ผลที่ตามมา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4.6 เดิน Spine ขั้นที่ใหม่หรือเปลี่ยน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4433"/>
        <w:gridCol w:w="2700"/>
      </w:tblGrid>
      <w:tr>
        <w:trPr>
          <w:cantSplit/>
          <w:tblHeader/>
        </w:trPr>
        <w:tc>
          <w:tcPr>
            <w:tcW w:type="dxa" w:w="250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ขั้น</w:t>
            </w:r>
          </w:p>
        </w:tc>
        <w:tc>
          <w:tcPr>
            <w:tcW w:type="dxa" w:w="443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เดินผ่าน container</w:t>
            </w:r>
          </w:p>
        </w:tc>
        <w:tc>
          <w:tcPr>
            <w:tcW w:type="dxa" w:w="270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กติกาตรวจที่ไหน</w:t>
            </w:r>
          </w:p>
        </w:tc>
      </w:tr>
      <w:tr>
        <w:trPr>
          <w:cantSplit/>
          <w:trHeight w:val="737" w:hRule="atLeast"/>
        </w:trPr>
        <w:tc>
          <w:tcPr>
            <w:tcW w:type="dxa" w:w="2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44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737" w:hRule="atLeast"/>
        </w:trPr>
        <w:tc>
          <w:tcPr>
            <w:tcW w:type="dxa" w:w="2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44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560" w:footer="560" w:gutter="0"/>
          <w:pgNumType/>
          <w:docGrid w:linePitch="360"/>
        </w:sectPr>
      </w:pPr>
      <w:r>
        <w:rPr>
          <w:sz w:val="4"/>
          <w:szCs w:val="4"/>
        </w:rPr>
        <w:t xml:space="preserve"/>
      </w:r>
    </w:p>
    <w:tbl>
      <w:tblPr>
        <w:tblW w:type="dxa" w:w="15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18"/>
      </w:tblGrid>
      <w:tr>
        <w:trPr>
          <w:trHeight w:val="8505" w:hRule="atLeast"/>
        </w:trPr>
        <w:tc>
          <w:tcPr>
            <w:tcW w:type="dxa" w:w="15318"/>
            <w:tcBorders>
              <w:top w:val="dashed" w:color="8A99A8" w:sz="8"/>
              <w:left w:val="dashed" w:color="8A99A8" w:sz="8"/>
              <w:bottom w:val="dashed" w:color="8A99A8" w:sz="8"/>
              <w:right w:val="dashed" w:color="8A99A8" w:sz="8"/>
            </w:tcBorders>
            <w:shd w:fill="FAFBFC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8A99A8"/>
                <w:sz w:val="28"/>
                <w:szCs w:val="28"/>
              </w:rPr>
              <w:t xml:space="preserve">วางภาพ Context diagram ที่ export จาก draw.io — ระบบภายนอกมีป้าย Core / Extension / TBD · ลูกศรมีป้าย</w:t>
            </w:r>
          </w:p>
        </w:tc>
      </w:tr>
    </w:tbl>
    <w:p>
      <w:pPr>
        <w:spacing w:after="160" w:before="40"/>
        <w:jc w:val="center"/>
        <w:sectPr>
          <w:headerReference w:type="default" r:id="rId9"/>
          <w:footerReference w:type="default" r:id="rId10"/>
          <w:pgSz w:w="16838" w:h="11906" w:orient="landscape"/>
          <w:pgMar w:top="760" w:right="760" w:bottom="760" w:left="760" w:header="380" w:footer="380" w:gutter="0"/>
          <w:pgNumType/>
          <w:docGrid w:linePitch="360"/>
        </w:sectPr>
      </w:pPr>
      <w:r>
        <w:rPr>
          <w:rFonts w:ascii="TH Sarabun New" w:cs="TH Sarabun New" w:eastAsia="TH Sarabun New" w:hAnsi="TH Sarabun New"/>
          <w:i/>
          <w:iCs/>
          <w:color w:val="5A6B7C"/>
          <w:sz w:val="26"/>
          <w:szCs w:val="26"/>
        </w:rPr>
        <w:t xml:space="preserve">ภาพที่ 1 Context diagram ฉบับใหม่ (final-exam/diagrams/context-after.png)</w:t>
      </w:r>
    </w:p>
    <w:tbl>
      <w:tblPr>
        <w:tblW w:type="dxa" w:w="15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18"/>
      </w:tblGrid>
      <w:tr>
        <w:trPr>
          <w:trHeight w:val="8505" w:hRule="atLeast"/>
        </w:trPr>
        <w:tc>
          <w:tcPr>
            <w:tcW w:type="dxa" w:w="15318"/>
            <w:tcBorders>
              <w:top w:val="dashed" w:color="8A99A8" w:sz="8"/>
              <w:left w:val="dashed" w:color="8A99A8" w:sz="8"/>
              <w:bottom w:val="dashed" w:color="8A99A8" w:sz="8"/>
              <w:right w:val="dashed" w:color="8A99A8" w:sz="8"/>
            </w:tcBorders>
            <w:shd w:fill="FAFBFC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8A99A8"/>
                <w:sz w:val="28"/>
                <w:szCs w:val="28"/>
              </w:rPr>
              <w:t xml:space="preserve">วางภาพ Container diagram — ทุกกล่องมี [ชนิด · เทคโนโลยี] · ลูกศรบอกว่าส่งอะไร ผ่านอะไร</w:t>
            </w:r>
          </w:p>
        </w:tc>
      </w:tr>
    </w:tbl>
    <w:p>
      <w:pPr>
        <w:spacing w:after="160" w:before="40"/>
        <w:jc w:val="center"/>
        <w:sectPr>
          <w:headerReference w:type="default" r:id="rId11"/>
          <w:footerReference w:type="default" r:id="rId12"/>
          <w:pgSz w:w="16838" w:h="11906" w:orient="landscape"/>
          <w:pgMar w:top="760" w:right="760" w:bottom="760" w:left="760" w:header="380" w:footer="380" w:gutter="0"/>
          <w:pgNumType/>
          <w:docGrid w:linePitch="360"/>
        </w:sectPr>
      </w:pPr>
      <w:r>
        <w:rPr>
          <w:rFonts w:ascii="TH Sarabun New" w:cs="TH Sarabun New" w:eastAsia="TH Sarabun New" w:hAnsi="TH Sarabun New"/>
          <w:i/>
          <w:iCs/>
          <w:color w:val="5A6B7C"/>
          <w:sz w:val="26"/>
          <w:szCs w:val="26"/>
        </w:rPr>
        <w:t xml:space="preserve">ภาพที่ 2 Container diagram ฉบับใหม่ (final-exam/diagrams/container-after.png)</w:t>
      </w:r>
    </w:p>
    <w:p>
      <w:pPr>
        <w:pStyle w:val="Heading1"/>
        <w:keepNext/>
        <w:pageBreakBefore/>
        <w:pBdr>
          <w:bottom w:val="single" w:color="008699" w:sz="8" w:space="2"/>
        </w:pBdr>
        <w:spacing w:after="100" w:before="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G5 Change Request เสริม (1.0 คะแนน)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เลือก: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( ) CR-FX-02A ใช้งานหน้างาน   ( ) CR-FX-02B เวลาเหลือครึ่งหนึ่ง ·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เหตุผลที่เลือก: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............................................</w:t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5.1 บันทึก CR แบบย่อ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color w:val="9FD6DD"/>
                <w:sz w:val="28"/>
                <w:szCs w:val="28"/>
              </w:rPr>
              <w:t xml:space="preserve">CR-FX-02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   [A หรือ B]</w:t>
            </w:r>
            <w:r>
              <w:rPr>
                <w:rFonts w:ascii="TH Sarabun New" w:cs="TH Sarabun New" w:eastAsia="TH Sarabun New" w:hAnsi="TH Sarabun New"/>
                <w:b/>
                <w:bCs/>
                <w:color w:val="F2C46D"/>
                <w:sz w:val="26"/>
                <w:szCs w:val="26"/>
              </w:rPr>
              <w:t xml:space="preserve">   [Pending]</w:t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ขอเปลี่ยน (ตาม case กลุ่ม)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กระทบ ID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ทางเลือก (≥ 2)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Decision ที่เสนอ + ใครตัดสิน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5.2 Decision card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color w:val="9FD6DD"/>
                <w:sz w:val="28"/>
                <w:szCs w:val="28"/>
              </w:rPr>
              <w:t xml:space="preserve">DEC-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   [ตัดสินใจเรื่องอะไร]</w:t>
            </w:r>
            <w:r>
              <w:rPr>
                <w:rFonts w:ascii="TH Sarabun New" w:cs="TH Sarabun New" w:eastAsia="TH Sarabun New" w:hAnsi="TH Sarabun New"/>
                <w:b/>
                <w:bCs/>
                <w:color w:val="F2C46D"/>
                <w:sz w:val="26"/>
                <w:szCs w:val="26"/>
              </w:rPr>
              <w:t xml:space="preserve">   [Proposed]</w:t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ตัดสินใจ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เพราะ (NFR / BR / driver)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ทางเลือกที่ไม่เลือก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ผลที่ตามมา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5.3 สิ่งที่เปลี่ยน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698"/>
        <w:gridCol w:w="2698"/>
        <w:gridCol w:w="2700"/>
      </w:tblGrid>
      <w:tr>
        <w:trPr>
          <w:cantSplit/>
          <w:tblHeader/>
        </w:trPr>
        <w:tc>
          <w:tcPr>
            <w:tcW w:type="dxa" w:w="154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ส่วน</w:t>
            </w:r>
          </w:p>
        </w:tc>
        <w:tc>
          <w:tcPr>
            <w:tcW w:type="dxa" w:w="269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ก่อน</w:t>
            </w:r>
          </w:p>
        </w:tc>
        <w:tc>
          <w:tcPr>
            <w:tcW w:type="dxa" w:w="269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หลัง</w:t>
            </w:r>
          </w:p>
        </w:tc>
        <w:tc>
          <w:tcPr>
            <w:tcW w:type="dxa" w:w="270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เพราะ</w:t>
            </w:r>
          </w:p>
        </w:tc>
      </w:tr>
      <w:tr>
        <w:trPr>
          <w:cantSplit/>
          <w:trHeight w:val="680" w:hRule="atLeast"/>
        </w:trPr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Scope</w:t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Design Spine</w:t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Container</w:t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Open decision</w:t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ageBreakBefore/>
        <w:pBdr>
          <w:bottom w:val="single" w:color="008699" w:sz="8" w:space="2"/>
        </w:pBdr>
        <w:spacing w:after="100" w:before="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G6 Integrity (1.0 คะแนน)</w:t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6.1 ตรวจความสอดคล้อง</w:t>
      </w:r>
    </w:p>
    <w:p>
      <w:pPr>
        <w:keepNext/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ชื่อ container และ actor ในตาราง ตรงกับในภาพทุกภาพ</w:t>
      </w:r>
    </w:p>
    <w:p>
      <w:pPr>
        <w:keepNext/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ทุก ID ที่อ้างมีอยู่จริงในงานของกลุ่ม หรือเขียน Cannot Verify</w:t>
      </w:r>
    </w:p>
    <w:p>
      <w:pPr>
        <w:keepNext/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ค่าที่ไม่รู้ทุกค่าเป็น TBD และมี OI / DD รองรับ</w:t>
      </w:r>
    </w:p>
    <w:p>
      <w:pPr>
        <w:keepNext/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ไม่มีข้อความว่า SRS หรือ CR ใด Approved แล้ว</w:t>
      </w:r>
    </w:p>
    <w:p>
      <w:pPr>
        <w:keepNext/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ใช้ stack อ้างอิง หรือมี decision card เมื่อเปลี่ยน · ไม่มีเทคโนโลยีเกินจำเป็น</w:t>
      </w:r>
    </w:p>
    <w:p>
      <w:pPr>
        <w:keepNext w:val="false"/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ทุกภาพมี .drawio + PNG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6.2 AI use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3855"/>
        <w:gridCol w:w="3856"/>
      </w:tblGrid>
      <w:tr>
        <w:trPr>
          <w:cantSplit/>
          <w:tblHeader/>
        </w:trPr>
        <w:tc>
          <w:tcPr>
            <w:tcW w:type="dxa" w:w="192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เครื่องมือ</w:t>
            </w:r>
          </w:p>
        </w:tc>
        <w:tc>
          <w:tcPr>
            <w:tcW w:type="dxa" w:w="385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ใช้ช่วยเรื่องใด</w:t>
            </w:r>
          </w:p>
        </w:tc>
        <w:tc>
          <w:tcPr>
            <w:tcW w:type="dxa" w:w="385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ตรวจอย่างไร</w:t>
            </w:r>
          </w:p>
        </w:tc>
      </w:tr>
      <w:tr>
        <w:trPr>
          <w:cantSplit/>
          <w:trHeight w:val="680" w:hRule="atLeast"/>
        </w:trPr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Codex</w:t>
            </w:r>
          </w:p>
        </w:tc>
        <w:tc>
          <w:tcPr>
            <w:tcW w:type="dxa" w:w="385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ช่วยอ่าน source ร่าง G1–G2 และจัด Word ตาม template</w:t>
            </w:r>
          </w:p>
        </w:tc>
        <w:tc>
          <w:tcPr>
            <w:tcW w:type="dxa" w:w="38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เทียบข้อความกับ SRS §0/3–10 และ W06 v2; Kirttamet ยังต้องตรวจและยืนยันด้วยตนเองก่อน commit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6.3 การมีส่วนร่วม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3373"/>
        <w:gridCol w:w="3374"/>
      </w:tblGrid>
      <w:tr>
        <w:trPr>
          <w:cantSplit/>
          <w:tblHeader/>
        </w:trPr>
        <w:tc>
          <w:tcPr>
            <w:tcW w:type="dxa" w:w="289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สมาชิก (ชื่อ–รหัส)</w:t>
            </w:r>
          </w:p>
        </w:tc>
        <w:tc>
          <w:tcPr>
            <w:tcW w:type="dxa" w:w="337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รับผิดชอบส่วน (G/ข้อ)</w:t>
            </w:r>
          </w:p>
        </w:tc>
        <w:tc>
          <w:tcPr>
            <w:tcW w:type="dxa" w:w="337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หลักฐาน (commit / ส่วนในไฟล์)</w:t>
            </w:r>
          </w:p>
        </w:tc>
      </w:tr>
      <w:tr>
        <w:trPr>
          <w:cantSplit/>
          <w:trHeight w:val="624" w:hRule="atLeast"/>
        </w:trPr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Kirttamet</w:t>
            </w:r>
          </w:p>
        </w:tc>
        <w:tc>
          <w:tcPr>
            <w:tcW w:type="dxa" w:w="33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G1–G2 (AI-assisted draft รอตรวจ)</w:t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คำตอบ G1/G2 ในไฟล์นี้; commit ยังไม่มี ต้องให้เจ้าของตรวจ/commit เอง</w:t>
            </w:r>
          </w:p>
        </w:tc>
      </w:tr>
      <w:tr>
        <w:trPr>
          <w:cantSplit/>
          <w:trHeight w:val="624" w:hRule="atLeast"/>
        </w:trPr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sinrawat</w:t>
            </w:r>
          </w:p>
        </w:tc>
        <w:tc>
          <w:tcPr>
            <w:tcW w:type="dxa" w:w="33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แผนรับผิดชอบ G3/G5 และตรวจ G6</w:t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ยังไม่เริ่ม/ยังไม่มีหลักฐาน ห้ามถือว่าเสร็จ</w:t>
            </w:r>
          </w:p>
        </w:tc>
      </w:tr>
      <w:tr>
        <w:trPr>
          <w:cantSplit/>
          <w:trHeight w:val="624" w:hRule="atLeast"/>
        </w:trPr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>kit77-atr</w:t>
            </w:r>
          </w:p>
        </w:tc>
        <w:tc>
          <w:tcPr>
            <w:tcW w:type="dxa" w:w="33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แผนรับผิดชอบ G4 และจัดชุดส่ง G6</w:t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>ยังไม่เริ่ม/ยังไม่มีหลักฐาน ห้ามถือว่าเสร็จ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รับรอง: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สมาชิกทุกคนอ่านคำตอบทั้งฉบับแล้ว และอธิบายส่วนใดก็ได้ในการ oral spot-check  ( ) ยืนยัน</w:t>
      </w:r>
    </w:p>
    <w:sectPr>
      <w:headerReference w:type="default" r:id="rId13"/>
      <w:footerReference w:type="default" r:id="rId14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สอบปลายภาค | แบบฟอร์มคำตอบส่วน 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สอบปลายภาค | แบบฟอร์มคำตอบส่วน ก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สอบปลายภาค | แบบฟอร์มคำตอบส่วน ก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สอบปลายภาค | แบบฟอร์มคำตอบส่วน 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72333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color w:val="173B65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แบบฟอร์มคำตอบ Change-to-Design — ระบบ: [ชื่อระบบของกลุ่ม] (Case [เลข])</dc:title>
  <dc:creator>ENGSE206</dc:creator>
  <cp:lastModifiedBy>Un-named</cp:lastModifiedBy>
  <cp:revision>1</cp:revision>
  <dcterms:created xsi:type="dcterms:W3CDTF">2026-10-19T18:52:32.953Z</dcterms:created>
  <dcterms:modified xsi:type="dcterms:W3CDTF">2026-10-19T18:52:32.953Z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