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Quarterly sales report</w:t>
      </w:r>
    </w:p>
    <w:p>
      <w:r>
        <w:t xml:space="preserve">Sales grew </w:t>
      </w:r>
      <w:r>
        <w:rPr>
          <w:b/>
        </w:rPr>
        <w:t>12%</w:t>
      </w:r>
      <w:r>
        <w:t xml:space="preserve"> over the same quarter last year, and </w:t>
      </w:r>
      <w:r>
        <w:rPr>
          <w:i/>
        </w:rPr>
        <w:t>34</w:t>
      </w:r>
      <w:r>
        <w:t xml:space="preserve"> new customers signed.</w:t>
      </w:r>
    </w:p>
    <w:p>
      <w:pPr>
        <w:pStyle w:val="Heading2"/>
      </w:pPr>
      <w:r>
        <w:t>Highlights</w:t>
      </w:r>
    </w:p>
    <w:p>
      <w:pPr>
        <w:pStyle w:val="ListParagraph"/>
        <w:numPr>
          <w:ilvl w:val="0"/>
          <w:numId w:val="1"/>
        </w:numPr>
      </w:pPr>
      <w:r>
        <w:t>New customers: 34</w:t>
      </w:r>
    </w:p>
    <w:p>
      <w:pPr>
        <w:pStyle w:val="ListParagraph"/>
        <w:numPr>
          <w:ilvl w:val="1"/>
          <w:numId w:val="1"/>
        </w:numPr>
      </w:pPr>
      <w:r>
        <w:t>Capital region: 21</w:t>
      </w:r>
    </w:p>
    <w:p>
      <w:pPr>
        <w:pStyle w:val="ListParagraph"/>
        <w:numPr>
          <w:ilvl w:val="0"/>
          <w:numId w:val="1"/>
        </w:numPr>
      </w:pPr>
      <w:r>
        <w:t>Returning customers: 112</w:t>
      </w:r>
    </w:p>
    <w:p>
      <w:r>
        <w:t>Next steps:</w:t>
      </w:r>
    </w:p>
    <w:p>
      <w:pPr>
        <w:pStyle w:val="ListParagraph"/>
        <w:numPr>
          <w:ilvl w:val="0"/>
          <w:numId w:val="3"/>
        </w:numPr>
      </w:pPr>
      <w:r>
        <w:t>Keep the regional teams</w:t>
      </w:r>
    </w:p>
    <w:p>
      <w:pPr>
        <w:pStyle w:val="ListParagraph"/>
        <w:numPr>
          <w:ilvl w:val="0"/>
          <w:numId w:val="3"/>
        </w:numPr>
      </w:pPr>
      <w:r>
        <w:t>Open two branches in Busan</w:t>
      </w:r>
    </w:p>
    <w:p>
      <w:pPr>
        <w:pStyle w:val="Heading2"/>
      </w:pPr>
      <w:r>
        <w:t>Figures</w:t>
      </w:r>
    </w:p>
    <w:tbl>
      <w:tblPr>
        <w:tblStyle w:val="TableGrid"/>
        <w:tblW w:w="0" w:type="auto"/>
      </w:tblPr>
      <w:tblGrid>
        <w:gridCol w:w="2000"/>
        <w:gridCol w:w="2000"/>
        <w:gridCol w:w="2000"/>
      </w:tblGrid>
      <w:tr>
        <w:tc>
          <w:p>
            <w:r>
              <w:t>Region</w:t>
            </w:r>
          </w:p>
        </w:tc>
        <w:tc>
          <w:p>
            <w:r>
              <w:t>Branch</w:t>
            </w:r>
          </w:p>
        </w:tc>
        <w:tc>
          <w:p>
            <w:r>
              <w:t>Sales</w:t>
            </w:r>
          </w:p>
        </w:tc>
      </w:tr>
      <w:tr>
        <w:tc>
          <w:tcPr>
            <w:vMerge w:val="restart"/>
          </w:tcPr>
          <w:p>
            <w:r>
              <w:t>Seoul</w:t>
            </w:r>
          </w:p>
        </w:tc>
        <w:tc>
          <w:p>
            <w:r>
              <w:t>Gangnam</w:t>
            </w:r>
          </w:p>
        </w:tc>
        <w:tc>
          <w:p>
            <w:r>
              <w:t>120</w:t>
            </w:r>
          </w:p>
        </w:tc>
      </w:tr>
      <w:tr>
        <w:tc>
          <w:tcPr>
            <w:vMerge/>
          </w:tcPr>
          <w:p/>
        </w:tc>
        <w:tc>
          <w:p>
            <w:r>
              <w:t>Jongno</w:t>
            </w:r>
          </w:p>
        </w:tc>
        <w:tc>
          <w:p>
            <w:r>
              <w:t>95</w:t>
            </w:r>
          </w:p>
        </w:tc>
      </w:tr>
      <w:tr>
        <w:tc>
          <w:tcPr>
            <w:gridSpan w:val="2"/>
          </w:tcPr>
          <w:p>
            <w:r>
              <w:t>Total</w:t>
            </w:r>
          </w:p>
        </w:tc>
        <w:tc>
          <w:p>
            <w:r>
              <w:t>215</w:t>
            </w:r>
          </w:p>
        </w:tc>
      </w:tr>
    </w:tbl>
    <w:p>
      <w:pPr>
        <w:pStyle w:val="Quote"/>
      </w:pPr>
      <w:r>
        <w:t>Figures are preliminary.</w:t>
      </w:r>
    </w:p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800" w:hanging="400"/>
      </w:pPr>
    </w:lvl>
    <w:lvl w:ilvl="1">
      <w:start w:val="1"/>
      <w:numFmt w:val="bullet"/>
      <w:lvlText w:val="◦"/>
      <w:lvlJc w:val="left"/>
      <w:pPr>
        <w:ind w:left="1200" w:hanging="400"/>
      </w:pPr>
    </w:lvl>
    <w:lvl w:ilvl="2">
      <w:start w:val="1"/>
      <w:numFmt w:val="bullet"/>
      <w:lvlText w:val="▪"/>
      <w:lvlJc w:val="left"/>
      <w:pPr>
        <w:ind w:left="1600" w:hanging="400"/>
      </w:pPr>
    </w:lvl>
    <w:lvl w:ilvl="3">
      <w:start w:val="1"/>
      <w:numFmt w:val="bullet"/>
      <w:lvlText w:val="•"/>
      <w:lvlJc w:val="left"/>
      <w:pPr>
        <w:ind w:left="2000" w:hanging="400"/>
      </w:pPr>
    </w:lvl>
    <w:lvl w:ilvl="4">
      <w:start w:val="1"/>
      <w:numFmt w:val="bullet"/>
      <w:lvlText w:val="◦"/>
      <w:lvlJc w:val="left"/>
      <w:pPr>
        <w:ind w:left="2400" w:hanging="400"/>
      </w:pPr>
    </w:lvl>
    <w:lvl w:ilvl="5">
      <w:start w:val="1"/>
      <w:numFmt w:val="bullet"/>
      <w:lvlText w:val="▪"/>
      <w:lvlJc w:val="left"/>
      <w:pPr>
        <w:ind w:left="2800" w:hanging="400"/>
      </w:pPr>
    </w:lvl>
    <w:lvl w:ilvl="6">
      <w:start w:val="1"/>
      <w:numFmt w:val="bullet"/>
      <w:lvlText w:val="•"/>
      <w:lvlJc w:val="left"/>
      <w:pPr>
        <w:ind w:left="3200" w:hanging="400"/>
      </w:pPr>
    </w:lvl>
    <w:lvl w:ilvl="7">
      <w:start w:val="1"/>
      <w:numFmt w:val="bullet"/>
      <w:lvlText w:val="◦"/>
      <w:lvlJc w:val="left"/>
      <w:pPr>
        <w:ind w:left="3600" w:hanging="400"/>
      </w:pPr>
    </w:lvl>
    <w:lvl w:ilvl="8">
      <w:start w:val="1"/>
      <w:numFmt w:val="bullet"/>
      <w:lvlText w:val="▪"/>
      <w:lvlJc w:val="left"/>
      <w:pPr>
        <w:ind w:left="4000" w:hanging="4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low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lef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lef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lef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80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맑은 고딕" w:hAnsi="Calibri" w:cs="Times New Roman"/>
        <w:kern w:val="2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240" w:after="12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qFormat/>
    <w:pPr>
      <w:keepNext/>
      <w:spacing w:before="240" w:after="12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Title">
    <w:name w:val="Title"/>
    <w:basedOn w:val="Normal"/>
    <w:next w:val="Normal"/>
    <w:uiPriority w:val="10"/>
    <w:qFormat/>
    <w:pPr>
      <w:spacing w:before="240" w:after="120"/>
      <w:jc w:val="center"/>
      <w:outlineLvl w:val="0"/>
    </w:pPr>
    <w:rPr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sz w:val="28"/>
      <w:szCs w:val="28"/>
    </w:rPr>
  </w:style>
  <w:style w:type="paragraph" w:styleId="Quote">
    <w:name w:val="Quote"/>
    <w:basedOn w:val="Normal"/>
    <w:next w:val="Normal"/>
    <w:uiPriority w:val="29"/>
    <w:qFormat/>
    <w:pPr>
      <w:ind w:left="800" w:right="800"/>
    </w:pPr>
    <w:rPr>
      <w:i/>
    </w:rPr>
  </w:style>
  <w:style w:type="paragraph" w:styleId="Caption">
    <w:name w:val="caption"/>
    <w:basedOn w:val="Normal"/>
    <w:next w:val="Normal"/>
    <w:uiPriority w:val="35"/>
    <w:qFormat/>
    <w:rPr>
      <w:b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800"/>
    </w:pPr>
  </w:style>
  <w:style w:type="character" w:default="1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
</file>