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2021</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11066</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Interpretación del patrimonio desde la voz de los adultos mayores</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RECREO (Recreación, Creatividad, Educación Y Ocio)</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1. Zoon Politikon                                                                                                          </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2019</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Educación Física</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12 Meses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$26,720,512</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$20,000,000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$46,720,512</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Liliana Maribel Mora González</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1033708054</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La propuesta titulada Interpretación del patrimonio desde la voz de los adultos mayores tiene como propósito fortalecer la formación en investigación aplicada de los estudiantes de Licenciatura en Recreación a través de la discusión teórica y la construcción de apuestas educativas basadas en interpretación del patrimonio teniendo en cuenta la voz de los adultos mayores. Desde las directrices académicas del programa y la experiencia investigativa adelantada por el semillero RECREO, se ha identificado una necesidad de generar espacios educativos orientados a mejorar la calidad de vida de los adultos mayores abordando elementos relacionados con la recreación, la memoria y el ambiente. </w:t>
        <w:br/>
        <w:t/>
        <w:br/>
        <w:t>En el mundo contemporáneo encontramos dos situaciones complejas para abordar que son, por un lado, la apremiante crisis ambiental que se ha agudizado en los últimos 20 años y el envejecimiento masivo de la población colombiana debido a la explosión demográfica alrededor de 1960 y por consiguiente la necesidad de generar sistemas de atención enfocados en este grupo poblacional. La caracterización sobre adulto mayor es aún incipiente, reduciéndose a cifras de proyección de los censos proporcionados por el DANE o bases de datos de las entidades de trabajo social en el país.  Uno de los aspectos que poco se ha trabajado, y que puede estar asociada al significado social del adulto mayor, es justamente la dimensión educativa, sin profundizar en los aspectos familiares, psicológicos, emocionales, económicos y culturales. La educación se ha centrado en atender primordialmente la primera infancia y la niñez, los jóvenes en menor proporción y finalmente una cantidad mucho menor de adultos y adultos mayores. </w:t>
        <w:br/>
        <w:t/>
        <w:br/>
        <w:t>Esta situación genera interrogantes para la Licenciatura en recreación y para la Universidad Pedagógica Nacional alrededor de las apuestas educativas que se generan en la educación superior y se ofrecen a este grupo poblacional, precisamente en un ejercicio de indagación en la cual es importante abordar el adulto mayor desde su complejidad generando estrategias educativas orientadas a resignificar su valor social. En este sentido, es necesario, desde el compromiso de una universidad educadora de educadores de carácter nacional, formar maestros comprometidos con la transformación de la realidad de nuestros adultos mayores desde la construcción de propuestas educativas basadas en la interpretación del patrimonio que permitan una reflexión teórico práctica continua. Así mismo la Licenciatura en Recreación viene avanzando en proponer acciones de cuidado, preservación y atención de los territorios teniendo como mediación la interpretación del patrimonio, campo de estudio que esta propuesto desde mitad de la década de los años cincuenta del siglo XX. </w:t>
        <w:br/>
        <w:t/>
        <w:br/>
        <w:t>De esta manera, el semillero es una apuesta de formación en investigación para maestros que quieran implementar una educación dirigida al adulto mayor desde la cual se posibilite el diálogo entre la recreación y el patrimonio, dando lugar a la voz de los mayores para entender cómo los territorios han tenido cambios en el patrimonio material e inmaterial de las comunidades, y cómo afectan las condiciones de vida, en este caso de los adultos mayores. De esta forma, nuestros estudiantes podrán posicionar a la Universidad Pedagógica Nacional como líder en procesos de formación de interpretación del patrimonio y potenciar su apuesta desde el saber recreativo, y en este caso, aportar a la resignificación de este grupo poblacional a nivel nacional y los territorios que habitan..</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Recreación, Ambiente, Interpretación, Adulto Mayor..</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El énfasis en turismo surge en la Licenciatura en recreación en el 2013, como una apuesta formativa derivada de los requerimientos del Ministerio de Educación Nacional a partir del Decreto 1295 de 2010 en relación con la calidad de los programas en las respectivas instituciones (UPN, 2013). A partir de ello, el programa dinamiza su apuesta de turismo que tiene un anclaje a espacios académicos relacionados con turismo que se desarrollan desde el inicio de la Licenciatura como “ecoturismo pedagógico” desde el año 2006.</w:t>
        <w:br/>
        <w:t/>
        <w:br/>
        <w:t>Desde el surgimiento del énfasis, el programa integra espacios académicos centrados en la formación de turismo, con una perspectiva ambiental que se complementan con los escenarios de la práctica en turismo, y las iniciativas asociadas a seminarios, eventos, foros, participación en diplomados, entre otros, que han permitido aumentar las reflexiones acerca de la práctica del turismo y su incidencia en el ambiente desde el punto de vista pedagógico. Los resultados de la investigación adelantada por Rodríguez (2020), evidencia el crecimiento de los trabajos académicos que se enmarcan en la línea de turismo y ambiente, producto de la integración del énfasis en el programa, reconociendo su aporte en diferentes escenarios; sin embargo, uno de los vacíos que encuentra esta investigación es la necesidad de trabajar desde una perspectiva poblacional. </w:t>
        <w:br/>
        <w:t/>
        <w:br/>
        <w:t>El reciente informe de autoevaluación (2021), evidencia de manera contundente el crecimiento del impacto de las prácticas en turismo y el aporte que los semilleros que se desarrollan en el programa, resaltando la participación en programas de voluntariado en áreas protegidas de Colombia y el aporte a la formación integral en niños y jóvenes, así como el lugar del adulto mayor en la sociedad actual. Estos análisis contribuyen a de manera importante, a la consolidación del turismo como objeto de investigación en el programa a partir de los cuales se derivan proyectos de investigación y se fortalecen los semilleros de investigación como escenarios de producción de conocimiento sobre los campos. </w:t>
        <w:br/>
        <w:t/>
        <w:br/>
        <w:t>A continuación, se señalan algunos antecedentes que corresponden a los ejercicios de investigación que se han venido desarrollando en el semillero RECREO bajo la modalidad de trabajos de grado, prácticas investigativa y práctica en turismo que realizan aportes fundamentales en la relación entre persona mayor e interpretación del patrimonio desde una perspectiva pedagógica y recreativa. </w:t>
        <w:br/>
        <w:t/>
        <w:br/>
        <w:t>En esta perspectiva, dentro de la modalidad de formación en el semillero se han realizado varias conferencias de profesionales en el campo de la geriatría y gerontología, e interpretación del patrimonio que se han fortalecido desde espacios académicos como Problemas contemporáneos de los turismos y Dinámica del ambiente y biodiversidad, además de encuentros con profesionales del campo de la recreación.</w:t>
        <w:br/>
        <w:t/>
        <w:br/>
        <w:t>Organización de eventos académicos</w:t>
        <w:br/>
        <w:t>Experiencias de recreación con la población adulta mayor se resalta el evento académico liderado por el semillero RECREO, a partir del cual se abordaron experiencias de recreación con el adulto mayor escuchando las iniciativas de invitados como Aylllu del Río, Fundación Danzas Amarú, Consejo Local de sabios y sabias Usme y las olimpiadas recreodeportivas del IDRD. </w:t>
        <w:br/>
        <w:t/>
        <w:br/>
        <w:t>En el anexo, se pueden observar las iniciativas lideradas por el semillero en relación con trabajos de grado, prácticas investigativas y prácticas en turismo. Los antecedentes presentados, conforman una experiencia importante para el semillero RECREO toda vez que ha posibilitado generar reflexiones entorno a las personas mayores, en diferentes escenarios a partir de los cuáles se identifica la necesidad de resignificar el valor de los adultos mayores en distintos territorios. Desde allí, se hace necesario contextualizar y caracterizar escenarios de intervención desde una mirada integral, que posibilite reconocer a los adultos mayores más que como una población vulnerable un actor clave en los territorios a partir de los cuales se pueden generar apuestas por la interpretación del patrimonio desde una perspectiva pedagógica y recreativa, que además de aportar como escenario educativo a diferentes grupos poblacionales aporte a la conservación de la diversidad biofísica y sociocultural de los lugares..</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La preocupación por estudiar la relación ciudad-ambiente-vejez parte del cumplimiento de la Política Pública Social para el Envejecimiento y la Vejez – PPSEV – en el Distrito Capital de Bogotá 2010- 2025, esta tiene como objetivo “garantizar la promoción, protección, restablecimiento y ejercicio pleno de los derechos humanos de las personas mayores” (PPSEV, 2010). En esta perspectiva esta política social asume el enfoque de derechos, donde uno de ellos es precisamente velar por el derecho al medio ambiente, entendido y vinculado al goce y disfrute del mismo en “óptimas condiciones para garantizar un desarrollo sostenible de la totalidad de los elementos que implican la relación de la persona mayor con su entorno y su hábitat” (PPSEV, 2010, p. 68). Si bien este no es un derecho exclusivo de la población adulta mayor, si resulta interesante que se enuncie como uno de los derechos a garantizar en esta población, pues en muchas ocasiones no se pone en consideración sus necesidades frente al tema ambiental. </w:t>
        <w:br/>
        <w:t>Ahora bien, según el último censo realizado en Colombia en el 2018, del total de habitantes censados en Bogotá (7.181.469 millones según el Departamento Administrativo Nacional de Estadística DANE-DCD. CNPV 2018), se calcula que la población mayor de 59 años pasó del 8,3% al 13,2%, en comparación con los datos del censo reportado en el 2005.Lo anterior, evidencia el incremento de la población adulta mayor, figurando Bogotá como una de las ciudades con mayor índice de envejecimiento del país. Sin embargo, esta es una situación que no solo afecta a Colombia, en general, existe un aumento en la población mayor en el mundo, debido a lo que algunos científicos sociales han considerado como transición demográfica. Esta transición tiene transformaciones sociales de amplio impacto en las realidades actuales, tal como lo señalaba el Secretario General de las Naciones Unidas, Ban ki Moon en el Día Internacional de las Personas de Edad: </w:t>
        <w:br/>
        <w:t/>
        <w:br/>
        <w:t>El aumento constante de la longevidad humana constituye uno de los mayores cambios y desafíos de nuestro tiempo. Y si el mundo no se adapta a las nuevas tendencias demográficas será difícil lograr un futuro sostenible y seguro en el que las personas de todas las edades lleven una vida plena (1º octubre 2014, s.p). </w:t>
        <w:br/>
        <w:t> </w:t>
        <w:br/>
        <w:t>Esta transición demográfica no solo tiene efectos a nivel social, económico y cultural, también presenta consecuencias a nivel ambiental. Hoy se considera que gran parte de la población mayor vive en zonas urbanas en condiciones complejas, se concibe que los procesos de cambio demográfico y urbanización han afectado con mayor intensidad a los países con ingresos medios o bajos, “a la hora de valorar la situación de los mayores de 65 años en los espacios urbanos hay que tener en cuenta que 22 de las grandes ciudades del mundo están en los países menos desarrollados, lo que plantea importantes desafíos” (Ballesteros y Jiménez, 2016 p. 61).  </w:t>
        <w:br/>
        <w:t>Parte de estos desafíos, implica que las ciudades se adapten a esta nueva estructura social, lo cual tiene que ver con enfrentar las barreras físicas, sociales, económicas y culturales que existen con relación a la vejez y el envejecimiento que impide a las personas mayores vivir con tranquilidad y plenitud en sus ciudades. Dado que las ciudades se convierten en grandes centros de productos y servicios, de vida cultural y social, de empleabilidad para gran parte de la población, la manera en que se estructuren resulta fundamental para la calidad de vida de las personas. Por tanto, para ser ciudades amables con sus habitantes requieren ser pensadas desde la sustentabilidad, es decir, ciudades planificadas, organizadas que dispongan sus espacios públicos para el disfrute y bienestar de los ciudadanos. En este sentido, desde el 2007 la Organización Mundial de la Salud propuso una guía para desarrollar ciudades amigables para las personas mayores, el propósito de esta guía es alentar al “envejecimiento activo mediante la optimización de las oportunidades de salud, participación y seguridad a fin de mejorar la calidad de vida de las personas a medida que envejecen” (OMS, 2007 p.7). Las personas mayores requieren de un ambiente que permitan compensar los cambios físicos y sociales asociados al envejecimiento, tal como lo propone la OMS, mediante: </w:t>
        <w:br/>
        <w:t/>
        <w:br/>
        <w:t>El reconocimiento de la amplia gama de capacidades y recursos existentes entre las personas mayores; la previsión de y respuesta flexible a las necesidades y preferencias relacionadas con el envejecimiento; el respeto por sus decisiones y elecciones de estilo de vida; la protección de las personas más vulnerables; la promoción de su inclusión en todas las áreas de la vida comunitaria y de su aporte a las mismas (OMS, 2007, p. 11).</w:t>
        <w:br/>
        <w:t/>
        <w:br/>
        <w:t>Sin lugar a dudas, los retos y desafíos para los centros urbanos pensados desde una perspectiva incluyente resultan ser muchos, no se trata solo de pensar solo en términos de accesibilidad o el mejoramiento de la infraestructura, aspectos que son muy importantes en la movilidad y sociabilidad de esta comunidad, sin embargo, es necesario también generar espacios de inclusión social que visibilicen a las personas mayores como sabedores y transmisores de cultura, que les permita recuperar su papel protagónico en la construcción de sociedad. En este sentido, implica palear con los estigmas del envejecimiento y la vejez, entendiéndolo como una etapa de la vida desde donde se hacen aportes valiosos a la edificación de sociedad. Esta propuesta de la OMS se centra en hacer una llamado para que los Estados generen las mejores condiciones ambientales, sociales y culturales, con el fin que las personas mayores desarrollen estilos de vida tanto física, mental y emocionalmente saludables. Por tanto, cuando se plantea hacer unas ciudades más amigables para las personas mayores su bienestar redunda en el conjunto de la sociedad: </w:t>
        <w:br/>
        <w:t/>
        <w:br/>
        <w:t>[…] una ciudad amigable con los mayores no sólo es “amigable con las personas de edad”. Los edificios y las calles libres de barreras mejoran la movilidad e independencia de personas con discapacidad, tanto jóvenes como mayores. Un entorno de barrios seguros permitirá a niños, mujeres jóvenes y personas mayores salir al exterior con confianza para participar activamente en actividades de recreación física y social. Las familias soportan menos presión cuando sus integrantes de mayor edad cuentan con el apoyo comunitario y los servicios de salud que necesitan. La comunidad entera se beneficia por la participación de las personas mayores en el trabajo voluntario o remunerado. Por último, la economía local se favorece por el patrocinio de los adultos mayores como consumidores. La palabra determinante en entornos urbanos físicos y sociales amigables con los mayores es facilitación (OMS, 2007, p. 11).     </w:t>
        <w:br/>
        <w:t/>
        <w:br/>
        <w:t>Estas perspectivas planteadas por la OMS para la organización de las ciudades, aún resulta ser una utopía en el caso de algunas de ellas, como es el caso de Bogotá. Si bien se ha venido avanzando en políticas sociales, programas y proyectos para las personas mayores más necesitadas, estás medidas resultan ser cortas y asistencialistas. Algunos programas para las personas mayores, propuestos por las entidades distritales desaparecen o en el mejor de los casos se reubican de acuerdo, al gobierno de turno, lo que lleva a que los proyectos y programas, en muchos casos no tengan continuidad. Algunos de los mayores retos que enfrenta Bogotá con los adultos mayores son: las condiciones económicas de gran parte de esta población, combatir la soledad y la violencia, mejorar la calidad del aire, mejorar las condiciones del espacio público, ofrecer capacitación en temas de tecnología para permitir una mejor comunicación e integración social de esta comunidad, en definitiva: </w:t>
        <w:br/>
        <w:t/>
        <w:br/>
        <w:t>[…] Las cifras evidencian que el envejecimiento urbano en Bogotá necesita soluciones racionales y apuestas de ordenamiento territorial. Definir el urbanismo, la economía y los proyectos teniendo en cuenta esta nueva realidad debe ser objeto del próximo debate electoral porque la madurez y grado de civilización de una sociedad se mide en cómo protege a sus niños y cuida a sus adultos mayores (S.A, 29.06. 2019, s.p.).</w:t>
        <w:br/>
        <w:t/>
        <w:br/>
        <w:t>Con el fin de construir ciudades más incluyentes HelpAge International realizó un informe en el 2016 que se centró en los países y ciudades de ingresos medios y bajos, entre ellos se encuentra Bogotá. Este informe buscaba que los Estados atendiera las siguientes recomendaciones: 1) Crear espacios compartidos, inclusivos y amigables, que fomenten la actividad social y faciliten el acceso a servicios y oportunidades para todos; 2) Promover el envejecimiento saludable y hacer frente a los principales factores de riesgo relacionados con la vida humana; 3) Ayudar a las personas adultas mayores que residen en las ciudades a sentirse seguros. En esta perspectiva, el presente trabajo busca aportar en estas recomendaciones desde los estudios en interpretación del patrimonio que permite a las nuevas generaciones comprender los cambios ambientales a través de ejercicios didácticos y experienciales; el propósito de este trabajo es comprender cómo han vivido las transformaciones ambientales en Bogotá un grupo de personas mayores, partiendo de un concepto amplio sobre ambiente, interesa recurrir a la memoria como fuente de conocimiento, experiencia y vivencia con el fin de determinar a partir de sus voces los cambios y transformaciones que ha tenido el entorno y las adaptaciones de esta población para vivir en la ciudad..</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Desarrollar mediaciones pedagógicas orientadas a fortalecer la interpretación del patrimonio en la ciudad de Bogotá a partir de la historia oral de los adultos mayores..</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	Fortalecer el campo académico de la interpretación ambiental en la Licenciatura en Recreación y su aplicación en la ciudad de Bogotá que favorezca la conservación del patrimonio.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Documento con elementos conceptuales sobre la relación entre envejecimiento e interpretación del patrimonio. </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	Reconocer los saberes acerca de la diversidad biofísica y sociocultural desde la experiencia de los adultos mayores y que a su vez tienen relación con historia de la ciudad de Bogotá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Documento de caracterización biofísica y sociocultural de los espacios de intervención. </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	Construir mediaciones pedagógicas creativas de interpretación del patrimonio en Bogotá que tenga como base principalmente los insumos proporcionados por las personas mayores.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Guiones con propuestas de interpretación del patrimonio. </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	Resignificar el valor de los adultos mayores en la sociedad actual a partir de diálogos en torno a la educación, el ambiente y la ciudad.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Participación en eventos de socialización para la presentación de la propuesta de interpretación del patrimonio. </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2022-02-07</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2022-05-27</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2022-05-27</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2022-05-27</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2022-08-11</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2022-08-25</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Proyectos editoriales</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2022-10-14</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2022-10-14</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2022-04-01</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2021-04-01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2022-06-06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2022-06-06</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2022-09-30</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2022-09-30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2022-11-25</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2022-11-25</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Este semillero constituye una propuesta pedagógica y política que contribuya a la dignidad, el buen trato y la resignificación de la vejez y el envejecimiento de hombres y mujeres personas mayores en Colombia, creando pautas que contribuyan a la paz y un futuro mejor. En tal sentido, es urgente desde la UPN atender un problema socialmente relevante como es el cambio demográfico vivido por Colombia en los últimos veinte años. Tal como lo evidencian las estadísticas registradas por las Encuestas SABE Colombia (Encuesta Nacional de Salud, Bienestar y Envejecimiento).  </w:t>
        <w:br/>
        <w:t/>
        <w:br/>
        <w:t>El país está en un proceso de transición demográfica avanzada según se evidencia en las proyecciones del último Censo Nacional realizado en 2005. En particular, el aumento en la proporción de personas mayores de 60 años superó las expectativas de las proyecciones demográficas y se espera un incremento continuado en este grupo de la población (1-4). Los mayores de 60 años representan actualmente casi el 11% de la población colombiana –unos 5.2 millones de personas- y se prevé que este grupo aumente al 23% -unos 14.1millones- en 2050, con un mayor porcentaje de mujeres ancianas. Adicionalmente, el índice de envejecimiento del país que estaba en 1995 en 13.7 mayores de 65 años por cada 100 personas entre 0 y 14 años, aumentará a 42 mayores de 65 años por cada 100 personas entre 0 y 14 años para el 2025 (p.32).</w:t>
        <w:br/>
        <w:t/>
        <w:br/>
        <w:t>En este contexto, la Universidad Pedagógica debe posicionarse en nuevos escenarios sociales de discusión, proponiéndose en este caso, reflexionar sobre el papel de la educación para la persona mayor. Esta iniciativa nace de algunas inquietudes, como son: ¿cómo forman para la vejez y el envejecimiento los programas de la UPN?, ¿cómo enfrenta la universidad su cambio generacional y presenta programas de acción para atender a su propia población adulta mayor?, ¿qué investigaciones ha realizado la UPN sobre el papel de la educación en la persona mayor?, ¿cómo dispone la universidad, desde la proyección social, de programas que atiendan a la persona mayor?, y si lo contextualizamos en nuestra propia universidad ¿qué relación establece la UPN con sus pensionados?, ¿Qué planes de acción incentiva la UPN para preparar a maestros y funcionarios para la vejez y el envejecimiento?.   </w:t>
        <w:br/>
        <w:t/>
        <w:br/>
        <w:t>Estas entre otras inquietudes, avizoran posibles escenarios de acción, como son, entre otros, cátedras, foros y debates al respecto de la situación actual de la persona mayor en Colombia; proyectos y programas para fortalecer el bienestar de jubilados de la UPN;  espacios de inclusión intergeneracional para la persona mayor y estudiantes en la UPN; programas de proyección social en atención en educación, salud, cultura y apoyo psicosocial a las personas mayores; programas de formación permanente específicamente para las personas mayores. La construcción de estos escenarios al interior de la UPN, contribuirían sin lugar a dudas, a la dignificación de la persona mayor en Colombia, así como a los estudios sobre el papel de la educación para la persona mayor, pues aún son precarios, se destaca su importancia:</w:t>
        <w:br/>
        <w:t/>
        <w:br/>
        <w:t>En la actualidad países como Colombia, donde el grupo poblacional más grande está constituido por personas cuyo rango de edad está entre los 15 y 59 años de edad, es decir, un país joven, resulta paradójico que frente a las implicaciones de la dinámica poblacional e individual que se viene presentando a nivel mundial, los conocimientos acerca del envejecimiento y la vejez continúan siendo precarios. De ahí la importancia del papel de la educación para el conocimiento y difusión social de dicho fenómeno y sus implicaciones en el mediano y largo plazo (Vega, 2014, p. 51).</w:t>
        <w:br/>
        <w:t/>
        <w:br/>
        <w:t>Sin embargo, pese a la información anterior, es importante destacar las contribuciones que se han dado en las investigaciones de los estudios de ocio y la recreación en la población adulta mayor, de acuerdo con Cuenca (2000) “reflexionar sobre el ocio y tercera edad es, en cierto modo, reflexionar sobre uno de los nuevos grupos de población que deben encontrar un modo de realización en el ocio, o, en todo caso, en un tiempo que socialmente se ha pensado como tiempo de ocio” (p.243).  Por tanto, los estudios del ocio han mostrado diversidad de investigaciones focalizadas en varios aspectos: unos de ellos muestran principalmente los beneficios de los espacios-tiempos de ocio en la población adulta mayor, por ejemplo, Baptista y Gil (2015), en la investigación El ocio desde el punto de vista del desarrollo humano en personas mayores. Un estudio exploratorio en Portugal, se centran en analizar la cómo las experiencias de ocio favorecen la reconstrucción de la identidad de las personas mayores institucionalizadas (alojadas en geriátricos) en la superación de pérdidas emocionales profundas. Monteagudo (2019), Cuenca A., Keliber, Monteagudo, Linde y Pascual (2014) muestran la importancia del ocio a lo largo de la vida, bajo el concepto de itinerarios de ocio, se desarrolla una investigación que ha contado con la participación de 450 adultos mayores de la ciudad de Bilbao, donde a partir de encuestas y entrevistas a profundidad, se reconoce en qué momento de la vida se adquieren prácticas de ocio importante para en la adultez. </w:t>
        <w:br/>
        <w:t/>
        <w:br/>
        <w:t>Otra línea en los estudios de ocio y tercera edad tienen que ver con la forma en que la ciudad se dispone para los adultos mayores, aquí se relacionan los trabajos de Baptista y Sousa (2016) evidencia como en la transformación de las ciudades contemporáneas se crean espacios centrados en el consumo, asociados a símbolos de juventud, poder y producción, estos son los centros comerciales. La hipótesis de esta investigación era mirar cómo los centros comerciales pueden desempeñar no solo funciones eminentemente económicas sino pueden constituir, sobre todo para las personas mayores que los frecuentan, espacios privilegiados de vivencia de ocio. Este estudio aporta a mirar cómo los adultos mayores deben adaptarse rápidamente a esas nuevas lógicas de organización espacial, pero asimismo construyen formas de resistencias a las lógicas capitalistas impuestas. En tanto, otros estudios, (Vega, 2014) dan cuenta como los espacios públicos, pueden ser poco amables con las personas mayores su diseño y distribución los hace excluyente para el uso de esta población, en esta perspectiva desde el 2008 se propuso desde la ONU las ciudades amigables para la persona mayor, si bien su centro está en el disfrute de la ciudad, aún es necesario seguir trabajando en investigaciones que consoliden muchos más está perspectiva, específicamente en el caso colombiano. </w:t>
        <w:br/>
        <w:t/>
        <w:br/>
        <w:t>Una de los estudios que queremos priorizar aquí son aquellos en los cuales las universidades se han convertido en espacios de desarrollo humano para las personas mayores, para ello se citan aquí tres estudios: el primero de ellos, es la experiencia desarrollada en la Universidad Surcolombiana: caminemos por la vida, por tu salud, bienestar y felicidad (Roa y Salazar, 2018), en este programa se vinculan todos los estamentos de la comunidad universitaria y de extensión a la comunidad, este es un programa de corte interdisciplinar donde todas las facultades prestan un servicio social, a modo de práctica educativa, dentro de los logros del proyecto muestran como se ha logrado recuperar la calidad productiva de personas entre 40 y 84 años que conforman el grupo de adultos mayores, se desataca la importancia de las actividades recreativas y de ocio como eje vertebral de la propuesta. Este programa se consolida desde hace más de 17 años en la Universidad y es un programa insignia de la relación Universidad-comunidad adulta mayor. El segundo caso de estudio, es el de Universidad Abierta a la tercera edad: salud, promoción de la cualidad de vida de la comunidad mayor en las ciudades de Petrolina-PE y Juazeiro-BA en Brasil (Maio, 2018) esta propuesta fue creada en el 2014, centrada en algunas experiencias de universidades Europeas del siglo pasado, la Universidad diseñan una estructura funcional, centrada en una serie de actividades físicas con apoyo de la facultad de salud y psicología, que atendían inicialmente a 40 adultos mayores a lo largo de la semana, en el año 2017 se reportó una asistencia a 380 adultos mayores, superando las expectativas iniciales, dentro de lo logros que más se destaca en este estudio, son la creación de grupos de investigación, la relación Universidad-comunidad, los espacios de preparación para los futuros profesionales de la región que engrandecen la producción formativa e investigativa con relación al envejecimiento humano. El tercer estudio, es la experiencia de la Universidad de Deusto (Cuenca, 2009), que señala como el programa de Ocio Cultural Universitario, es un programa abierto a cualquier persona sin ningún titulo previo universitario, ha permitido acercar a muchos adultos mayores a la universidad y la formación cultural, sin embargo, otro programa como Universitario en Cultura y Solidaridad, que tiene una duración de tres años, se enfoca en una mirada de la cultura y la solidaridad ha acogido a muchos adultos mayores que se forman con el fin de ayudar a otros, la evaluación general de este último programa de formación es muy valiosa, tanto para los adultos mayores como la Universidad de Deusto que ha encontrado una perspectiva de labor social y solidaria.  </w:t>
        <w:br/>
        <w:t/>
        <w:br/>
        <w:t>Otro espectro son los estudios de recreación y adulto mayor, los cuales muestran en general el valor de las actividades recreativas para mejorar la calidad de vida de las personas mayores, muchas de ellas realizadas en centros geriátricos o en programas institucionalizados por las Alcaldías, las temáticas se centran en trabajos de ocupación del tiempo, actividad física, desarrollo de actividades lúdicas (Glal (2015); Angarita y Torres (2016); Suárez, Batista, Bornacelli, (2018); Orozco y Molina (2002)); en estas investigaciones se destacan la preocupación por hacer de los adultos mayores personas autónomas que incorporen hábitos de vida saludable física y mentalmente orientados al bienestar individual y social de esta población.  </w:t>
        <w:br/>
        <w:t/>
        <w:br/>
        <w:t>Es importante aclarar que en estas pocas líneas no se agotan las investigaciones sobre ocio y recreación para persona mayor, al contrario, se puede decir, que existen investigaciones que en general muestran el valor del tiempo de ocio creativo para las personas mayores, así como las actividades de recreación como determinantes para mejorar la calidad de vida de las personas mayores, además de hacer relevante el papel de las universidades y su relación con la comunidad adulta mayor desde programas formales como programas de extensión que alimentan por un lado, la labor formativa e investigativa de la universidad, así como fortalecen la proyección social de la institución.  </w:t>
        <w:br/>
        <w:t/>
        <w:br/>
        <w:t>La propuesta que aquí se hace, está orientada a establecer relaciones entre los adultos mayores, el ambiente y la recreación a partir de la construcción e implementación de prácticas educativas (en concreto, por medio de la interpretación del patrimonio) que nos permitan valorar las posibilidades y beneficios para los adultos mayores desde los diálogos necesarios con la Universidad. Lo anterior, pretende construir elementos para entender el patrimonio, como un rescate de los saberes anclados en la memoria de los adultos mayores, como aprendizajes sobre la historia ambiental, social y cultural de nuestra ciudad y su íntima relación con las transformaciones de la urbe, así la memoria:</w:t>
        <w:br/>
        <w:t/>
        <w:br/>
        <w:t>ha intrigado desde siempre Ia humanidad. Lo que más preocupa es no recordar, no retener en la memoria. En lo individual y en el plano de la interacción cotidiana, el enigma de por qué olvidamos un nombre o una cita, o la cantidad y variedad de recuerdos &lt;inútiles&gt; o de memorias que nos asaltan fuera de lugar o de tiempo, nos acompaña permanentemente. iNi qué hablar de los temores a la pérdida de memoria ligada a la vejez! En el plano grupal o comunitario, o aun social o nacional, los enigmas no son menos” (Jelin, 2002, pág 18).</w:t>
        <w:br/>
        <w:t/>
        <w:br/>
        <w:t>En esta línea, la reconstrucción de la historia patrimonial, los estudios son de carácter documental historiográfico, en este caso se recurre a la oralidad y la memoria como fuentes de comprensión de la historia de la ciudad, de sus cambios y transformaciones, historias narradas a partir de la voz de los habitantes Bogotanos, que den cuenta de sus experiencias en el territorio. Destacando para este estudio las experiencias lúdicas, es decir, las vivencias de ocio y recreación de las personas mayores en sus respectivos territorios. El acercamiento a la cotidianidad de las personas mayores en Bogotá y el reconocimiento de sus saberes acerca de la ciudad como base para la construcción de propuestas de interpretación plantea escenarios de diálogo que favorecen procesos educativos en contexto. La interpretación definida por Tilden (1957) como una actividad educativa, desde sus inicios y en las consiguientes aproximaciones conceptuales, ha guardado relaciones imbricadas con la recreación, el arte, la comunicación, la revelación y el interés con el único propósito de cautivar y posibilitar el disfrute del lugar (Tilden, 1975; Don Aldrige, 1973; Yorke Edwards, 1976; Paul Risk, 1982; Asociación para la Interpretación del Patrimonio, 1999; Tim Merriman, 2002; Delibes de Castro, 2008: Ham y Morales, 2008 en  Asociación para la Interpretación del Patrimonio, 2021).</w:t>
        <w:br/>
        <w:t/>
        <w:br/>
        <w:t>No obstante, la tradición en interpretación se sitúa en escenarios en donde hay interés por parte del visitante por conocer el lugar (los orígenes de la interpretación se encuentran ligados con el surgimiento de las áreas protegidas en Estados Unidos) construyendo un mensaje desde la mirada del intérprete, quien desde su formación y experiencia busca generar sensibilidad, despertar el deseo y revelar significados de lo que se considera atractivo en un espacio determinado. Cómo lo plantean Beck y Cable (1998):</w:t>
        <w:br/>
        <w:t/>
        <w:br/>
        <w:t>En los mejores casos, los intérpretes promueven intensas experiencias recreativas que se conviertan en algo mágico donde todo se une, donde existe un placer sin trabas en el conocimiento y la experiencia: un mayor placer de vivir, una mayor comprensión del lugar que ocupamos dentro del esquema global, una confianza positiva en el futuro (p.3)</w:t>
        <w:br/>
        <w:t/>
        <w:br/>
        <w:t>Sin duda, las experiencias generadas en los espacios interpretativos están profundamente ligadas con el campo profesional del intérprete. A partir de la década de los 90, las propuestas interpretativas elaboradas reflejan un creciente interés por abordar no solo el patrimonio natural sino también el cultural (Asociación para la Interpretación del Patrimonio, 1999), lo cual deslinda la exclusividad de realizar la interpretación en las áreas naturales y abordar otros escenarios como por ejemplo la ciudad, reconociendo así sus elementos físicos (monumentos, parques, museos) y sus significados (valores, creencias, sentimientos) (Morales, Guerra y Serantes, 2009). La interpretación es entendida aquí, como una estrategia educativa en y para el tiempo libre, basada en la recreación, que busca generar vivencias y nuevas experiencias, con enfoque poblacional (personas mayores) y que además se desarrolla de manera voluntaria, en la búsqueda de la satisfacción personal y la plenitud, en lugares específicos. </w:t>
        <w:br/>
        <w:t/>
        <w:br/>
        <w:t>Esta propuesta, resalta la potencialidad de la interpretación como campo interdisciplinar que se enriquece desde la recreación, el ocio y la pedagogía. Se asume la interpretación ambiental, como una estrategia que estudia los entonos naturales, desde una visión amplia del concepto de ambiente, que no lo sitúa exclusivamente desde los aspectos biofísicos del lugar, sino que precisamente considera dentro de su conocimiento, todos los elementos que en un entorno afectan la vida de los seres vivos, por tanto, sitúa la ciudad como parte de esta discusión y considera como algunos procesos urbanísticos han afectado las formas de vida de los ciudadanos, coincidiendo desde esta perspectiva, con miradas sobre el desarrollo y el progreso en la modernidad. Desde la perspectiva de Maya (1996), la ciudad constituye una adaptación del ser humano a su entorno, luego entonces el ambiente no está fuera de él o en espacios no intervenidos, sino que hace parte de una transformación realizada en un lugar. Maya (1996) plantea que: </w:t>
        <w:br/>
        <w:t/>
        <w:br/>
        <w:t>El hombre no solo ha actuado sobre la naturaleza, sino que la ha pensado y solo ha podido actuar sobre ella, pensándola. En ocasiones se ha defendido de ella, no sólo construyendo diques, sino estableciendo tabúes u organizando filtros ideológicos. Para acceder a ella o transformarla, ha tenido que construir teorías, como ha construido igualmente herramientas. Para comprender las relaciones de las sociedades con el medio, es tan importante analizar los hechos, como estudiar las teorías…En el momento en que el hombre se asegura un espacio urbano independiente, se replantea el concepto del orden. El mundo natural empieza a ser considerado como un espacio caótico que es necesario organizar a través de las grandes obras. El verdadero orden es la nueva racionalidad urbana (p.111)</w:t>
        <w:br/>
        <w:t/>
        <w:br/>
        <w:t>En este sentido, más allá de delinear una acepción de ambiente, esta propuesta reconoce lo “ambiental” desde una visión integral que debe estudiarse desde la complejidad y en la cual el ser humano se encuentra inmerso, reconociendo así, la ciudad como un espacio creado que permitió la adaptación del ser humano al entorno y que contiene complejas relaciones y significados que representan la vida misma de sus habitantes, constituyendo un escenario  en el cual se materializa la experiencia de los sujetos, que en su conjunto representan la expresión de la vida urbana (Noguera, 2004) y las condiciones culturales, económicas y políticas de los países del tercer mundo (Escobar,1996).</w:t>
        <w:br/>
        <w:t/>
        <w:br/>
        <w:t>Así, la interpretación debe también aportar a esta discusión sobre la noción de ambiente, con el propósito de no solo ensanchar su comprensión y superar el dualismo naturaleza y cultura (Descola, 2012), sino resaltar las premisas sobre las cuales se valora desde la sociedad y sus significaciones históricas y actuales, en la idea de patrimonio y los aspectos que han incidido en su apreciación. Estos elementos son especialmente relevantes cuando se construyen a partir de la memoria de las personas mayores, en tanto la ciudad no se comprende únicamente en una mirada instantánea del lugar, sino que aporta en la construcción de la historia de la ciudad en una perspectiva integral que se funda en las experiencias identitarias de los sujetos que la han habitado por muchos años.</w:t>
        <w:br/>
        <w:t> </w:t>
        <w:br/>
        <w:t>En este sentido, el manual Heritage Interpretation for Senior Audiences (2015) desarrollado en compañía del Learning Partnership by the European Union's Lifelong Learning Programme, plantea la pertinencia de desarrollar acciones y programas que favorezcan la integración de la comunidad mayor al patrimonio (museos y áreas protegidas). Uno de los principales propósitos de este manual es brindar elementos prácticos y conceptuales para desarrollar propuestas de interpretación tanto para este grupo etario como para las instituciones que trabajan con esta población. Algunas de las recomendaciones más importantes que proporciona este manual para hacer interpretación con adultos mayores, tiene en cuenta, el grupo de personas que atenderían a las personas mayores, las facilidades de accesibilidad a los espacios, información completa sobre los lugares, ubicación y orientación sobre el uso del lugar y sus distintos espacios, garantizar los espacios amplios y seguros para la movilidad de las personas mayores en condición de discapacidad. </w:t>
        <w:br/>
        <w:t/>
        <w:br/>
        <w:t>Uno de los aportes que de Heritage Interpretation for Senior Audiences (2015) es proponer el desarrollo de rutas de interpretación pensadas en el interés de las personas mayores, por ello recomienda, entre muchas otras cosas:</w:t>
        <w:br/>
        <w:t/>
        <w:br/>
        <w:t>1.	Tiempo suficiente para explicar los temas y hacer los recorridos. Sugiere a los interpretes pensar estas rutas diferente a los usuales recorridos turísticos, donde se recorren muchos lugares en poco tiempo, en este caso, es lo contrario, pocos lugares en tiempos largos.  </w:t>
        <w:br/>
        <w:t>2.	Generar experiencias de ocio satisfactorio. Brindar elementos diferentes a los recorridos turísticos, vincular música, arte, gastronomía, narraciones históricas contextualizadas que generen espacios con vivencias satisfactorias.</w:t>
        <w:br/>
        <w:t>3.	Recurrir a diferentes elementos didácticos para permitir un mejor aprendizaje en los adultos mayores (fotografías, vídeos, diagramas, textos cortos, entre otros).</w:t>
        <w:br/>
        <w:t>4.	Ofrecer información amplia sobre los diferentes lugares, brindado posibilidades para acceder a mayor información.</w:t>
        <w:br/>
        <w:t>5.	Valorar la experiencia de los adultos mayores con el fin de vincularlos como voluntarios a distintos espacios donde pueden ayudar en el proceso de interpretación del patrimonio.</w:t>
        <w:br/>
        <w:t/>
        <w:br/>
        <w:t>En general, este texto presenta una serie de argumentos para desarrollar con atención rutas de interpretación que permitan atender y mejorar los procesos de educación de las personas adultas mayores, así como resignificar su papel, en ese caso, en las sociedades europeas. Uno de las acciones más importantes es vincular a los adultos mayores a museos o áreas protegidas, con el fin de que sean ellos mismos quienes realicen la interpretación del patrimonio, pues muchos de ellos son profesores, artistas, ingenieros o ambientalistas que pueden explicar con toda propiedad a los visitantes los cambios que ha tenido el patrimonio, sin lugar a dudas estas experiencias enriquecen la mirada de este proyecto, que sin bien por un lado ha pensado en el desarrollo de propuestas de interpretación desde la voz de las personas mayores, pueden ser ellos también quienes directamente participen como intérpretes.</w:t>
        <w:br/>
        <w:t/>
        <w:br/>
        <w:t>La comprensión del adulto mayor en el contexto actual implica sumergirse en una realidad acuciante desde prácticas investigativas orientadas a la generación de nuevas propuestas basadas en el estudio profundo que posibilite acciones educativas permanentes y que fortalezcan las relaciones entre Universidad y sociedad. De esta manera, el semillero RECREO aportará elementos que permitan profundizar las relaciones entre adulto mayor, interpretación del patrimonio desde la recreación y la pedagogía, aportando así al desarrollo de habilidades investigativas y la construcción de conocimiento colectivo. </w:t>
        <w:br/>
        <w:t/>
        <w:br/>
        <w:t/>
        <w:br/>
        <w:t>El acercamiento a la cotidianidad de las personas mayores en Bogotá y el reconocimiento de sus saberes acerca de la ciudad como base para la construcción de propuestas de interpretación plantea escenarios de diálogo que favorecen procesos educativos en contexto. La interpretación definida por Tilden (1957) como una actividad educativa, desde sus inicios y en las consiguientes aproximaciones conceptuales, ha guardado relaciones imbricadas con la recreación, el arte, la comunicación, la revelación y el interés con el único propósito de cautivar y posibilitar el disfrute del lugar (Tilden, 1975; Don Aldrige, 1973; Yorke Edwards, 1976; Paul Risk, 1982; Asociación para la Interpretación del Patrimonio, 1999; Tim Merriman, 2002; Delibes de Castro, 2008: Ham y Morales, 2008 en  Asociación para la Interpretación del Patrimonio, 2021).</w:t>
        <w:br/>
        <w:t>No obstante, la tradición en interpretación se sitúa en escenarios en donde hay interés por parte del visitante por conocer el lugar (los orígenes de la interpretación se encuentran ligados con el surgimiento de las áreas protegidas en Estados Unidos) construyendo un mensaje desde la mirada del intérprete, quien desde su formación y experiencia busca generar sensibilidad, despertar el deseo y revelar significados de lo que se considera atractivo en un espacio determinado. Cómo lo plantean Beck y Cable, (1998):</w:t>
        <w:br/>
        <w:t>En los mejores casos, los intérpretes promueven intensas experiencias recreativas que se conviertan en algo mágico donde todo se une, donde existe un placer sin trabas en el conocimiento y la experiencia: un mayor placer de vivir, una mayor comprensión del lugar que ocupamos dentro del esquema global, una confianza positiva en el futuro (p.3)</w:t>
        <w:br/>
        <w:t>Sin duda, las experiencias generadas en los espacios interpretativos están profundamente ligadas con el campo profesional del intérprete. A partir de la década de los 90, las propuestas interpretativas elaboradas reflejan un creciente interés por abordar no solo el patrimonio natural sino también el cultural (Asociación para la Interpretación del Patrimonio, 1999), lo cual deslinda la exclusividad de realizar la interpretación en las áreas naturales y abordar otros escenarios como por ejemplo la ciudad, reconociendo así sus elementos físicos (monumentos, parques, museos) y sus significados (valores, creencias, sentimientos) (Morales, Guerra y Serantes, 2009). La interpretación es entendida aquí, como una estrategia educativa en y para el tiempo libre, basada en la recreación, que busca generar vivencias y nuevas experiencias, con enfoque poblacional (personas mayores) y que además se desarrolla de manera voluntaria, en la búsqueda de la satisfacción personal y la plenitud, en lugares específicos. </w:t>
        <w:br/>
        <w:t>Esta propuesta, resalta la potencialidad de la interpretación como campo disciplinar que se enriquece desde la recreación, el ocio y la pedagogía. Se asume la interpretación ambiental, como una estrategia que estudia los entonos naturales, desde una visión amplia del concepto de ambiente, que no lo sitúa exclusivamente desde los aspectos biofísicos del lugar, sino que precisamente considera dentro de su conocimiento, todos los elementos que en un entorno afectan la vida de los seres vivos, por tanto, sitúa la ciudad como parte de esta discusión y considera como algunos procesos urbanísticos han afectado las formas de vida de los ciudadanos, coincidiendo desde esta perspectiva, con miradas sobre el desarrollo y el progreso en la modernidad. </w:t>
        <w:br/>
        <w:t>Desde la perspectiva de Maya (1996), la ciudad constituye una adaptación del ser humano a su entorno, luego entonces el ambiente no está fuera de él o en espacios no intervenidos, sino que hace parte de una transformación realizada en un lugar. Maya (1996) plantea que: </w:t>
        <w:br/>
        <w:t>El hombre no solo ha actuado sobre la naturaleza, sino que la ha pensado y solo ha podido actuar sobre ella, pensándola. En ocasiones se ha defendido de ella, no sólo construyendo diques, sino estableciendo tabúes u organizando filtros ideológicos. Para acceder a ella o transformarla, ha tenido que construir teorías, como ha construido igualmente herramientas. Para comprender las relaciones de las sociedades con el medio, es tan importante analizar los hechos, como estudiar las teorías…En el momento en que el hombre se asegura un espacio urbano independiente, se replantea el concepto del orden. El mundo natural empieza a ser considerado como un espacio caótico que es necesario organizar a través de las grandes obras. El verdadero orden es la nueva racionalidad urbana (p.111)</w:t>
        <w:br/>
        <w:t>En este sentido, más allá de delinear una acepción de ambiente, esta propuesta reconoce lo “ambiental” desde una visión integral que debe estudiarse desde la complejidad y en la cual el ser humano se encuentra inmerso, reconociendo así, la ciudad como un espacio creado que permitió la adaptación del ser humano al entorno y que contiene complejas relaciones y significados que representan la vida misma de sus habitantes, constituyendo un escenario  en el cual se materializa la experiencia de los sujetos, que en su conjunto representan la expresión de la vida urbana (Noguera, 2004) y las condiciones culturales, económicas y políticas de los países del tercer mundo (Escobar,1996)</w:t>
        <w:br/>
        <w:t>En este sentido, la interpretación debe también aportar a esta discusión sobre la noción de ambiente, con el propósito de no solo ensanchar su comprensión y superar el dualismo naturaleza y cultura (Descola, 2012), sino resaltar las premisas sobre las cuales se valora desde la sociedad y sus significaciones históricas y actuales, en la idea de patrimonio y los aspectos que han incidido en su apreciación. Estos elementos son especialmente relevantes cuando se construyen a partir de la memoria de las personas mayores, en tanto la ciudad no se comprende únicamente en una mirada instantánea del lugar, sino que aporta en la construcción de la historia de la ciudad en una perspectiva integral que se funda en las experiencias identitarias de los sujetos que la han habitado por muchos años. </w:t>
        <w:br/>
        <w:t>Teniendo en cuenta estos elementos acerca de la interpretación ambiental, la ciudad de Bogotá representa el entorno cotidiano en el cual viven las personas mayores y a partir de la cual se han configurado no solo sus experiencias sino sus significados y expectativas de vida. La gerontología ambiental ha venido postulando la relación entre el ambiente físico y su incidencia en el envejecimiento de los individuos, lo cual implica abordar la relación persona mayor y contexto urbano. En este sentido, la metodología de este trabajo de corte cualitativo, con enfoque etnográfico, buscar retomar las experiencias de vida de cinco personas mayores en la ciudad de Bogotá, que quieran a partir de sus narraciones mostrar los cambios y transformaciones que para ellos ha tenido el contexto urbano. Partiendo del análisis de sus voces y prácticas se combinan estrategias de indagación contextual, entrevista a profundidad y diseño participativo de formas de interpretación que permitan representar la riqueza que tiene la historia oral para capturar las transformaciones que la ciudad y cómo ella ha tenido una relación con el bienestar en la vejez. A partir de ello, se sitúan reflexiones pedagógicas en torno a las personas mayores, su relación con la ciudad y la urgente resignificación de su papel en la sociedad. Los estereotipos sobre las personas mayores han relegado su valor a un segundo plano, aumentando la segregación social y situándolos de manera continua como un grupo vulnerable. Esta mirada es notoria especialmente en programas en donde se destinan prioritariamente acciones para las personas mayores en un sentido asistencial (Sánchez, 2014), desestimando sus saberes y experiencias, como se expuso en la primera parte del texto. </w:t>
        <w:br/>
        <w:t>De allí, que el semillero de investigación RECREO en el marco del programa educativo Licenciatura en recreación asuma la reflexión teórico-práctica y promueva la comprensión de las realidades de las personas mayores en Bogotá, suscitando el reconocimiento de sus saberes en un ejercicio investigativo que permite registrar desde las historias orales el sentido y significado de los lugares de la ciudad y a su vez generar desde la interpretación ambiental una posibilidad educativa orientada a la exaltación del lugar desde las personas que lo han habitado históricamente y quienes desde la experiencia lo valoran. Esta iniciativa permitirá aportar elementos al campo de la gerontología ambiental en una mirada que reconoce a la persona mayor en el contexto urbanístico y consolidar la historia ambiental a partir de la memoria colectiva de una ciudad que ha venido creciendo pero que requiere del concurso de iniciativas que apunten a disminuir la desigualdad y la segregación social. Estos elementos, posibilitan reflexionar acerca del ocio y la recreación para las personas mayores, a partir de los significados de ciudad y sus elementos históricos, en una perspectiva que reivindica su valor en la sociedad y apuesta por una calidad de vida en la vejez reconociendo su participación y promoviendo su propio bienestar.  </w:t>
        <w:br/>
        <w:t>La Licenciatura en Recreación de la Universidad Pedagógica Nacional constituye un escenario de formación de maestros comprometidos con las realidades sociales de Colombia. Su apuesta educativa articula ejes de reflexión y acción que vinculan la experiencia, la libertad, el territorio y el tiempo como categorías discursivas que posibilitan la agencia de propuestas pedagógicas encaminadas a transformar distintos contextos socioculturales. En este escenario, la Licenciatura en recreación y en particular el semillero de investigación RECREO aporta no solo en la comprensión de las dinámicas propias de los territorios, sino que configura experiencias con enfoque poblacional desde la creatividad y el sentido educativo. En este sentido, el programa educativo:</w:t>
        <w:br/>
        <w:t>[…] Enfatiza sobre el «acto creativo» (y la dimensión temporal de la existencia) en función de la promoción de transformaciones sociales (y no solamente el reconocimiento de su posibilidad). Debe aclararse que no se trata, propiamente, de pretender direccionar la sociedad con un rumbo particular; los cambios sociales pueden tomar direcciones inesperadas e impensadas. El propósito es más bien tanto contribuir en el posicionamiento de los sujetos en su momento histórico y su ubicación geográfica (conciencia histórico-geográfica en el globo), como potenciar o impulsar su capacidad de agenciamiento en concordancia con su capacidad creativa. Evoca así la «recreación», el replanteamiento de las estructuras y la inherencia de la creatividad en el ser humano (UPN p. 36). </w:t>
        <w:br/>
        <w:t>En esta perspectiva, es posible considerar que la educación permite resignificar el papel de las personas mayores en la ciudad y aportar a los maestros en formación desde la construcción de prácticas pedagógicas que reconozcan y comprendan sus realidades. Con este trabajo se busca a su vez, aportar en la caracterización de la situación de las personas mayores en la ciudad de Bogotá, así a través de su memoria se pretende comprender, por un lado, sus saberes y experiencias y por otro, resaltar la percepción que tienen los adultos mayores sobre cómo los procesos de intervención del urbanismo han aportado en su calidad de vida. </w:t>
        <w:br/>
        <w:t>El carácter de la Universidad Pedagógica Nacional y su responsabilidad en la formación de educadores, así como las reflexiones derivadas de la articulación entre ciudad, ambiente y vejez en el semillero RECREO llevan a proponer una estrategia educativa que plantea la construcción de rutas de interpretación en la ciudad a partir de la memoria de las personas mayores. Lo anterior resulta provechoso desde distintos puntos de vista. En primer lugar, posibilita al Licenciado en formación construir una apuesta por la recreación para las personas mayores, teniendo en cuenta no solo sus características sino el valor de la vejez en la sociedad actual. En segundo lugar, se resignifica el valor de las personas mayores en contraposición a la exaltación de la juventud (como valor exclusivo de la sociedad actual), en donde se visibiliza y replantean miradas sobre la vejez que sitúan a las personas mayores a partir de estereotipos, problemas y simplificaciones. En esta perspectiva, es necesario visibilizar que el 15,54% de la población mayor en Colombia se ubica en la ciudad de Bogotá (DANE, 2020), concentrando la mayor cantidad de adultos mayores en relación con otras regiones del país. A su vez, “la distribución del grupo poblacional de mayores de 60 años en la ciudad de Bogotá es en promedio cercana a las 45 mil personas por localidad, sin embargo, los datos muestran que las localidades con mayor presencia de personas mayores son: Suba, Engativá y Kennedy, seguidas de Usaquén, Ciudad Bolívar y Bosa” (SDIS, 2018), lo cual indica que existen oportunidades de articulación entre los saberes de las personas mayores, su valoración acerca de lo que significa la ciudad y el reconocimiento de su comprensión acerca de las realidades circundantes e históricas como base para el conocimiento de los territorios, como se viene proponiendo desde el semillero. De esta manera, la interpretación ambiental consolida la memoria de la ciudad, que recoge los saberes de las personas mayores, pero además acerca desde su voz a sus necesidades e intereses. Finalmente, no solo se construye la historia ambiental de la ciudad desde las voces de los adultos mayores, sino que visibiliza el valor de la recreación en el marco de la interpretación del patrimonio ampliando los horizontes de quienes participan y aporta elementos que contribuyan a la dignificación del rol de la vejez en la ciudad..</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ALCALDÍA MAYOR DE BOGOTÁ (2010). Política Pública Social para el Envejecimiento y la Vejez en el Distrito Capital 2010-2025. </w:t>
        <w:br/>
        <w:t/>
        <w:br/>
        <w:t>Angarita, C. y Torres, D. (2016). Recopilación de actividades lúdicas con adultos mayores. Cartilla presentada a la Especialización en Desarrollo Humano con énfasis afectivos y creatividad, Universidad Distrital Francisco José de Caldas. </w:t>
        <w:br/>
        <w:t/>
        <w:br/>
        <w:t>Ángel Maya, C. (1996). El reto de la vida. Bogotá: Ecofondo.</w:t>
        <w:br/>
        <w:t>Armenia: Kinesis. </w:t>
        <w:br/>
        <w:t/>
        <w:br/>
        <w:t>Baptista y Sousa (2016). Consumidores mínimos, usuarios máximos. La experiencia de ocio de los adultos mayores en centros comerciales de Portugal. En: Lema, R., Monteagudo, M., (2016). Espacios de ocio y recreación para la construcción de ciudadanía. Bilbao: Universidad de Deusto.</w:t>
        <w:br/>
        <w:t/>
        <w:br/>
        <w:t>Baptista, M., y Gil, J. (2015). El ocio desde el punto de vista del desarrollo humano en personas mayores, un estudio exploratorio en Portugal. En: Cuenca, M. (Edt.) Ocio y Recreación para el Desarrollo Humano. </w:t>
        <w:br/>
        <w:t/>
        <w:br/>
        <w:t>Beck, L., &amp; Cable, T. (1998). Interpretation for the 21st Century Interpretation for the 21st Century. Estados Unidos: Sagamore Publishing.</w:t>
        <w:br/>
        <w:t/>
        <w:br/>
        <w:t>Centro de Actividad Regional para la Producción Limpia (CAR/PL (2008). Las emisiones de gases de efecto invernadero desde la perspectiva del consumo en una economía global. Estudio de caso: España.  Barcelona: PNUMA</w:t>
        <w:br/>
        <w:t/>
        <w:br/>
        <w:t>Cuenca Amigo, J., Kleiber, D.A., Monteagudo, M. J., Linde, B. D. &amp; Jaumot-Pascual, N. (2014). The Influence of Meaningful Leisure on the Subjective Well-being of Older Adults in the Basque Country of Northern Spain.</w:t>
        <w:br/>
        <w:t/>
        <w:br/>
        <w:t>Cuenca, M. (2009). Más allá del trabajo: el ocio de los jubilados. Revista Mal-estar E Subjetividade, vol. IX, (1), marzo, 2009, pp. 13-42 Universidade de Fortaleza, Brasil. Recuperado en 04 de mayo de 2020 de http://www.redalyc.org/articulo.oa?id=27113836002.</w:t>
        <w:br/>
        <w:t/>
        <w:br/>
        <w:t>Cuenca. M. (2000). Ocio humanista. Documentos de Estudios de Ocio. No. 16. Institutos de Estudios de Ocio: Bilbao. </w:t>
        <w:br/>
        <w:t/>
        <w:br/>
        <w:t>DANE. (2020). Boletines poblacionales: Personas Adultos mayores de 60 años. Bogotá: Minsalud.</w:t>
        <w:br/>
        <w:t/>
        <w:br/>
        <w:t>Descola, P. (2012). Más allá de naturaleza y cultura. Buenos Aires: Amorrortu.</w:t>
        <w:br/>
        <w:t/>
        <w:br/>
        <w:t>Escobar, A. (1996). La invención del tercer mundo. Bogotá: Grupo Editorial Norma.</w:t>
        <w:br/>
        <w:t/>
        <w:br/>
        <w:t>García, A., Jiménez, B. (2016). Envejecimiento y urbanización: implicaciones de dos procesos coincidentes, Investigaciones Geográficas, Boletín del Instituto de Geografía, Volumen 2016, 89, pp. 58-73.</w:t>
        <w:br/>
        <w:t/>
        <w:br/>
        <w:t>Giai, M. (2015). Actividades recreativas en adultos mayores internos en un hogar de ancianos. Revista Cubana de Salud Pública, 41(1) Recuperado en 04 de mayo de 2020, de http://scielo.sld.cu/scielo.php?script=sci_arttext&amp;pid=S0864-34662015000100007&amp;lng=es&amp;tlng=es.</w:t>
        <w:br/>
        <w:t/>
        <w:br/>
        <w:t>Ham, S. (1992). Interpretación ambiental: guía práctica. Goleen, Colorado: North American Press.</w:t>
        <w:br/>
        <w:t/>
        <w:br/>
        <w:t>Helpage International (2016). El envejecimiento y la ciudad. </w:t>
        <w:br/>
        <w:t/>
        <w:br/>
        <w:t>Jelin, E. (2002). Los trabajos de la memoria. Madrid: Siglo XXI de España Editores.</w:t>
        <w:br/>
        <w:t/>
        <w:br/>
        <w:t>Leff, E. (2004). Racionalidad ambiental: la reapropiación social de la naturaleza. México: Siglo XXI Editores.</w:t>
        <w:br/>
        <w:t/>
        <w:br/>
        <w:t>Maio, M. (2018). Universidade aberta a veintira idade (UNATI / UNIVASF): saúde e promoção da qualidade de vida na comunidade idosa, nas cidades de Petrolina-PE e Juazeiro-BA, Brasil. En: Simões, M., Santos, A., Cavalcanti, O., (2018). Lazer e qualidade de vida. Esporte, cultura e turismo no desenvolvimento territorial. Universidad Federal Da Paraíba: João Pessoa. </w:t>
        <w:br/>
        <w:t/>
        <w:br/>
        <w:t>Ministerio de Salud y Protección Social - Departamento Administrativo de Ciencia Tecnología e Innovación, COLCIENCIAS. Universidad del Valle y Universidad de Caldas (2016). Encuesta SABE Colombia: Situación de Salud, Bienestar y Envejecimiento en Colombia. Colombia, p. 476.</w:t>
        <w:br/>
        <w:t/>
        <w:br/>
        <w:t>Monteagudo. M (2019).  El ocio de las personas mayores en España. Avances en el conocimiento de sus experiencias e itinerarios desde la investigación narrativa. En: Rodríguez, A, Ferreira, H., Batista, M. (Eds). Ocio y cambio social. Oportunidades y desafíos para el desarrollo humano en Iberoamérica</w:t>
        <w:br/>
        <w:t/>
        <w:br/>
        <w:t>Montero, I., Bedmar, M. (2010). Ocio, tiempo libre y voluntariado en personas mayores. Polis, Revista Bolivariana. (9) 26, p.61-84. Recuperado en 04 de mayo de 2020 de https://scielo.conicyt.cl/pdf/polis/v9n26/art04.pdf.</w:t>
        <w:br/>
        <w:t/>
        <w:br/>
        <w:t>Morales, J., Guerra, F., &amp; Serantes, A. (2009). Bases para la Definición de Competencias en Interpretación del Patrimonio. España: CENEAM.</w:t>
        <w:br/>
        <w:t/>
        <w:br/>
        <w:t>Noguera De Echeverri, A. (2004). El reencantamiento del mundo. Manizales: PNUMA - UNAL.</w:t>
        <w:br/>
        <w:t/>
        <w:br/>
        <w:t>Organización Mundial De La Salud (2007). Ciudades Globales Amigables con los Mayores: Una Guía. </w:t>
        <w:br/>
        <w:t/>
        <w:br/>
        <w:t>Orozco, V, y Molina. R. (2002) Actividad física, recreación y salud en adulto mayor. InterSedes: Revista de las Sedes Regionales, III (4), 63-71. Recuperado 04 de mayo de 2020. Disponibles en: https://www.redalyc.org/articulo.oa?id=66630407 </w:t>
        <w:br/>
        <w:t/>
        <w:br/>
        <w:t>Preciado, J., Leal, R., Almanza, C. (2012). Historia ambiental de Bogotá, siglo XX elementos históricos para la formulación del medio ambiente urbano. Bogotá: Universidad Distrital. </w:t>
        <w:br/>
        <w:t>Roa, A. y Salazar Y. (2018). Procesos de envejecimiento activo y saludable: “caminemos por la vida…por tu salud, tu bienestar y tu felicidad”. En: Silva, C., Chaves, F. (2018). Ócio e cidade. O papel do ócio na transformação das ciudades. Rio grade do sur: UNISINOS.</w:t>
        <w:br/>
        <w:t>S.A. (2019, junio 29) ¿Cuáles son los retos para una Bogotá que se envejece? Revista Semana. </w:t>
        <w:br/>
        <w:t/>
        <w:br/>
        <w:t>Sánchez, D. (2014). Identidad del lugar, en envejecimiento y presiones ambientales de la ciudad. Reflexiones desde la gerontología ambiental. En: Sánchez, D y Domínguez L. (Coords). Identidad y espacio público ampliando ámbitos y prácticas. Barcelona: Gedisa. </w:t>
        <w:br/>
        <w:t>Schultze., F (2012). Recreación y aprendizaje en la adultez mayor a través del juego y el humor. El caso del natatorio del Club Atlético Lanús. Lúdicamente (2), diciembre 2012. Recuperado en 04 de mayo de 2020. http://Dialnet-RecreacionYAprendizajeEnLaAdultezMayorATravesDelJu-4864479.pdf</w:t>
        <w:br/>
        <w:t/>
        <w:br/>
        <w:t>SDIS. (2018). POLÍTICA PÚBLICA PARA EL ENVEJECIMIENTO Y LA VEJEZ. Bogotá: Alcaldía Mayor de Bogotá.</w:t>
        <w:br/>
        <w:t/>
        <w:br/>
        <w:t>Suárez, O., Batista, L., Bornacelli, R. (2018) Condición de salud desde la perspectiva de funcionalidad de la población institucionalizada en la ciudad de Barranquilla (Colombia). </w:t>
        <w:br/>
        <w:t>UNIVERSIDAD PEDAGÓGICA NACIONAL (2013). Documento Maestro Licenciatura en recreación y turismo. Bogotá: UPN.</w:t>
        <w:br/>
        <w:t/>
        <w:br/>
        <w:t> Vega, L. (2014). Ciudad, envejecimiento-vejez y educación: Elementos para develar un conflicto entre la ciudad concebida y la ciudad practicada. Sophia vol 10 (1), 50-63. Recuperado 04 de mayo de 2020. http:// Dialnet-CiudadEnvejecimientovejezYEducacion-5163683.pdf</w:t>
        <w:br/>
        <w:t/>
        <w:br/>
        <w:t>Fuentes electrónicas</w:t>
        <w:br/>
        <w:t/>
        <w:br/>
        <w:t>https://www.interpretaciondelpatrimonio.com/es/ (Consulta 25 de febrero de 2021)</w:t>
        <w:br/>
        <w:t>https://www.dane.gov.co/files/investigaciones/planes-desarrollo-territorial/110220-Info-Alcaldia-Bogota.pdf (Consulta 1 de marzo de 2021)</w:t>
        <w:br/>
        <w:t>http://www.helpage.es/silo/files/el-envejecimiento-y-la-ciudadesresumen.pdf (Consulta 3 de febrero de 2021)</w:t>
        <w:br/>
        <w:t>https://apps.who.int/iris/bitstream/handle/10665/43805/9789243547305_spa.pdf;jsessionid=86A551944A2F5CE90EE6DBDE73896149?sequence=1. (Consulta 1 de marzo de 2021)</w:t>
        <w:br/>
        <w:t>https://www.semana.com/nacion/articulo/bogota-tiene-cada-vez-mas-adultos-mayores-de-60-anos/621265/ (Consulta 1 de marzo de 2021).</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Los productos resultados de apropiación social del conocimiento en la propuesta de formación para el semillero son: </w:t>
        <w:br/>
        <w:t/>
        <w:br/>
        <w:t>-Circulación del conocimiento especializado (numeral d del grupo 3 Términos de referencia 2022)</w:t>
        <w:br/>
        <w:t>-Dirección de trabajo de pregrado (numeral c del grupo 4 Términos de referencia 2022)</w:t>
        <w:br/>
        <w:t/>
        <w:br/>
        <w:t>Se describen los compromisos de apropiación social del conocimiento para el cumplimiento de los productos señalados anteriormente:</w:t>
        <w:br/>
        <w:t/>
        <w:br/>
        <w:t>-Informe de avance e informe final: Documento que presente resultados parciales y finales de la investigación a partir del marco de teórico y conceptual, los objetivos, las preguntas de investigación, la metodología planteada y las conclusiones.</w:t>
        <w:br/>
        <w:t/>
        <w:br/>
        <w:t>-Texto síntesis: Elaboración de un texto síntesis de los desarrollos generados en la investigación, dirigido a socializarse a diversos públicos.</w:t>
        <w:br/>
        <w:t/>
        <w:br/>
        <w:t>-Participación en eventos (1) de socialización nacional o internacional y de apropiación en la comunidad universitaria o en escenarios de participación ciudadana.</w:t>
        <w:br/>
        <w:t/>
        <w:br/>
        <w:t>-Informe del aporte de los proyectos de investigación, anteproyectos de pregrado o ejercicios de sistematización de la práctica pedagógica, en el que se evidencie las articulaciones con el semillero de investigación o grupo de estudio. Cada estudiante debe presentar el informe de avance y final con el visto bueno del o los coordinadores.</w:t>
        <w:br/>
        <w:t/>
        <w:br/>
        <w:t>-Certificación de participación en espacios de socialización en eventos internos institucionales..</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Presentación y delimitación del problema de estudio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 realiza la presentación del proyecto de investigación centrado principalmente en dos aspectos, uno: contextualización sobre vejez y envejecimiento en la ciudad de Bogotá e dos: interpretación del patrimonio.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Fortalecer el campo académico de la interpretación ambiental en la Licenciatura en Recreación y su aplicación en la ciudad de Bogotá que favorezca la conservación del patrimonio.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2022-02-07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2022-04-01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Ubicar el contexto de trabajo e intervención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Reconocer el lugar donde se realizar la contextualización biofísica y sociocultural. </w:t>
              <w:b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Reconocer los saberes acerca de la diversidad biofísica y sociocultural desde la experiencia de los adultos mayores y que a su vez tienen relación con historia de la ciudad de Bogotá</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2022-04-04</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2022-04-29</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Diseño y aplicación de instrumentos</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Elaboración de guías para entrevistas semiestructuradas para levantamiento de información</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Reconocer los saberes acerca de la diversidad biofísica y sociocultural desde la experiencia de los adultos mayores y que a su vez tienen relación con historia de la ciudad de Bogotá</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2022-05-02</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2022-06-03</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Ruta Interpretación del patrimonio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Aplicación de la ruta para construcción de interpretación del patrimonio a través de mediaciones pedagógicas creativas.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Construir mediaciones pedagógicas creativas de interpretación del patrimonio en Bogotá que tenga como base principalmente los insumos proporcionados por las personas mayores.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2022-06-06</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2022-09-30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Socialización de las propuestas de interpretación del patrimonio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Presentar en eventos las propuestas de interpretación del patrimonio diseñadas por el grupo.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Resignificar el valor de los adultos mayores en la sociedad actual a partir de diálogos en torno a la educación, el ambiente y la ciudad.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2022-10-03</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2021-10-29</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Informe final</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Elaborar el informe final de resultados</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Resignificar el valor de los adultos mayores en la sociedad actual a partir de diálogos en torno a la educación, el ambiente y la ciudad.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2022-10-31</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2022-11-25</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52045360</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Astrid Bibiana Rodriguez Cortes</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 Física</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de Planta</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abrodriguez@pedagogica.edu.co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1033708054</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Liliana Maribel Mora González</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 Física</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lmmorag@pedagogica.edu.co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$15,120,000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$4,880,000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$20,000,000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$26,720,512</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$26,720,512</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$20,000,000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$26,720,512</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$46,720,512</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