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2021</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11071</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Semillero Aula Húmeda: Ambientes Pedagógicos Complejos.</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Ambientes Pedagógicos Complejos, Aula Húmeda</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Sin grupos de investigación</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2021</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Educación</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2 Semestres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$28,899,008</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$20,000,000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$48,899,008</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Eduardo Enrique Delgado Polo</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79319889</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Planta</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Desde hace más de 14 años, se viene desarrollando en la Universidad Pedagógica Nacional, el programa de Aula Húmeda, dirigido a personas en situación de discapacidad y sus cuidadores, con el objetivo de promover su formación y desarrollo a través de su participación en un ambiente acuático. Se ofrece a más de cien personas, en edades comprendidas entre los 6 y los 50 años, distribuidas en tres horarios con una intensidad semanal. Los procesos pedagógicos son desarrollados por docentes en formación de la Licenciatura en Educación Especial, quienes realizan sus prácticas y proyectos de grado en el servicio. Igualmente, se lleva a cabo una Electiva dirigida a todos los programas que vincula docentes en formación de las distintas licenciaturas de la Universidad. Se busca sistematizar el saber que se ha construído en este tiempo..</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Educación Inclusiva, Ambientes Pedagógicos Complejos, Formación de Docentes, Diseño de ambientes, Estrategias didácticas..</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Durante los 14 años que lleva el servicio en la UPN, se han desarrollado varios procesos de investigación: Inicialmente, a los 5 años de iniciado, se realizó una sistematización de la experiencia con la participación de los cuidadores, quienes aportaron importantes aspectos para la comprensión y desarrollo de la propuesta general y el servicio; desde esa misma época, se desarrollaron proyectos de grado a nivel pregrado y posgrado, vinculados todos a dimensiones constitutivas de aula húmeda, los que al momento presente suman mas de 50, más los que se encuentran en fase de anteproyecto. Se han trabajado temas como el papel de los cuidadores, la ética del cuidado, los sistemas aumentativos y alternativos en el ambiente de Aula Húmeda, el paisaje sonoro, las estrategias pedagógicas y didácticas especiales en ambientes como este de acuerdo con poblaciones específicas, la Autodeterminación e Interdependencia, el rol docente, etc..</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Se propone adelantar un trabajo conjunto con los estudiantes que contribuya a sistematizar y a visibilizar los aportes que se han hecho a Aula Húmeda desde los desarrollos investigativos previos, así como a la formulación de propuestas en las “áreas grises” o dimensiones en las que no se ha focalizado el ejercicio investigativo. En el mismo sentido, adelantar análisis sistémicos que permitan integrar estos desarrollos a la estructura y dinámica del servicio que se ofrece a las personas con discapacidad y sus familias, así como proponer una base global sólida para los ejercicios futuros de investigación. por supuesto, como estrategia de investigación formativa, se busca contribuir de una manera importante a la formación de jovenes investigadores vinculados a proyectos de atención a poblaciones vulnerables..</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Sistematizar el saber construído al interior de la experiencia en el servicio Aula Humeda, por parte de los equipos de investigación docente, los proyectos de grado desarrollados por los docentes en formación y los grupos de participantes y cuidadores vinculados en el período 2014-2021..</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2022-02-25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2022-12-02</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2022-06-30</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2022-06-30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2022-04-28</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2022-04-28</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2022-05-20</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2022-05-20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2022-03-31</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2022-03-31</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Monitor</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Se centra en las siguientes conceptualizaciones: Ambientes Pedagógicos Complejos, Sistemas, Comprensión de la discapacidad, Teoría de las situaciones didácticas, Terceros espacios, investigación formativa,enseñanza e inclusión. (Fué necesario colocar solamente los nombres, ya que la plataforma no permitió colocar el documento con los desarrollos) VER ANEXO, CON LA INFORMACIÓN DEL MARCO TEÓRICO..</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Bahba, H. (2002) El lugar de la cultura. Buenos Aires: Manantial. </w:t>
        <w:br/>
        <w:t>Bertalanffy, L. (1950) Teoría general de los sistemas. Fondo de cultura económica, México. </w:t>
        <w:br/>
        <w:t>Bronfenbrenner, U. (1979) La ecología del desarrollo humano. Morata. </w:t>
        <w:br/>
        <w:t>Brousseau, G (1990 y 1991). ¿Qué pueden aportar a los enseñantes los diferentes enfoques de la didáctica de las Matemáticas? (Primera parte) In Enseñanza de las ciencias, Vol. 8, Nº 3, p. 259-267, (Segunda parte) In Enseñanza de las ciencias, ISSN 0212-4521, Vol. 9, Nº 1, p. 10-21. </w:t>
        <w:br/>
        <w:t>Brousseau, G. (2007), Iniciación al estudio de la teoría de las situaciones didácticas, Buenos Aires, Editorial Zorzal. </w:t>
        <w:br/>
        <w:t>Chevallard, Y. (1997). La transposición didáctica. Del Saber Sabio al Saber Enseñado. Buenos Aires: AIQUE.</w:t>
        <w:br/>
        <w:t>Flórez R.  Hacia una pedagogía del conocimiento. Bogotá: Mc Graw - Hill, 1994.  P. 114 - 115. </w:t>
        <w:br/>
        <w:t>Rickenmann, R. (2007) El rol de los artefactos culturales en la estructuración y gestión de las secuencias de enseñanza-aprendizaje. Recuperado de: www.unige.ch/fapse/clidi/textos/artefactos-culturales-RR.pdf. Sensevy, G &amp; A. Mercier (2007). Agir ensemble: l’action didactique conjointe du professeur et des élèves. Traducción de Juan Duque, y revisión de René Rickenmann. </w:t>
        <w:br/>
        <w:t>Vigotsky. L. (1979). El desarrollo de los procesos psicológicos superiores.  Barcelona: Editorial crítica.  </w:t>
        <w:br/>
        <w:t>Vygotski, L.-S. (2001). Pensamiento y Lenguaje; Conferencias sobre psicología, en Obras escogidas. Tomo II. Madrid: Antonio Machado Libros..</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El Semillero de Ambientes Pedagógicos Complejos para el desarrollo de personas con discapacidad: Aula húmeda, se nutre centralmente de la construcción conjunta que se realiza entre participantes, cuidadores y docentes en formación. Uno de los principios fundamentales de este ambiente es la configuración y consolidación de estos equipos humanos que construyen el saber.  Por esta razón, la apropiación social del conocimiento y la circulación de lo construido se dará en tres niveles: 1.A través de la devolución y retroalimentación que se realiza con los participantes y cuidadores. 2.Hacia la comunidad académica: al final de cada período semestral, se realizará una sesión abierta de socialización de las construcciones, con la participación de instituciones educativas, estamentos del orden distrital y grupos de interés conformados por personas con discapacidad y cuidadores. 3.Se realizará difusión a través del programa de radio “Gente de Colores” y del mini sitio de la UPN, en donde se publicará de manera amplia el acervo investigativo acumulado..</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Revisión y análisis de los documentos correspondientes a los trabajos de grado desarrollados al interior de Aula Húmeda</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 realizará lectura cuidadosa de los documentos para establecer desde la estrutura de los mismos, el marco categorial inicial.</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Construir un estado del arte en profundidad, sobre el acervo investigativo del Ambiente Pedagógico Complejo Aula Húmeda.</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2022-02-15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2022-04-01</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 partir de la construccion del marco categorial inicial, del análisis del corpus de aportes, establecer las "áreas grises" que requieren atención para orientar inquietudes de investigación.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Formular y adelantar el desarrollo de propuestas investigativas en tres dimensiones al menos, no contempladas previamente o con poca atención.</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2022-05-06</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2022-06-30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 los resultados de los procesos de estructuración categoríal y la vision de las áreas grises, se formularán comprensiones nuevas que den base a otros procesos de investigación.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Análisis y escritura.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Integrar los hallazgos en la propuesta actual de atención, a nivel conceptual y metodológico.</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2022-08-18</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2022-11-04</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1070004705</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Luz Melida Montaño Contreras</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Bellas Artes</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Catedrático</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4</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lmmontanoc@pedagogica.edu.co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79319889</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Eduardo Enrique Delgado Polo</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Otra</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10</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Otra</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eedelgado@pedagogica.edu.co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$15,120,000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$1,580,000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$2,000,000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$20,000,000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$28,899,008</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$28,899,008</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$20,000,000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$28,899,008</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$48,899,008</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