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docProps/thumbnail.jpeg" ContentType="image/jpeg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thumbnail" Target="docProps/thumbnail.jpeg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</w:pPr>
      <w:r>
        <w:rPr>
          <w:color w:val="000000"/>
        </w:rPr>
        <w:t xml:space="preserve">Planejamento de Aula — Laboratório Web</w:t>
      </w:r>
    </w:p>
    <w:p>
      <w:pPr>
        <w:spacing w:after="40"/>
      </w:pPr>
      <w:r>
        <w:rPr>
          <w:b/>
          <w:color w:val="000000"/>
        </w:rPr>
        <w:t xml:space="preserve">Professor(a): </w:t>
      </w:r>
      <w:r>
        <w:rPr>
          <w:color w:val="000000"/>
        </w:rPr>
        <w:t xml:space="preserve">Sinval Silva Júnior</w:t>
      </w:r>
    </w:p>
    <w:p>
      <w:pPr>
        <w:spacing w:after="40"/>
      </w:pPr>
      <w:r>
        <w:rPr>
          <w:b/>
          <w:color w:val="000000"/>
        </w:rPr>
        <w:t xml:space="preserve">Componente Curricular: </w:t>
      </w:r>
      <w:r>
        <w:rPr>
          <w:color w:val="000000"/>
        </w:rPr>
        <w:t xml:space="preserve">Laboratório WEB</w:t>
      </w:r>
    </w:p>
    <w:p>
      <w:pPr>
        <w:spacing w:after="40"/>
      </w:pPr>
      <w:r>
        <w:rPr>
          <w:b/>
          <w:color w:val="000000"/>
        </w:rPr>
        <w:t xml:space="preserve">Turma(s): </w:t>
      </w:r>
      <w:r>
        <w:rPr>
          <w:color w:val="000000"/>
        </w:rPr>
        <w:t xml:space="preserve">3º Ano Integral</w:t>
      </w:r>
    </w:p>
    <w:p>
      <w:pPr>
        <w:spacing w:after="40"/>
      </w:pPr>
      <w:r>
        <w:rPr>
          <w:b/>
          <w:color w:val="000000"/>
        </w:rPr>
        <w:t xml:space="preserve">Período previsto: </w:t>
      </w:r>
      <w:r>
        <w:rPr>
          <w:color w:val="000000"/>
        </w:rPr>
        <w:t xml:space="preserve">19/10 a 23/10 (Semana 43)</w:t>
      </w:r>
    </w:p>
    <w:p>
      <w:pPr>
        <w:pStyle w:val="Heading2"/>
      </w:pPr>
      <w:r>
        <w:rPr>
          <w:color w:val="000000"/>
        </w:rPr>
        <w:t xml:space="preserve">CONTEÚDO / TEMA DA AULA</w:t>
      </w:r>
    </w:p>
    <w:p>
      <w:r>
        <w:rPr>
          <w:color w:val="000000"/>
        </w:rPr>
        <w:t xml:space="preserve">Quinta-feira (22/10, 08:40h — prática): acompanhamento de versões de código com Git.</w:t>
      </w:r>
    </w:p>
    <w:p>
      <w:pPr>
        <w:rPr>
          <w:color w:val="000000"/>
        </w:rPr>
      </w:pPr>
      <w:r>
        <w:rPr>
          <w:color w:val="000000"/>
        </w:rPr>
        <w:t xml:space="preserve">Sexta-feira (23/10, 14:10h — prática): construção da interface e interação de um jogo web sobre cores e tons.</w:t>
      </w:r>
    </w:p>
    <w:p>
      <w:pPr>
        <w:pStyle w:val="Heading2"/>
      </w:pPr>
      <w:r>
        <w:rPr>
          <w:color w:val="000000"/>
        </w:rPr>
        <w:t xml:space="preserve">HABILIDADES (BNCC)</w:t>
      </w:r>
    </w:p>
    <w:p>
      <w:r>
        <w:rPr>
          <w:color w:val="000000"/>
        </w:rPr>
        <w:t xml:space="preserve">(EM13TEC02) Utilizar ferramentas e linguagens de programação para solucionar problemas e criar interfaces. (Competência Técnica) Acompanhar versões de um projeto por meio do histórico e das diferenças entre alterações; construir e testar interfaces web interativas com organização visual e instruções compreensíveis.</w:t>
      </w:r>
    </w:p>
    <w:p>
      <w:pPr>
        <w:pStyle w:val="Heading2"/>
      </w:pPr>
      <w:r>
        <w:rPr>
          <w:color w:val="000000"/>
        </w:rPr>
        <w:t xml:space="preserve">DESENVOLVIMENTO DAS AULAS (2 aulas)</w:t>
      </w:r>
    </w:p>
    <w:p>
      <w:pPr>
        <w:pStyle w:val="Heading3"/>
      </w:pPr>
      <w:r>
        <w:rPr>
          <w:color w:val="000000"/>
        </w:rPr>
        <w:t xml:space="preserve">Aula 1 (Quinta-feira, 22/10, 08:40h - Laboratório de Informática / Prática):</w:t>
      </w:r>
    </w:p>
    <w:p>
      <w:r>
        <w:rPr>
          <w:b/>
          <w:color w:val="000000"/>
        </w:rPr>
        <w:t xml:space="preserve">Descrição da aula:</w:t>
      </w:r>
      <w:r>
        <w:rPr>
          <w:color w:val="000000"/>
        </w:rPr>
        <w:t xml:space="preserve"> abrir o repositório do projeto, observar status, histórico e diferenças com git status, git log e git diff. Identificar qual arquivo foi alterado em cada etapa e criar um commit com mensagem clara. Em um exercício seguro, comparar uma versão anterior sem apagar o trabalho atual; esclarecer dúvidas específicas de acompanhamento de versões.</w:t>
      </w:r>
    </w:p>
    <w:p>
      <w:pPr>
        <w:pStyle w:val="Heading3"/>
      </w:pPr>
      <w:r>
        <w:rPr>
          <w:color w:val="000000"/>
        </w:rPr>
        <w:t xml:space="preserve">Aula 2 (Sexta-feira, 23/10, 14:10h - Laboratório de Informática / Prática):</w:t>
      </w:r>
    </w:p>
    <w:p>
      <w:r>
        <w:rPr>
          <w:b/>
          <w:color w:val="000000"/>
        </w:rPr>
        <w:t xml:space="preserve">Descrição da aula:</w:t>
      </w:r>
      <w:r>
        <w:rPr>
          <w:color w:val="000000"/>
        </w:rPr>
        <w:t xml:space="preserve"> implementar a interface do jogo de cores: instrução, cor de referência, opções de tons, retorno textual para acerto/erro e pontuação ou rodada. Utilizar CSS para diferenciar tons e organizar as opções; incluir identificação textual para que a interação não dependa exclusivamente de perceber a cor. Testar a interface com colegas e ajustar instruções ou disposição dos elementos.</w:t>
      </w:r>
    </w:p>
    <w:p>
      <w:pPr>
        <w:pStyle w:val="Heading2"/>
      </w:pPr>
      <w:r>
        <w:rPr>
          <w:color w:val="000000"/>
        </w:rPr>
        <w:t xml:space="preserve">AVALIAÇÃO</w:t>
      </w:r>
    </w:p>
    <w:p>
      <w:r>
        <w:rPr>
          <w:color w:val="000000"/>
        </w:rPr>
        <w:t xml:space="preserve">Aula 1: leitura do histórico/diff e commit identificável.</w:t>
      </w:r>
    </w:p>
    <w:p>
      <w:pPr>
        <w:rPr>
          <w:color w:val="000000"/>
        </w:rPr>
      </w:pPr>
      <w:r>
        <w:rPr>
          <w:color w:val="000000"/>
        </w:rPr>
        <w:t xml:space="preserve">Aula 2: jogo navegável, feedback compreensível e opções apresentadas de forma organizada.</w:t>
      </w:r>
    </w:p>
    <w:p>
      <w:pPr>
        <w:pStyle w:val="Heading2"/>
      </w:pPr>
      <w:r>
        <w:rPr>
          <w:color w:val="000000"/>
        </w:rPr>
        <w:t xml:space="preserve">RECOMPOSIÇÃO DE APRENDIZAGEM</w:t>
      </w:r>
    </w:p>
    <w:p>
      <w:r>
        <w:rPr>
          <w:color w:val="000000"/>
        </w:rPr>
        <w:t xml:space="preserve">Fornecer um repositório de treino com poucas alterações e orientar status, log e diff antes de criar um commit. Para o jogo, entregar um HTML/CSS inicial com os espaços da interface definidos.</w:t>
      </w:r>
    </w:p>
    <w:p>
      <w:pPr>
        <w:pStyle w:val="Heading2"/>
      </w:pPr>
      <w:r>
        <w:rPr>
          <w:color w:val="000000"/>
        </w:rPr>
        <w:t xml:space="preserve">OBSERVAÇÕES</w:t>
      </w:r>
    </w:p>
    <w:p>
      <w:r>
        <w:rPr>
          <w:color w:val="000000"/>
        </w:rPr>
        <w:t xml:space="preserve">As operações de restauração devem ser demonstradas em cópia ou ramo de exercício para preservar o trabalho do aluno. A variação de telas e condições de visualização deve ser discutida como fator de percepção dos tons.</w:t>
      </w:r>
    </w:p>
    <w:sectPr>
      <w:headerReference w:type="default" r:id="rId1"/>
      <w:headerReference w:type="first" r:id="rId2"/>
      <w:headerReference w:type="even" r:id="rId3"/>
      <w:footerReference w:type="default" r:id="rId4"/>
      <w:footerReference w:type="first" r:id="rId5"/>
      <w:footerReference w:type="even" r:id="rId6"/>
      <w:type w:val="nextPage"/>
      <w:pgSz w:w="12240" w:h="15840"/>
      <w:pgMar w:top="1134" w:right="1417" w:bottom="1134" w:left="1417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footnotePr>
    <w:numFmt w:val="decimal"/>
  </w:footnotePr>
  <w:endnotePr>
    <w:numFmt w:val="lowerRoman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Cambria" w:hAnsi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styleId="HeaderChar" w:customStyle="1">
    <w:name w:val="Header Char"/>
    <w:basedOn w:val="DefaultParagraphFont"/>
    <w:link w:val="Header"/>
    <w:uiPriority w:val="99"/>
    <w:rPr>
      <w:color w:val="000000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styleId="FooterChar" w:customStyle="1">
    <w:name w:val="Footer Char"/>
    <w:basedOn w:val="DefaultParagraphFont"/>
    <w:link w:val="Footer"/>
    <w:uiPriority w:val="99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rPr>
      <w:color w:val="000000"/>
    </w:rPr>
  </w:style>
  <w:style w:type="table" w:styleId="TableNormal" w:default="1">
    <w:name w:val="Normal Table"/>
    <w:uiPriority w:val="99"/>
    <w:semiHidden/>
    <w:unhideWhenUsed/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  <w:rPr>
      <w:color w:val="000000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="Calibri" w:hAnsi="Calibri"/>
      <w:b/>
      <w:bCs/>
      <w:color w:val="000000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Calibri" w:hAnsi="Calibri"/>
      <w:b/>
      <w:bCs/>
      <w:color w:val="000000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Calibri" w:hAnsi="Calibr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hAnsi="Calibri"/>
      <w:color w:val="000000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="Calibri" w:hAnsi="Calibr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hAnsi="Calibri"/>
      <w:i/>
      <w:iCs/>
      <w:color w:val="000000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="Calibri" w:hAnsi="Calibr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color w:val="000000"/>
    </w:rPr>
  </w:style>
  <w:style w:type="character" w:styleId="BodyTextChar" w:customStyle="1">
    <w:name w:val="Body Text Char"/>
    <w:basedOn w:val="DefaultParagraphFont"/>
    <w:link w:val="BodyText"/>
    <w:uiPriority w:val="99"/>
    <w:rPr>
      <w:color w:val="000000"/>
    </w:rPr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  <w:rPr>
      <w:color w:val="000000"/>
    </w:rPr>
  </w:style>
  <w:style w:type="character" w:styleId="BodyText2Char" w:customStyle="1">
    <w:name w:val="Body Text 2 Char"/>
    <w:basedOn w:val="DefaultParagraphFont"/>
    <w:link w:val="BodyText2"/>
    <w:uiPriority w:val="99"/>
    <w:rPr>
      <w:color w:val="000000"/>
    </w:rPr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color w:val="000000"/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color w:val="000000"/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pPr>
      <w:numPr>
        <w:ilvl w:val="0"/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pPr>
      <w:numPr>
        <w:ilvl w:val="0"/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pPr>
      <w:numPr>
        <w:ilvl w:val="0"/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pPr>
      <w:numPr>
        <w:ilvl w:val="0"/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pPr>
      <w:numPr>
        <w:ilvl w:val="0"/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pPr>
      <w:numPr>
        <w:ilvl w:val="0"/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rFonts w:ascii="Calibri" w:hAnsi="Calibri"/>
      <w:b/>
      <w:bCs/>
      <w:i/>
      <w:iCs/>
      <w:color w:val="000000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rFonts w:ascii="Calibri" w:hAnsi="Calibri"/>
      <w:color w:val="000000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rFonts w:ascii="Calibri" w:hAnsi="Calibri"/>
      <w:i/>
      <w:iCs/>
      <w:color w:val="000000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rFonts w:ascii="Calibri" w:hAnsi="Calibri"/>
      <w:i/>
      <w:iCs/>
      <w:color w:val="000000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rFonts w:ascii="Calibri" w:hAnsi="Calibri"/>
      <w:color w:val="00000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rFonts w:ascii="Calibri" w:hAnsi="Calibr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4E0E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4E0EF"/>
      </w:tcPr>
    </w:tblStylePr>
    <w:tblStylePr w:type="band2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4D3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4D3"/>
      </w:tcPr>
    </w:tblStylePr>
    <w:tblStylePr w:type="band2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6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6"/>
      </w:tcPr>
    </w:tblStylePr>
    <w:tblStylePr w:type="band2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E0D9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E0D9E8"/>
      </w:tcPr>
    </w:tblStylePr>
    <w:tblStylePr w:type="band2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  <w:tblStylePr w:type="band2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  <w:tblStylePr w:type="band2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4E0E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FD4D3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EED6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D9E8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4E0EF"/>
      </w:tcPr>
    </w:tblStylePr>
    <w:tblStylePr w:type="band1Horz">
      <w:tcPr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FD4D3"/>
      </w:tcPr>
    </w:tblStylePr>
    <w:tblStylePr w:type="band1Horz">
      <w:tcPr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EED6"/>
      </w:tcPr>
    </w:tblStylePr>
    <w:tblStylePr w:type="band1Horz">
      <w:tcPr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D9E8"/>
      </w:tcPr>
    </w:tblStylePr>
    <w:tblStylePr w:type="band1Horz">
      <w:tcPr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000000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000000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000000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F81B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F81B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F81B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C0504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C0504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9BBB59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9BBB59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8064A2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8064A2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BACC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BACC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F7964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F7964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CCCCC"/>
      </w:tcPr>
    </w:tblStyle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A7C0DE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CE6F2"/>
      </w:tcPr>
    </w:tblStylePr>
    <w:tblStylePr w:type="firstRow">
      <w:rPr>
        <w:b/>
        <w:bCs/>
        <w:color w:val="000000"/>
      </w:rPr>
      <w:tcPr>
        <w:shd w:val="clear" w:color="auto" w:fill="EEF3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E0A8A6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2DCDB"/>
      </w:tcPr>
    </w:tblStylePr>
    <w:tblStylePr w:type="firstRow">
      <w:rPr>
        <w:b/>
        <w:bCs/>
        <w:color w:val="000000"/>
      </w:rPr>
      <w:tcPr>
        <w:shd w:val="clear" w:color="auto" w:fill="F9EE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BF1DE"/>
      </w:tcPr>
    </w:tblStyle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C0B2D1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0EC"/>
      </w:tcPr>
    </w:tblStylePr>
    <w:tblStylePr w:type="firstRow">
      <w:rPr>
        <w:b/>
        <w:bCs/>
        <w:color w:val="000000"/>
      </w:rPr>
      <w:tcPr>
        <w:shd w:val="clear" w:color="auto" w:fill="F3F0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BEEF4"/>
      </w:tcPr>
    </w:tblStyle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ADA"/>
      </w:tcPr>
    </w:tblStyle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7C0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E0A8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0A8A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0B2D1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0B2D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4406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32523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6228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03152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15867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74807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000000"/>
          <w:insideV w:val="nil" w:sz="4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9CDE5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C4C74"/>
          <w:insideV w:val="nil" w:sz="4" w:space="0" w:color="auto"/>
        </w:tcBorders>
        <w:shd w:val="clear" w:color="auto" w:fill="2C4D75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C4D7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C4D75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B9B8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772C2A"/>
          <w:insideV w:val="nil" w:sz="4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72C2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772C2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7E4BD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5E7530"/>
          <w:insideV w:val="nil" w:sz="4" w:space="0" w:color="auto"/>
        </w:tcBorders>
        <w:shd w:val="clear" w:color="auto" w:fill="5F753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5F753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5F7530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CC1DA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4C3B62"/>
          <w:insideV w:val="nil" w:sz="4" w:space="0" w:color="auto"/>
        </w:tcBorders>
        <w:shd w:val="clear" w:color="auto" w:fill="4D3B62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D3B6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4D3B6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76A7C"/>
          <w:insideV w:val="nil" w:sz="4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76A7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B65608"/>
          <w:insideV w:val="nil" w:sz="4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65708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shd w:val="clear" w:color="auto" w:fill="DCE6F2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shd w:val="clear" w:color="auto" w:fill="F2DCDB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shd w:val="clear" w:color="auto" w:fill="EBF1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664F83"/>
      </w:tcPr>
    </w:tblStylePr>
    <w:tblStylePr w:type="lastRow">
      <w:rPr>
        <w:b/>
        <w:bCs/>
        <w:color w:val="664F83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shd w:val="clear" w:color="auto" w:fill="E6E0E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7E9D40"/>
      </w:tcPr>
    </w:tblStylePr>
    <w:tblStylePr w:type="lastRow">
      <w:rPr>
        <w:b/>
        <w:bCs/>
        <w:color w:val="7E9D40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shd w:val="clear" w:color="auto" w:fill="376092"/>
      </w:tcPr>
    </w:tblStylePr>
    <w:tblStylePr w:type="lastCol">
      <w:rPr>
        <w:color w:val="FFFFFF"/>
      </w:rPr>
      <w:tcPr>
        <w:shd w:val="clear" w:color="auto" w:fill="376092"/>
      </w:tcPr>
    </w:tblStylePr>
    <w:tblStylePr w:type="firstRow">
      <w:rPr>
        <w:b/>
        <w:bCs/>
      </w:rPr>
      <w:tcPr>
        <w:shd w:val="clear" w:color="auto" w:fill="B9CDE5"/>
      </w:tcPr>
    </w:tblStylePr>
    <w:tblStylePr w:type="lastRow">
      <w:rPr>
        <w:b/>
        <w:bCs/>
        <w:color w:val="000000"/>
      </w:rPr>
      <w:tcPr>
        <w:shd w:val="clear" w:color="auto" w:fill="B9CDE5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shd w:val="clear" w:color="auto" w:fill="953735"/>
      </w:tcPr>
    </w:tblStylePr>
    <w:tblStylePr w:type="lastCol">
      <w:rPr>
        <w:color w:val="FFFFFF"/>
      </w:rPr>
      <w:tcPr>
        <w:shd w:val="clear" w:color="auto" w:fill="953735"/>
      </w:tcPr>
    </w:tblStylePr>
    <w:tblStylePr w:type="firstRow">
      <w:rPr>
        <w:b/>
        <w:bCs/>
      </w:rPr>
      <w:tcPr>
        <w:shd w:val="clear" w:color="auto" w:fill="E6B9B8"/>
      </w:tcPr>
    </w:tblStylePr>
    <w:tblStylePr w:type="lastRow">
      <w:rPr>
        <w:b/>
        <w:bCs/>
        <w:color w:val="000000"/>
      </w:rPr>
      <w:tcPr>
        <w:shd w:val="clear" w:color="auto" w:fill="E6B9B8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shd w:val="clear" w:color="auto" w:fill="76933C"/>
      </w:tcPr>
    </w:tblStylePr>
    <w:tblStylePr w:type="lastCol">
      <w:rPr>
        <w:color w:val="FFFFFF"/>
      </w:rPr>
      <w:tcPr>
        <w:shd w:val="clear" w:color="auto" w:fill="76933C"/>
      </w:tcPr>
    </w:tblStylePr>
    <w:tblStylePr w:type="firstRow">
      <w:rPr>
        <w:b/>
        <w:bCs/>
      </w:rPr>
      <w:tcPr>
        <w:shd w:val="clear" w:color="auto" w:fill="D7E4BD"/>
      </w:tcPr>
    </w:tblStylePr>
    <w:tblStylePr w:type="lastRow">
      <w:rPr>
        <w:b/>
        <w:bCs/>
        <w:color w:val="000000"/>
      </w:rPr>
      <w:tcPr>
        <w:shd w:val="clear" w:color="auto" w:fill="D7E4BD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shd w:val="clear" w:color="auto" w:fill="604A7B"/>
      </w:tcPr>
    </w:tblStylePr>
    <w:tblStylePr w:type="lastCol">
      <w:rPr>
        <w:color w:val="FFFFFF"/>
      </w:rPr>
      <w:tcPr>
        <w:shd w:val="clear" w:color="auto" w:fill="604A7B"/>
      </w:tcPr>
    </w:tblStylePr>
    <w:tblStylePr w:type="firstRow">
      <w:rPr>
        <w:b/>
        <w:bCs/>
      </w:rPr>
      <w:tcPr>
        <w:shd w:val="clear" w:color="auto" w:fill="CCC1DA"/>
      </w:tcPr>
    </w:tblStylePr>
    <w:tblStylePr w:type="lastRow">
      <w:rPr>
        <w:b/>
        <w:bCs/>
        <w:color w:val="000000"/>
      </w:rPr>
      <w:tcPr>
        <w:shd w:val="clear" w:color="auto" w:fill="CCC1DA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header" Target="header2.xml"/><Relationship Id="rId3" Type="http://schemas.openxmlformats.org/officeDocument/2006/relationships/header" Target="header3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fontTable" Target="fontTable.xml"/><Relationship Id="rId12" Type="http://schemas.openxmlformats.org/officeDocument/2006/relationships/customXml" Target="../customXml/item1.xml"/><Relationship Id="rId13" Type="http://schemas.microsoft.com/office/2007/relationships/stylesWithEffects" Target="stylesWithEffects.xml"/><Relationship Id="rId1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331</Words>
  <Paragraphs>22</Paragraphs>
  <DocSecurity>0</DocSecurity>
  <Template>Normal.dotm</Template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Usuário</cp:lastModifiedBy>
  <cp:revision>2</cp:revision>
  <dcterms:created xsi:type="dcterms:W3CDTF">2013-12-23T23:15:00Z</dcterms:created>
  <dcterms:modified xsi:type="dcterms:W3CDTF">2026-10-25T22:01:20Z</dcterms:modified>
</cp:coreProperties>
</file>