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7B571" w14:textId="77777777" w:rsidR="00000000" w:rsidRDefault="00254231">
      <w:pPr>
        <w:spacing w:line="500" w:lineRule="atLeast"/>
        <w:jc w:val="center"/>
        <w:divId w:val="2067296434"/>
        <w:rPr>
          <w:rFonts w:ascii="黑体" w:eastAsia="黑体" w:hAnsi="黑体"/>
          <w:sz w:val="36"/>
          <w:szCs w:val="36"/>
        </w:rPr>
      </w:pPr>
      <w:r>
        <w:rPr>
          <w:rFonts w:ascii="黑体" w:eastAsia="黑体" w:hAnsi="黑体" w:hint="eastAsia"/>
          <w:sz w:val="36"/>
          <w:szCs w:val="36"/>
        </w:rPr>
        <w:t>贵州省高级人民法院</w:t>
      </w:r>
    </w:p>
    <w:p w14:paraId="7A487E93" w14:textId="77777777" w:rsidR="00000000" w:rsidRDefault="00254231">
      <w:pPr>
        <w:spacing w:line="500" w:lineRule="atLeast"/>
        <w:jc w:val="center"/>
        <w:divId w:val="2394127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14:paraId="4A2CB507" w14:textId="77777777" w:rsidR="00000000" w:rsidRDefault="00254231">
      <w:pPr>
        <w:spacing w:line="500" w:lineRule="atLeast"/>
        <w:jc w:val="right"/>
        <w:divId w:val="707338419"/>
        <w:rPr>
          <w:rFonts w:hint="eastAsia"/>
          <w:sz w:val="30"/>
          <w:szCs w:val="30"/>
        </w:rPr>
      </w:pPr>
      <w:r>
        <w:rPr>
          <w:rFonts w:hint="eastAsia"/>
          <w:sz w:val="30"/>
          <w:szCs w:val="30"/>
        </w:rPr>
        <w:t>(2020)</w:t>
      </w:r>
      <w:r>
        <w:rPr>
          <w:rFonts w:hint="eastAsia"/>
          <w:sz w:val="30"/>
          <w:szCs w:val="30"/>
        </w:rPr>
        <w:t>黔民申</w:t>
      </w:r>
      <w:r>
        <w:rPr>
          <w:rFonts w:hint="eastAsia"/>
          <w:sz w:val="30"/>
          <w:szCs w:val="30"/>
        </w:rPr>
        <w:t>1926</w:t>
      </w:r>
      <w:r>
        <w:rPr>
          <w:rFonts w:hint="eastAsia"/>
          <w:sz w:val="30"/>
          <w:szCs w:val="30"/>
        </w:rPr>
        <w:t>号</w:t>
      </w:r>
    </w:p>
    <w:p w14:paraId="3029AF7A" w14:textId="77777777" w:rsidR="00000000" w:rsidRDefault="00254231">
      <w:pPr>
        <w:spacing w:line="500" w:lineRule="atLeast"/>
        <w:ind w:firstLine="600"/>
        <w:divId w:val="1442584"/>
        <w:rPr>
          <w:rFonts w:hint="eastAsia"/>
          <w:sz w:val="30"/>
          <w:szCs w:val="30"/>
        </w:rPr>
      </w:pPr>
      <w:r>
        <w:rPr>
          <w:rFonts w:hint="eastAsia"/>
          <w:sz w:val="30"/>
          <w:szCs w:val="30"/>
        </w:rPr>
        <w:t>再审申请人（一审原告、二审上诉人）：陈廷桢，男，</w:t>
      </w:r>
      <w:r>
        <w:rPr>
          <w:rFonts w:hint="eastAsia"/>
          <w:sz w:val="30"/>
          <w:szCs w:val="30"/>
        </w:rPr>
        <w:t>1945</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日出生，汉族，住贵州省贵阳市云岩区。</w:t>
      </w:r>
    </w:p>
    <w:p w14:paraId="4A3D9E4E" w14:textId="77777777" w:rsidR="00000000" w:rsidRDefault="00254231">
      <w:pPr>
        <w:spacing w:line="500" w:lineRule="atLeast"/>
        <w:ind w:firstLine="600"/>
        <w:divId w:val="1087768362"/>
        <w:rPr>
          <w:rFonts w:hint="eastAsia"/>
          <w:sz w:val="30"/>
          <w:szCs w:val="30"/>
        </w:rPr>
      </w:pPr>
      <w:r>
        <w:rPr>
          <w:rFonts w:hint="eastAsia"/>
          <w:sz w:val="30"/>
          <w:szCs w:val="30"/>
        </w:rPr>
        <w:t>委托诉讼代理人：杨晖，贵州合协律师事务所律师。</w:t>
      </w:r>
    </w:p>
    <w:p w14:paraId="38EEFF03" w14:textId="77777777" w:rsidR="00000000" w:rsidRDefault="00254231">
      <w:pPr>
        <w:spacing w:line="500" w:lineRule="atLeast"/>
        <w:ind w:firstLine="600"/>
        <w:divId w:val="1457485554"/>
        <w:rPr>
          <w:rFonts w:hint="eastAsia"/>
          <w:sz w:val="30"/>
          <w:szCs w:val="30"/>
        </w:rPr>
      </w:pPr>
      <w:r>
        <w:rPr>
          <w:rFonts w:hint="eastAsia"/>
          <w:sz w:val="30"/>
          <w:szCs w:val="30"/>
        </w:rPr>
        <w:t>委托诉讼代理人：杨青青，贵州合协律师事务所律师。</w:t>
      </w:r>
    </w:p>
    <w:p w14:paraId="43B9E66A" w14:textId="77777777" w:rsidR="00000000" w:rsidRDefault="00254231">
      <w:pPr>
        <w:spacing w:line="500" w:lineRule="atLeast"/>
        <w:ind w:firstLine="600"/>
        <w:divId w:val="1415277847"/>
        <w:rPr>
          <w:rFonts w:hint="eastAsia"/>
          <w:sz w:val="30"/>
          <w:szCs w:val="30"/>
        </w:rPr>
      </w:pPr>
      <w:r>
        <w:rPr>
          <w:rFonts w:hint="eastAsia"/>
          <w:sz w:val="30"/>
          <w:szCs w:val="30"/>
        </w:rPr>
        <w:t>被申请人（一审被告、二审上诉人）：贵阳银行股份有限公司富北支行。住所地：贵州省贵阳市云岩区富水北路</w:t>
      </w:r>
      <w:r>
        <w:rPr>
          <w:rFonts w:hint="eastAsia"/>
          <w:sz w:val="30"/>
          <w:szCs w:val="30"/>
        </w:rPr>
        <w:t>60</w:t>
      </w:r>
      <w:r>
        <w:rPr>
          <w:rFonts w:hint="eastAsia"/>
          <w:sz w:val="30"/>
          <w:szCs w:val="30"/>
        </w:rPr>
        <w:t>号。</w:t>
      </w:r>
    </w:p>
    <w:p w14:paraId="4DC93F8F" w14:textId="77777777" w:rsidR="00000000" w:rsidRDefault="00254231">
      <w:pPr>
        <w:spacing w:line="500" w:lineRule="atLeast"/>
        <w:ind w:firstLine="600"/>
        <w:divId w:val="592514424"/>
        <w:rPr>
          <w:rFonts w:hint="eastAsia"/>
          <w:sz w:val="30"/>
          <w:szCs w:val="30"/>
        </w:rPr>
      </w:pPr>
      <w:r>
        <w:rPr>
          <w:rFonts w:hint="eastAsia"/>
          <w:sz w:val="30"/>
          <w:szCs w:val="30"/>
        </w:rPr>
        <w:t>负责人：崔颖，该行行长。</w:t>
      </w:r>
    </w:p>
    <w:p w14:paraId="3C981CA1" w14:textId="77777777" w:rsidR="00000000" w:rsidRDefault="00254231">
      <w:pPr>
        <w:spacing w:line="500" w:lineRule="atLeast"/>
        <w:ind w:firstLine="600"/>
        <w:divId w:val="963775918"/>
        <w:rPr>
          <w:rFonts w:hint="eastAsia"/>
          <w:sz w:val="30"/>
          <w:szCs w:val="30"/>
        </w:rPr>
      </w:pPr>
      <w:r>
        <w:rPr>
          <w:rFonts w:hint="eastAsia"/>
          <w:sz w:val="30"/>
          <w:szCs w:val="30"/>
        </w:rPr>
        <w:t>委托诉讼代理人：王治刚，贵州信理律师事务所律师。</w:t>
      </w:r>
    </w:p>
    <w:p w14:paraId="328F1180" w14:textId="77777777" w:rsidR="00000000" w:rsidRDefault="00254231">
      <w:pPr>
        <w:spacing w:line="500" w:lineRule="atLeast"/>
        <w:ind w:firstLine="600"/>
        <w:divId w:val="1577934872"/>
        <w:rPr>
          <w:rFonts w:hint="eastAsia"/>
          <w:sz w:val="30"/>
          <w:szCs w:val="30"/>
        </w:rPr>
      </w:pPr>
      <w:r>
        <w:rPr>
          <w:rFonts w:hint="eastAsia"/>
          <w:sz w:val="30"/>
          <w:szCs w:val="30"/>
        </w:rPr>
        <w:t>再审申请人陈廷桢因与被申请人贵阳银行股份有限公司富北支行（以下简称“富北支行”）不当得利纠纷一案，不服贵州省贵阳市中级人民法院（</w:t>
      </w:r>
      <w:r>
        <w:rPr>
          <w:rFonts w:hint="eastAsia"/>
          <w:sz w:val="30"/>
          <w:szCs w:val="30"/>
        </w:rPr>
        <w:t>2019</w:t>
      </w:r>
      <w:r>
        <w:rPr>
          <w:rFonts w:hint="eastAsia"/>
          <w:sz w:val="30"/>
          <w:szCs w:val="30"/>
        </w:rPr>
        <w:t>）黔</w:t>
      </w:r>
      <w:r>
        <w:rPr>
          <w:rFonts w:hint="eastAsia"/>
          <w:sz w:val="30"/>
          <w:szCs w:val="30"/>
        </w:rPr>
        <w:t>01</w:t>
      </w:r>
      <w:r>
        <w:rPr>
          <w:rFonts w:hint="eastAsia"/>
          <w:sz w:val="30"/>
          <w:szCs w:val="30"/>
        </w:rPr>
        <w:t>民终</w:t>
      </w:r>
      <w:r>
        <w:rPr>
          <w:rFonts w:hint="eastAsia"/>
          <w:sz w:val="30"/>
          <w:szCs w:val="30"/>
        </w:rPr>
        <w:t>7572</w:t>
      </w:r>
      <w:r>
        <w:rPr>
          <w:rFonts w:hint="eastAsia"/>
          <w:sz w:val="30"/>
          <w:szCs w:val="30"/>
        </w:rPr>
        <w:t>号民事判决，向本院申请再审。本院依法组成合议庭进行了审查，现已审查终结。</w:t>
      </w:r>
    </w:p>
    <w:p w14:paraId="359F1A24" w14:textId="77777777" w:rsidR="00000000" w:rsidRDefault="00254231">
      <w:pPr>
        <w:spacing w:line="500" w:lineRule="atLeast"/>
        <w:ind w:firstLine="600"/>
        <w:divId w:val="583149068"/>
        <w:rPr>
          <w:rFonts w:hint="eastAsia"/>
          <w:sz w:val="30"/>
          <w:szCs w:val="30"/>
        </w:rPr>
      </w:pPr>
      <w:r>
        <w:rPr>
          <w:rFonts w:hint="eastAsia"/>
          <w:sz w:val="30"/>
          <w:szCs w:val="30"/>
        </w:rPr>
        <w:t>陈廷桢申请再审称，一、贵阳市中级人民法院认为</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2000</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日双方之间系不定期租赁关系，但对再审申请人主张的房屋使用费不予支持自相矛盾，亦不行使法院的释明权，不符合法律规定。再审申请人陈廷桢系贵阳市富水北路</w:t>
      </w:r>
      <w:r>
        <w:rPr>
          <w:rFonts w:hint="eastAsia"/>
          <w:sz w:val="30"/>
          <w:szCs w:val="30"/>
        </w:rPr>
        <w:t>100</w:t>
      </w:r>
      <w:r>
        <w:rPr>
          <w:rFonts w:hint="eastAsia"/>
          <w:sz w:val="30"/>
          <w:szCs w:val="30"/>
        </w:rPr>
        <w:t>号（现</w:t>
      </w:r>
      <w:r>
        <w:rPr>
          <w:rFonts w:hint="eastAsia"/>
          <w:sz w:val="30"/>
          <w:szCs w:val="30"/>
        </w:rPr>
        <w:t>60</w:t>
      </w:r>
      <w:r>
        <w:rPr>
          <w:rFonts w:hint="eastAsia"/>
          <w:sz w:val="30"/>
          <w:szCs w:val="30"/>
        </w:rPr>
        <w:t>号</w:t>
      </w:r>
      <w:r>
        <w:rPr>
          <w:rFonts w:hint="eastAsia"/>
          <w:sz w:val="30"/>
          <w:szCs w:val="30"/>
        </w:rPr>
        <w:t>1</w:t>
      </w:r>
      <w:r>
        <w:rPr>
          <w:rFonts w:hint="eastAsia"/>
          <w:sz w:val="30"/>
          <w:szCs w:val="30"/>
        </w:rPr>
        <w:t>层</w:t>
      </w:r>
      <w:r>
        <w:rPr>
          <w:rFonts w:hint="eastAsia"/>
          <w:sz w:val="30"/>
          <w:szCs w:val="30"/>
        </w:rPr>
        <w:t>1-1</w:t>
      </w:r>
      <w:r>
        <w:rPr>
          <w:rFonts w:hint="eastAsia"/>
          <w:sz w:val="30"/>
          <w:szCs w:val="30"/>
        </w:rPr>
        <w:t>号）房屋的所有权人，其与再审</w:t>
      </w:r>
      <w:r>
        <w:rPr>
          <w:rFonts w:hint="eastAsia"/>
          <w:sz w:val="30"/>
          <w:szCs w:val="30"/>
        </w:rPr>
        <w:t>被申请人的租赁期间为</w:t>
      </w:r>
      <w:r>
        <w:rPr>
          <w:rFonts w:hint="eastAsia"/>
          <w:sz w:val="30"/>
          <w:szCs w:val="30"/>
        </w:rPr>
        <w:t>1997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租赁期间届满后，再审被申请人一直使用房屋，再审申请人系基于其继续使用房屋的事实主张房屋使用费，一审法院在审理的过程中，认为该期间系不定期租赁合同关系而不是不当得利关系，但对此不行使法院的释明权告知再审申请人法律后果，相反，仅仅是询问再审申请人认为是什么法律关系</w:t>
      </w:r>
      <w:r>
        <w:rPr>
          <w:rFonts w:hint="eastAsia"/>
          <w:sz w:val="30"/>
          <w:szCs w:val="30"/>
        </w:rPr>
        <w:t>?</w:t>
      </w:r>
      <w:r>
        <w:rPr>
          <w:rFonts w:hint="eastAsia"/>
          <w:sz w:val="30"/>
          <w:szCs w:val="30"/>
        </w:rPr>
        <w:t>且未分</w:t>
      </w:r>
      <w:r>
        <w:rPr>
          <w:rFonts w:hint="eastAsia"/>
          <w:sz w:val="30"/>
          <w:szCs w:val="30"/>
        </w:rPr>
        <w:lastRenderedPageBreak/>
        <w:t>时间段，笼统性的询问，但在判决书分时段判决，其做法违反法律程序。同时，原审法院既然认定了</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日期间系不定期租赁关系，但却不支持支付费用，也不在判决书中</w:t>
      </w:r>
      <w:r>
        <w:rPr>
          <w:rFonts w:hint="eastAsia"/>
          <w:sz w:val="30"/>
          <w:szCs w:val="30"/>
        </w:rPr>
        <w:t>阐明再审申请人有另行主张的权利，自相矛盾。二、原审法院认定</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日再审被申请人系合法占有房屋，不成立不当得利，不予支持该时段的房屋使用费系认定错误。本案中，因</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日贵阳市中级人民法院赔偿委员会作出的（</w:t>
      </w:r>
      <w:r>
        <w:rPr>
          <w:rFonts w:hint="eastAsia"/>
          <w:sz w:val="30"/>
          <w:szCs w:val="30"/>
        </w:rPr>
        <w:t>2013</w:t>
      </w:r>
      <w:r>
        <w:rPr>
          <w:rFonts w:hint="eastAsia"/>
          <w:sz w:val="30"/>
          <w:szCs w:val="30"/>
        </w:rPr>
        <w:t>）筑法赔字第</w:t>
      </w:r>
      <w:r>
        <w:rPr>
          <w:rFonts w:hint="eastAsia"/>
          <w:sz w:val="30"/>
          <w:szCs w:val="30"/>
        </w:rPr>
        <w:t>1</w:t>
      </w:r>
      <w:r>
        <w:rPr>
          <w:rFonts w:hint="eastAsia"/>
          <w:sz w:val="30"/>
          <w:szCs w:val="30"/>
        </w:rPr>
        <w:t>号国家赔偿决定书，决定云岩区人民法院返还再审申请人房屋，也认定了云岩区人民法院的拍卖行为违法。根据法律规定，无效的民事行为自始无效，因此再审申请人占用该房屋无法律根据。原审法院认定该法院执行行为的违法并不是基于再审被申请人的过错导致，但作为房屋</w:t>
      </w:r>
      <w:r>
        <w:rPr>
          <w:rFonts w:hint="eastAsia"/>
          <w:sz w:val="30"/>
          <w:szCs w:val="30"/>
        </w:rPr>
        <w:t>所有权人的再审申请人，在国家赔偿申请被驳回的前提下，其只能请求实际占用房屋的再审被申请人支付房屋使用费。故再审申请人的原审诉求于法有据。三、再审被申请人作为银行商业机构，从</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日用再审申请人的房屋用于安放银行取款机等设备，作为商业用途。从</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今一直使用再审申请人的房屋，原审法院驳回再审申请人要求支付房屋使用费的诉讼请求，即违反法律规定，也违背了自然人之间交易的平等性及诚实信用原则。且一直未支付的情况下，不予计算使用期间的利息损失，显失公平。据此，陈廷桢据《中华人民共和国民事诉讼法</w:t>
      </w:r>
      <w:r>
        <w:rPr>
          <w:rFonts w:hint="eastAsia"/>
          <w:sz w:val="30"/>
          <w:szCs w:val="30"/>
        </w:rPr>
        <w:t>》第二百条第二项、第六项的规定申请再审。</w:t>
      </w:r>
    </w:p>
    <w:p w14:paraId="33BAAB39" w14:textId="77777777" w:rsidR="00000000" w:rsidRDefault="00254231">
      <w:pPr>
        <w:spacing w:line="500" w:lineRule="atLeast"/>
        <w:ind w:firstLine="600"/>
        <w:divId w:val="1038119774"/>
        <w:rPr>
          <w:rFonts w:hint="eastAsia"/>
          <w:sz w:val="30"/>
          <w:szCs w:val="30"/>
        </w:rPr>
      </w:pPr>
      <w:r>
        <w:rPr>
          <w:rFonts w:hint="eastAsia"/>
          <w:sz w:val="30"/>
          <w:szCs w:val="30"/>
        </w:rPr>
        <w:t>富北支行提交意见称，原判决认定事实清楚，证据充分，适用法律正确，应予维持。陈廷桢的再审申请理由均不能成立，请求驳回。</w:t>
      </w:r>
    </w:p>
    <w:p w14:paraId="1B4782E0" w14:textId="77777777" w:rsidR="00000000" w:rsidRDefault="00254231">
      <w:pPr>
        <w:spacing w:line="500" w:lineRule="atLeast"/>
        <w:ind w:firstLine="600"/>
        <w:divId w:val="132259125"/>
        <w:rPr>
          <w:rFonts w:hint="eastAsia"/>
          <w:sz w:val="30"/>
          <w:szCs w:val="30"/>
        </w:rPr>
      </w:pPr>
      <w:r>
        <w:rPr>
          <w:rFonts w:hint="eastAsia"/>
          <w:sz w:val="30"/>
          <w:szCs w:val="30"/>
        </w:rPr>
        <w:lastRenderedPageBreak/>
        <w:t>本院经审查认为，根据《最高人民法院关于适</w:t>
      </w:r>
      <w:r>
        <w:rPr>
          <w:rFonts w:hint="eastAsia"/>
          <w:sz w:val="30"/>
          <w:szCs w:val="30"/>
        </w:rPr>
        <w:t>用</w:t>
      </w:r>
      <w:r>
        <w:rPr>
          <w:rFonts w:hint="eastAsia"/>
          <w:sz w:val="30"/>
          <w:szCs w:val="30"/>
        </w:rPr>
        <w:t>的解释》第三百八十六条：“人民法院受理申请再审案件后，应当依照民事诉讼法第二百条、第二百零一条、第二百零四条等规定，对当事人主张的再审事由进行审查。”以及《最高人民法院关于适用〈中华人民共和国民事诉讼法〉审判监督程序若干问题的解释》第九条：“人民法院对再审申请的审查，应当围绕再审事由是否成立进行”之规定，本院</w:t>
      </w:r>
      <w:r>
        <w:rPr>
          <w:rFonts w:hint="eastAsia"/>
          <w:sz w:val="30"/>
          <w:szCs w:val="30"/>
        </w:rPr>
        <w:t>围绕陈廷桢提出的申请再审事由进行了审查。</w:t>
      </w:r>
    </w:p>
    <w:p w14:paraId="217484B3" w14:textId="77777777" w:rsidR="00000000" w:rsidRDefault="00254231">
      <w:pPr>
        <w:spacing w:line="500" w:lineRule="atLeast"/>
        <w:ind w:firstLine="600"/>
        <w:divId w:val="190147370"/>
        <w:rPr>
          <w:rFonts w:hint="eastAsia"/>
          <w:sz w:val="30"/>
          <w:szCs w:val="30"/>
        </w:rPr>
      </w:pPr>
      <w:r>
        <w:rPr>
          <w:rFonts w:hint="eastAsia"/>
          <w:sz w:val="30"/>
          <w:szCs w:val="30"/>
        </w:rPr>
        <w:t>关于原判决认定的基本事实是否缺乏证据证明的问题。关于本案定期租赁合同届满后承租方未返还租赁物引起的租赁费用的问题。根据《中华人民共和国合同法》第二百一十五条：“租赁期限六个月以上的，应当采用书面形式。当事人未采用书面形式的，视为不定期租赁。”和第二百三十六条：“租赁期间届满，承租人继续使用租赁物，出租人没有提出异议的，原租赁合同继续有效，但租赁期限为不定期。”关于租赁期满后，承租人未返还租赁物，在没有法律规定或当事人约定的前提下，承租人再继续使用租赁物或不返还租赁物</w:t>
      </w:r>
      <w:r>
        <w:rPr>
          <w:rFonts w:hint="eastAsia"/>
          <w:sz w:val="30"/>
          <w:szCs w:val="30"/>
        </w:rPr>
        <w:t>应当按不定期租赁支付租赁费。”根据原审卷宗查明，本案出租人陈廷桢与富北支行之间的房租租赁关系于</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日届满，从</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日至自</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双方之间存在不定期租赁合同关系，云岩法院将案涉房屋被拍卖事实告知陈廷桢后，当事人双方之间的不定期租赁合同关系客观终止。原审认定双方于该期间成立不定期租赁合同关系正确，富北支行占有使用涉案房屋具有合法依据，不成立不当得利，陈廷桢应依法主张该期间的权利。对于双方当事人之间是否存在不当得利之债的问题。根据原审卷宗查明，自</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日涉案房屋被司</w:t>
      </w:r>
      <w:r>
        <w:rPr>
          <w:rFonts w:hint="eastAsia"/>
          <w:sz w:val="30"/>
          <w:szCs w:val="30"/>
        </w:rPr>
        <w:t>法拍卖之日起至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二审法院赔偿委员会决定由贵阳市云岩区人民法院返还陈廷桢涉案房屋的前一日期间，富北支行依据人民法院司法拍卖程序取得涉案房屋所有权，占有使用涉案房屋具有合法依据，不成立不当得利。并且，虽然经二审法院作出裁定确认贵阳市云岩区人民法院执行行为违法，但该执行行为违法并非基于富北支行的过错导致，且陈廷桢已提出国家赔偿处理其受到的损害，即使该诉请依法被驳回，也不能由非过错方富北支行承担责任。自</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日起至双方再次签订《房屋（商铺）租赁合同》，成立房屋租赁合同关系的</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的前一日期间，依据《中华人民共和国物权法》第二十八条“因人民法院、仲裁委员会的法律文书或者人民政府的征收决定等，导致物权设立、变更、转让或者消灭的，自法律文书或者人民政府的征收决定等生效时发生效力”、《最高人民法院关于适用〈中华人民共和国物权法〉若干问题的解释（一）》第七条“人民法院、仲裁委员会在分割共有不动产或者动产等案件中作出并依法生效的改变原有物权关系的判决书、裁决书、调解书，以及人民法院在执行程序中作出的拍卖成交裁定书、以物抵债裁定书，应当认定为物权法第二十八条所称导致物权设立、变更、转让或者</w:t>
      </w:r>
      <w:r>
        <w:rPr>
          <w:rFonts w:hint="eastAsia"/>
          <w:sz w:val="30"/>
          <w:szCs w:val="30"/>
        </w:rPr>
        <w:t>消灭的人民法院、仲裁委员会的法律文书”之规定，陈廷桢重新取得房屋所有权，该期间富北支行占有使用涉案房屋不再具有合法依据，成立不当得利，应向房屋所有权人陈廷桢支付房屋占用费。由此，原审认定不当得利期间正确。故其该项申请再审理由不能成立，本院不予支持。</w:t>
      </w:r>
    </w:p>
    <w:p w14:paraId="0E1378C8" w14:textId="77777777" w:rsidR="00000000" w:rsidRDefault="00254231">
      <w:pPr>
        <w:spacing w:line="500" w:lineRule="atLeast"/>
        <w:ind w:firstLine="600"/>
        <w:divId w:val="1673412196"/>
        <w:rPr>
          <w:rFonts w:hint="eastAsia"/>
          <w:sz w:val="30"/>
          <w:szCs w:val="30"/>
        </w:rPr>
      </w:pPr>
      <w:r>
        <w:rPr>
          <w:rFonts w:hint="eastAsia"/>
          <w:sz w:val="30"/>
          <w:szCs w:val="30"/>
        </w:rPr>
        <w:t>关于原判决适用法律是否正确的问题。经查，本案二审判决并不存在《最高人民法院关于适</w:t>
      </w:r>
      <w:r>
        <w:rPr>
          <w:rFonts w:hint="eastAsia"/>
          <w:sz w:val="30"/>
          <w:szCs w:val="30"/>
        </w:rPr>
        <w:t>用</w:t>
      </w:r>
      <w:r>
        <w:rPr>
          <w:rFonts w:hint="eastAsia"/>
          <w:sz w:val="30"/>
          <w:szCs w:val="30"/>
        </w:rPr>
        <w:t>的解释》第三百九十条：“有下列情形之一，导致判决、裁定结果错误的，应当认定为民事诉讼法第二百条第六项规定的原判决、裁定适用法律确有错误：（一）适用的法律与案件性质明显不符的；（二）</w:t>
      </w:r>
      <w:r>
        <w:rPr>
          <w:rFonts w:hint="eastAsia"/>
          <w:sz w:val="30"/>
          <w:szCs w:val="30"/>
        </w:rPr>
        <w:t>确定民事责任明显违背当事人约定或者法律规定的；（三）适用已经失效或者尚未施行的法律的；（四）违反法律溯及力规定的；（五）违反法律适用规则的；（六）明显违背立法原意的。”规定的适用法律确有错误的情形。其该项申请再审理由不能成立，本院不予支持。</w:t>
      </w:r>
    </w:p>
    <w:p w14:paraId="1C0D5B83" w14:textId="77777777" w:rsidR="00000000" w:rsidRDefault="00254231">
      <w:pPr>
        <w:spacing w:line="500" w:lineRule="atLeast"/>
        <w:ind w:firstLine="600"/>
        <w:divId w:val="782190782"/>
        <w:rPr>
          <w:rFonts w:hint="eastAsia"/>
          <w:sz w:val="30"/>
          <w:szCs w:val="30"/>
        </w:rPr>
      </w:pPr>
      <w:r>
        <w:rPr>
          <w:rFonts w:hint="eastAsia"/>
          <w:sz w:val="30"/>
          <w:szCs w:val="30"/>
        </w:rPr>
        <w:t>综上，陈廷桢的再审申请不符合《中华人民共和国民事诉讼法》第二百条第二项、第六项规定的情形。</w:t>
      </w:r>
    </w:p>
    <w:p w14:paraId="477C75AC" w14:textId="77777777" w:rsidR="00000000" w:rsidRDefault="00254231">
      <w:pPr>
        <w:spacing w:line="500" w:lineRule="atLeast"/>
        <w:ind w:firstLine="600"/>
        <w:divId w:val="736321666"/>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14:paraId="0CBB3376" w14:textId="77777777" w:rsidR="00000000" w:rsidRDefault="00254231">
      <w:pPr>
        <w:spacing w:line="500" w:lineRule="atLeast"/>
        <w:ind w:firstLine="600"/>
        <w:divId w:val="147787441"/>
        <w:rPr>
          <w:rFonts w:hint="eastAsia"/>
          <w:sz w:val="30"/>
          <w:szCs w:val="30"/>
        </w:rPr>
      </w:pPr>
      <w:r>
        <w:rPr>
          <w:rFonts w:hint="eastAsia"/>
          <w:sz w:val="30"/>
          <w:szCs w:val="30"/>
        </w:rPr>
        <w:t>驳回陈廷桢的再审申请。</w:t>
      </w:r>
    </w:p>
    <w:p w14:paraId="04B1DF88" w14:textId="77777777" w:rsidR="00000000" w:rsidRDefault="00254231">
      <w:pPr>
        <w:spacing w:line="500" w:lineRule="atLeast"/>
        <w:jc w:val="right"/>
        <w:divId w:val="816872967"/>
        <w:rPr>
          <w:rFonts w:hint="eastAsia"/>
          <w:sz w:val="30"/>
          <w:szCs w:val="30"/>
        </w:rPr>
      </w:pPr>
      <w:r>
        <w:rPr>
          <w:rFonts w:hint="eastAsia"/>
          <w:sz w:val="30"/>
          <w:szCs w:val="30"/>
        </w:rPr>
        <w:t>审判长　　常礼贵</w:t>
      </w:r>
    </w:p>
    <w:p w14:paraId="36D91795" w14:textId="77777777" w:rsidR="00000000" w:rsidRDefault="00254231">
      <w:pPr>
        <w:spacing w:line="500" w:lineRule="atLeast"/>
        <w:jc w:val="right"/>
        <w:divId w:val="128325431"/>
        <w:rPr>
          <w:rFonts w:hint="eastAsia"/>
          <w:sz w:val="30"/>
          <w:szCs w:val="30"/>
        </w:rPr>
      </w:pPr>
      <w:r>
        <w:rPr>
          <w:rFonts w:hint="eastAsia"/>
          <w:sz w:val="30"/>
          <w:szCs w:val="30"/>
        </w:rPr>
        <w:t>审判员　　虞　斌</w:t>
      </w:r>
    </w:p>
    <w:p w14:paraId="416A8B4A" w14:textId="77777777" w:rsidR="00000000" w:rsidRDefault="00254231">
      <w:pPr>
        <w:spacing w:line="500" w:lineRule="atLeast"/>
        <w:jc w:val="right"/>
        <w:divId w:val="609822919"/>
        <w:rPr>
          <w:rFonts w:hint="eastAsia"/>
          <w:sz w:val="30"/>
          <w:szCs w:val="30"/>
        </w:rPr>
      </w:pPr>
      <w:r>
        <w:rPr>
          <w:rFonts w:hint="eastAsia"/>
          <w:sz w:val="30"/>
          <w:szCs w:val="30"/>
        </w:rPr>
        <w:t>审判员　　尚东风</w:t>
      </w:r>
    </w:p>
    <w:p w14:paraId="2F6E7FC2" w14:textId="77777777" w:rsidR="00000000" w:rsidRDefault="00254231">
      <w:pPr>
        <w:spacing w:line="500" w:lineRule="atLeast"/>
        <w:jc w:val="right"/>
        <w:divId w:val="1657606682"/>
        <w:rPr>
          <w:rFonts w:hint="eastAsia"/>
          <w:sz w:val="30"/>
          <w:szCs w:val="30"/>
        </w:rPr>
      </w:pPr>
      <w:r>
        <w:rPr>
          <w:rFonts w:hint="eastAsia"/>
          <w:sz w:val="30"/>
          <w:szCs w:val="30"/>
        </w:rPr>
        <w:t>二〇二〇年十二月二十一日</w:t>
      </w:r>
    </w:p>
    <w:p w14:paraId="3D280234" w14:textId="77777777" w:rsidR="00000000" w:rsidRDefault="00254231">
      <w:pPr>
        <w:spacing w:line="500" w:lineRule="atLeast"/>
        <w:ind w:firstLine="600"/>
        <w:divId w:val="2093118330"/>
        <w:rPr>
          <w:rFonts w:hint="eastAsia"/>
          <w:sz w:val="30"/>
          <w:szCs w:val="30"/>
        </w:rPr>
      </w:pPr>
      <w:r>
        <w:rPr>
          <w:rFonts w:hint="eastAsia"/>
          <w:sz w:val="30"/>
          <w:szCs w:val="30"/>
        </w:rPr>
        <w:t>法官助理罗洁</w:t>
      </w:r>
    </w:p>
    <w:p w14:paraId="42E95EBB" w14:textId="77777777" w:rsidR="00000000" w:rsidRDefault="00254231">
      <w:pPr>
        <w:spacing w:line="500" w:lineRule="atLeast"/>
        <w:ind w:firstLine="600"/>
        <w:divId w:val="1004434069"/>
        <w:rPr>
          <w:rFonts w:hint="eastAsia"/>
          <w:sz w:val="30"/>
          <w:szCs w:val="30"/>
        </w:rPr>
      </w:pPr>
      <w:r>
        <w:rPr>
          <w:rFonts w:hint="eastAsia"/>
          <w:sz w:val="30"/>
          <w:szCs w:val="30"/>
        </w:rPr>
        <w:t>书记员麻蓉蓉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3FC21" w14:textId="77777777" w:rsidR="00254231" w:rsidRDefault="00254231" w:rsidP="00254231">
      <w:r>
        <w:separator/>
      </w:r>
    </w:p>
  </w:endnote>
  <w:endnote w:type="continuationSeparator" w:id="0">
    <w:p w14:paraId="2BD0A7BF" w14:textId="77777777" w:rsidR="00254231" w:rsidRDefault="00254231" w:rsidP="0025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3FD9C" w14:textId="77777777" w:rsidR="00254231" w:rsidRDefault="00254231" w:rsidP="00254231">
      <w:r>
        <w:separator/>
      </w:r>
    </w:p>
  </w:footnote>
  <w:footnote w:type="continuationSeparator" w:id="0">
    <w:p w14:paraId="4EDF2D40" w14:textId="77777777" w:rsidR="00254231" w:rsidRDefault="00254231" w:rsidP="002542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4231"/>
    <w:rsid w:val="0025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5D751F"/>
  <w15:chartTrackingRefBased/>
  <w15:docId w15:val="{A0A27D92-AD05-4F54-91C3-E4F799E1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542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231"/>
    <w:rPr>
      <w:rFonts w:ascii="宋体" w:eastAsia="宋体" w:hAnsi="宋体" w:cs="宋体"/>
      <w:sz w:val="18"/>
      <w:szCs w:val="18"/>
    </w:rPr>
  </w:style>
  <w:style w:type="paragraph" w:styleId="a5">
    <w:name w:val="footer"/>
    <w:basedOn w:val="a"/>
    <w:link w:val="a6"/>
    <w:uiPriority w:val="99"/>
    <w:unhideWhenUsed/>
    <w:rsid w:val="00254231"/>
    <w:pPr>
      <w:tabs>
        <w:tab w:val="center" w:pos="4153"/>
        <w:tab w:val="right" w:pos="8306"/>
      </w:tabs>
      <w:snapToGrid w:val="0"/>
    </w:pPr>
    <w:rPr>
      <w:sz w:val="18"/>
      <w:szCs w:val="18"/>
    </w:rPr>
  </w:style>
  <w:style w:type="character" w:customStyle="1" w:styleId="a6">
    <w:name w:val="页脚 字符"/>
    <w:basedOn w:val="a0"/>
    <w:link w:val="a5"/>
    <w:uiPriority w:val="99"/>
    <w:rsid w:val="0025423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584">
      <w:marLeft w:val="0"/>
      <w:marRight w:val="0"/>
      <w:marTop w:val="10"/>
      <w:marBottom w:val="10"/>
      <w:divBdr>
        <w:top w:val="none" w:sz="0" w:space="0" w:color="auto"/>
        <w:left w:val="none" w:sz="0" w:space="0" w:color="auto"/>
        <w:bottom w:val="none" w:sz="0" w:space="0" w:color="auto"/>
        <w:right w:val="none" w:sz="0" w:space="0" w:color="auto"/>
      </w:divBdr>
    </w:div>
    <w:div w:id="128325431">
      <w:marLeft w:val="0"/>
      <w:marRight w:val="720"/>
      <w:marTop w:val="10"/>
      <w:marBottom w:val="10"/>
      <w:divBdr>
        <w:top w:val="none" w:sz="0" w:space="0" w:color="auto"/>
        <w:left w:val="none" w:sz="0" w:space="0" w:color="auto"/>
        <w:bottom w:val="none" w:sz="0" w:space="0" w:color="auto"/>
        <w:right w:val="none" w:sz="0" w:space="0" w:color="auto"/>
      </w:divBdr>
    </w:div>
    <w:div w:id="132259125">
      <w:marLeft w:val="0"/>
      <w:marRight w:val="0"/>
      <w:marTop w:val="10"/>
      <w:marBottom w:val="10"/>
      <w:divBdr>
        <w:top w:val="none" w:sz="0" w:space="0" w:color="auto"/>
        <w:left w:val="none" w:sz="0" w:space="0" w:color="auto"/>
        <w:bottom w:val="none" w:sz="0" w:space="0" w:color="auto"/>
        <w:right w:val="none" w:sz="0" w:space="0" w:color="auto"/>
      </w:divBdr>
    </w:div>
    <w:div w:id="147787441">
      <w:marLeft w:val="0"/>
      <w:marRight w:val="0"/>
      <w:marTop w:val="10"/>
      <w:marBottom w:val="10"/>
      <w:divBdr>
        <w:top w:val="none" w:sz="0" w:space="0" w:color="auto"/>
        <w:left w:val="none" w:sz="0" w:space="0" w:color="auto"/>
        <w:bottom w:val="none" w:sz="0" w:space="0" w:color="auto"/>
        <w:right w:val="none" w:sz="0" w:space="0" w:color="auto"/>
      </w:divBdr>
    </w:div>
    <w:div w:id="190147370">
      <w:marLeft w:val="0"/>
      <w:marRight w:val="0"/>
      <w:marTop w:val="10"/>
      <w:marBottom w:val="10"/>
      <w:divBdr>
        <w:top w:val="none" w:sz="0" w:space="0" w:color="auto"/>
        <w:left w:val="none" w:sz="0" w:space="0" w:color="auto"/>
        <w:bottom w:val="none" w:sz="0" w:space="0" w:color="auto"/>
        <w:right w:val="none" w:sz="0" w:space="0" w:color="auto"/>
      </w:divBdr>
    </w:div>
    <w:div w:id="239412745">
      <w:marLeft w:val="0"/>
      <w:marRight w:val="0"/>
      <w:marTop w:val="10"/>
      <w:marBottom w:val="10"/>
      <w:divBdr>
        <w:top w:val="none" w:sz="0" w:space="0" w:color="auto"/>
        <w:left w:val="none" w:sz="0" w:space="0" w:color="auto"/>
        <w:bottom w:val="none" w:sz="0" w:space="0" w:color="auto"/>
        <w:right w:val="none" w:sz="0" w:space="0" w:color="auto"/>
      </w:divBdr>
    </w:div>
    <w:div w:id="583149068">
      <w:marLeft w:val="0"/>
      <w:marRight w:val="0"/>
      <w:marTop w:val="10"/>
      <w:marBottom w:val="10"/>
      <w:divBdr>
        <w:top w:val="none" w:sz="0" w:space="0" w:color="auto"/>
        <w:left w:val="none" w:sz="0" w:space="0" w:color="auto"/>
        <w:bottom w:val="none" w:sz="0" w:space="0" w:color="auto"/>
        <w:right w:val="none" w:sz="0" w:space="0" w:color="auto"/>
      </w:divBdr>
    </w:div>
    <w:div w:id="592514424">
      <w:marLeft w:val="0"/>
      <w:marRight w:val="0"/>
      <w:marTop w:val="10"/>
      <w:marBottom w:val="10"/>
      <w:divBdr>
        <w:top w:val="none" w:sz="0" w:space="0" w:color="auto"/>
        <w:left w:val="none" w:sz="0" w:space="0" w:color="auto"/>
        <w:bottom w:val="none" w:sz="0" w:space="0" w:color="auto"/>
        <w:right w:val="none" w:sz="0" w:space="0" w:color="auto"/>
      </w:divBdr>
    </w:div>
    <w:div w:id="609822919">
      <w:marLeft w:val="0"/>
      <w:marRight w:val="720"/>
      <w:marTop w:val="10"/>
      <w:marBottom w:val="10"/>
      <w:divBdr>
        <w:top w:val="none" w:sz="0" w:space="0" w:color="auto"/>
        <w:left w:val="none" w:sz="0" w:space="0" w:color="auto"/>
        <w:bottom w:val="none" w:sz="0" w:space="0" w:color="auto"/>
        <w:right w:val="none" w:sz="0" w:space="0" w:color="auto"/>
      </w:divBdr>
    </w:div>
    <w:div w:id="707338419">
      <w:marLeft w:val="0"/>
      <w:marRight w:val="0"/>
      <w:marTop w:val="10"/>
      <w:marBottom w:val="10"/>
      <w:divBdr>
        <w:top w:val="none" w:sz="0" w:space="0" w:color="auto"/>
        <w:left w:val="none" w:sz="0" w:space="0" w:color="auto"/>
        <w:bottom w:val="none" w:sz="0" w:space="0" w:color="auto"/>
        <w:right w:val="none" w:sz="0" w:space="0" w:color="auto"/>
      </w:divBdr>
    </w:div>
    <w:div w:id="736321666">
      <w:marLeft w:val="0"/>
      <w:marRight w:val="0"/>
      <w:marTop w:val="10"/>
      <w:marBottom w:val="10"/>
      <w:divBdr>
        <w:top w:val="none" w:sz="0" w:space="0" w:color="auto"/>
        <w:left w:val="none" w:sz="0" w:space="0" w:color="auto"/>
        <w:bottom w:val="none" w:sz="0" w:space="0" w:color="auto"/>
        <w:right w:val="none" w:sz="0" w:space="0" w:color="auto"/>
      </w:divBdr>
    </w:div>
    <w:div w:id="782190782">
      <w:marLeft w:val="0"/>
      <w:marRight w:val="0"/>
      <w:marTop w:val="10"/>
      <w:marBottom w:val="10"/>
      <w:divBdr>
        <w:top w:val="none" w:sz="0" w:space="0" w:color="auto"/>
        <w:left w:val="none" w:sz="0" w:space="0" w:color="auto"/>
        <w:bottom w:val="none" w:sz="0" w:space="0" w:color="auto"/>
        <w:right w:val="none" w:sz="0" w:space="0" w:color="auto"/>
      </w:divBdr>
    </w:div>
    <w:div w:id="816872967">
      <w:marLeft w:val="0"/>
      <w:marRight w:val="720"/>
      <w:marTop w:val="10"/>
      <w:marBottom w:val="10"/>
      <w:divBdr>
        <w:top w:val="none" w:sz="0" w:space="0" w:color="auto"/>
        <w:left w:val="none" w:sz="0" w:space="0" w:color="auto"/>
        <w:bottom w:val="none" w:sz="0" w:space="0" w:color="auto"/>
        <w:right w:val="none" w:sz="0" w:space="0" w:color="auto"/>
      </w:divBdr>
    </w:div>
    <w:div w:id="963775918">
      <w:marLeft w:val="0"/>
      <w:marRight w:val="0"/>
      <w:marTop w:val="10"/>
      <w:marBottom w:val="10"/>
      <w:divBdr>
        <w:top w:val="none" w:sz="0" w:space="0" w:color="auto"/>
        <w:left w:val="none" w:sz="0" w:space="0" w:color="auto"/>
        <w:bottom w:val="none" w:sz="0" w:space="0" w:color="auto"/>
        <w:right w:val="none" w:sz="0" w:space="0" w:color="auto"/>
      </w:divBdr>
    </w:div>
    <w:div w:id="1004434069">
      <w:marLeft w:val="0"/>
      <w:marRight w:val="0"/>
      <w:marTop w:val="10"/>
      <w:marBottom w:val="10"/>
      <w:divBdr>
        <w:top w:val="none" w:sz="0" w:space="0" w:color="auto"/>
        <w:left w:val="none" w:sz="0" w:space="0" w:color="auto"/>
        <w:bottom w:val="none" w:sz="0" w:space="0" w:color="auto"/>
        <w:right w:val="none" w:sz="0" w:space="0" w:color="auto"/>
      </w:divBdr>
    </w:div>
    <w:div w:id="1038119774">
      <w:marLeft w:val="0"/>
      <w:marRight w:val="0"/>
      <w:marTop w:val="10"/>
      <w:marBottom w:val="10"/>
      <w:divBdr>
        <w:top w:val="none" w:sz="0" w:space="0" w:color="auto"/>
        <w:left w:val="none" w:sz="0" w:space="0" w:color="auto"/>
        <w:bottom w:val="none" w:sz="0" w:space="0" w:color="auto"/>
        <w:right w:val="none" w:sz="0" w:space="0" w:color="auto"/>
      </w:divBdr>
    </w:div>
    <w:div w:id="1087768362">
      <w:marLeft w:val="0"/>
      <w:marRight w:val="0"/>
      <w:marTop w:val="10"/>
      <w:marBottom w:val="10"/>
      <w:divBdr>
        <w:top w:val="none" w:sz="0" w:space="0" w:color="auto"/>
        <w:left w:val="none" w:sz="0" w:space="0" w:color="auto"/>
        <w:bottom w:val="none" w:sz="0" w:space="0" w:color="auto"/>
        <w:right w:val="none" w:sz="0" w:space="0" w:color="auto"/>
      </w:divBdr>
    </w:div>
    <w:div w:id="1415277847">
      <w:marLeft w:val="0"/>
      <w:marRight w:val="0"/>
      <w:marTop w:val="10"/>
      <w:marBottom w:val="10"/>
      <w:divBdr>
        <w:top w:val="none" w:sz="0" w:space="0" w:color="auto"/>
        <w:left w:val="none" w:sz="0" w:space="0" w:color="auto"/>
        <w:bottom w:val="none" w:sz="0" w:space="0" w:color="auto"/>
        <w:right w:val="none" w:sz="0" w:space="0" w:color="auto"/>
      </w:divBdr>
    </w:div>
    <w:div w:id="1457485554">
      <w:marLeft w:val="0"/>
      <w:marRight w:val="0"/>
      <w:marTop w:val="10"/>
      <w:marBottom w:val="10"/>
      <w:divBdr>
        <w:top w:val="none" w:sz="0" w:space="0" w:color="auto"/>
        <w:left w:val="none" w:sz="0" w:space="0" w:color="auto"/>
        <w:bottom w:val="none" w:sz="0" w:space="0" w:color="auto"/>
        <w:right w:val="none" w:sz="0" w:space="0" w:color="auto"/>
      </w:divBdr>
    </w:div>
    <w:div w:id="1577934872">
      <w:marLeft w:val="0"/>
      <w:marRight w:val="0"/>
      <w:marTop w:val="10"/>
      <w:marBottom w:val="10"/>
      <w:divBdr>
        <w:top w:val="none" w:sz="0" w:space="0" w:color="auto"/>
        <w:left w:val="none" w:sz="0" w:space="0" w:color="auto"/>
        <w:bottom w:val="none" w:sz="0" w:space="0" w:color="auto"/>
        <w:right w:val="none" w:sz="0" w:space="0" w:color="auto"/>
      </w:divBdr>
    </w:div>
    <w:div w:id="1657606682">
      <w:marLeft w:val="0"/>
      <w:marRight w:val="720"/>
      <w:marTop w:val="10"/>
      <w:marBottom w:val="10"/>
      <w:divBdr>
        <w:top w:val="none" w:sz="0" w:space="0" w:color="auto"/>
        <w:left w:val="none" w:sz="0" w:space="0" w:color="auto"/>
        <w:bottom w:val="none" w:sz="0" w:space="0" w:color="auto"/>
        <w:right w:val="none" w:sz="0" w:space="0" w:color="auto"/>
      </w:divBdr>
    </w:div>
    <w:div w:id="1673412196">
      <w:marLeft w:val="0"/>
      <w:marRight w:val="0"/>
      <w:marTop w:val="10"/>
      <w:marBottom w:val="10"/>
      <w:divBdr>
        <w:top w:val="none" w:sz="0" w:space="0" w:color="auto"/>
        <w:left w:val="none" w:sz="0" w:space="0" w:color="auto"/>
        <w:bottom w:val="none" w:sz="0" w:space="0" w:color="auto"/>
        <w:right w:val="none" w:sz="0" w:space="0" w:color="auto"/>
      </w:divBdr>
    </w:div>
    <w:div w:id="2067296434">
      <w:marLeft w:val="0"/>
      <w:marRight w:val="0"/>
      <w:marTop w:val="10"/>
      <w:marBottom w:val="10"/>
      <w:divBdr>
        <w:top w:val="none" w:sz="0" w:space="0" w:color="auto"/>
        <w:left w:val="none" w:sz="0" w:space="0" w:color="auto"/>
        <w:bottom w:val="none" w:sz="0" w:space="0" w:color="auto"/>
        <w:right w:val="none" w:sz="0" w:space="0" w:color="auto"/>
      </w:divBdr>
    </w:div>
    <w:div w:id="209311833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sinx</dc:creator>
  <cp:keywords/>
  <dc:description/>
  <cp:lastModifiedBy>wang sinx</cp:lastModifiedBy>
  <cp:revision>2</cp:revision>
  <dcterms:created xsi:type="dcterms:W3CDTF">2021-03-20T17:35:00Z</dcterms:created>
  <dcterms:modified xsi:type="dcterms:W3CDTF">2021-03-20T17:35:00Z</dcterms:modified>
</cp:coreProperties>
</file>