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B14E4" w14:textId="77777777" w:rsidR="00797807" w:rsidRPr="00797807" w:rsidRDefault="00797807" w:rsidP="0079780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97807">
        <w:rPr>
          <w:rFonts w:ascii="Times New Roman" w:eastAsia="Times New Roman" w:hAnsi="Times New Roman" w:cs="Times New Roman"/>
          <w:b/>
          <w:bCs/>
          <w:sz w:val="27"/>
          <w:szCs w:val="27"/>
          <w:lang w:eastAsia="en-GB"/>
        </w:rPr>
        <w:t>Explanation of Annual Performance and Strategic Resilience</w:t>
      </w:r>
    </w:p>
    <w:p w14:paraId="7CCD4C8F" w14:textId="77777777" w:rsidR="00797807" w:rsidRPr="00797807" w:rsidRDefault="00797807" w:rsidP="00797807">
      <w:p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sz w:val="24"/>
          <w:szCs w:val="24"/>
          <w:lang w:eastAsia="en-GB"/>
        </w:rPr>
        <w:t>The annual performance chart showcases the adaptability and robustness of the trading strategy across different economic and financial crises. The results indicate that the system thrives during periods of market turbulence, capturing significant profit opportunities while maintaining risk control.</w:t>
      </w:r>
    </w:p>
    <w:p w14:paraId="6AFF1311" w14:textId="77777777" w:rsidR="00797807" w:rsidRPr="00797807" w:rsidRDefault="00797807" w:rsidP="00797807">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97807">
        <w:rPr>
          <w:rFonts w:ascii="Times New Roman" w:eastAsia="Times New Roman" w:hAnsi="Times New Roman" w:cs="Times New Roman"/>
          <w:b/>
          <w:bCs/>
          <w:sz w:val="24"/>
          <w:szCs w:val="24"/>
          <w:lang w:eastAsia="en-GB"/>
        </w:rPr>
        <w:t>Key Observations:</w:t>
      </w:r>
    </w:p>
    <w:p w14:paraId="568B5C99" w14:textId="77777777" w:rsidR="00797807" w:rsidRPr="00797807" w:rsidRDefault="00797807" w:rsidP="007978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Strong Performance in Crisis Years:</w:t>
      </w:r>
      <w:r w:rsidRPr="00797807">
        <w:rPr>
          <w:rFonts w:ascii="Times New Roman" w:eastAsia="Times New Roman" w:hAnsi="Times New Roman" w:cs="Times New Roman"/>
          <w:sz w:val="24"/>
          <w:szCs w:val="24"/>
          <w:lang w:eastAsia="en-GB"/>
        </w:rPr>
        <w:br/>
        <w:t>Major gains are recorded in years associated with financial crises, such as:</w:t>
      </w:r>
    </w:p>
    <w:p w14:paraId="3B6C494D" w14:textId="77777777" w:rsidR="00797807" w:rsidRPr="00797807" w:rsidRDefault="00797807" w:rsidP="007978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2008 Global Financial Crisis:</w:t>
      </w:r>
      <w:r w:rsidRPr="00797807">
        <w:rPr>
          <w:rFonts w:ascii="Times New Roman" w:eastAsia="Times New Roman" w:hAnsi="Times New Roman" w:cs="Times New Roman"/>
          <w:sz w:val="24"/>
          <w:szCs w:val="24"/>
          <w:lang w:eastAsia="en-GB"/>
        </w:rPr>
        <w:t xml:space="preserve"> 229.43%</w:t>
      </w:r>
    </w:p>
    <w:p w14:paraId="4444E225" w14:textId="77777777" w:rsidR="00797807" w:rsidRPr="00797807" w:rsidRDefault="00797807" w:rsidP="007978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2010-2012 Eurozone Debt Crisis:</w:t>
      </w:r>
      <w:r w:rsidRPr="00797807">
        <w:rPr>
          <w:rFonts w:ascii="Times New Roman" w:eastAsia="Times New Roman" w:hAnsi="Times New Roman" w:cs="Times New Roman"/>
          <w:sz w:val="24"/>
          <w:szCs w:val="24"/>
          <w:lang w:eastAsia="en-GB"/>
        </w:rPr>
        <w:t xml:space="preserve"> Consistently high returns</w:t>
      </w:r>
    </w:p>
    <w:p w14:paraId="21A470BF" w14:textId="77777777" w:rsidR="00797807" w:rsidRPr="00797807" w:rsidRDefault="00797807" w:rsidP="007978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2015 Swiss Franc Shock (</w:t>
      </w:r>
      <w:proofErr w:type="spellStart"/>
      <w:r w:rsidRPr="00797807">
        <w:rPr>
          <w:rFonts w:ascii="Times New Roman" w:eastAsia="Times New Roman" w:hAnsi="Times New Roman" w:cs="Times New Roman"/>
          <w:b/>
          <w:bCs/>
          <w:sz w:val="24"/>
          <w:szCs w:val="24"/>
          <w:lang w:eastAsia="en-GB"/>
        </w:rPr>
        <w:t>Francogeddon</w:t>
      </w:r>
      <w:proofErr w:type="spellEnd"/>
      <w:r w:rsidRPr="00797807">
        <w:rPr>
          <w:rFonts w:ascii="Times New Roman" w:eastAsia="Times New Roman" w:hAnsi="Times New Roman" w:cs="Times New Roman"/>
          <w:b/>
          <w:bCs/>
          <w:sz w:val="24"/>
          <w:szCs w:val="24"/>
          <w:lang w:eastAsia="en-GB"/>
        </w:rPr>
        <w:t>):</w:t>
      </w:r>
      <w:r w:rsidRPr="00797807">
        <w:rPr>
          <w:rFonts w:ascii="Times New Roman" w:eastAsia="Times New Roman" w:hAnsi="Times New Roman" w:cs="Times New Roman"/>
          <w:sz w:val="24"/>
          <w:szCs w:val="24"/>
          <w:lang w:eastAsia="en-GB"/>
        </w:rPr>
        <w:t xml:space="preserve"> 101.18%</w:t>
      </w:r>
    </w:p>
    <w:p w14:paraId="3C8617EB" w14:textId="77777777" w:rsidR="00797807" w:rsidRPr="00797807" w:rsidRDefault="00797807" w:rsidP="007978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2016 Brexit Crash:</w:t>
      </w:r>
      <w:r w:rsidRPr="00797807">
        <w:rPr>
          <w:rFonts w:ascii="Times New Roman" w:eastAsia="Times New Roman" w:hAnsi="Times New Roman" w:cs="Times New Roman"/>
          <w:sz w:val="24"/>
          <w:szCs w:val="24"/>
          <w:lang w:eastAsia="en-GB"/>
        </w:rPr>
        <w:t xml:space="preserve"> 86.14%</w:t>
      </w:r>
    </w:p>
    <w:p w14:paraId="7F50659D" w14:textId="77777777" w:rsidR="00797807" w:rsidRPr="00797807" w:rsidRDefault="00797807" w:rsidP="007978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2020 COVID-19 Liquidity Crunch:</w:t>
      </w:r>
      <w:r w:rsidRPr="00797807">
        <w:rPr>
          <w:rFonts w:ascii="Times New Roman" w:eastAsia="Times New Roman" w:hAnsi="Times New Roman" w:cs="Times New Roman"/>
          <w:sz w:val="24"/>
          <w:szCs w:val="24"/>
          <w:lang w:eastAsia="en-GB"/>
        </w:rPr>
        <w:t xml:space="preserve"> 114.36%</w:t>
      </w:r>
    </w:p>
    <w:p w14:paraId="4A5730AB" w14:textId="77777777" w:rsidR="00797807" w:rsidRPr="00797807" w:rsidRDefault="00797807" w:rsidP="00797807">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2024 Black Monday:</w:t>
      </w:r>
      <w:r w:rsidRPr="00797807">
        <w:rPr>
          <w:rFonts w:ascii="Times New Roman" w:eastAsia="Times New Roman" w:hAnsi="Times New Roman" w:cs="Times New Roman"/>
          <w:sz w:val="24"/>
          <w:szCs w:val="24"/>
          <w:lang w:eastAsia="en-GB"/>
        </w:rPr>
        <w:t xml:space="preserve"> 86.1% (so far)</w:t>
      </w:r>
    </w:p>
    <w:p w14:paraId="0DF2FB0C" w14:textId="77777777" w:rsidR="00797807" w:rsidRPr="00797807" w:rsidRDefault="00797807" w:rsidP="00797807">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797807">
        <w:rPr>
          <w:rFonts w:ascii="Times New Roman" w:eastAsia="Times New Roman" w:hAnsi="Times New Roman" w:cs="Times New Roman"/>
          <w:sz w:val="24"/>
          <w:szCs w:val="24"/>
          <w:lang w:eastAsia="en-GB"/>
        </w:rPr>
        <w:t>This suggests that the strategy is highly effective during market dislocations, possibly due to volatility-driven opportunities.</w:t>
      </w:r>
    </w:p>
    <w:p w14:paraId="3D95B68E" w14:textId="77777777" w:rsidR="00797807" w:rsidRPr="00797807" w:rsidRDefault="00797807" w:rsidP="007978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Selective Drawdowns &amp; Controlled Risk Exposure:</w:t>
      </w:r>
      <w:r w:rsidRPr="00797807">
        <w:rPr>
          <w:rFonts w:ascii="Times New Roman" w:eastAsia="Times New Roman" w:hAnsi="Times New Roman" w:cs="Times New Roman"/>
          <w:sz w:val="24"/>
          <w:szCs w:val="24"/>
          <w:lang w:eastAsia="en-GB"/>
        </w:rPr>
        <w:br/>
        <w:t xml:space="preserve">The only notable annual drawdown occurred in </w:t>
      </w:r>
      <w:r w:rsidRPr="00797807">
        <w:rPr>
          <w:rFonts w:ascii="Times New Roman" w:eastAsia="Times New Roman" w:hAnsi="Times New Roman" w:cs="Times New Roman"/>
          <w:b/>
          <w:bCs/>
          <w:sz w:val="24"/>
          <w:szCs w:val="24"/>
          <w:lang w:eastAsia="en-GB"/>
        </w:rPr>
        <w:t>2017 (-18.55%)</w:t>
      </w:r>
      <w:r w:rsidRPr="00797807">
        <w:rPr>
          <w:rFonts w:ascii="Times New Roman" w:eastAsia="Times New Roman" w:hAnsi="Times New Roman" w:cs="Times New Roman"/>
          <w:sz w:val="24"/>
          <w:szCs w:val="24"/>
          <w:lang w:eastAsia="en-GB"/>
        </w:rPr>
        <w:t xml:space="preserve">, indicating that losses are rare and well-contained. This reinforces the principle that avoiding unnecessary trades in </w:t>
      </w:r>
      <w:proofErr w:type="spellStart"/>
      <w:r w:rsidRPr="00797807">
        <w:rPr>
          <w:rFonts w:ascii="Times New Roman" w:eastAsia="Times New Roman" w:hAnsi="Times New Roman" w:cs="Times New Roman"/>
          <w:sz w:val="24"/>
          <w:szCs w:val="24"/>
          <w:lang w:eastAsia="en-GB"/>
        </w:rPr>
        <w:t>unfavorable</w:t>
      </w:r>
      <w:proofErr w:type="spellEnd"/>
      <w:r w:rsidRPr="00797807">
        <w:rPr>
          <w:rFonts w:ascii="Times New Roman" w:eastAsia="Times New Roman" w:hAnsi="Times New Roman" w:cs="Times New Roman"/>
          <w:sz w:val="24"/>
          <w:szCs w:val="24"/>
          <w:lang w:eastAsia="en-GB"/>
        </w:rPr>
        <w:t xml:space="preserve"> conditions preserves capital and enhances long-term returns.</w:t>
      </w:r>
    </w:p>
    <w:p w14:paraId="33892C18" w14:textId="77777777" w:rsidR="00797807" w:rsidRPr="00797807" w:rsidRDefault="00797807" w:rsidP="007978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Performance During Low-Volatility Periods:</w:t>
      </w:r>
      <w:r w:rsidRPr="00797807">
        <w:rPr>
          <w:rFonts w:ascii="Times New Roman" w:eastAsia="Times New Roman" w:hAnsi="Times New Roman" w:cs="Times New Roman"/>
          <w:sz w:val="24"/>
          <w:szCs w:val="24"/>
          <w:lang w:eastAsia="en-GB"/>
        </w:rPr>
        <w:br/>
        <w:t xml:space="preserve">Years with lower returns, such as </w:t>
      </w:r>
      <w:r w:rsidRPr="00797807">
        <w:rPr>
          <w:rFonts w:ascii="Times New Roman" w:eastAsia="Times New Roman" w:hAnsi="Times New Roman" w:cs="Times New Roman"/>
          <w:b/>
          <w:bCs/>
          <w:sz w:val="24"/>
          <w:szCs w:val="24"/>
          <w:lang w:eastAsia="en-GB"/>
        </w:rPr>
        <w:t>2013-2014</w:t>
      </w:r>
      <w:r w:rsidRPr="00797807">
        <w:rPr>
          <w:rFonts w:ascii="Times New Roman" w:eastAsia="Times New Roman" w:hAnsi="Times New Roman" w:cs="Times New Roman"/>
          <w:sz w:val="24"/>
          <w:szCs w:val="24"/>
          <w:lang w:eastAsia="en-GB"/>
        </w:rPr>
        <w:t xml:space="preserve"> and </w:t>
      </w:r>
      <w:r w:rsidRPr="00797807">
        <w:rPr>
          <w:rFonts w:ascii="Times New Roman" w:eastAsia="Times New Roman" w:hAnsi="Times New Roman" w:cs="Times New Roman"/>
          <w:b/>
          <w:bCs/>
          <w:sz w:val="24"/>
          <w:szCs w:val="24"/>
          <w:lang w:eastAsia="en-GB"/>
        </w:rPr>
        <w:t>2018</w:t>
      </w:r>
      <w:r w:rsidRPr="00797807">
        <w:rPr>
          <w:rFonts w:ascii="Times New Roman" w:eastAsia="Times New Roman" w:hAnsi="Times New Roman" w:cs="Times New Roman"/>
          <w:sz w:val="24"/>
          <w:szCs w:val="24"/>
          <w:lang w:eastAsia="en-GB"/>
        </w:rPr>
        <w:t>, align with relatively stable market conditions. This confirms that the system does not force trades in low-opportunity environments, further emphasizing its risk-awareness and patience.</w:t>
      </w:r>
    </w:p>
    <w:p w14:paraId="306D6BA3" w14:textId="77777777" w:rsidR="00797807" w:rsidRPr="00797807" w:rsidRDefault="00797807" w:rsidP="007978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Long-Term Profitability &amp; Sustainability:</w:t>
      </w:r>
      <w:r w:rsidRPr="00797807">
        <w:rPr>
          <w:rFonts w:ascii="Times New Roman" w:eastAsia="Times New Roman" w:hAnsi="Times New Roman" w:cs="Times New Roman"/>
          <w:sz w:val="24"/>
          <w:szCs w:val="24"/>
          <w:lang w:eastAsia="en-GB"/>
        </w:rPr>
        <w:br/>
        <w:t>Despite economic fluctuations, the strategy maintains an upward trajectory over the long term, demonstrating resilience and adaptability to different market cycles.</w:t>
      </w:r>
    </w:p>
    <w:p w14:paraId="70C71AAA" w14:textId="77777777" w:rsidR="00797807" w:rsidRPr="00797807" w:rsidRDefault="00797807" w:rsidP="00797807">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97807">
        <w:rPr>
          <w:rFonts w:ascii="Times New Roman" w:eastAsia="Times New Roman" w:hAnsi="Times New Roman" w:cs="Times New Roman"/>
          <w:b/>
          <w:bCs/>
          <w:sz w:val="24"/>
          <w:szCs w:val="24"/>
          <w:lang w:eastAsia="en-GB"/>
        </w:rPr>
        <w:t>Advantages of This Trading Approach:</w:t>
      </w:r>
    </w:p>
    <w:p w14:paraId="2156CC6B" w14:textId="77777777" w:rsidR="00797807" w:rsidRPr="00797807" w:rsidRDefault="00797807" w:rsidP="007978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Crisis-Resistant:</w:t>
      </w:r>
      <w:r w:rsidRPr="00797807">
        <w:rPr>
          <w:rFonts w:ascii="Times New Roman" w:eastAsia="Times New Roman" w:hAnsi="Times New Roman" w:cs="Times New Roman"/>
          <w:sz w:val="24"/>
          <w:szCs w:val="24"/>
          <w:lang w:eastAsia="en-GB"/>
        </w:rPr>
        <w:t xml:space="preserve"> Successfully capitalizes on volatility spikes during financial turmoil.</w:t>
      </w:r>
    </w:p>
    <w:p w14:paraId="19ECE4A3" w14:textId="77777777" w:rsidR="00797807" w:rsidRPr="00797807" w:rsidRDefault="00797807" w:rsidP="007978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Risk-Controlled:</w:t>
      </w:r>
      <w:r w:rsidRPr="00797807">
        <w:rPr>
          <w:rFonts w:ascii="Times New Roman" w:eastAsia="Times New Roman" w:hAnsi="Times New Roman" w:cs="Times New Roman"/>
          <w:sz w:val="24"/>
          <w:szCs w:val="24"/>
          <w:lang w:eastAsia="en-GB"/>
        </w:rPr>
        <w:t xml:space="preserve"> Only one significant losing year in over 15 years.</w:t>
      </w:r>
    </w:p>
    <w:p w14:paraId="300C0ACC" w14:textId="77777777" w:rsidR="00797807" w:rsidRPr="00797807" w:rsidRDefault="00797807" w:rsidP="007978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Adaptive to Market Conditions:</w:t>
      </w:r>
      <w:r w:rsidRPr="00797807">
        <w:rPr>
          <w:rFonts w:ascii="Times New Roman" w:eastAsia="Times New Roman" w:hAnsi="Times New Roman" w:cs="Times New Roman"/>
          <w:sz w:val="24"/>
          <w:szCs w:val="24"/>
          <w:lang w:eastAsia="en-GB"/>
        </w:rPr>
        <w:t xml:space="preserve"> Strong performance in high-volatility years and conservative trading in low-volatility years.</w:t>
      </w:r>
    </w:p>
    <w:p w14:paraId="5906F5D2" w14:textId="77777777" w:rsidR="00797807" w:rsidRPr="00797807" w:rsidRDefault="00797807" w:rsidP="007978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b/>
          <w:bCs/>
          <w:sz w:val="24"/>
          <w:szCs w:val="24"/>
          <w:lang w:eastAsia="en-GB"/>
        </w:rPr>
        <w:t>Long-Term Growth &amp; Stability:</w:t>
      </w:r>
      <w:r w:rsidRPr="00797807">
        <w:rPr>
          <w:rFonts w:ascii="Times New Roman" w:eastAsia="Times New Roman" w:hAnsi="Times New Roman" w:cs="Times New Roman"/>
          <w:sz w:val="24"/>
          <w:szCs w:val="24"/>
          <w:lang w:eastAsia="en-GB"/>
        </w:rPr>
        <w:t xml:space="preserve"> The system avoids excessive exposure, ensuring consistent profitability.</w:t>
      </w:r>
    </w:p>
    <w:p w14:paraId="7B115E97" w14:textId="77777777" w:rsidR="00797807" w:rsidRPr="00797807" w:rsidRDefault="00797807" w:rsidP="00797807">
      <w:pPr>
        <w:spacing w:before="100" w:beforeAutospacing="1" w:after="100" w:afterAutospacing="1" w:line="240" w:lineRule="auto"/>
        <w:rPr>
          <w:rFonts w:ascii="Times New Roman" w:eastAsia="Times New Roman" w:hAnsi="Times New Roman" w:cs="Times New Roman"/>
          <w:sz w:val="24"/>
          <w:szCs w:val="24"/>
          <w:lang w:eastAsia="en-GB"/>
        </w:rPr>
      </w:pPr>
      <w:r w:rsidRPr="00797807">
        <w:rPr>
          <w:rFonts w:ascii="Times New Roman" w:eastAsia="Times New Roman" w:hAnsi="Times New Roman" w:cs="Times New Roman"/>
          <w:sz w:val="24"/>
          <w:szCs w:val="24"/>
          <w:lang w:eastAsia="en-GB"/>
        </w:rPr>
        <w:t>This strategic approach positions the trading methodology as a robust and scalable system, capable of delivering exceptional returns while maintaining risk discipline across diverse market conditions.</w:t>
      </w:r>
    </w:p>
    <w:p w14:paraId="17886218" w14:textId="563BA578" w:rsidR="00CB6A4D" w:rsidRDefault="00797807">
      <w:r>
        <w:rPr>
          <w:noProof/>
        </w:rPr>
        <w:lastRenderedPageBreak/>
        <w:drawing>
          <wp:inline distT="0" distB="0" distL="0" distR="0" wp14:anchorId="4947E142" wp14:editId="0711266C">
            <wp:extent cx="5731510" cy="57315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sectPr w:rsidR="00CB6A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53EC1"/>
    <w:multiLevelType w:val="multilevel"/>
    <w:tmpl w:val="542E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667A6"/>
    <w:multiLevelType w:val="multilevel"/>
    <w:tmpl w:val="143A4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71A"/>
    <w:rsid w:val="0027271A"/>
    <w:rsid w:val="00797807"/>
    <w:rsid w:val="00CB6A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4A40E8-1793-4A14-99D1-8741822B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9780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797807"/>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7807"/>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797807"/>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79780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978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35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3</cp:revision>
  <dcterms:created xsi:type="dcterms:W3CDTF">2025-03-05T12:58:00Z</dcterms:created>
  <dcterms:modified xsi:type="dcterms:W3CDTF">2025-03-05T12:59:00Z</dcterms:modified>
</cp:coreProperties>
</file>