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F911" w14:textId="59A1E0AE" w:rsidR="002A0AFC" w:rsidRPr="005C73C9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Hi</w:t>
      </w:r>
      <w:r w:rsidR="009A10D2" w:rsidRPr="005C73C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ED3CF7A" w14:textId="77777777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>Here is an overview of my trading background, strategy, and funding requirements.</w:t>
      </w:r>
    </w:p>
    <w:p w14:paraId="5ECB4E0A" w14:textId="77777777" w:rsidR="002A0AFC" w:rsidRPr="002A0AFC" w:rsidRDefault="002A0AFC" w:rsidP="002A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>1. About Me</w:t>
      </w:r>
    </w:p>
    <w:p w14:paraId="387DC3DA" w14:textId="77777777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My name is Giannis (John)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Christopoulos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and I am from Kalamata, Greece. I have been exclusively focused on developing and automating Forex trading strategies for the past 11 years. Through in-depth market analysis, I identified a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recurring bar pattern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that consistently appears after moderate to significant economic announcements, providing a reliable indication of short-term trend direction.</w:t>
      </w:r>
    </w:p>
    <w:p w14:paraId="4BCF6374" w14:textId="77777777" w:rsidR="002A0AFC" w:rsidRPr="002A0AFC" w:rsidRDefault="002A0AFC" w:rsidP="002A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>2. About the Pattern</w:t>
      </w:r>
    </w:p>
    <w:p w14:paraId="6E272A23" w14:textId="15CE37AB" w:rsid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The strategy is based on the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Railway Track Pattern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Price Action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>, identifying high-probability trade setups driven by post-news volatility. Since this pattern is not dependent on tight spreads or ultra-fast execution, it performs equally well in both simulated and live conditions.</w:t>
      </w:r>
    </w:p>
    <w:p w14:paraId="233A6AEC" w14:textId="1E9FBF6C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7F4B8D" wp14:editId="3B825EB4">
            <wp:extent cx="2122330" cy="2597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95" cy="263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681D" w14:textId="77777777" w:rsidR="002A0AFC" w:rsidRPr="002A0AFC" w:rsidRDefault="002A0AFC" w:rsidP="002A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>3. My Simulated Strategy (</w:t>
      </w:r>
      <w:proofErr w:type="spellStart"/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>Backtested</w:t>
      </w:r>
      <w:proofErr w:type="spellEnd"/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Results)</w:t>
      </w:r>
    </w:p>
    <w:p w14:paraId="474093ED" w14:textId="4EBB0CE7" w:rsidR="00977F45" w:rsidRDefault="002A0AFC" w:rsidP="002A0AFC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Before going live in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my strategy was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backtested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15 years (2008 – 2023)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>, achieving:</w:t>
      </w:r>
    </w:p>
    <w:p w14:paraId="5A6423B7" w14:textId="77777777" w:rsidR="00977F45" w:rsidRDefault="002A0AFC" w:rsidP="002A0AFC">
      <w:pPr>
        <w:spacing w:before="100" w:beforeAutospacing="1" w:after="100" w:afterAutospacing="1" w:line="240" w:lineRule="auto"/>
        <w:rPr>
          <w:rFonts w:eastAsia="Times New Roman" w:cs="Segoe UI Emoji"/>
          <w:sz w:val="24"/>
          <w:szCs w:val="24"/>
        </w:rPr>
      </w:pPr>
      <w:r w:rsidRPr="002A0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Annual Growth Rate (CAGR):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90%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Win/Loss Ratio: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1.50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Profitable Trades: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59.93%</w:t>
      </w:r>
      <w:r w:rsidR="00977F45" w:rsidRPr="00977F45">
        <w:rPr>
          <w:rFonts w:eastAsia="Times New Roman" w:cs="Segoe UI Emoji"/>
          <w:sz w:val="24"/>
          <w:szCs w:val="24"/>
        </w:rPr>
        <w:t xml:space="preserve"> </w:t>
      </w:r>
    </w:p>
    <w:p w14:paraId="60795AA6" w14:textId="6EF57A5D" w:rsidR="002A0AFC" w:rsidRPr="00977F45" w:rsidRDefault="002A0AFC" w:rsidP="002A0AFC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was conducted using compounding (profit reinvestment) to maximize capital growth.</w:t>
      </w:r>
    </w:p>
    <w:p w14:paraId="2A9784F2" w14:textId="77777777" w:rsidR="002A0AFC" w:rsidRPr="002A0AFC" w:rsidRDefault="002A0AFC" w:rsidP="002A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My Live Trading Strategy</w:t>
      </w:r>
    </w:p>
    <w:p w14:paraId="11D40E4F" w14:textId="2B9508EA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In early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the brokerage firm </w:t>
      </w:r>
      <w:proofErr w:type="spellStart"/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InstaForex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approached me through my website, offering to fund my strategy with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$10,000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. Over the past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my strategy has successfully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doubled the initial capital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in a live trading environment. You can verify the real-time performance here: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437597" w:rsidRPr="004375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https://www.myfxbook.com/members/giannis/funded-instatrader/10605583</w:t>
        </w:r>
      </w:hyperlink>
    </w:p>
    <w:p w14:paraId="0F35B0BD" w14:textId="77777777" w:rsidR="002A0AFC" w:rsidRPr="002A0AFC" w:rsidRDefault="002A0AFC" w:rsidP="002A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AFC">
        <w:rPr>
          <w:rFonts w:ascii="Times New Roman" w:eastAsia="Times New Roman" w:hAnsi="Times New Roman" w:cs="Times New Roman"/>
          <w:b/>
          <w:bCs/>
          <w:sz w:val="27"/>
          <w:szCs w:val="27"/>
        </w:rPr>
        <w:t>5. Simulated vs. Live Performance</w:t>
      </w:r>
    </w:p>
    <w:p w14:paraId="19C9F371" w14:textId="77777777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At the end of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2024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, I conducted a new simulation to compare the live results with the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Same number of trades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Same Risk/Reward ratio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Same profitability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profit in both </w:t>
      </w:r>
      <w:proofErr w:type="spellStart"/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live trading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br/>
      </w:r>
      <w:r w:rsidRPr="002A0AF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Higher Profit Factor in live trading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(due to calculation differences between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A0AFC">
        <w:rPr>
          <w:rFonts w:ascii="Times New Roman" w:eastAsia="Times New Roman" w:hAnsi="Times New Roman" w:cs="Times New Roman"/>
          <w:sz w:val="24"/>
          <w:szCs w:val="24"/>
        </w:rPr>
        <w:t>Myfxbook</w:t>
      </w:r>
      <w:proofErr w:type="spellEnd"/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 metrics)</w:t>
      </w:r>
    </w:p>
    <w:p w14:paraId="738CF30A" w14:textId="09CB4698" w:rsid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AFC">
        <w:rPr>
          <w:rFonts w:ascii="Times New Roman" w:eastAsia="Times New Roman" w:hAnsi="Times New Roman" w:cs="Times New Roman"/>
          <w:sz w:val="24"/>
          <w:szCs w:val="24"/>
        </w:rPr>
        <w:t xml:space="preserve">Even the </w:t>
      </w:r>
      <w:r w:rsidRPr="002A0AFC">
        <w:rPr>
          <w:rFonts w:ascii="Times New Roman" w:eastAsia="Times New Roman" w:hAnsi="Times New Roman" w:cs="Times New Roman"/>
          <w:b/>
          <w:bCs/>
          <w:sz w:val="24"/>
          <w:szCs w:val="24"/>
        </w:rPr>
        <w:t>balance and equity curves match closely</w:t>
      </w:r>
      <w:r w:rsidRPr="002A0AFC">
        <w:rPr>
          <w:rFonts w:ascii="Times New Roman" w:eastAsia="Times New Roman" w:hAnsi="Times New Roman" w:cs="Times New Roman"/>
          <w:sz w:val="24"/>
          <w:szCs w:val="24"/>
        </w:rPr>
        <w:t>, confirming the robustness of the strategy across different environments.</w:t>
      </w:r>
    </w:p>
    <w:p w14:paraId="565FDF71" w14:textId="370BC64F" w:rsid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C3952C" wp14:editId="5CCF5BBA">
            <wp:extent cx="2657475" cy="380142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524" cy="381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86F" w14:textId="692D8686" w:rsid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EB878" w14:textId="08479BC1" w:rsid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EEB84" w14:textId="77777777" w:rsidR="002A0AFC" w:rsidRPr="002A0AFC" w:rsidRDefault="002A0AFC" w:rsidP="002A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1231E" w14:textId="10263FFE" w:rsidR="00AC7E4E" w:rsidRDefault="00AC7E4E"/>
    <w:p w14:paraId="2671A3D4" w14:textId="70A6CA77" w:rsidR="005C73C9" w:rsidRDefault="005C73C9"/>
    <w:tbl>
      <w:tblPr>
        <w:tblW w:w="0" w:type="auto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210"/>
      </w:tblGrid>
      <w:tr w:rsidR="005C73C9" w:rsidRPr="005C73C9" w14:paraId="7441A57F" w14:textId="77777777" w:rsidTr="005C73C9">
        <w:trPr>
          <w:tblCellSpacing w:w="7" w:type="dxa"/>
        </w:trPr>
        <w:tc>
          <w:tcPr>
            <w:tcW w:w="0" w:type="auto"/>
            <w:vAlign w:val="center"/>
            <w:hideMark/>
          </w:tcPr>
          <w:p w14:paraId="146BA63C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96B4E69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7EBD6B6E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311C138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573DC10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3462A5E6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FA2C4DF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7EFCEC4A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6CCDE9C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8E94C5F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63C3FA52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3D5C3FF3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1DA9FC9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6245B669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EBB05FA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60068265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51A39935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386A399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794D8E7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1131F329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69AB1C4E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47CC1F04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243C4A01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2EEF9D1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046E5D2F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37A12018" w14:textId="77777777" w:rsid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</w:pPr>
          </w:p>
          <w:p w14:paraId="77BBA1F8" w14:textId="4CE49121" w:rsidR="005C73C9" w:rsidRPr="005C73C9" w:rsidRDefault="005C73C9" w:rsidP="005C73C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8"/>
                <w:szCs w:val="28"/>
              </w:rPr>
            </w:pPr>
            <w:r w:rsidRPr="005C73C9"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  <w:t>Strategy Tester Report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sz w:val="28"/>
                <w:szCs w:val="28"/>
              </w:rPr>
              <w:t xml:space="preserve"> on 500:1 LEVERAGE</w:t>
            </w:r>
          </w:p>
        </w:tc>
      </w:tr>
      <w:tr w:rsidR="005C73C9" w:rsidRPr="005C73C9" w14:paraId="0D00F61E" w14:textId="77777777" w:rsidTr="005C73C9">
        <w:trPr>
          <w:tblCellSpacing w:w="7" w:type="dxa"/>
        </w:trPr>
        <w:tc>
          <w:tcPr>
            <w:tcW w:w="0" w:type="auto"/>
            <w:vAlign w:val="center"/>
            <w:hideMark/>
          </w:tcPr>
          <w:p w14:paraId="1576E377" w14:textId="77777777" w:rsidR="005C73C9" w:rsidRPr="005C73C9" w:rsidRDefault="005C73C9" w:rsidP="005C73C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8"/>
                <w:szCs w:val="28"/>
              </w:rPr>
            </w:pPr>
          </w:p>
        </w:tc>
      </w:tr>
    </w:tbl>
    <w:p w14:paraId="41B02629" w14:textId="5472A16B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BE152F" wp14:editId="501B4146">
            <wp:extent cx="5934075" cy="5476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C1A6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A75AD1C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4F7EE0AA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517DBD43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701A39EB" w14:textId="3DCB4ABA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AFEA06E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92CE05C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49B217E3" w14:textId="250EA48C" w:rsidR="005C73C9" w:rsidRDefault="005C73C9" w:rsidP="005C73C9">
      <w:pPr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 w:rsidRPr="005C73C9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Strategy Tester </w:t>
      </w:r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>on 500:1 YEARLY LEVERAGE DRAWDOWNS</w:t>
      </w:r>
    </w:p>
    <w:p w14:paraId="63E6F2F7" w14:textId="477EC26C" w:rsidR="005C73C9" w:rsidRDefault="005C73C9" w:rsidP="005C73C9">
      <w:r>
        <w:rPr>
          <w:noProof/>
        </w:rPr>
        <w:lastRenderedPageBreak/>
        <w:drawing>
          <wp:inline distT="0" distB="0" distL="0" distR="0" wp14:anchorId="4BEAAB00" wp14:editId="04AEF878">
            <wp:extent cx="4124325" cy="3876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973A" w14:textId="7F634477" w:rsidR="005C73C9" w:rsidRDefault="005C73C9" w:rsidP="005C73C9"/>
    <w:p w14:paraId="1E468F6E" w14:textId="13F93A44" w:rsidR="005C73C9" w:rsidRDefault="005C73C9" w:rsidP="005C73C9"/>
    <w:p w14:paraId="4AE5FF84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74884AEF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2BAFA6D1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0C9F5A4C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5857DC31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DA721B0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4FC42744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3233CBD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69DDDAC0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7F1DEB83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39E0F2C8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05CEB59B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6619B1B4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5C2594A6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28C47AEC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14AC88AD" w14:textId="77777777" w:rsidR="005C73C9" w:rsidRDefault="005C73C9" w:rsidP="005C73C9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</w:p>
    <w:p w14:paraId="5B3D0B3B" w14:textId="2CDB1C64" w:rsidR="005C73C9" w:rsidRDefault="005C73C9" w:rsidP="005C73C9">
      <w:pPr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>Quant analyzer</w:t>
      </w:r>
      <w:r w:rsidRPr="005C73C9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Report</w:t>
      </w:r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on 500:1 LEVERAGE MONTHLY</w:t>
      </w:r>
    </w:p>
    <w:p w14:paraId="6CDD011E" w14:textId="42F6B4C8" w:rsidR="005C73C9" w:rsidRDefault="005C73C9" w:rsidP="005C73C9">
      <w:r>
        <w:rPr>
          <w:rFonts w:ascii="Tahoma" w:eastAsia="Times New Roman" w:hAnsi="Tahoma" w:cs="Tahoma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2B97981" wp14:editId="7FC1A5AD">
            <wp:extent cx="5934075" cy="3286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5BC8" w14:textId="01C5A322" w:rsidR="005C73C9" w:rsidRDefault="005C73C9" w:rsidP="005C73C9">
      <w:pPr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proofErr w:type="spellStart"/>
      <w:r w:rsidRPr="005C73C9">
        <w:rPr>
          <w:rFonts w:ascii="Tahoma" w:eastAsia="Times New Roman" w:hAnsi="Tahoma" w:cs="Tahoma"/>
          <w:b/>
          <w:bCs/>
          <w:color w:val="000000"/>
          <w:sz w:val="28"/>
          <w:szCs w:val="28"/>
        </w:rPr>
        <w:t>Myfxbook</w:t>
      </w:r>
      <w:proofErr w:type="spellEnd"/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</w:t>
      </w:r>
      <w:r w:rsidRPr="005C73C9">
        <w:rPr>
          <w:rFonts w:ascii="Tahoma" w:eastAsia="Times New Roman" w:hAnsi="Tahoma" w:cs="Tahoma"/>
          <w:b/>
          <w:bCs/>
          <w:color w:val="000000"/>
          <w:sz w:val="28"/>
          <w:szCs w:val="28"/>
        </w:rPr>
        <w:t>Report</w:t>
      </w:r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on 500:1 LEVERAGE MONTHLY</w:t>
      </w:r>
    </w:p>
    <w:p w14:paraId="160FF292" w14:textId="33BD53F3" w:rsidR="005C73C9" w:rsidRDefault="005C73C9" w:rsidP="005C73C9">
      <w:pPr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14A6294" wp14:editId="1DB47E51">
            <wp:extent cx="5934075" cy="3105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4123" w14:textId="77777777" w:rsidR="005C73C9" w:rsidRDefault="005C73C9" w:rsidP="005C73C9"/>
    <w:sectPr w:rsidR="005C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4E"/>
    <w:rsid w:val="002A0AFC"/>
    <w:rsid w:val="00437597"/>
    <w:rsid w:val="005C73C9"/>
    <w:rsid w:val="00977F45"/>
    <w:rsid w:val="009A10D2"/>
    <w:rsid w:val="00A40FA8"/>
    <w:rsid w:val="00AC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A2E4"/>
  <w15:chartTrackingRefBased/>
  <w15:docId w15:val="{327A3AD9-E788-45D9-AB53-8035635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A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4375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myfxbook.com/members/giannis/funded-instatrader/10605583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</dc:creator>
  <cp:keywords/>
  <dc:description/>
  <cp:lastModifiedBy>PC6</cp:lastModifiedBy>
  <cp:revision>7</cp:revision>
  <dcterms:created xsi:type="dcterms:W3CDTF">2025-02-23T04:35:00Z</dcterms:created>
  <dcterms:modified xsi:type="dcterms:W3CDTF">2025-03-06T19:51:00Z</dcterms:modified>
</cp:coreProperties>
</file>