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2" w:lineRule="auto"/>
        <w:jc w:val="center"/>
      </w:pPr>
      <w:r>
        <w:rPr>
          <w:b/>
          <w:color w:val="0E4C8B"/>
          <w:sz w:val="36"/>
        </w:rPr>
        <w:t>Dashboard BCRP: Indicadores Macroeconómicos del Perú</w:t>
      </w:r>
    </w:p>
    <w:p>
      <w:pPr>
        <w:spacing w:after="80" w:line="252" w:lineRule="auto"/>
        <w:jc w:val="center"/>
      </w:pPr>
      <w:r>
        <w:rPr>
          <w:color w:val="6B7280"/>
          <w:sz w:val="22"/>
        </w:rPr>
        <w:t>Voluntariado 2026-I – Laboratorio de Datos Sociales</w:t>
      </w:r>
    </w:p>
    <w:p>
      <w:pPr>
        <w:spacing w:after="80" w:line="252" w:lineRule="auto"/>
        <w:jc w:val="center"/>
      </w:pPr>
      <w:r>
        <w:rPr>
          <w:sz w:val="20"/>
        </w:rPr>
        <w:t>Autor/a: [Completar]  |  Fecha de entrega: 28 de junio de 2026</w:t>
      </w:r>
    </w:p>
    <w:p>
      <w:pPr>
        <w:spacing w:after="80" w:line="252" w:lineRule="auto"/>
        <w:jc w:val="center"/>
      </w:pPr>
      <w:r>
        <w:rPr>
          <w:color w:val="FF6E14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  <w:spacing w:after="80" w:line="252" w:lineRule="auto"/>
      </w:pPr>
      <w:r>
        <w:t>II. Descripción general del proyecto</w:t>
      </w:r>
    </w:p>
    <w:p>
      <w:pPr>
        <w:spacing w:after="80" w:line="252" w:lineRule="auto"/>
      </w:pPr>
      <w:r>
        <w:rPr>
          <w:b/>
        </w:rPr>
        <w:t xml:space="preserve">Temática. </w:t>
      </w:r>
      <w:r>
        <w:t xml:space="preserve">El dashboard analiza la evolución mensual de indicadores macroeconómicos del Perú publicados por BCRPData: PBI, inflación anual, tipo de cambio interbancario promedio y tasa de referencia de la política monetaria. </w:t>
      </w:r>
      <w:r>
        <w:rPr>
          <w:b/>
        </w:rPr>
        <w:t xml:space="preserve">Problema. </w:t>
      </w:r>
      <w:r>
        <w:t xml:space="preserve">La información económica suele consultarse en series separadas, lo que dificulta comparar tendencias, detectar cambios recientes y explicar el contexto económico de forma rápida. </w:t>
      </w:r>
      <w:r>
        <w:rPr>
          <w:b/>
        </w:rPr>
        <w:t xml:space="preserve">Objetivo. </w:t>
      </w:r>
      <w:r>
        <w:t>Centralizar, limpiar y visualizar los principales indicadores para facilitar una lectura sintética y comparativa.</w:t>
      </w:r>
    </w:p>
    <w:p>
      <w:pPr>
        <w:spacing w:after="80" w:line="252" w:lineRule="auto"/>
      </w:pPr>
      <w:r>
        <w:rPr>
          <w:b/>
        </w:rPr>
        <w:t xml:space="preserve">Usuario objetivo. </w:t>
      </w:r>
      <w:r>
        <w:t>Está dirigido a estudiantes, voluntarios, analistas junior y usuarios interesados en revisar el comportamiento reciente de la economía peruana. La herramienta permite filtrar indicadores, consultar el último dato disponible, revisar la trayectoria mensual, comparar variaciones y descargar la base filtrada.</w:t>
      </w:r>
    </w:p>
    <w:p>
      <w:pPr>
        <w:pStyle w:val="Heading1"/>
        <w:spacing w:after="80" w:line="252" w:lineRule="auto"/>
      </w:pPr>
      <w:r>
        <w:t>III. Fuente de datos</w:t>
      </w:r>
    </w:p>
    <w:p>
      <w:pPr>
        <w:spacing w:after="80" w:line="252" w:lineRule="auto"/>
      </w:pPr>
      <w:r>
        <w:rPr>
          <w:b/>
        </w:rPr>
        <w:t xml:space="preserve">Fuente principal: </w:t>
      </w:r>
      <w:r>
        <w:t>BCRPData, Base de Datos de Estadísticas del Banco Central de Reserva del Perú. La base limpia incluida en el entregable fue consolidada con frecuencia mensual para el periodo enero de 2020 a junio de 2026, según disponibilidad de cada serie.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E4C8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2520"/>
            <w:shd w:fill="0E4C8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520"/>
            <w:shd w:fill="0E4C8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Unidad</w:t>
            </w:r>
          </w:p>
        </w:tc>
        <w:tc>
          <w:tcPr>
            <w:tcW w:type="dxa" w:w="2520"/>
            <w:shd w:fill="0E4C8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Último dato cargado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PN01770AM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PBI - índice 2007=100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Índice 2007=100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Abril 2026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PN01273PM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Inflación anual - IPC Lima Metropolitana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% 12 meses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Mayo 2026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PN01207PM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Tipo de cambio interbancario promedio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S/ por US$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Mayo 2026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PD04722MM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Tasa de referencia de la política monetaria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% nominal anual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Junio 2026</w:t>
            </w:r>
          </w:p>
        </w:tc>
      </w:tr>
    </w:tbl>
    <w:p>
      <w:pPr>
        <w:spacing w:after="80" w:line="252" w:lineRule="auto"/>
      </w:pPr>
      <w:r>
        <w:rPr>
          <w:b/>
        </w:rPr>
        <w:t xml:space="preserve">Variables principales: </w:t>
      </w:r>
      <w:r>
        <w:t>Periodo, año, mes, código de serie, nombre del indicador, categoría, unidad, valor, valor del mes anterior, variación mensual absoluta, variación mensual porcentual, valor del año anterior, variación interanual absoluta, variación interanual porcentual y URL de fuente.</w:t>
      </w:r>
    </w:p>
    <w:p>
      <w:pPr>
        <w:pStyle w:val="Heading1"/>
        <w:spacing w:after="80" w:line="252" w:lineRule="auto"/>
      </w:pPr>
      <w:r>
        <w:t>IV. Estructura y componentes del dashboard</w:t>
      </w:r>
    </w:p>
    <w:p>
      <w:pPr>
        <w:spacing w:after="80" w:line="252" w:lineRule="auto"/>
        <w:ind w:left="259"/>
      </w:pPr>
      <w:r>
        <w:rPr>
          <w:b/>
        </w:rPr>
        <w:t xml:space="preserve">Filtros interactivos: </w:t>
      </w:r>
      <w:r>
        <w:t>Selector de indicadores, rango de años y opción para mostrar la tabla limpia.</w:t>
      </w:r>
    </w:p>
    <w:p>
      <w:pPr>
        <w:spacing w:after="80" w:line="252" w:lineRule="auto"/>
        <w:ind w:left="259"/>
      </w:pPr>
      <w:r>
        <w:rPr>
          <w:b/>
        </w:rPr>
        <w:t xml:space="preserve">KPIs superiores: </w:t>
      </w:r>
      <w:r>
        <w:t>Tarjetas con el último valor disponible, unidad de medida y variación mensual.</w:t>
      </w:r>
    </w:p>
    <w:p>
      <w:pPr>
        <w:spacing w:after="80" w:line="252" w:lineRule="auto"/>
        <w:ind w:left="259"/>
      </w:pPr>
      <w:r>
        <w:rPr>
          <w:b/>
        </w:rPr>
        <w:t xml:space="preserve">Evolución mensual: </w:t>
      </w:r>
      <w:r>
        <w:t>Gráfico de líneas para comparar la trayectoria temporal de los indicadores seleccionados.</w:t>
      </w:r>
    </w:p>
    <w:p>
      <w:pPr>
        <w:spacing w:after="80" w:line="252" w:lineRule="auto"/>
        <w:ind w:left="259"/>
      </w:pPr>
      <w:r>
        <w:rPr>
          <w:b/>
        </w:rPr>
        <w:t xml:space="preserve">Último dato por indicador: </w:t>
      </w:r>
      <w:r>
        <w:t>Tabla ejecutiva con periodo, valor, unidad y variaciones relevantes.</w:t>
      </w:r>
    </w:p>
    <w:p>
      <w:pPr>
        <w:spacing w:after="80" w:line="252" w:lineRule="auto"/>
        <w:ind w:left="259"/>
      </w:pPr>
      <w:r>
        <w:rPr>
          <w:b/>
        </w:rPr>
        <w:t xml:space="preserve">Variación interanual: </w:t>
      </w:r>
      <w:r>
        <w:t>Gráfico de barras con variación calculada respecto al mismo mes del año anterior.</w:t>
      </w:r>
    </w:p>
    <w:p>
      <w:pPr>
        <w:spacing w:after="80" w:line="252" w:lineRule="auto"/>
        <w:ind w:left="259"/>
      </w:pPr>
      <w:r>
        <w:rPr>
          <w:b/>
        </w:rPr>
        <w:t xml:space="preserve">Descarga de datos: </w:t>
      </w:r>
      <w:r>
        <w:t>Botón para exportar la base filtrada en CSV y facilitar la trazabilidad del análisis.</w:t>
      </w:r>
    </w:p>
    <w:p>
      <w:pPr>
        <w:spacing w:after="80" w:line="252" w:lineRule="auto"/>
        <w:ind w:left="259"/>
      </w:pPr>
      <w:r>
        <w:rPr>
          <w:b/>
        </w:rPr>
        <w:t xml:space="preserve">Fuentes y metodología: </w:t>
      </w:r>
      <w:r>
        <w:t>Sección desplegable con URLs oficiales, diccionario de indicadores y notas de lectura.</w:t>
      </w:r>
    </w:p>
    <w:p>
      <w:pPr>
        <w:pStyle w:val="Heading1"/>
        <w:spacing w:after="80" w:line="252" w:lineRule="auto"/>
      </w:pPr>
      <w:r>
        <w:t>V. Principales hallazgos</w:t>
      </w:r>
    </w:p>
    <w:p>
      <w:pPr>
        <w:pStyle w:val="ListBullet"/>
        <w:spacing w:after="80" w:line="252" w:lineRule="auto"/>
      </w:pPr>
      <w:r>
        <w:t>El PBI mensual muestra una recuperación clara frente a los niveles de 2020; el último registro incorporado, abril de 2026, alcanza 191.3 puntos del índice base 2007=100.</w:t>
      </w:r>
    </w:p>
    <w:p>
      <w:pPr>
        <w:pStyle w:val="ListBullet"/>
        <w:spacing w:after="80" w:line="252" w:lineRule="auto"/>
      </w:pPr>
      <w:r>
        <w:t>La inflación anual pasó de niveles moderados en 2020 a un pico elevado durante 2022-2023 y luego se redujo; sin embargo, en mayo de 2026 vuelve a ubicarse cerca de 3.91%.</w:t>
      </w:r>
    </w:p>
    <w:p>
      <w:pPr>
        <w:pStyle w:val="ListBullet"/>
        <w:spacing w:after="80" w:line="252" w:lineRule="auto"/>
      </w:pPr>
      <w:r>
        <w:t>El tipo de cambio interbancario promedio tuvo su nivel más alto dentro de la ventana durante 2021, con valores superiores a S/ 4.00 por dólar, y hacia mayo de 2026 se ubica en S/ 3.435.</w:t>
      </w:r>
    </w:p>
    <w:p>
      <w:pPr>
        <w:pStyle w:val="ListBullet"/>
        <w:spacing w:after="80" w:line="252" w:lineRule="auto"/>
      </w:pPr>
      <w:r>
        <w:t>La tasa de referencia aumentó con fuerza entre 2021 y 2023, llegó a 7.75%, y posteriormente se redujo hasta 4.25% en junio de 2026.</w:t>
      </w:r>
    </w:p>
    <w:p>
      <w:pPr>
        <w:pStyle w:val="ListBullet"/>
        <w:spacing w:after="80" w:line="252" w:lineRule="auto"/>
      </w:pPr>
      <w:r>
        <w:t>La estructura limpia permite comparar series de distinta naturaleza sin mezclar unidades, porque cada indicador mantiene su código, categoría, unidad y fuente oficial.</w:t>
      </w:r>
    </w:p>
    <w:p>
      <w:pPr>
        <w:pStyle w:val="Heading1"/>
        <w:spacing w:after="80" w:line="252" w:lineRule="auto"/>
      </w:pPr>
      <w:r>
        <w:t>VI. Enlace al dashboard</w:t>
      </w:r>
    </w:p>
    <w:p>
      <w:pPr>
        <w:spacing w:after="80" w:line="252" w:lineRule="auto"/>
      </w:pPr>
      <w:r>
        <w:rPr>
          <w:b/>
        </w:rPr>
        <w:t xml:space="preserve">Enlace público: </w:t>
      </w:r>
      <w:r>
        <w:t>[Pegar aquí el enlace de Streamlit Community Cloud cuando se publique la app].</w:t>
      </w:r>
    </w:p>
    <w:p>
      <w:pPr>
        <w:spacing w:after="80" w:line="252" w:lineRule="auto"/>
      </w:pPr>
      <w:r>
        <w:rPr>
          <w:b/>
        </w:rPr>
        <w:t xml:space="preserve">Archivo de respaldo: </w:t>
      </w:r>
      <w:r>
        <w:t>El paquete entregable incluye la carpeta Streamlit con app.py, la base limpia en CSV, metadatos, requirements.txt, README de publicación y el Excel BCRP_Data_Limpia_Dashboard.xlsx.</w:t>
      </w:r>
    </w:p>
    <w:p>
      <w:pPr>
        <w:pStyle w:val="Heading1"/>
        <w:spacing w:after="80" w:line="252" w:lineRule="auto"/>
      </w:pPr>
      <w:r>
        <w:t>Checklist de cumplimiento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E4C8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5040"/>
            <w:shd w:fill="0E4C8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7"/>
              </w:rPr>
              <w:t>Documento descriptivo de 2 a 3 páginas</w:t>
            </w:r>
          </w:p>
        </w:tc>
        <w:tc>
          <w:tcPr>
            <w:tcW w:type="dxa" w:w="5040"/>
            <w:shd w:fill="DCFCE7"/>
          </w:tcPr>
          <w:p>
            <w:pPr>
              <w:spacing w:after="0"/>
            </w:pPr>
            <w:r>
              <w:rPr>
                <w:sz w:val="17"/>
              </w:rPr>
              <w:t>Cumple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7"/>
              </w:rPr>
              <w:t>Fuente, periodo y variables principales</w:t>
            </w:r>
          </w:p>
        </w:tc>
        <w:tc>
          <w:tcPr>
            <w:tcW w:type="dxa" w:w="5040"/>
            <w:shd w:fill="DCFCE7"/>
          </w:tcPr>
          <w:p>
            <w:pPr>
              <w:spacing w:after="0"/>
            </w:pPr>
            <w:r>
              <w:rPr>
                <w:sz w:val="17"/>
              </w:rPr>
              <w:t>Cumple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7"/>
              </w:rPr>
              <w:t>Dashboard publicable fuera de Power BI</w:t>
            </w:r>
          </w:p>
        </w:tc>
        <w:tc>
          <w:tcPr>
            <w:tcW w:type="dxa" w:w="5040"/>
            <w:shd w:fill="DCFCE7"/>
          </w:tcPr>
          <w:p>
            <w:pPr>
              <w:spacing w:after="0"/>
            </w:pPr>
            <w:r>
              <w:rPr>
                <w:sz w:val="17"/>
              </w:rPr>
              <w:t>Cumple mediante Streamlit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7"/>
              </w:rPr>
              <w:t>Datos limpios y trazables</w:t>
            </w:r>
          </w:p>
        </w:tc>
        <w:tc>
          <w:tcPr>
            <w:tcW w:type="dxa" w:w="5040"/>
            <w:shd w:fill="DCFCE7"/>
          </w:tcPr>
          <w:p>
            <w:pPr>
              <w:spacing w:after="0"/>
            </w:pPr>
            <w:r>
              <w:rPr>
                <w:sz w:val="17"/>
              </w:rPr>
              <w:t>Cumple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7"/>
              </w:rPr>
              <w:t>Enlace público</w:t>
            </w:r>
          </w:p>
        </w:tc>
        <w:tc>
          <w:tcPr>
            <w:tcW w:type="dxa" w:w="5040"/>
            <w:shd w:fill="FEF3C7"/>
          </w:tcPr>
          <w:p>
            <w:pPr>
              <w:spacing w:after="0"/>
            </w:pPr>
            <w:r>
              <w:rPr>
                <w:sz w:val="17"/>
              </w:rPr>
              <w:t>Pendiente de pegar después de publicar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Dashboard BCRP – Entrega final | Fuente: BCRPData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E4C8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E4C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E4C8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