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title"/>
      </w:pPr>
      <w:r>
        <w:t xml:space="preserve">Table *. Independent test between subtype and mutation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Gene (Mutated)</w:t>
            </w:r>
          </w:p>
        </w:tc>
        <w:tc>
          <w:p>
            <w:pPr>
              <w:pStyle w:stlname="Normal" w:val="Normal"/>
            </w:pPr>
            <w:r>
              <w:t>TMB</w:t>
            </w:r>
          </w:p>
        </w:tc>
        <w:tc>
          <w:p>
            <w:pPr>
              <w:pStyle w:stlname="Normal" w:val="Normal"/>
            </w:pPr>
            <w:r>
              <w:t>CC1</w:t>
            </w:r>
          </w:p>
        </w:tc>
        <w:tc>
          <w:p>
            <w:pPr>
              <w:pStyle w:stlname="Normal" w:val="Normal"/>
            </w:pPr>
            <w:r>
              <w:t>CC2</w:t>
            </w:r>
          </w:p>
        </w:tc>
        <w:tc>
          <w:p>
            <w:pPr>
              <w:pStyle w:stlname="Normal" w:val="Normal"/>
            </w:pPr>
            <w:r>
              <w:t>pvalue</w:t>
            </w:r>
          </w:p>
        </w:tc>
        <w:tc>
          <w:p>
            <w:pPr>
              <w:pStyle w:stlname="Normal" w:val="Normal"/>
            </w:pPr>
            <w:r>
              <w:t>padj</w:t>
            </w:r>
          </w:p>
        </w:tc>
      </w:tr>
      <w:tr>
        <w:tc>
          <w:p>
            <w:pPr>
              <w:pStyle w:stlname="Normal" w:val="Normal"/>
            </w:pPr>
            <w:r>
              <w:t>RYR2</w:t>
            </w:r>
          </w:p>
        </w:tc>
        <w:tc>
          <w:p>
            <w:pPr>
              <w:pStyle w:stlname="Normal" w:val="Normal"/>
            </w:pPr>
            <w:r>
              <w:t>38 ( 6%)</w:t>
            </w:r>
          </w:p>
        </w:tc>
        <w:tc>
          <w:p>
            <w:pPr>
              <w:pStyle w:stlname="Normal" w:val="Normal"/>
            </w:pPr>
            <w:r>
              <w:t>27 (5.4%)</w:t>
            </w:r>
          </w:p>
        </w:tc>
        <w:tc>
          <w:p>
            <w:pPr>
              <w:pStyle w:stlname="Normal" w:val="Normal"/>
            </w:pPr>
            <w:r>
              <w:t>11 (8.5%)</w:t>
            </w:r>
          </w:p>
        </w:tc>
        <w:tc>
          <w:p>
            <w:pPr>
              <w:pStyle w:stlname="Normal" w:val="Normal"/>
            </w:pPr>
            <w:r>
              <w:t>2.72e-01</w:t>
            </w:r>
          </w:p>
        </w:tc>
        <w:tc>
          <w:p>
            <w:pPr>
              <w:pStyle w:stlname="Normal" w:val="Normal"/>
            </w:pPr>
            <w:r>
              <w:t>3.89e-01</w:t>
            </w:r>
          </w:p>
        </w:tc>
      </w:tr>
      <w:tr>
        <w:tc>
          <w:p>
            <w:pPr>
              <w:pStyle w:stlname="Normal" w:val="Normal"/>
            </w:pPr>
            <w:r>
              <w:t>TP53</w:t>
            </w:r>
          </w:p>
        </w:tc>
        <w:tc>
          <w:p>
            <w:pPr>
              <w:pStyle w:stlname="Normal" w:val="Normal"/>
            </w:pPr>
            <w:r>
              <w:t>171 (27%)</w:t>
            </w:r>
          </w:p>
        </w:tc>
        <w:tc>
          <w:p>
            <w:pPr>
              <w:pStyle w:stlname="Normal" w:val="Normal"/>
            </w:pPr>
            <w:r>
              <w:t>84 (16.9%)</w:t>
            </w:r>
          </w:p>
        </w:tc>
        <w:tc>
          <w:p>
            <w:pPr>
              <w:pStyle w:stlname="Normal" w:val="Normal"/>
            </w:pPr>
            <w:r>
              <w:t>87 (67.4%)</w:t>
            </w:r>
          </w:p>
        </w:tc>
        <w:tc>
          <w:p>
            <w:pPr>
              <w:pStyle w:stlname="Normal" w:val="Normal"/>
            </w:pPr>
            <w:r>
              <w:t>7.24e-30</w:t>
            </w:r>
          </w:p>
        </w:tc>
        <w:tc>
          <w:p>
            <w:pPr>
              <w:pStyle w:stlname="Normal" w:val="Normal"/>
            </w:pPr>
            <w:r>
              <w:t>7.24e-29</w:t>
            </w:r>
          </w:p>
        </w:tc>
      </w:tr>
      <w:tr>
        <w:tc>
          <w:p>
            <w:pPr>
              <w:pStyle w:stlname="Normal" w:val="Normal"/>
            </w:pPr>
            <w:r>
              <w:t>PIK3CA</w:t>
            </w:r>
          </w:p>
        </w:tc>
        <w:tc>
          <w:p>
            <w:pPr>
              <w:pStyle w:stlname="Normal" w:val="Normal"/>
            </w:pPr>
            <w:r>
              <w:t>205 (33%)</w:t>
            </w:r>
          </w:p>
        </w:tc>
        <w:tc>
          <w:p>
            <w:pPr>
              <w:pStyle w:stlname="Normal" w:val="Normal"/>
            </w:pPr>
            <w:r>
              <w:t>197 (39.7%)</w:t>
            </w:r>
          </w:p>
        </w:tc>
        <w:tc>
          <w:p>
            <w:pPr>
              <w:pStyle w:stlname="Normal" w:val="Normal"/>
            </w:pPr>
            <w:r>
              <w:t>8 ( 6.2%)</w:t>
            </w:r>
          </w:p>
        </w:tc>
        <w:tc>
          <w:p>
            <w:pPr>
              <w:pStyle w:stlname="Normal" w:val="Normal"/>
            </w:pPr>
            <w:r>
              <w:t>1.10e-12</w:t>
            </w:r>
          </w:p>
        </w:tc>
        <w:tc>
          <w:p>
            <w:pPr>
              <w:pStyle w:stlname="Normal" w:val="Normal"/>
            </w:pPr>
            <w:r>
              <w:t>5.50e-12</w:t>
            </w:r>
          </w:p>
        </w:tc>
      </w:tr>
      <w:tr>
        <w:tc>
          <w:p>
            <w:pPr>
              <w:pStyle w:stlname="Normal" w:val="Normal"/>
            </w:pPr>
            <w:r>
              <w:t>TTN</w:t>
            </w:r>
          </w:p>
        </w:tc>
        <w:tc>
          <w:p>
            <w:pPr>
              <w:pStyle w:stlname="Normal" w:val="Normal"/>
            </w:pPr>
            <w:r>
              <w:t>102 (16%)</w:t>
            </w:r>
          </w:p>
        </w:tc>
        <w:tc>
          <w:p>
            <w:pPr>
              <w:pStyle w:stlname="Normal" w:val="Normal"/>
            </w:pPr>
            <w:r>
              <w:t>78 (15.7%)</w:t>
            </w:r>
          </w:p>
        </w:tc>
        <w:tc>
          <w:p>
            <w:pPr>
              <w:pStyle w:stlname="Normal" w:val="Normal"/>
            </w:pPr>
            <w:r>
              <w:t>24 (18.6%)</w:t>
            </w:r>
          </w:p>
        </w:tc>
        <w:tc>
          <w:p>
            <w:pPr>
              <w:pStyle w:stlname="Normal" w:val="Normal"/>
            </w:pPr>
            <w:r>
              <w:t>5.13e-01</w:t>
            </w:r>
          </w:p>
        </w:tc>
        <w:tc>
          <w:p>
            <w:pPr>
              <w:pStyle w:stlname="Normal" w:val="Normal"/>
            </w:pPr>
            <w:r>
              <w:t>5.83e-01</w:t>
            </w:r>
          </w:p>
        </w:tc>
      </w:tr>
      <w:tr>
        <w:tc>
          <w:p>
            <w:pPr>
              <w:pStyle w:stlname="Normal" w:val="Normal"/>
            </w:pPr>
            <w:r>
              <w:t>CDH1</w:t>
            </w:r>
          </w:p>
        </w:tc>
        <w:tc>
          <w:p>
            <w:pPr>
              <w:pStyle w:stlname="Normal" w:val="Normal"/>
            </w:pPr>
            <w:r>
              <w:t>50 ( 8%)</w:t>
            </w:r>
          </w:p>
        </w:tc>
        <w:tc>
          <w:p>
            <w:pPr>
              <w:pStyle w:stlname="Normal" w:val="Normal"/>
            </w:pPr>
            <w:r>
              <w:t>46 (9.3%)</w:t>
            </w:r>
          </w:p>
        </w:tc>
        <w:tc>
          <w:p>
            <w:pPr>
              <w:pStyle w:stlname="Normal" w:val="Normal"/>
            </w:pPr>
            <w:r>
              <w:t>4 (3.1%)</w:t>
            </w:r>
          </w:p>
        </w:tc>
        <w:tc>
          <w:p>
            <w:pPr>
              <w:pStyle w:stlname="Normal" w:val="Normal"/>
            </w:pPr>
            <w:r>
              <w:t>3.40e-02</w:t>
            </w:r>
          </w:p>
        </w:tc>
        <w:tc>
          <w:p>
            <w:pPr>
              <w:pStyle w:stlname="Normal" w:val="Normal"/>
            </w:pPr>
            <w:r>
              <w:t>1.04e-01</w:t>
            </w:r>
          </w:p>
        </w:tc>
      </w:tr>
      <w:tr>
        <w:tc>
          <w:p>
            <w:pPr>
              <w:pStyle w:stlname="Normal" w:val="Normal"/>
            </w:pPr>
            <w:r>
              <w:t>FLG</w:t>
            </w:r>
          </w:p>
        </w:tc>
        <w:tc>
          <w:p>
            <w:pPr>
              <w:pStyle w:stlname="Normal" w:val="Normal"/>
            </w:pPr>
            <w:r>
              <w:t>34 ( 5%)</w:t>
            </w:r>
          </w:p>
        </w:tc>
        <w:tc>
          <w:p>
            <w:pPr>
              <w:pStyle w:stlname="Normal" w:val="Normal"/>
            </w:pPr>
            <w:r>
              <w:t>23 (4.6%)</w:t>
            </w:r>
          </w:p>
        </w:tc>
        <w:tc>
          <w:p>
            <w:pPr>
              <w:pStyle w:stlname="Normal" w:val="Normal"/>
            </w:pPr>
            <w:r>
              <w:t>11 (8.5%)</w:t>
            </w:r>
          </w:p>
        </w:tc>
        <w:tc>
          <w:p>
            <w:pPr>
              <w:pStyle w:stlname="Normal" w:val="Normal"/>
            </w:pPr>
            <w:r>
              <w:t>1.29e-01</w:t>
            </w:r>
          </w:p>
        </w:tc>
        <w:tc>
          <w:p>
            <w:pPr>
              <w:pStyle w:stlname="Normal" w:val="Normal"/>
            </w:pPr>
            <w:r>
              <w:t>2.58e-01</w:t>
            </w:r>
          </w:p>
        </w:tc>
      </w:tr>
      <w:tr>
        <w:tc>
          <w:p>
            <w:pPr>
              <w:pStyle w:stlname="Normal" w:val="Normal"/>
            </w:pPr>
            <w:r>
              <w:t>MUC16</w:t>
            </w:r>
          </w:p>
        </w:tc>
        <w:tc>
          <w:p>
            <w:pPr>
              <w:pStyle w:stlname="Normal" w:val="Normal"/>
            </w:pPr>
            <w:r>
              <w:t>61 (10%)</w:t>
            </w:r>
          </w:p>
        </w:tc>
        <w:tc>
          <w:p>
            <w:pPr>
              <w:pStyle w:stlname="Normal" w:val="Normal"/>
            </w:pPr>
            <w:r>
              <w:t>46 ( 9.3%)</w:t>
            </w:r>
          </w:p>
        </w:tc>
        <w:tc>
          <w:p>
            <w:pPr>
              <w:pStyle w:stlname="Normal" w:val="Normal"/>
            </w:pPr>
            <w:r>
              <w:t>15 (11.6%)</w:t>
            </w:r>
          </w:p>
        </w:tc>
        <w:tc>
          <w:p>
            <w:pPr>
              <w:pStyle w:stlname="Normal" w:val="Normal"/>
            </w:pPr>
            <w:r>
              <w:t>5.25e-01</w:t>
            </w:r>
          </w:p>
        </w:tc>
        <w:tc>
          <w:p>
            <w:pPr>
              <w:pStyle w:stlname="Normal" w:val="Normal"/>
            </w:pPr>
            <w:r>
              <w:t>5.83e-01</w:t>
            </w:r>
          </w:p>
        </w:tc>
      </w:tr>
      <w:tr>
        <w:tc>
          <w:p>
            <w:pPr>
              <w:pStyle w:stlname="Normal" w:val="Normal"/>
            </w:pPr>
            <w:r>
              <w:t>KMT2C</w:t>
            </w:r>
          </w:p>
        </w:tc>
        <w:tc>
          <w:p>
            <w:pPr>
              <w:pStyle w:stlname="Normal" w:val="Normal"/>
            </w:pPr>
            <w:r>
              <w:t>43 ( 7%)</w:t>
            </w:r>
          </w:p>
        </w:tc>
        <w:tc>
          <w:p>
            <w:pPr>
              <w:pStyle w:stlname="Normal" w:val="Normal"/>
            </w:pPr>
            <w:r>
              <w:t>38 (7.7%)</w:t>
            </w:r>
          </w:p>
        </w:tc>
        <w:tc>
          <w:p>
            <w:pPr>
              <w:pStyle w:stlname="Normal" w:val="Normal"/>
            </w:pPr>
            <w:r>
              <w:t>5 (3.9%)</w:t>
            </w:r>
          </w:p>
        </w:tc>
        <w:tc>
          <w:p>
            <w:pPr>
              <w:pStyle w:stlname="Normal" w:val="Normal"/>
            </w:pPr>
            <w:r>
              <w:t>1.88e-01</w:t>
            </w:r>
          </w:p>
        </w:tc>
        <w:tc>
          <w:p>
            <w:pPr>
              <w:pStyle w:stlname="Normal" w:val="Normal"/>
            </w:pPr>
            <w:r>
              <w:t>3.13e-01</w:t>
            </w:r>
          </w:p>
        </w:tc>
      </w:tr>
      <w:tr>
        <w:tc>
          <w:p>
            <w:pPr>
              <w:pStyle w:stlname="Normal" w:val="Normal"/>
            </w:pPr>
            <w:r>
              <w:t>SYNE1</w:t>
            </w:r>
          </w:p>
        </w:tc>
        <w:tc>
          <w:p>
            <w:pPr>
              <w:pStyle w:stlname="Normal" w:val="Normal"/>
            </w:pPr>
            <w:r>
              <w:t>37 ( 6%)</w:t>
            </w:r>
          </w:p>
        </w:tc>
        <w:tc>
          <w:p>
            <w:pPr>
              <w:pStyle w:stlname="Normal" w:val="Normal"/>
            </w:pPr>
            <w:r>
              <w:t>24 ( 4.8%)</w:t>
            </w:r>
          </w:p>
        </w:tc>
        <w:tc>
          <w:p>
            <w:pPr>
              <w:pStyle w:stlname="Normal" w:val="Normal"/>
            </w:pPr>
            <w:r>
              <w:t>13 (10.1%)</w:t>
            </w:r>
          </w:p>
        </w:tc>
        <w:tc>
          <w:p>
            <w:pPr>
              <w:pStyle w:stlname="Normal" w:val="Normal"/>
            </w:pPr>
            <w:r>
              <w:t>4.17e-02</w:t>
            </w:r>
          </w:p>
        </w:tc>
        <w:tc>
          <w:p>
            <w:pPr>
              <w:pStyle w:stlname="Normal" w:val="Normal"/>
            </w:pPr>
            <w:r>
              <w:t>1.04e-01</w:t>
            </w:r>
          </w:p>
        </w:tc>
      </w:tr>
      <w:tr>
        <w:tc>
          <w:p>
            <w:pPr>
              <w:pStyle w:stlname="Normal" w:val="Normal"/>
            </w:pPr>
            <w:r>
              <w:t>HMCN1</w:t>
            </w:r>
          </w:p>
        </w:tc>
        <w:tc>
          <w:p>
            <w:pPr>
              <w:pStyle w:stlname="Normal" w:val="Normal"/>
            </w:pPr>
            <w:r>
              <w:t>34 ( 5%)</w:t>
            </w:r>
          </w:p>
        </w:tc>
        <w:tc>
          <w:p>
            <w:pPr>
              <w:pStyle w:stlname="Normal" w:val="Normal"/>
            </w:pPr>
            <w:r>
              <w:t>26 (5.2%)</w:t>
            </w:r>
          </w:p>
        </w:tc>
        <w:tc>
          <w:p>
            <w:pPr>
              <w:pStyle w:stlname="Normal" w:val="Normal"/>
            </w:pPr>
            <w:r>
              <w:t>8 (6.2%)</w:t>
            </w:r>
          </w:p>
        </w:tc>
        <w:tc>
          <w:p>
            <w:pPr>
              <w:pStyle w:stlname="Normal" w:val="Normal"/>
            </w:pPr>
            <w:r>
              <w:t>8.34e-01</w:t>
            </w:r>
          </w:p>
        </w:tc>
        <w:tc>
          <w:p>
            <w:pPr>
              <w:pStyle w:stlname="Normal" w:val="Normal"/>
            </w:pPr>
            <w:r>
              <w:t>8.34e-01</w:t>
            </w:r>
          </w:p>
        </w:tc>
      </w:tr>
    </w:tbl>
    <w:p>
      <w:pPr>
        <w:pStyle w:val="Normal"/>
      </w:pPr>
      <w:r>
        <w:t xml:space="preserve">Note: ...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2025-04-23T15:30:39Z</dcterms:modified>
  <cp:category/>
</cp:coreProperties>
</file>