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

<Relationships  xmlns="http://schemas.openxmlformats.org/package/2006/relationships">
<Relationship Id="rId3" Type="http://schemas.openxmlformats.org/officeDocument/2006/relationships/extended-properties" Target="docProps/app.xml"/>
<Relationship Id="rId2" Type="http://schemas.openxmlformats.org/package/2006/relationships/metadata/core-properties" Target="docProps/core.xml"/>
<Relationship Id="rId1" Type="http://schemas.openxmlformats.org/officeDocument/2006/relationships/officeDocument" Target="word/document.xml"/>
</Relationships>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abletitle"/>
      </w:pPr>
      <w:r>
        <w:t xml:space="preserve">Table *. Independent test between subtype and mutation</w:t>
      </w:r>
    </w:p>
    <w:tbl>
      <w:tblPr>
        <w:tblStyle w:stlname="table_template" w:val="tabletemplate"/>
        <w:tblLayout w:type="autofit"/>
        <w:jc w:val="center"/>
        <w:tblW w:type="pct" w:w="5000"/>
        <w:tblLook w:firstRow="1" w:lastRow="0" w:firstColumn="0" w:lastColumn="0" w:noHBand="0" w:noVBand="1"/>
      </w:tblPr>
      <w:tr>
        <w:trPr>
          <w:tblHeader/>
        </w:trPr>
        <w:tc>
          <w:p>
            <w:pPr>
              <w:pStyle w:stlname="Normal" w:val="Normal"/>
            </w:pPr>
            <w:r>
              <w:t>Gene (Mutated)</w:t>
            </w:r>
          </w:p>
        </w:tc>
        <w:tc>
          <w:p>
            <w:pPr>
              <w:pStyle w:stlname="Normal" w:val="Normal"/>
            </w:pPr>
            <w:r>
              <w:t>TMB</w:t>
            </w:r>
          </w:p>
        </w:tc>
        <w:tc>
          <w:p>
            <w:pPr>
              <w:pStyle w:stlname="Normal" w:val="Normal"/>
            </w:pPr>
            <w:r>
              <w:t>ab-SNF1</w:t>
            </w:r>
          </w:p>
        </w:tc>
        <w:tc>
          <w:p>
            <w:pPr>
              <w:pStyle w:stlname="Normal" w:val="Normal"/>
            </w:pPr>
            <w:r>
              <w:t>ab-SNF2</w:t>
            </w:r>
          </w:p>
        </w:tc>
        <w:tc>
          <w:p>
            <w:pPr>
              <w:pStyle w:stlname="Normal" w:val="Normal"/>
            </w:pPr>
            <w:r>
              <w:t>pvalue</w:t>
            </w:r>
          </w:p>
        </w:tc>
        <w:tc>
          <w:p>
            <w:pPr>
              <w:pStyle w:stlname="Normal" w:val="Normal"/>
            </w:pPr>
            <w:r>
              <w:t>padj</w:t>
            </w:r>
          </w:p>
        </w:tc>
      </w:tr>
      <w:tr>
        <w:tc>
          <w:p>
            <w:pPr>
              <w:pStyle w:stlname="Normal" w:val="Normal"/>
            </w:pPr>
            <w:r>
              <w:t>RYR2</w:t>
            </w:r>
          </w:p>
        </w:tc>
        <w:tc>
          <w:p>
            <w:pPr>
              <w:pStyle w:stlname="Normal" w:val="Normal"/>
            </w:pPr>
            <w:r>
              <w:t>38 ( 6%)</w:t>
            </w:r>
          </w:p>
        </w:tc>
        <w:tc>
          <w:p>
            <w:pPr>
              <w:pStyle w:stlname="Normal" w:val="Normal"/>
            </w:pPr>
            <w:r>
              <w:t>27 (5.3%)</w:t>
            </w:r>
          </w:p>
        </w:tc>
        <w:tc>
          <w:p>
            <w:pPr>
              <w:pStyle w:stlname="Normal" w:val="Normal"/>
            </w:pPr>
            <w:r>
              <w:t>11 (9.2%)</w:t>
            </w:r>
          </w:p>
        </w:tc>
        <w:tc>
          <w:p>
            <w:pPr>
              <w:pStyle w:stlname="Normal" w:val="Normal"/>
            </w:pPr>
            <w:r>
              <w:t>1.33e-01</w:t>
            </w:r>
          </w:p>
        </w:tc>
        <w:tc>
          <w:p>
            <w:pPr>
              <w:pStyle w:stlname="Normal" w:val="Normal"/>
            </w:pPr>
            <w:r>
              <w:t>2.22e-01</w:t>
            </w:r>
          </w:p>
        </w:tc>
      </w:tr>
      <w:tr>
        <w:tc>
          <w:p>
            <w:pPr>
              <w:pStyle w:stlname="Normal" w:val="Normal"/>
            </w:pPr>
            <w:r>
              <w:t>TP53</w:t>
            </w:r>
          </w:p>
        </w:tc>
        <w:tc>
          <w:p>
            <w:pPr>
              <w:pStyle w:stlname="Normal" w:val="Normal"/>
            </w:pPr>
            <w:r>
              <w:t>171 (27%)</w:t>
            </w:r>
          </w:p>
        </w:tc>
        <w:tc>
          <w:p>
            <w:pPr>
              <w:pStyle w:stlname="Normal" w:val="Normal"/>
            </w:pPr>
            <w:r>
              <w:t>90 (17.8%)</w:t>
            </w:r>
          </w:p>
        </w:tc>
        <w:tc>
          <w:p>
            <w:pPr>
              <w:pStyle w:stlname="Normal" w:val="Normal"/>
            </w:pPr>
            <w:r>
              <w:t>81 (68.1%)</w:t>
            </w:r>
          </w:p>
        </w:tc>
        <w:tc>
          <w:p>
            <w:pPr>
              <w:pStyle w:stlname="Normal" w:val="Normal"/>
            </w:pPr>
            <w:r>
              <w:t>1.04e-25</w:t>
            </w:r>
          </w:p>
        </w:tc>
        <w:tc>
          <w:p>
            <w:pPr>
              <w:pStyle w:stlname="Normal" w:val="Normal"/>
            </w:pPr>
            <w:r>
              <w:t>1.04e-24</w:t>
            </w:r>
          </w:p>
        </w:tc>
      </w:tr>
      <w:tr>
        <w:tc>
          <w:p>
            <w:pPr>
              <w:pStyle w:stlname="Normal" w:val="Normal"/>
            </w:pPr>
            <w:r>
              <w:t>PIK3CA</w:t>
            </w:r>
          </w:p>
        </w:tc>
        <w:tc>
          <w:p>
            <w:pPr>
              <w:pStyle w:stlname="Normal" w:val="Normal"/>
            </w:pPr>
            <w:r>
              <w:t>205 (33%)</w:t>
            </w:r>
          </w:p>
        </w:tc>
        <w:tc>
          <w:p>
            <w:pPr>
              <w:pStyle w:stlname="Normal" w:val="Normal"/>
            </w:pPr>
            <w:r>
              <w:t>201 (39.7%)</w:t>
            </w:r>
          </w:p>
        </w:tc>
        <w:tc>
          <w:p>
            <w:pPr>
              <w:pStyle w:stlname="Normal" w:val="Normal"/>
            </w:pPr>
            <w:r>
              <w:t>4 ( 3.4%)</w:t>
            </w:r>
          </w:p>
        </w:tc>
        <w:tc>
          <w:p>
            <w:pPr>
              <w:pStyle w:stlname="Normal" w:val="Normal"/>
            </w:pPr>
            <w:r>
              <w:t>1.40e-17</w:t>
            </w:r>
          </w:p>
        </w:tc>
        <w:tc>
          <w:p>
            <w:pPr>
              <w:pStyle w:stlname="Normal" w:val="Normal"/>
            </w:pPr>
            <w:r>
              <w:t>7.00e-17</w:t>
            </w:r>
          </w:p>
        </w:tc>
      </w:tr>
      <w:tr>
        <w:tc>
          <w:p>
            <w:pPr>
              <w:pStyle w:stlname="Normal" w:val="Normal"/>
            </w:pPr>
            <w:r>
              <w:t>TTN</w:t>
            </w:r>
          </w:p>
        </w:tc>
        <w:tc>
          <w:p>
            <w:pPr>
              <w:pStyle w:stlname="Normal" w:val="Normal"/>
            </w:pPr>
            <w:r>
              <w:t>102 (16%)</w:t>
            </w:r>
          </w:p>
        </w:tc>
        <w:tc>
          <w:p>
            <w:pPr>
              <w:pStyle w:stlname="Normal" w:val="Normal"/>
            </w:pPr>
            <w:r>
              <w:t>81 (16.0%)</w:t>
            </w:r>
          </w:p>
        </w:tc>
        <w:tc>
          <w:p>
            <w:pPr>
              <w:pStyle w:stlname="Normal" w:val="Normal"/>
            </w:pPr>
            <w:r>
              <w:t>21 (17.6%)</w:t>
            </w:r>
          </w:p>
        </w:tc>
        <w:tc>
          <w:p>
            <w:pPr>
              <w:pStyle w:stlname="Normal" w:val="Normal"/>
            </w:pPr>
            <w:r>
              <w:t>6.80e-01</w:t>
            </w:r>
          </w:p>
        </w:tc>
        <w:tc>
          <w:p>
            <w:pPr>
              <w:pStyle w:stlname="Normal" w:val="Normal"/>
            </w:pPr>
            <w:r>
              <w:t>7.56e-01</w:t>
            </w:r>
          </w:p>
        </w:tc>
      </w:tr>
      <w:tr>
        <w:tc>
          <w:p>
            <w:pPr>
              <w:pStyle w:stlname="Normal" w:val="Normal"/>
            </w:pPr>
            <w:r>
              <w:t>CDH1</w:t>
            </w:r>
          </w:p>
        </w:tc>
        <w:tc>
          <w:p>
            <w:pPr>
              <w:pStyle w:stlname="Normal" w:val="Normal"/>
            </w:pPr>
            <w:r>
              <w:t>50 ( 8%)</w:t>
            </w:r>
          </w:p>
        </w:tc>
        <w:tc>
          <w:p>
            <w:pPr>
              <w:pStyle w:stlname="Normal" w:val="Normal"/>
            </w:pPr>
            <w:r>
              <w:t>48 (9.5%)</w:t>
            </w:r>
          </w:p>
        </w:tc>
        <w:tc>
          <w:p>
            <w:pPr>
              <w:pStyle w:stlname="Normal" w:val="Normal"/>
            </w:pPr>
            <w:r>
              <w:t>2 (1.7%)</w:t>
            </w:r>
          </w:p>
        </w:tc>
        <w:tc>
          <w:p>
            <w:pPr>
              <w:pStyle w:stlname="Normal" w:val="Normal"/>
            </w:pPr>
            <w:r>
              <w:t>2.37e-03</w:t>
            </w:r>
          </w:p>
        </w:tc>
        <w:tc>
          <w:p>
            <w:pPr>
              <w:pStyle w:stlname="Normal" w:val="Normal"/>
            </w:pPr>
            <w:r>
              <w:t>7.90e-03</w:t>
            </w:r>
          </w:p>
        </w:tc>
      </w:tr>
      <w:tr>
        <w:tc>
          <w:p>
            <w:pPr>
              <w:pStyle w:stlname="Normal" w:val="Normal"/>
            </w:pPr>
            <w:r>
              <w:t>FLG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23 (4.5%)</w:t>
            </w:r>
          </w:p>
        </w:tc>
        <w:tc>
          <w:p>
            <w:pPr>
              <w:pStyle w:stlname="Normal" w:val="Normal"/>
            </w:pPr>
            <w:r>
              <w:t>11 (9.2%)</w:t>
            </w:r>
          </w:p>
        </w:tc>
        <w:tc>
          <w:p>
            <w:pPr>
              <w:pStyle w:stlname="Normal" w:val="Normal"/>
            </w:pPr>
            <w:r>
              <w:t>6.83e-02</w:t>
            </w:r>
          </w:p>
        </w:tc>
        <w:tc>
          <w:p>
            <w:pPr>
              <w:pStyle w:stlname="Normal" w:val="Normal"/>
            </w:pPr>
            <w:r>
              <w:t>1.37e-01</w:t>
            </w:r>
          </w:p>
        </w:tc>
      </w:tr>
      <w:tr>
        <w:tc>
          <w:p>
            <w:pPr>
              <w:pStyle w:stlname="Normal" w:val="Normal"/>
            </w:pPr>
            <w:r>
              <w:t>MUC16</w:t>
            </w:r>
          </w:p>
        </w:tc>
        <w:tc>
          <w:p>
            <w:pPr>
              <w:pStyle w:stlname="Normal" w:val="Normal"/>
            </w:pPr>
            <w:r>
              <w:t>61 (10%)</w:t>
            </w:r>
          </w:p>
        </w:tc>
        <w:tc>
          <w:p>
            <w:pPr>
              <w:pStyle w:stlname="Normal" w:val="Normal"/>
            </w:pPr>
            <w:r>
              <w:t>48 ( 9.5%)</w:t>
            </w:r>
          </w:p>
        </w:tc>
        <w:tc>
          <w:p>
            <w:pPr>
              <w:pStyle w:stlname="Normal" w:val="Normal"/>
            </w:pPr>
            <w:r>
              <w:t>13 (10.9%)</w:t>
            </w:r>
          </w:p>
        </w:tc>
        <w:tc>
          <w:p>
            <w:pPr>
              <w:pStyle w:stlname="Normal" w:val="Normal"/>
            </w:pPr>
            <w:r>
              <w:t>6.09e-01</w:t>
            </w:r>
          </w:p>
        </w:tc>
        <w:tc>
          <w:p>
            <w:pPr>
              <w:pStyle w:stlname="Normal" w:val="Normal"/>
            </w:pPr>
            <w:r>
              <w:t>7.56e-01</w:t>
            </w:r>
          </w:p>
        </w:tc>
      </w:tr>
      <w:tr>
        <w:tc>
          <w:p>
            <w:pPr>
              <w:pStyle w:stlname="Normal" w:val="Normal"/>
            </w:pPr>
            <w:r>
              <w:t>KMT2C</w:t>
            </w:r>
          </w:p>
        </w:tc>
        <w:tc>
          <w:p>
            <w:pPr>
              <w:pStyle w:stlname="Normal" w:val="Normal"/>
            </w:pPr>
            <w:r>
              <w:t>43 ( 7%)</w:t>
            </w:r>
          </w:p>
        </w:tc>
        <w:tc>
          <w:p>
            <w:pPr>
              <w:pStyle w:stlname="Normal" w:val="Normal"/>
            </w:pPr>
            <w:r>
              <w:t>38 (7.5%)</w:t>
            </w:r>
          </w:p>
        </w:tc>
        <w:tc>
          <w:p>
            <w:pPr>
              <w:pStyle w:stlname="Normal" w:val="Normal"/>
            </w:pPr>
            <w:r>
              <w:t>5 (4.2%)</w:t>
            </w:r>
          </w:p>
        </w:tc>
        <w:tc>
          <w:p>
            <w:pPr>
              <w:pStyle w:stlname="Normal" w:val="Normal"/>
            </w:pPr>
            <w:r>
              <w:t>2.32e-01</w:t>
            </w:r>
          </w:p>
        </w:tc>
        <w:tc>
          <w:p>
            <w:pPr>
              <w:pStyle w:stlname="Normal" w:val="Normal"/>
            </w:pPr>
            <w:r>
              <w:t>3.31e-01</w:t>
            </w:r>
          </w:p>
        </w:tc>
      </w:tr>
      <w:tr>
        <w:tc>
          <w:p>
            <w:pPr>
              <w:pStyle w:stlname="Normal" w:val="Normal"/>
            </w:pPr>
            <w:r>
              <w:t>SYNE1</w:t>
            </w:r>
          </w:p>
        </w:tc>
        <w:tc>
          <w:p>
            <w:pPr>
              <w:pStyle w:stlname="Normal" w:val="Normal"/>
            </w:pPr>
            <w:r>
              <w:t>37 ( 6%)</w:t>
            </w:r>
          </w:p>
        </w:tc>
        <w:tc>
          <w:p>
            <w:pPr>
              <w:pStyle w:stlname="Normal" w:val="Normal"/>
            </w:pPr>
            <w:r>
              <w:t>25 ( 4.9%)</w:t>
            </w:r>
          </w:p>
        </w:tc>
        <w:tc>
          <w:p>
            <w:pPr>
              <w:pStyle w:stlname="Normal" w:val="Normal"/>
            </w:pPr>
            <w:r>
              <w:t>12 (10.1%)</w:t>
            </w:r>
          </w:p>
        </w:tc>
        <w:tc>
          <w:p>
            <w:pPr>
              <w:pStyle w:stlname="Normal" w:val="Normal"/>
            </w:pPr>
            <w:r>
              <w:t>4.89e-02</w:t>
            </w:r>
          </w:p>
        </w:tc>
        <w:tc>
          <w:p>
            <w:pPr>
              <w:pStyle w:stlname="Normal" w:val="Normal"/>
            </w:pPr>
            <w:r>
              <w:t>1.22e-01</w:t>
            </w:r>
          </w:p>
        </w:tc>
      </w:tr>
      <w:tr>
        <w:tc>
          <w:p>
            <w:pPr>
              <w:pStyle w:stlname="Normal" w:val="Normal"/>
            </w:pPr>
            <w:r>
              <w:t>HMCN1</w:t>
            </w:r>
          </w:p>
        </w:tc>
        <w:tc>
          <w:p>
            <w:pPr>
              <w:pStyle w:stlname="Normal" w:val="Normal"/>
            </w:pPr>
            <w:r>
              <w:t>34 ( 5%)</w:t>
            </w:r>
          </w:p>
        </w:tc>
        <w:tc>
          <w:p>
            <w:pPr>
              <w:pStyle w:stlname="Normal" w:val="Normal"/>
            </w:pPr>
            <w:r>
              <w:t>28 (5.5%)</w:t>
            </w:r>
          </w:p>
        </w:tc>
        <w:tc>
          <w:p>
            <w:pPr>
              <w:pStyle w:stlname="Normal" w:val="Normal"/>
            </w:pPr>
            <w:r>
              <w:t>6 (5.0%)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  <w:tc>
          <w:p>
            <w:pPr>
              <w:pStyle w:stlname="Normal" w:val="Normal"/>
            </w:pPr>
            <w:r>
              <w:t>1.00e+00</w:t>
            </w:r>
          </w:p>
        </w:tc>
      </w:tr>
    </w:tbl>
    <w:p>
      <w:pPr>
        <w:pStyle w:val="Normal"/>
      </w:pPr>
      <w:r>
        <w:t xml:space="preserve">Note: ...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

<Relationships  xmlns="http://schemas.openxmlformats.org/package/2006/relationships">
<Relationship Id="rId3" Type="http://schemas.openxmlformats.org/officeDocument/2006/relationships/settings" Target="settings.xml"/>
<Relationship Id="rId2" Type="http://schemas.openxmlformats.org/officeDocument/2006/relationships/styles" Target="styles.xml"/>
<Relationship Id="rId1" Type="http://schemas.openxmlformats.org/officeDocument/2006/relationships/numbering" Target="numbering.xml"/>
<Relationship Id="rId6" Type="http://schemas.openxmlformats.org/officeDocument/2006/relationships/theme" Target="theme/theme1.xml"/>
<Relationship Id="rId5" Type="http://schemas.openxmlformats.org/officeDocument/2006/relationships/fontTable" Target="fontTable.xml"/>
<Relationship Id="rId4" Type="http://schemas.openxmlformats.org/officeDocument/2006/relationships/webSettings" Target="webSettings.xml"/>
</Relationships>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/>
  <cp:revision>9</cp:revision>
  <dcterms:created xsi:type="dcterms:W3CDTF">2017-02-28T11:18:00Z</dcterms:created>
  <dcterms:modified xsi:type="dcterms:W3CDTF">2025-02-16T11:48:44Z</dcterms:modified>
  <cp:category/>
</cp:coreProperties>
</file>