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abletitle"/>
      </w:pPr>
      <w:r>
        <w:t xml:space="preserve">Table *. Independent test between subtype and mutation</w:t>
      </w:r>
    </w:p>
    <w:tbl>
      <w:tblPr>
        <w:tblStyle w:stlname="table_template" w:val="tabletemplate"/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stlname="Normal" w:val="Normal"/>
            </w:pPr>
            <w:r>
              <w:t>Gene (Mutated)</w:t>
            </w:r>
          </w:p>
        </w:tc>
        <w:tc>
          <w:p>
            <w:pPr>
              <w:pStyle w:stlname="Normal" w:val="Normal"/>
            </w:pPr>
            <w:r>
              <w:t>TMB</w:t>
            </w:r>
          </w:p>
        </w:tc>
        <w:tc>
          <w:p>
            <w:pPr>
              <w:pStyle w:stlname="Normal" w:val="Normal"/>
            </w:pPr>
            <w:r>
              <w:t>CS1</w:t>
            </w:r>
          </w:p>
        </w:tc>
        <w:tc>
          <w:p>
            <w:pPr>
              <w:pStyle w:stlname="Normal" w:val="Normal"/>
            </w:pPr>
            <w:r>
              <w:t>CS2</w:t>
            </w:r>
          </w:p>
        </w:tc>
        <w:tc>
          <w:p>
            <w:pPr>
              <w:pStyle w:stlname="Normal" w:val="Normal"/>
            </w:pPr>
            <w:r>
              <w:t>CS3</w:t>
            </w:r>
          </w:p>
        </w:tc>
        <w:tc>
          <w:p>
            <w:pPr>
              <w:pStyle w:stlname="Normal" w:val="Normal"/>
            </w:pPr>
            <w:r>
              <w:t>pvalue</w:t>
            </w:r>
          </w:p>
        </w:tc>
        <w:tc>
          <w:p>
            <w:pPr>
              <w:pStyle w:stlname="Normal" w:val="Normal"/>
            </w:pPr>
            <w:r>
              <w:t>padj</w:t>
            </w:r>
          </w:p>
        </w:tc>
      </w:tr>
      <w:tr>
        <w:tc>
          <w:p>
            <w:pPr>
              <w:pStyle w:stlname="Normal" w:val="Normal"/>
            </w:pPr>
            <w:r>
              <w:t>CDH1</w:t>
            </w:r>
          </w:p>
        </w:tc>
        <w:tc>
          <w:p>
            <w:pPr>
              <w:pStyle w:stlname="Normal" w:val="Normal"/>
            </w:pPr>
            <w:r>
              <w:t>50 ( 8%)</w:t>
            </w:r>
          </w:p>
        </w:tc>
        <w:tc>
          <w:p>
            <w:pPr>
              <w:pStyle w:stlname="Normal" w:val="Normal"/>
            </w:pPr>
            <w:r>
              <w:t>44 (9.4%)</w:t>
            </w:r>
          </w:p>
        </w:tc>
        <w:tc>
          <w:p>
            <w:pPr>
              <w:pStyle w:stlname="Normal" w:val="Normal"/>
            </w:pPr>
            <w:r>
              <w:t>5 (3.1%)</w:t>
            </w:r>
          </w:p>
        </w:tc>
        <w:tc>
          <w:p>
            <w:pPr>
              <w:pStyle w:stlname="Normal" w:val="Normal"/>
            </w:pPr>
            <w:r>
              <w:t>1 (6.7%)</w:t>
            </w:r>
          </w:p>
        </w:tc>
        <w:tc>
          <w:p>
            <w:pPr>
              <w:pStyle w:stlname="Normal" w:val="Normal"/>
            </w:pPr>
            <w:r>
              <w:t>2.37e-02</w:t>
            </w:r>
          </w:p>
        </w:tc>
        <w:tc>
          <w:p>
            <w:pPr>
              <w:pStyle w:stlname="Normal" w:val="Normal"/>
            </w:pPr>
            <w:r>
              <w:t>5.92e-02</w:t>
            </w:r>
          </w:p>
        </w:tc>
      </w:tr>
      <w:tr>
        <w:tc>
          <w:p>
            <w:pPr>
              <w:pStyle w:stlname="Normal" w:val="Normal"/>
            </w:pPr>
            <w:r>
              <w:t>FLG</w:t>
            </w:r>
          </w:p>
        </w:tc>
        <w:tc>
          <w:p>
            <w:pPr>
              <w:pStyle w:stlname="Normal" w:val="Normal"/>
            </w:pPr>
            <w:r>
              <w:t>35 ( 5%)</w:t>
            </w:r>
          </w:p>
        </w:tc>
        <w:tc>
          <w:p>
            <w:pPr>
              <w:pStyle w:stlname="Normal" w:val="Normal"/>
            </w:pPr>
            <w:r>
              <w:t>19 ( 4.1%)</w:t>
            </w:r>
          </w:p>
        </w:tc>
        <w:tc>
          <w:p>
            <w:pPr>
              <w:pStyle w:stlname="Normal" w:val="Normal"/>
            </w:pPr>
            <w:r>
              <w:t>13 ( 8.1%)</w:t>
            </w:r>
          </w:p>
        </w:tc>
        <w:tc>
          <w:p>
            <w:pPr>
              <w:pStyle w:stlname="Normal" w:val="Normal"/>
            </w:pPr>
            <w:r>
              <w:t>3 (20.0%)</w:t>
            </w:r>
          </w:p>
        </w:tc>
        <w:tc>
          <w:p>
            <w:pPr>
              <w:pStyle w:stlname="Normal" w:val="Normal"/>
            </w:pPr>
            <w:r>
              <w:t>9.42e-03</w:t>
            </w:r>
          </w:p>
        </w:tc>
        <w:tc>
          <w:p>
            <w:pPr>
              <w:pStyle w:stlname="Normal" w:val="Normal"/>
            </w:pPr>
            <w:r>
              <w:t>3.14e-02</w:t>
            </w:r>
          </w:p>
        </w:tc>
      </w:tr>
      <w:tr>
        <w:tc>
          <w:p>
            <w:pPr>
              <w:pStyle w:stlname="Normal" w:val="Normal"/>
            </w:pPr>
            <w:r>
              <w:t>HMCN1</w:t>
            </w:r>
          </w:p>
        </w:tc>
        <w:tc>
          <w:p>
            <w:pPr>
              <w:pStyle w:stlname="Normal" w:val="Normal"/>
            </w:pPr>
            <w:r>
              <w:t>36 ( 6%)</w:t>
            </w:r>
          </w:p>
        </w:tc>
        <w:tc>
          <w:p>
            <w:pPr>
              <w:pStyle w:stlname="Normal" w:val="Normal"/>
            </w:pPr>
            <w:r>
              <w:t>25 (5.3%)</w:t>
            </w:r>
          </w:p>
        </w:tc>
        <w:tc>
          <w:p>
            <w:pPr>
              <w:pStyle w:stlname="Normal" w:val="Normal"/>
            </w:pPr>
            <w:r>
              <w:t>10 (6.2%)</w:t>
            </w:r>
          </w:p>
        </w:tc>
        <w:tc>
          <w:p>
            <w:pPr>
              <w:pStyle w:stlname="Normal" w:val="Normal"/>
            </w:pPr>
            <w:r>
              <w:t>1 (6.7%)</w:t>
            </w:r>
          </w:p>
        </w:tc>
        <w:tc>
          <w:p>
            <w:pPr>
              <w:pStyle w:stlname="Normal" w:val="Normal"/>
            </w:pPr>
            <w:r>
              <w:t>6.96e-01</w:t>
            </w:r>
          </w:p>
        </w:tc>
        <w:tc>
          <w:p>
            <w:pPr>
              <w:pStyle w:stlname="Normal" w:val="Normal"/>
            </w:pPr>
            <w:r>
              <w:t>6.96e-01</w:t>
            </w:r>
          </w:p>
        </w:tc>
      </w:tr>
      <w:tr>
        <w:tc>
          <w:p>
            <w:pPr>
              <w:pStyle w:stlname="Normal" w:val="Normal"/>
            </w:pPr>
            <w:r>
              <w:t>KMT2C</w:t>
            </w:r>
          </w:p>
        </w:tc>
        <w:tc>
          <w:p>
            <w:pPr>
              <w:pStyle w:stlname="Normal" w:val="Normal"/>
            </w:pPr>
            <w:r>
              <w:t>45 ( 7%)</w:t>
            </w:r>
          </w:p>
        </w:tc>
        <w:tc>
          <w:p>
            <w:pPr>
              <w:pStyle w:stlname="Normal" w:val="Normal"/>
            </w:pPr>
            <w:r>
              <w:t>37 (7.9%)</w:t>
            </w:r>
          </w:p>
        </w:tc>
        <w:tc>
          <w:p>
            <w:pPr>
              <w:pStyle w:stlname="Normal" w:val="Normal"/>
            </w:pPr>
            <w:r>
              <w:t>7 (4.4%)</w:t>
            </w:r>
          </w:p>
        </w:tc>
        <w:tc>
          <w:p>
            <w:pPr>
              <w:pStyle w:stlname="Normal" w:val="Normal"/>
            </w:pPr>
            <w:r>
              <w:t>1 (6.7%)</w:t>
            </w:r>
          </w:p>
        </w:tc>
        <w:tc>
          <w:p>
            <w:pPr>
              <w:pStyle w:stlname="Normal" w:val="Normal"/>
            </w:pPr>
            <w:r>
              <w:t>2.64e-01</w:t>
            </w:r>
          </w:p>
        </w:tc>
        <w:tc>
          <w:p>
            <w:pPr>
              <w:pStyle w:stlname="Normal" w:val="Normal"/>
            </w:pPr>
            <w:r>
              <w:t>3.46e-01</w:t>
            </w:r>
          </w:p>
        </w:tc>
      </w:tr>
      <w:tr>
        <w:tc>
          <w:p>
            <w:pPr>
              <w:pStyle w:stlname="Normal" w:val="Normal"/>
            </w:pPr>
            <w:r>
              <w:t>MUC16</w:t>
            </w:r>
          </w:p>
        </w:tc>
        <w:tc>
          <w:p>
            <w:pPr>
              <w:pStyle w:stlname="Normal" w:val="Normal"/>
            </w:pPr>
            <w:r>
              <w:t>63 (10%)</w:t>
            </w:r>
          </w:p>
        </w:tc>
        <w:tc>
          <w:p>
            <w:pPr>
              <w:pStyle w:stlname="Normal" w:val="Normal"/>
            </w:pPr>
            <w:r>
              <w:t>43 ( 9.2%)</w:t>
            </w:r>
          </w:p>
        </w:tc>
        <w:tc>
          <w:p>
            <w:pPr>
              <w:pStyle w:stlname="Normal" w:val="Normal"/>
            </w:pPr>
            <w:r>
              <w:t>17 (10.6%)</w:t>
            </w:r>
          </w:p>
        </w:tc>
        <w:tc>
          <w:p>
            <w:pPr>
              <w:pStyle w:stlname="Normal" w:val="Normal"/>
            </w:pPr>
            <w:r>
              <w:t>3 (20.0%)</w:t>
            </w:r>
          </w:p>
        </w:tc>
        <w:tc>
          <w:p>
            <w:pPr>
              <w:pStyle w:stlname="Normal" w:val="Normal"/>
            </w:pPr>
            <w:r>
              <w:t>2.77e-01</w:t>
            </w:r>
          </w:p>
        </w:tc>
        <w:tc>
          <w:p>
            <w:pPr>
              <w:pStyle w:stlname="Normal" w:val="Normal"/>
            </w:pPr>
            <w:r>
              <w:t>3.46e-01</w:t>
            </w:r>
          </w:p>
        </w:tc>
      </w:tr>
      <w:tr>
        <w:tc>
          <w:p>
            <w:pPr>
              <w:pStyle w:stlname="Normal" w:val="Normal"/>
            </w:pPr>
            <w:r>
              <w:t>PIK3CA</w:t>
            </w:r>
          </w:p>
        </w:tc>
        <w:tc>
          <w:p>
            <w:pPr>
              <w:pStyle w:stlname="Normal" w:val="Normal"/>
            </w:pPr>
            <w:r>
              <w:t>208 (32%)</w:t>
            </w:r>
          </w:p>
        </w:tc>
        <w:tc>
          <w:p>
            <w:pPr>
              <w:pStyle w:stlname="Normal" w:val="Normal"/>
            </w:pPr>
            <w:r>
              <w:t>181 (38.6%)</w:t>
            </w:r>
          </w:p>
        </w:tc>
        <w:tc>
          <w:p>
            <w:pPr>
              <w:pStyle w:stlname="Normal" w:val="Normal"/>
            </w:pPr>
            <w:r>
              <w:t>23 (14.4%)</w:t>
            </w:r>
          </w:p>
        </w:tc>
        <w:tc>
          <w:p>
            <w:pPr>
              <w:pStyle w:stlname="Normal" w:val="Normal"/>
            </w:pPr>
            <w:r>
              <w:t>4 (26.7%)</w:t>
            </w:r>
          </w:p>
        </w:tc>
        <w:tc>
          <w:p>
            <w:pPr>
              <w:pStyle w:stlname="Normal" w:val="Normal"/>
            </w:pPr>
            <w:r>
              <w:t>1.33e-08</w:t>
            </w:r>
          </w:p>
        </w:tc>
        <w:tc>
          <w:p>
            <w:pPr>
              <w:pStyle w:stlname="Normal" w:val="Normal"/>
            </w:pPr>
            <w:r>
              <w:t>6.65e-08</w:t>
            </w:r>
          </w:p>
        </w:tc>
      </w:tr>
      <w:tr>
        <w:tc>
          <w:p>
            <w:pPr>
              <w:pStyle w:stlname="Normal" w:val="Normal"/>
            </w:pPr>
            <w:r>
              <w:t>RYR2</w:t>
            </w:r>
          </w:p>
        </w:tc>
        <w:tc>
          <w:p>
            <w:pPr>
              <w:pStyle w:stlname="Normal" w:val="Normal"/>
            </w:pPr>
            <w:r>
              <w:t>40 ( 6%)</w:t>
            </w:r>
          </w:p>
        </w:tc>
        <w:tc>
          <w:p>
            <w:pPr>
              <w:pStyle w:stlname="Normal" w:val="Normal"/>
            </w:pPr>
            <w:r>
              <w:t>26 (5.5%)</w:t>
            </w:r>
          </w:p>
        </w:tc>
        <w:tc>
          <w:p>
            <w:pPr>
              <w:pStyle w:stlname="Normal" w:val="Normal"/>
            </w:pPr>
            <w:r>
              <w:t>13 (8.1%)</w:t>
            </w:r>
          </w:p>
        </w:tc>
        <w:tc>
          <w:p>
            <w:pPr>
              <w:pStyle w:stlname="Normal" w:val="Normal"/>
            </w:pPr>
            <w:r>
              <w:t>1 (6.7%)</w:t>
            </w:r>
          </w:p>
        </w:tc>
        <w:tc>
          <w:p>
            <w:pPr>
              <w:pStyle w:stlname="Normal" w:val="Normal"/>
            </w:pPr>
            <w:r>
              <w:t>4.07e-01</w:t>
            </w:r>
          </w:p>
        </w:tc>
        <w:tc>
          <w:p>
            <w:pPr>
              <w:pStyle w:stlname="Normal" w:val="Normal"/>
            </w:pPr>
            <w:r>
              <w:t>4.52e-01</w:t>
            </w:r>
          </w:p>
        </w:tc>
      </w:tr>
      <w:tr>
        <w:tc>
          <w:p>
            <w:pPr>
              <w:pStyle w:stlname="Normal" w:val="Normal"/>
            </w:pPr>
            <w:r>
              <w:t>SYNE1</w:t>
            </w:r>
          </w:p>
        </w:tc>
        <w:tc>
          <w:p>
            <w:pPr>
              <w:pStyle w:stlname="Normal" w:val="Normal"/>
            </w:pPr>
            <w:r>
              <w:t>37 ( 6%)</w:t>
            </w:r>
          </w:p>
        </w:tc>
        <w:tc>
          <w:p>
            <w:pPr>
              <w:pStyle w:stlname="Normal" w:val="Normal"/>
            </w:pPr>
            <w:r>
              <w:t>22 (4.7%)</w:t>
            </w:r>
          </w:p>
        </w:tc>
        <w:tc>
          <w:p>
            <w:pPr>
              <w:pStyle w:stlname="Normal" w:val="Normal"/>
            </w:pPr>
            <w:r>
              <w:t>14 (8.8%)</w:t>
            </w:r>
          </w:p>
        </w:tc>
        <w:tc>
          <w:p>
            <w:pPr>
              <w:pStyle w:stlname="Normal" w:val="Normal"/>
            </w:pPr>
            <w:r>
              <w:t>1 (6.7%)</w:t>
            </w:r>
          </w:p>
        </w:tc>
        <w:tc>
          <w:p>
            <w:pPr>
              <w:pStyle w:stlname="Normal" w:val="Normal"/>
            </w:pPr>
            <w:r>
              <w:t>1.24e-01</w:t>
            </w:r>
          </w:p>
        </w:tc>
        <w:tc>
          <w:p>
            <w:pPr>
              <w:pStyle w:stlname="Normal" w:val="Normal"/>
            </w:pPr>
            <w:r>
              <w:t>2.18e-01</w:t>
            </w:r>
          </w:p>
        </w:tc>
      </w:tr>
      <w:tr>
        <w:tc>
          <w:p>
            <w:pPr>
              <w:pStyle w:stlname="Normal" w:val="Normal"/>
            </w:pPr>
            <w:r>
              <w:t>TP53</w:t>
            </w:r>
          </w:p>
        </w:tc>
        <w:tc>
          <w:p>
            <w:pPr>
              <w:pStyle w:stlname="Normal" w:val="Normal"/>
            </w:pPr>
            <w:r>
              <w:t>172 (27%)</w:t>
            </w:r>
          </w:p>
        </w:tc>
        <w:tc>
          <w:p>
            <w:pPr>
              <w:pStyle w:stlname="Normal" w:val="Normal"/>
            </w:pPr>
            <w:r>
              <w:t>67 (14.3%)</w:t>
            </w:r>
          </w:p>
        </w:tc>
        <w:tc>
          <w:p>
            <w:pPr>
              <w:pStyle w:stlname="Normal" w:val="Normal"/>
            </w:pPr>
            <w:r>
              <w:t>103 (64.4%)</w:t>
            </w:r>
          </w:p>
        </w:tc>
        <w:tc>
          <w:p>
            <w:pPr>
              <w:pStyle w:stlname="Normal" w:val="Normal"/>
            </w:pPr>
            <w:r>
              <w:t>2 (13.3%)</w:t>
            </w:r>
          </w:p>
        </w:tc>
        <w:tc>
          <w:p>
            <w:pPr>
              <w:pStyle w:stlname="Normal" w:val="Normal"/>
            </w:pPr>
            <w:r>
              <w:t>2.23e-32</w:t>
            </w:r>
          </w:p>
        </w:tc>
        <w:tc>
          <w:p>
            <w:pPr>
              <w:pStyle w:stlname="Normal" w:val="Normal"/>
            </w:pPr>
            <w:r>
              <w:t>2.23e-31</w:t>
            </w:r>
          </w:p>
        </w:tc>
      </w:tr>
      <w:tr>
        <w:tc>
          <w:p>
            <w:pPr>
              <w:pStyle w:stlname="Normal" w:val="Normal"/>
            </w:pPr>
            <w:r>
              <w:t>TTN</w:t>
            </w:r>
          </w:p>
        </w:tc>
        <w:tc>
          <w:p>
            <w:pPr>
              <w:pStyle w:stlname="Normal" w:val="Normal"/>
            </w:pPr>
            <w:r>
              <w:t>107 (17%)</w:t>
            </w:r>
          </w:p>
        </w:tc>
        <w:tc>
          <w:p>
            <w:pPr>
              <w:pStyle w:stlname="Normal" w:val="Normal"/>
            </w:pPr>
            <w:r>
              <w:t>70 (14.9%)</w:t>
            </w:r>
          </w:p>
        </w:tc>
        <w:tc>
          <w:p>
            <w:pPr>
              <w:pStyle w:stlname="Normal" w:val="Normal"/>
            </w:pPr>
            <w:r>
              <w:t>34 (21.2%)</w:t>
            </w:r>
          </w:p>
        </w:tc>
        <w:tc>
          <w:p>
            <w:pPr>
              <w:pStyle w:stlname="Normal" w:val="Normal"/>
            </w:pPr>
            <w:r>
              <w:t>3 (20.0%)</w:t>
            </w:r>
          </w:p>
        </w:tc>
        <w:tc>
          <w:p>
            <w:pPr>
              <w:pStyle w:stlname="Normal" w:val="Normal"/>
            </w:pPr>
            <w:r>
              <w:t>1.31e-01</w:t>
            </w:r>
          </w:p>
        </w:tc>
        <w:tc>
          <w:p>
            <w:pPr>
              <w:pStyle w:stlname="Normal" w:val="Normal"/>
            </w:pPr>
            <w:r>
              <w:t>2.18e-01</w:t>
            </w:r>
          </w:p>
        </w:tc>
      </w:tr>
    </w:tbl>
    <w:p>
      <w:pPr>
        <w:pStyle w:val="Normal"/>
      </w:pPr>
      <w:r>
        <w:t xml:space="preserve">Note: ...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2024-07-30T14:57:37Z</dcterms:modified>
  <cp:category/>
</cp:coreProperties>
</file>