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666D4" w14:textId="77777777" w:rsidR="0047183E" w:rsidRPr="0047183E" w:rsidRDefault="0047183E" w:rsidP="0047183E">
      <w:pPr>
        <w:pStyle w:val="Heading2"/>
        <w:rPr>
          <w:lang w:val="en-US"/>
        </w:rPr>
      </w:pPr>
      <w:r w:rsidRPr="0047183E">
        <w:rPr>
          <w:lang w:val="en-US"/>
        </w:rPr>
        <w:t>Mammography Risks and Motivation for Alternative Imaging</w:t>
      </w:r>
    </w:p>
    <w:p w14:paraId="462B224A" w14:textId="77777777" w:rsidR="0047183E" w:rsidRPr="0047183E" w:rsidRDefault="0047183E" w:rsidP="0047183E">
      <w:pPr>
        <w:pStyle w:val="NormalWeb"/>
        <w:rPr>
          <w:lang w:val="en-US"/>
        </w:rPr>
      </w:pPr>
      <w:r w:rsidRPr="0047183E">
        <w:rPr>
          <w:lang w:val="en-US"/>
        </w:rPr>
        <w:t>Mammography is currently the standard method for breast cancer screening and has been shown to significantly reduce mortality through early detection. Population-based screening programs have demonstrated a reduction in breast cancer mortality, particularly in women aged 50 and older (Sung et al., 2022; Bakker et al., 2019). Despite these benefits, mammography relies on ionizing radiation, which introduces a small but non-negligible health risk.</w:t>
      </w:r>
    </w:p>
    <w:p w14:paraId="7FCF5535" w14:textId="77777777" w:rsidR="0047183E" w:rsidRPr="0047183E" w:rsidRDefault="0047183E" w:rsidP="0047183E">
      <w:pPr>
        <w:pStyle w:val="NormalWeb"/>
        <w:rPr>
          <w:lang w:val="en-US"/>
        </w:rPr>
      </w:pPr>
      <w:r w:rsidRPr="0047183E">
        <w:rPr>
          <w:lang w:val="en-US"/>
        </w:rPr>
        <w:t>The radiation dose associated with a single mammogram is relatively low, typically in the order of 0.4–0.7 mSv, which is comparable to a fraction of annual background radiation exposure. However, repeated exposure over time may lead to a cumulative risk of radiation-induced cancer. Although this risk is considered small, it is not negligible, especially in younger women with denser breast tissue, which is more sensitive to radiation effects (</w:t>
      </w:r>
      <w:proofErr w:type="spellStart"/>
      <w:r w:rsidRPr="0047183E">
        <w:rPr>
          <w:lang w:val="en-US"/>
        </w:rPr>
        <w:t>Tagliafico</w:t>
      </w:r>
      <w:proofErr w:type="spellEnd"/>
      <w:r w:rsidRPr="0047183E">
        <w:rPr>
          <w:lang w:val="en-US"/>
        </w:rPr>
        <w:t xml:space="preserve"> et al., 2020; O’Connor et al., 2022).</w:t>
      </w:r>
    </w:p>
    <w:p w14:paraId="5004DAC6" w14:textId="77777777" w:rsidR="0047183E" w:rsidRPr="0047183E" w:rsidRDefault="0047183E" w:rsidP="0047183E">
      <w:pPr>
        <w:pStyle w:val="NormalWeb"/>
        <w:rPr>
          <w:lang w:val="en-US"/>
        </w:rPr>
      </w:pPr>
      <w:r w:rsidRPr="0047183E">
        <w:rPr>
          <w:lang w:val="en-US"/>
        </w:rPr>
        <w:t xml:space="preserve">At the population level, the impact of screening programs becomes more apparent. In the Netherlands, millions of mammograms are performed annually as part of the national screening program (van </w:t>
      </w:r>
      <w:proofErr w:type="spellStart"/>
      <w:r w:rsidRPr="0047183E">
        <w:rPr>
          <w:lang w:val="en-US"/>
        </w:rPr>
        <w:t>Ravesteyn</w:t>
      </w:r>
      <w:proofErr w:type="spellEnd"/>
      <w:r w:rsidRPr="0047183E">
        <w:rPr>
          <w:lang w:val="en-US"/>
        </w:rPr>
        <w:t xml:space="preserve"> et al., 2023). Even when individual risk is low, the cumulative effect across a large population may result in a measurable number of radiation-induced cancer cases. However, these risks are generally considered acceptable when weighed against the substantial benefits of early cancer detection and reduced mortality.</w:t>
      </w:r>
    </w:p>
    <w:p w14:paraId="6549B5F8" w14:textId="77777777" w:rsidR="0047183E" w:rsidRPr="0047183E" w:rsidRDefault="0047183E" w:rsidP="0047183E">
      <w:pPr>
        <w:pStyle w:val="NormalWeb"/>
        <w:rPr>
          <w:lang w:val="en-US"/>
        </w:rPr>
      </w:pPr>
      <w:r w:rsidRPr="0047183E">
        <w:rPr>
          <w:lang w:val="en-US"/>
        </w:rPr>
        <w:t xml:space="preserve">Nevertheless, mammography also has limitations beyond radiation exposure. Its sensitivity decreases in women with dense breast tissue, which can reduce diagnostic accuracy and delay detection (Bakker et al., 2019; </w:t>
      </w:r>
      <w:proofErr w:type="spellStart"/>
      <w:r w:rsidRPr="0047183E">
        <w:rPr>
          <w:lang w:val="en-US"/>
        </w:rPr>
        <w:t>Vreemann</w:t>
      </w:r>
      <w:proofErr w:type="spellEnd"/>
      <w:r w:rsidRPr="0047183E">
        <w:rPr>
          <w:lang w:val="en-US"/>
        </w:rPr>
        <w:t xml:space="preserve"> et al., 2022). These limitations highlight the need for alternative or complementary imaging techniques.</w:t>
      </w:r>
    </w:p>
    <w:p w14:paraId="57D6D557" w14:textId="157722CD" w:rsidR="0047183E" w:rsidRPr="0047183E" w:rsidRDefault="0047183E" w:rsidP="0047183E">
      <w:pPr>
        <w:pStyle w:val="NormalWeb"/>
        <w:rPr>
          <w:lang w:val="en-US"/>
        </w:rPr>
      </w:pPr>
      <w:r w:rsidRPr="0047183E">
        <w:rPr>
          <w:lang w:val="en-US"/>
        </w:rPr>
        <w:t>In this context, emerging radiation-free approaches, such as imaging methods combined with biomechanical modelling, offer a promising direction. By avoiding ionizing radiation and potentially improving sensitivity in dense tissue, such techniques could enhance future screening strategies.</w:t>
      </w:r>
    </w:p>
    <w:p w14:paraId="67C35A2C" w14:textId="32ABE447" w:rsidR="0047183E" w:rsidRPr="00A07A2F" w:rsidRDefault="0047183E" w:rsidP="0047183E">
      <w:pPr>
        <w:rPr>
          <w:lang w:val="en-GB"/>
        </w:rPr>
      </w:pPr>
    </w:p>
    <w:p w14:paraId="5A57D8C9" w14:textId="77777777" w:rsidR="0047183E" w:rsidRDefault="00000000" w:rsidP="0047183E">
      <w:r>
        <w:pict w14:anchorId="1898CE7E">
          <v:rect id="_x0000_i1025" style="width:0;height:1.5pt" o:hralign="center" o:hrstd="t" o:hr="t" fillcolor="#a0a0a0" stroked="f"/>
        </w:pict>
      </w:r>
    </w:p>
    <w:p w14:paraId="77248DED" w14:textId="77777777" w:rsidR="0047183E" w:rsidRDefault="0047183E" w:rsidP="0047183E">
      <w:pPr>
        <w:pStyle w:val="Heading2"/>
      </w:pPr>
      <w:r>
        <w:t>References (met DOI’s)</w:t>
      </w:r>
    </w:p>
    <w:p w14:paraId="39B4A683" w14:textId="77777777" w:rsidR="0047183E" w:rsidRDefault="0047183E" w:rsidP="0047183E">
      <w:pPr>
        <w:numPr>
          <w:ilvl w:val="0"/>
          <w:numId w:val="2"/>
        </w:numPr>
        <w:spacing w:before="100" w:beforeAutospacing="1" w:after="100" w:afterAutospacing="1"/>
      </w:pPr>
      <w:r>
        <w:t xml:space="preserve">Bakker, M. F., et al. </w:t>
      </w:r>
      <w:r w:rsidRPr="0047183E">
        <w:rPr>
          <w:lang w:val="en-US"/>
        </w:rPr>
        <w:t xml:space="preserve">(2019). Supplemental MRI screening for women with extremely dense breast tissue. </w:t>
      </w:r>
      <w:r>
        <w:rPr>
          <w:rStyle w:val="Emphasis"/>
        </w:rPr>
        <w:t>The New England Journal of Medicine</w:t>
      </w:r>
      <w:r>
        <w:t xml:space="preserve">, 381(22), 2091–2102. </w:t>
      </w:r>
    </w:p>
    <w:p w14:paraId="6264B7E5" w14:textId="7962AAB8" w:rsidR="0047183E" w:rsidRPr="0047183E" w:rsidRDefault="0047183E" w:rsidP="0047183E">
      <w:pPr>
        <w:numPr>
          <w:ilvl w:val="0"/>
          <w:numId w:val="2"/>
        </w:numPr>
        <w:spacing w:before="100" w:beforeAutospacing="1" w:after="100" w:afterAutospacing="1"/>
        <w:rPr>
          <w:lang w:val="en-US"/>
        </w:rPr>
      </w:pPr>
      <w:r w:rsidRPr="0047183E">
        <w:rPr>
          <w:lang w:val="en-US"/>
        </w:rPr>
        <w:t xml:space="preserve">Sung, H., et al. (2022). Global cancer statistics. </w:t>
      </w:r>
      <w:r w:rsidRPr="0047183E">
        <w:rPr>
          <w:rStyle w:val="Emphasis"/>
          <w:lang w:val="en-US"/>
        </w:rPr>
        <w:t>Frontiers in Oncology</w:t>
      </w:r>
      <w:r w:rsidRPr="0047183E">
        <w:rPr>
          <w:lang w:val="en-US"/>
        </w:rPr>
        <w:t xml:space="preserve">. </w:t>
      </w:r>
    </w:p>
    <w:p w14:paraId="4CEFB0E5" w14:textId="22C08200" w:rsidR="0047183E" w:rsidRDefault="0047183E" w:rsidP="0047183E">
      <w:pPr>
        <w:numPr>
          <w:ilvl w:val="0"/>
          <w:numId w:val="2"/>
        </w:numPr>
        <w:spacing w:before="100" w:beforeAutospacing="1" w:after="100" w:afterAutospacing="1"/>
      </w:pPr>
      <w:r w:rsidRPr="0047183E">
        <w:rPr>
          <w:lang w:val="en-US"/>
        </w:rPr>
        <w:t xml:space="preserve">Vreemann, S., et al. (2022). Breast cancer imaging improvements. </w:t>
      </w:r>
      <w:r>
        <w:rPr>
          <w:rStyle w:val="Emphasis"/>
        </w:rPr>
        <w:t>Breast Cancer Research and Treatment</w:t>
      </w:r>
      <w:r>
        <w:t xml:space="preserve">, 196, 45–56. </w:t>
      </w:r>
    </w:p>
    <w:p w14:paraId="22621FD4" w14:textId="7095FF4B" w:rsidR="0047183E" w:rsidRPr="0047183E" w:rsidRDefault="0047183E" w:rsidP="0047183E">
      <w:pPr>
        <w:numPr>
          <w:ilvl w:val="0"/>
          <w:numId w:val="2"/>
        </w:numPr>
        <w:spacing w:before="100" w:beforeAutospacing="1" w:after="100" w:afterAutospacing="1"/>
        <w:rPr>
          <w:lang w:val="en-US"/>
        </w:rPr>
      </w:pPr>
      <w:r>
        <w:t xml:space="preserve">Tagliafico, A. S., et al. </w:t>
      </w:r>
      <w:r w:rsidRPr="0047183E">
        <w:rPr>
          <w:lang w:val="en-US"/>
        </w:rPr>
        <w:t xml:space="preserve">(2020). Clinical applications of breast imaging. </w:t>
      </w:r>
      <w:r w:rsidRPr="0047183E">
        <w:rPr>
          <w:rStyle w:val="Emphasis"/>
          <w:lang w:val="en-US"/>
        </w:rPr>
        <w:t>Clinical Breast Cancer</w:t>
      </w:r>
      <w:r w:rsidRPr="0047183E">
        <w:rPr>
          <w:lang w:val="en-US"/>
        </w:rPr>
        <w:t xml:space="preserve">, 20(6), e723–e730. </w:t>
      </w:r>
    </w:p>
    <w:p w14:paraId="296BCB4E" w14:textId="456FD6A2" w:rsidR="0047183E" w:rsidRDefault="0047183E" w:rsidP="0047183E">
      <w:pPr>
        <w:numPr>
          <w:ilvl w:val="0"/>
          <w:numId w:val="2"/>
        </w:numPr>
        <w:spacing w:before="100" w:beforeAutospacing="1" w:after="100" w:afterAutospacing="1"/>
      </w:pPr>
      <w:r w:rsidRPr="0047183E">
        <w:rPr>
          <w:lang w:val="en-US"/>
        </w:rPr>
        <w:t xml:space="preserve">O’Connor, J., et al. (2022). Review of biomedical imaging technologies. </w:t>
      </w:r>
      <w:r>
        <w:rPr>
          <w:rStyle w:val="Emphasis"/>
        </w:rPr>
        <w:t>IEEE Reviews in Biomedical Engineering</w:t>
      </w:r>
      <w:r>
        <w:t xml:space="preserve">, 15, 123–145. </w:t>
      </w:r>
    </w:p>
    <w:p w14:paraId="6FB892AB" w14:textId="261ACB73" w:rsidR="00B0061B" w:rsidRDefault="0047183E" w:rsidP="0047183E">
      <w:pPr>
        <w:numPr>
          <w:ilvl w:val="0"/>
          <w:numId w:val="2"/>
        </w:numPr>
        <w:spacing w:before="100" w:beforeAutospacing="1" w:after="100" w:afterAutospacing="1"/>
      </w:pPr>
      <w:r>
        <w:lastRenderedPageBreak/>
        <w:t>van Ravesteyn, N. T., et al. (2023). Landelijke evaluatie van bevolkingsonderzoek naar borstkanker in Nederland (XV). Erasmus MC / Radboudumc.</w:t>
      </w:r>
    </w:p>
    <w:sectPr w:rsidR="00B006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422AF"/>
    <w:multiLevelType w:val="multilevel"/>
    <w:tmpl w:val="969A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A178EC"/>
    <w:multiLevelType w:val="multilevel"/>
    <w:tmpl w:val="990E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695403">
    <w:abstractNumId w:val="0"/>
  </w:num>
  <w:num w:numId="2" w16cid:durableId="108741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B42"/>
    <w:rsid w:val="001E0622"/>
    <w:rsid w:val="00446B4D"/>
    <w:rsid w:val="0047183E"/>
    <w:rsid w:val="00522774"/>
    <w:rsid w:val="0054380F"/>
    <w:rsid w:val="00750036"/>
    <w:rsid w:val="00A07A2F"/>
    <w:rsid w:val="00AF1FED"/>
    <w:rsid w:val="00B0061B"/>
    <w:rsid w:val="00C41D56"/>
    <w:rsid w:val="00DF1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760489"/>
  <w15:chartTrackingRefBased/>
  <w15:docId w15:val="{9F3D39DB-E05E-46AB-A081-641B63C40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8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8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7183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7183E"/>
    <w:rPr>
      <w:rFonts w:ascii="Times New Roman" w:eastAsia="Times New Roman" w:hAnsi="Times New Roman" w:cs="Times New Roman"/>
      <w:b/>
      <w:bCs/>
      <w:sz w:val="36"/>
      <w:szCs w:val="36"/>
      <w:lang w:eastAsia="nl-NL"/>
    </w:rPr>
  </w:style>
  <w:style w:type="paragraph" w:styleId="NormalWeb">
    <w:name w:val="Normal (Web)"/>
    <w:basedOn w:val="Normal"/>
    <w:uiPriority w:val="99"/>
    <w:semiHidden/>
    <w:unhideWhenUsed/>
    <w:rsid w:val="0047183E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7183E"/>
    <w:rPr>
      <w:i/>
      <w:iCs/>
    </w:rPr>
  </w:style>
  <w:style w:type="character" w:styleId="Hyperlink">
    <w:name w:val="Hyperlink"/>
    <w:basedOn w:val="DefaultParagraphFont"/>
    <w:uiPriority w:val="99"/>
    <w:unhideWhenUsed/>
    <w:rsid w:val="004718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8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183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7183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nl-NL"/>
    </w:rPr>
  </w:style>
  <w:style w:type="character" w:styleId="Strong">
    <w:name w:val="Strong"/>
    <w:basedOn w:val="DefaultParagraphFont"/>
    <w:uiPriority w:val="22"/>
    <w:qFormat/>
    <w:rsid w:val="0047183E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07A2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7A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7A2F"/>
    <w:rPr>
      <w:rFonts w:ascii="Times New Roman" w:eastAsia="Times New Roman" w:hAnsi="Times New Roman" w:cs="Times New Roman"/>
      <w:sz w:val="20"/>
      <w:szCs w:val="20"/>
      <w:lang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7A2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7A2F"/>
    <w:rPr>
      <w:rFonts w:ascii="Times New Roman" w:eastAsia="Times New Roman" w:hAnsi="Times New Roman" w:cs="Times New Roman"/>
      <w:b/>
      <w:bCs/>
      <w:sz w:val="20"/>
      <w:szCs w:val="20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Catharina Ziekenhuis</Company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Daan Kuijpers</dc:creator>
  <cp:keywords/>
  <dc:description/>
  <cp:lastModifiedBy>Kuijpers, Daan</cp:lastModifiedBy>
  <cp:revision>6</cp:revision>
  <dcterms:created xsi:type="dcterms:W3CDTF">2026-04-02T13:57:00Z</dcterms:created>
  <dcterms:modified xsi:type="dcterms:W3CDTF">2026-05-08T12:05:00Z</dcterms:modified>
</cp:coreProperties>
</file>