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385C" w14:textId="77777777" w:rsidR="00B000D4" w:rsidRDefault="00000000">
      <w:pPr>
        <w:rPr>
          <w:lang w:eastAsia="nl-NL"/>
        </w:rPr>
      </w:pPr>
      <w:r>
        <w:rPr>
          <w:lang w:eastAsia="nl-NL"/>
        </w:rPr>
        <w:t>Verslag: Projectgroepvergadering Early Warning System  – 11 mei 2026</w:t>
      </w:r>
    </w:p>
    <w:p w14:paraId="409F6963" w14:textId="5D6D03DB" w:rsidR="00564206" w:rsidRDefault="00564206">
      <w:pPr>
        <w:rPr>
          <w:lang w:eastAsia="nl-NL"/>
        </w:rPr>
      </w:pPr>
      <w:r>
        <w:rPr>
          <w:lang w:eastAsia="nl-NL"/>
        </w:rPr>
        <w:t>--- AI gegenereerd, geredigeerd door Tom ---</w:t>
      </w:r>
    </w:p>
    <w:p w14:paraId="0A76D846" w14:textId="77777777" w:rsidR="00B000D4" w:rsidRDefault="00000000">
      <w:pPr>
        <w:rPr>
          <w:lang w:eastAsia="nl-NL"/>
        </w:rPr>
      </w:pPr>
      <w:r>
        <w:rPr>
          <w:lang w:eastAsia="nl-NL"/>
        </w:rPr>
        <w:t>Aanwezig: Coen Hurkmans, Fons van der Sommen, Timo van Opstal, Meike Nauta, Patrick Peffer, Linda Veldmeier, Silvia Schouten, Daan Kuijpers, Tom Sanders</w:t>
      </w:r>
    </w:p>
    <w:p w14:paraId="0C53A769" w14:textId="77777777" w:rsidR="00B000D4" w:rsidRDefault="00000000">
      <w:pPr>
        <w:pStyle w:val="Kop1"/>
        <w:rPr>
          <w:sz w:val="36"/>
          <w:szCs w:val="36"/>
          <w:lang w:eastAsia="nl-NL"/>
        </w:rPr>
      </w:pPr>
      <w:r>
        <w:rPr>
          <w:sz w:val="36"/>
          <w:szCs w:val="36"/>
          <w:lang w:eastAsia="nl-NL"/>
        </w:rPr>
        <w:t>1. Context</w:t>
      </w:r>
    </w:p>
    <w:p w14:paraId="004A208B" w14:textId="77777777" w:rsidR="00B000D4" w:rsidRDefault="00000000">
      <w:pPr>
        <w:rPr>
          <w:sz w:val="24"/>
          <w:szCs w:val="24"/>
          <w:lang w:eastAsia="nl-NL"/>
        </w:rPr>
      </w:pPr>
      <w:r>
        <w:rPr>
          <w:sz w:val="24"/>
          <w:szCs w:val="24"/>
          <w:lang w:eastAsia="nl-NL"/>
        </w:rPr>
        <w:t>Doel van de bijeenkomst is om stand van zaken uit te wisselen en de strategische koers van het Early Warning System (EWS) te bespreken. Doel van dit project is het realiseren van een pijnloos alternatief voor borstkankerscreening, met een specifieke focus op jonge vrouwen voor wie momenteel geen structureel screeningsprogramma bestaat.</w:t>
      </w:r>
    </w:p>
    <w:p w14:paraId="36CF2D38" w14:textId="77777777" w:rsidR="00B000D4" w:rsidRDefault="00000000">
      <w:pPr>
        <w:rPr>
          <w:sz w:val="24"/>
          <w:szCs w:val="24"/>
          <w:lang w:eastAsia="nl-NL"/>
        </w:rPr>
      </w:pPr>
      <w:r>
        <w:rPr>
          <w:sz w:val="24"/>
          <w:szCs w:val="24"/>
          <w:lang w:eastAsia="nl-NL"/>
        </w:rPr>
        <w:t xml:space="preserve">Tijdens de sessie werd door Tom in helicopter view een kader gepresenteerd waarin borstkanker wordt gedetecteerd via de parameters vorm, kleur, beweging en temperatuur. Deze parameters vormen de digitale vertaling van de 12 symptomen die worden geagendeerd door de wereldwijde "Know Your Lemons"-campagne. Door de integratie van materiaalkunde en computer vision transformeren we deze visuele indicatoren naar objectieve data. </w:t>
      </w:r>
    </w:p>
    <w:p w14:paraId="45068414" w14:textId="77777777" w:rsidR="00B000D4" w:rsidRDefault="00000000">
      <w:pPr>
        <w:pStyle w:val="Kop1"/>
        <w:rPr>
          <w:sz w:val="36"/>
          <w:szCs w:val="36"/>
          <w:lang w:eastAsia="nl-NL"/>
        </w:rPr>
      </w:pPr>
      <w:r>
        <w:rPr>
          <w:sz w:val="36"/>
          <w:szCs w:val="36"/>
          <w:lang w:eastAsia="nl-NL"/>
        </w:rPr>
        <w:t>2. Huidige status</w:t>
      </w:r>
    </w:p>
    <w:p w14:paraId="2605C71D" w14:textId="77777777" w:rsidR="00B000D4" w:rsidRDefault="00000000">
      <w:pPr>
        <w:rPr>
          <w:sz w:val="24"/>
          <w:szCs w:val="24"/>
          <w:lang w:eastAsia="nl-NL"/>
        </w:rPr>
      </w:pPr>
      <w:r>
        <w:rPr>
          <w:sz w:val="24"/>
          <w:szCs w:val="24"/>
          <w:lang w:eastAsia="nl-NL"/>
        </w:rPr>
        <w:t>In de huidige fase is de integriteit van de hardware nog onvoldoende voor klinische acceptatie. We hebben de experimentele "houtje-touwtje" fase verlaten met prototype 2 maar dit is voldoet nog niet aan professionele standaarden voor medisch onderzoek.</w:t>
      </w:r>
    </w:p>
    <w:p w14:paraId="46B460D4" w14:textId="77777777" w:rsidR="00B000D4" w:rsidRDefault="00000000">
      <w:pPr>
        <w:pStyle w:val="Kop2"/>
        <w:rPr>
          <w:sz w:val="27"/>
          <w:szCs w:val="27"/>
          <w:lang w:eastAsia="nl-NL"/>
        </w:rPr>
      </w:pPr>
      <w:r>
        <w:rPr>
          <w:sz w:val="27"/>
          <w:szCs w:val="27"/>
          <w:lang w:eastAsia="nl-NL"/>
        </w:rPr>
        <w:t>Hardware Specificaties en Designfilosofie</w:t>
      </w:r>
    </w:p>
    <w:p w14:paraId="10F36ED3" w14:textId="77777777" w:rsidR="00B000D4" w:rsidRDefault="00000000">
      <w:pPr>
        <w:rPr>
          <w:sz w:val="24"/>
          <w:szCs w:val="24"/>
          <w:lang w:eastAsia="nl-NL"/>
        </w:rPr>
      </w:pPr>
      <w:r>
        <w:rPr>
          <w:sz w:val="24"/>
          <w:szCs w:val="24"/>
          <w:lang w:eastAsia="nl-NL"/>
        </w:rPr>
        <w:t>Componenten: Het systeem omvat een centrale bedieningsconsole (web-interface), 52 hoogwaardige camera's en ruim 40 patroonprojectoren met een hoge resolutie.</w:t>
      </w:r>
    </w:p>
    <w:p w14:paraId="65EF44E7" w14:textId="77777777" w:rsidR="00B000D4" w:rsidRDefault="00000000">
      <w:pPr>
        <w:rPr>
          <w:sz w:val="24"/>
          <w:szCs w:val="24"/>
          <w:lang w:eastAsia="nl-NL"/>
        </w:rPr>
      </w:pPr>
      <w:r>
        <w:rPr>
          <w:sz w:val="24"/>
          <w:szCs w:val="24"/>
          <w:lang w:eastAsia="nl-NL"/>
        </w:rPr>
        <w:t>Kantelmechanisme: Het apparaat is kantelbaar uitgevoerd om de onderzijde van zwaardere borsten optimaal in beeld te brengen om occlusie te minimaliseren.</w:t>
      </w:r>
    </w:p>
    <w:p w14:paraId="27335139" w14:textId="77777777" w:rsidR="00B000D4" w:rsidRDefault="00000000">
      <w:pPr>
        <w:rPr>
          <w:sz w:val="24"/>
          <w:szCs w:val="24"/>
          <w:lang w:eastAsia="nl-NL"/>
        </w:rPr>
      </w:pPr>
      <w:r>
        <w:rPr>
          <w:sz w:val="24"/>
          <w:szCs w:val="24"/>
          <w:lang w:eastAsia="nl-NL"/>
        </w:rPr>
        <w:t>Designfilosofie: Er is bewust gekozen voor een hardware robuust, fouttolerant en eenvoudig te onderhouden systeem, wat essentieel is voor toekomstige wereldwijde inzetbaarheid in diverse klinische omgevingen.</w:t>
      </w:r>
    </w:p>
    <w:p w14:paraId="76BFC27C" w14:textId="77777777" w:rsidR="00B000D4" w:rsidRDefault="00000000">
      <w:pPr>
        <w:pStyle w:val="Kop2"/>
        <w:rPr>
          <w:sz w:val="27"/>
          <w:szCs w:val="27"/>
          <w:lang w:eastAsia="nl-NL"/>
        </w:rPr>
      </w:pPr>
      <w:r>
        <w:rPr>
          <w:sz w:val="27"/>
          <w:szCs w:val="27"/>
          <w:lang w:eastAsia="nl-NL"/>
        </w:rPr>
        <w:t>Multispectrale Analyse en Narrowband Imaging</w:t>
      </w:r>
    </w:p>
    <w:p w14:paraId="3594F387" w14:textId="77777777" w:rsidR="00B000D4" w:rsidRDefault="00000000">
      <w:pPr>
        <w:rPr>
          <w:sz w:val="24"/>
          <w:szCs w:val="24"/>
          <w:lang w:eastAsia="nl-NL"/>
        </w:rPr>
      </w:pPr>
      <w:r>
        <w:rPr>
          <w:sz w:val="24"/>
          <w:szCs w:val="24"/>
          <w:lang w:eastAsia="nl-NL"/>
        </w:rPr>
        <w:t>Een verdere innovatie is de toevoeging van multispectrale imaging (16 monochromatische kleuren) om de significatie van kleurafwijkingen te kunnen bestuderen</w:t>
      </w:r>
    </w:p>
    <w:p w14:paraId="2E4F4BD9" w14:textId="77777777" w:rsidR="00B000D4" w:rsidRDefault="00000000">
      <w:pPr>
        <w:rPr>
          <w:sz w:val="24"/>
          <w:szCs w:val="24"/>
          <w:lang w:eastAsia="nl-NL"/>
        </w:rPr>
      </w:pPr>
      <w:r>
        <w:rPr>
          <w:sz w:val="24"/>
          <w:szCs w:val="24"/>
          <w:lang w:eastAsia="nl-NL"/>
        </w:rPr>
        <w:t xml:space="preserve">Fons suggereert dat narrowband imaging met blauw licht een mogelijkheid kan zijn om vasculaire patronen dieper in de huid te visualiseren en zo marker tracking toe te passen zonder extra belasting voor de patiënt. </w:t>
      </w:r>
    </w:p>
    <w:p w14:paraId="331D9A73" w14:textId="77777777" w:rsidR="00B000D4" w:rsidRDefault="00000000">
      <w:pPr>
        <w:rPr>
          <w:sz w:val="24"/>
          <w:szCs w:val="24"/>
          <w:lang w:eastAsia="nl-NL"/>
        </w:rPr>
      </w:pPr>
      <w:r>
        <w:rPr>
          <w:sz w:val="24"/>
          <w:szCs w:val="24"/>
          <w:lang w:eastAsia="nl-NL"/>
        </w:rPr>
        <w:lastRenderedPageBreak/>
        <w:t>Dit  zou een alternatief kunnen vormen voor de huidige patroonprojectoren. De keuze hiervoor is gemaakt omdat de vrouwelijke borst weinig natuurlijke huidtekening heeft en zo markerless tracking mogelijk wordt.</w:t>
      </w:r>
    </w:p>
    <w:p w14:paraId="11BB06B8" w14:textId="77777777" w:rsidR="00B000D4" w:rsidRDefault="00000000">
      <w:pPr>
        <w:pStyle w:val="Kop2"/>
        <w:rPr>
          <w:sz w:val="27"/>
          <w:szCs w:val="27"/>
          <w:lang w:eastAsia="nl-NL"/>
        </w:rPr>
      </w:pPr>
      <w:r>
        <w:rPr>
          <w:sz w:val="27"/>
          <w:szCs w:val="27"/>
          <w:lang w:eastAsia="nl-NL"/>
        </w:rPr>
        <w:t>Beeldverwerking en Stabiliteit</w:t>
      </w:r>
    </w:p>
    <w:p w14:paraId="4EFD8B9F" w14:textId="77777777" w:rsidR="00B000D4" w:rsidRDefault="00000000">
      <w:pPr>
        <w:rPr>
          <w:sz w:val="24"/>
          <w:szCs w:val="24"/>
          <w:lang w:eastAsia="nl-NL"/>
        </w:rPr>
      </w:pPr>
      <w:r>
        <w:rPr>
          <w:sz w:val="24"/>
          <w:szCs w:val="24"/>
          <w:lang w:eastAsia="nl-NL"/>
        </w:rPr>
        <w:t>De technische uitdaging ligt in de stabiele conversie van 2D-data naar 3D/4D-modellen tijdens dynamische beweging.</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06"/>
        <w:gridCol w:w="2010"/>
        <w:gridCol w:w="5340"/>
      </w:tblGrid>
      <w:tr w:rsidR="00B000D4" w14:paraId="07B2E768" w14:textId="77777777">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6FE2373D" w14:textId="77777777" w:rsidR="00B000D4" w:rsidRDefault="00000000">
            <w:pPr>
              <w:rPr>
                <w:sz w:val="24"/>
                <w:szCs w:val="24"/>
                <w:lang w:eastAsia="nl-NL"/>
              </w:rPr>
            </w:pPr>
            <w:r>
              <w:rPr>
                <w:sz w:val="24"/>
                <w:szCs w:val="24"/>
                <w:lang w:eastAsia="nl-NL"/>
              </w:rPr>
              <w:t>Parameter</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546E0F41" w14:textId="77777777" w:rsidR="00B000D4" w:rsidRDefault="00000000">
            <w:pPr>
              <w:rPr>
                <w:sz w:val="24"/>
                <w:szCs w:val="24"/>
                <w:lang w:eastAsia="nl-NL"/>
              </w:rPr>
            </w:pPr>
            <w:r>
              <w:rPr>
                <w:sz w:val="24"/>
                <w:szCs w:val="24"/>
                <w:lang w:eastAsia="nl-NL"/>
              </w:rPr>
              <w:t>Status</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1D4C0044" w14:textId="77777777" w:rsidR="00B000D4" w:rsidRDefault="00000000">
            <w:pPr>
              <w:rPr>
                <w:sz w:val="24"/>
                <w:szCs w:val="24"/>
                <w:lang w:eastAsia="nl-NL"/>
              </w:rPr>
            </w:pPr>
            <w:r>
              <w:rPr>
                <w:sz w:val="24"/>
                <w:szCs w:val="24"/>
                <w:lang w:eastAsia="nl-NL"/>
              </w:rPr>
              <w:t>Strategische Afweging</w:t>
            </w:r>
          </w:p>
        </w:tc>
      </w:tr>
      <w:tr w:rsidR="00B000D4" w14:paraId="6CF3471E" w14:textId="77777777">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756424D2" w14:textId="77777777" w:rsidR="00B000D4" w:rsidRDefault="00000000">
            <w:pPr>
              <w:rPr>
                <w:sz w:val="24"/>
                <w:szCs w:val="24"/>
                <w:lang w:eastAsia="nl-NL"/>
              </w:rPr>
            </w:pPr>
            <w:r>
              <w:rPr>
                <w:sz w:val="24"/>
                <w:szCs w:val="24"/>
                <w:lang w:eastAsia="nl-NL"/>
              </w:rPr>
              <w:t>Beeldsnelheid</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1DE5744B" w14:textId="77777777" w:rsidR="00B000D4" w:rsidRDefault="00000000">
            <w:pPr>
              <w:rPr>
                <w:sz w:val="24"/>
                <w:szCs w:val="24"/>
                <w:lang w:eastAsia="nl-NL"/>
              </w:rPr>
            </w:pPr>
            <w:r>
              <w:rPr>
                <w:sz w:val="24"/>
                <w:szCs w:val="24"/>
                <w:lang w:eastAsia="nl-NL"/>
              </w:rPr>
              <w:t>Stabiel op 35 fps</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06AB1939" w14:textId="77777777" w:rsidR="00B000D4" w:rsidRDefault="00000000">
            <w:pPr>
              <w:rPr>
                <w:sz w:val="24"/>
                <w:szCs w:val="24"/>
                <w:lang w:eastAsia="nl-NL"/>
              </w:rPr>
            </w:pPr>
            <w:r>
              <w:rPr>
                <w:sz w:val="24"/>
                <w:szCs w:val="24"/>
                <w:lang w:eastAsia="nl-NL"/>
              </w:rPr>
              <w:t>40 fps bleek instabiel (dropped frames); 35 fps is de stabiele productienorm.</w:t>
            </w:r>
          </w:p>
        </w:tc>
      </w:tr>
      <w:tr w:rsidR="00B000D4" w14:paraId="21F2188E" w14:textId="77777777">
        <w:trPr>
          <w:trHeight w:val="476"/>
        </w:trPr>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57" w:type="dxa"/>
              <w:bottom w:w="15" w:type="dxa"/>
              <w:right w:w="15" w:type="dxa"/>
            </w:tcMar>
            <w:vAlign w:val="center"/>
          </w:tcPr>
          <w:p w14:paraId="4BFC3891" w14:textId="77777777" w:rsidR="00B000D4" w:rsidRDefault="00000000">
            <w:pPr>
              <w:rPr>
                <w:sz w:val="24"/>
                <w:szCs w:val="24"/>
                <w:lang w:eastAsia="nl-NL"/>
              </w:rPr>
            </w:pPr>
            <w:r>
              <w:rPr>
                <w:sz w:val="24"/>
                <w:szCs w:val="24"/>
                <w:lang w:eastAsia="nl-NL"/>
              </w:rPr>
              <w:t>Marker tracking</w:t>
            </w:r>
          </w:p>
        </w:tc>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57" w:type="dxa"/>
              <w:bottom w:w="15" w:type="dxa"/>
              <w:right w:w="15" w:type="dxa"/>
            </w:tcMar>
            <w:vAlign w:val="center"/>
          </w:tcPr>
          <w:p w14:paraId="2612F775" w14:textId="77777777" w:rsidR="00B000D4" w:rsidRDefault="00000000">
            <w:pPr>
              <w:rPr>
                <w:sz w:val="24"/>
                <w:szCs w:val="24"/>
                <w:lang w:eastAsia="nl-NL"/>
              </w:rPr>
            </w:pPr>
            <w:r>
              <w:rPr>
                <w:sz w:val="24"/>
                <w:szCs w:val="24"/>
                <w:lang w:eastAsia="nl-NL"/>
              </w:rPr>
              <w:t>Stabiel op 35 fps</w:t>
            </w:r>
          </w:p>
        </w:tc>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57" w:type="dxa"/>
              <w:bottom w:w="15" w:type="dxa"/>
              <w:right w:w="15" w:type="dxa"/>
            </w:tcMar>
            <w:vAlign w:val="center"/>
          </w:tcPr>
          <w:p w14:paraId="40AC02BE" w14:textId="77777777" w:rsidR="00B000D4" w:rsidRDefault="00000000">
            <w:pPr>
              <w:rPr>
                <w:sz w:val="24"/>
                <w:szCs w:val="24"/>
                <w:lang w:eastAsia="nl-NL"/>
              </w:rPr>
            </w:pPr>
            <w:r>
              <w:rPr>
                <w:sz w:val="24"/>
                <w:szCs w:val="24"/>
                <w:lang w:eastAsia="nl-NL"/>
              </w:rPr>
              <w:t>Patroonprojectoren benodigd voor betrouwbare tracking</w:t>
            </w:r>
          </w:p>
        </w:tc>
      </w:tr>
      <w:tr w:rsidR="00B000D4" w14:paraId="0640F7B1" w14:textId="77777777">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5FA4B7C8" w14:textId="77777777" w:rsidR="00B000D4" w:rsidRDefault="00000000">
            <w:pPr>
              <w:rPr>
                <w:sz w:val="24"/>
                <w:szCs w:val="24"/>
                <w:lang w:eastAsia="nl-NL"/>
              </w:rPr>
            </w:pPr>
            <w:r>
              <w:rPr>
                <w:sz w:val="24"/>
                <w:szCs w:val="24"/>
                <w:lang w:eastAsia="nl-NL"/>
              </w:rPr>
              <w:t>Markerless Tracking</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4D2B5656" w14:textId="77777777" w:rsidR="00B000D4" w:rsidRDefault="00000000">
            <w:pPr>
              <w:rPr>
                <w:sz w:val="24"/>
                <w:szCs w:val="24"/>
                <w:lang w:eastAsia="nl-NL"/>
              </w:rPr>
            </w:pPr>
            <w:r>
              <w:rPr>
                <w:sz w:val="24"/>
                <w:szCs w:val="24"/>
                <w:lang w:eastAsia="nl-NL"/>
              </w:rPr>
              <w:t>Operationeel via blauw licht</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129C038D" w14:textId="77777777" w:rsidR="00B000D4" w:rsidRDefault="00000000">
            <w:pPr>
              <w:rPr>
                <w:sz w:val="24"/>
                <w:szCs w:val="24"/>
                <w:lang w:eastAsia="nl-NL"/>
              </w:rPr>
            </w:pPr>
            <w:r>
              <w:rPr>
                <w:sz w:val="24"/>
                <w:szCs w:val="24"/>
                <w:lang w:eastAsia="nl-NL"/>
              </w:rPr>
              <w:t>Gebruik van vasculaire patronen compenseert gebrek aan huidtekening.</w:t>
            </w:r>
          </w:p>
        </w:tc>
      </w:tr>
      <w:tr w:rsidR="00B000D4" w14:paraId="16905BE0" w14:textId="77777777">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056AEF03" w14:textId="77777777" w:rsidR="00B000D4" w:rsidRDefault="00000000">
            <w:pPr>
              <w:rPr>
                <w:sz w:val="24"/>
                <w:szCs w:val="24"/>
                <w:lang w:eastAsia="nl-NL"/>
              </w:rPr>
            </w:pPr>
            <w:r>
              <w:rPr>
                <w:sz w:val="24"/>
                <w:szCs w:val="24"/>
                <w:lang w:eastAsia="nl-NL"/>
              </w:rPr>
              <w:t>Conversie</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725FF1EC" w14:textId="77777777" w:rsidR="00B000D4" w:rsidRDefault="00000000">
            <w:pPr>
              <w:rPr>
                <w:sz w:val="24"/>
                <w:szCs w:val="24"/>
                <w:lang w:eastAsia="nl-NL"/>
              </w:rPr>
            </w:pPr>
            <w:r>
              <w:rPr>
                <w:sz w:val="24"/>
                <w:szCs w:val="24"/>
                <w:lang w:eastAsia="nl-NL"/>
              </w:rPr>
              <w:t>2D naar 4D</w:t>
            </w:r>
          </w:p>
        </w:tc>
        <w:tc>
          <w:tcPr>
            <w:tcW w:w="0" w:type="auto"/>
            <w:tcBorders>
              <w:top w:val="single" w:sz="6" w:space="0" w:color="auto"/>
              <w:left w:val="single" w:sz="6" w:space="0" w:color="auto"/>
              <w:bottom w:val="single" w:sz="6" w:space="0" w:color="auto"/>
              <w:right w:val="single" w:sz="6" w:space="0" w:color="auto"/>
            </w:tcBorders>
            <w:tcMar>
              <w:top w:w="15" w:type="dxa"/>
              <w:left w:w="57" w:type="dxa"/>
              <w:bottom w:w="15" w:type="dxa"/>
              <w:right w:w="15" w:type="dxa"/>
            </w:tcMar>
            <w:vAlign w:val="center"/>
          </w:tcPr>
          <w:p w14:paraId="65D0CE89" w14:textId="77777777" w:rsidR="00B000D4" w:rsidRDefault="00000000">
            <w:pPr>
              <w:rPr>
                <w:sz w:val="24"/>
                <w:szCs w:val="24"/>
                <w:lang w:eastAsia="nl-NL"/>
              </w:rPr>
            </w:pPr>
            <w:r>
              <w:rPr>
                <w:sz w:val="24"/>
                <w:szCs w:val="24"/>
                <w:lang w:eastAsia="nl-NL"/>
              </w:rPr>
              <w:t>Focus op hardware synchronisatie van 35 frames per seconde om vereiste kwaliteit te bereiken.</w:t>
            </w:r>
          </w:p>
        </w:tc>
      </w:tr>
    </w:tbl>
    <w:p w14:paraId="3B216EC0" w14:textId="77777777" w:rsidR="00B000D4" w:rsidRDefault="00000000">
      <w:pPr>
        <w:rPr>
          <w:sz w:val="24"/>
          <w:szCs w:val="24"/>
          <w:lang w:eastAsia="nl-NL"/>
        </w:rPr>
      </w:pPr>
      <w:r>
        <w:rPr>
          <w:sz w:val="24"/>
          <w:szCs w:val="24"/>
          <w:lang w:eastAsia="nl-NL"/>
        </w:rPr>
        <w:t>Deze stabiele datastroom vormt de onmisbare input voor de training van onze AI-algoritmen.</w:t>
      </w:r>
    </w:p>
    <w:p w14:paraId="0CA29571" w14:textId="77777777" w:rsidR="00B000D4" w:rsidRDefault="00000000">
      <w:pPr>
        <w:pStyle w:val="Kop1"/>
        <w:rPr>
          <w:sz w:val="36"/>
          <w:szCs w:val="36"/>
          <w:lang w:eastAsia="nl-NL"/>
        </w:rPr>
      </w:pPr>
      <w:r>
        <w:rPr>
          <w:sz w:val="36"/>
          <w:szCs w:val="36"/>
          <w:lang w:eastAsia="nl-NL"/>
        </w:rPr>
        <w:t>3. AI-Strategie</w:t>
      </w:r>
    </w:p>
    <w:p w14:paraId="544BD3C9" w14:textId="77777777" w:rsidR="00B000D4" w:rsidRDefault="00000000">
      <w:pPr>
        <w:rPr>
          <w:sz w:val="24"/>
          <w:szCs w:val="24"/>
          <w:lang w:eastAsia="nl-NL"/>
        </w:rPr>
      </w:pPr>
      <w:r>
        <w:rPr>
          <w:sz w:val="24"/>
          <w:szCs w:val="24"/>
          <w:lang w:eastAsia="nl-NL"/>
        </w:rPr>
        <w:t>Dynamische patroonherkenning: De focus ligt op beweging in plaats van statische beelden. Een tumor beïnvloedt de mechanica van de borst tijdens beweging, wat een significant hogere trefkans biedt voor vroege identificatie.</w:t>
      </w:r>
    </w:p>
    <w:p w14:paraId="7C08A7A6" w14:textId="77777777" w:rsidR="00B000D4" w:rsidRDefault="00000000">
      <w:pPr>
        <w:rPr>
          <w:sz w:val="24"/>
          <w:szCs w:val="24"/>
          <w:lang w:eastAsia="nl-NL"/>
        </w:rPr>
      </w:pPr>
      <w:r>
        <w:rPr>
          <w:sz w:val="24"/>
          <w:szCs w:val="24"/>
          <w:lang w:eastAsia="nl-NL"/>
        </w:rPr>
        <w:t xml:space="preserve">Synthetische Data: Vanwege het tekort aan gelabelde klinische data is in een 'proof of principle'  een set van 3.000 gezonde modellen afgezet tegen 3.000 modellen met tumor-mechanica. Hierbij werd een correcte identificatiescore van 85% behaald. De toegepaste software (Blender 3D) is echter onvoldoende voor een valideerbaar resultaat. Op zit moment wordt er zowel bij Sioux als bij het Catharina gewerkt aan een verbeterde simulatie op basis van FEM. </w:t>
      </w:r>
    </w:p>
    <w:p w14:paraId="73147F24" w14:textId="77777777" w:rsidR="00B000D4" w:rsidRDefault="00000000">
      <w:pPr>
        <w:rPr>
          <w:sz w:val="24"/>
          <w:szCs w:val="24"/>
          <w:lang w:eastAsia="nl-NL"/>
        </w:rPr>
      </w:pPr>
      <w:r>
        <w:rPr>
          <w:sz w:val="24"/>
          <w:szCs w:val="24"/>
          <w:lang w:eastAsia="nl-NL"/>
        </w:rPr>
        <w:t>Transitiefase: Synthetische data worden momenteel gebruikt om de AI te voeden, maar zullen stapsgewijs worden vervangen door klinische data naarmate de screeningsvalidatie vordert.</w:t>
      </w:r>
    </w:p>
    <w:p w14:paraId="745E8162" w14:textId="77777777" w:rsidR="00B000D4" w:rsidRDefault="00000000">
      <w:pPr>
        <w:rPr>
          <w:sz w:val="24"/>
          <w:szCs w:val="24"/>
          <w:lang w:eastAsia="nl-NL"/>
        </w:rPr>
      </w:pPr>
      <w:r>
        <w:rPr>
          <w:sz w:val="24"/>
          <w:szCs w:val="24"/>
          <w:lang w:eastAsia="nl-NL"/>
        </w:rPr>
        <w:t>Deze AI-modellen worden gevalideerd door diepgaande biomechanische simulaties via Finite Element Modeling.</w:t>
      </w:r>
    </w:p>
    <w:p w14:paraId="68968FCD" w14:textId="77777777" w:rsidR="00B000D4" w:rsidRDefault="00000000">
      <w:pPr>
        <w:pStyle w:val="Kop1"/>
        <w:rPr>
          <w:sz w:val="36"/>
          <w:szCs w:val="36"/>
          <w:lang w:eastAsia="nl-NL"/>
        </w:rPr>
      </w:pPr>
      <w:r>
        <w:rPr>
          <w:sz w:val="36"/>
          <w:szCs w:val="36"/>
          <w:lang w:eastAsia="nl-NL"/>
        </w:rPr>
        <w:lastRenderedPageBreak/>
        <w:t>4. Biomechanische Modellering</w:t>
      </w:r>
    </w:p>
    <w:p w14:paraId="73178768" w14:textId="77777777" w:rsidR="00B000D4" w:rsidRDefault="00000000">
      <w:pPr>
        <w:rPr>
          <w:sz w:val="24"/>
          <w:szCs w:val="24"/>
          <w:lang w:eastAsia="nl-NL"/>
        </w:rPr>
      </w:pPr>
      <w:r>
        <w:rPr>
          <w:sz w:val="24"/>
          <w:szCs w:val="24"/>
          <w:lang w:eastAsia="nl-NL"/>
        </w:rPr>
        <w:t>Finite Element Modeling (FEM) is cruciaal om te begrijpen hoe een interne massa de externe weefseldynamica beïnvloedt. We simuleren hierbij de mechanische consequenties die aan de buitenkant van de borst meetbaar moeten zijn.</w:t>
      </w:r>
    </w:p>
    <w:p w14:paraId="68B29C1C" w14:textId="77777777" w:rsidR="00B000D4" w:rsidRDefault="00000000">
      <w:pPr>
        <w:pStyle w:val="Kop2"/>
        <w:rPr>
          <w:sz w:val="27"/>
          <w:szCs w:val="27"/>
          <w:lang w:eastAsia="nl-NL"/>
        </w:rPr>
      </w:pPr>
      <w:r>
        <w:rPr>
          <w:sz w:val="27"/>
          <w:szCs w:val="27"/>
          <w:lang w:eastAsia="nl-NL"/>
        </w:rPr>
        <w:t>Software-evolutie en Validatie</w:t>
      </w:r>
    </w:p>
    <w:p w14:paraId="271BDDC7" w14:textId="77777777" w:rsidR="00B000D4" w:rsidRDefault="00000000">
      <w:pPr>
        <w:rPr>
          <w:sz w:val="24"/>
          <w:szCs w:val="24"/>
          <w:lang w:eastAsia="nl-NL"/>
        </w:rPr>
      </w:pPr>
      <w:r>
        <w:rPr>
          <w:sz w:val="24"/>
          <w:szCs w:val="24"/>
          <w:lang w:eastAsia="nl-NL"/>
        </w:rPr>
        <w:t>Voorgesteld wordt om over te stappen van FEBio (open source) naar Comsol en Rhino. FEBio bereikte zijn limieten wat betreft complexe geometrieën en "slagmodulering" (impact- en trillingssimulaties). Comsol staat een nauwkeuriger modellering toe van de interactie tussen verschillende weefsellagen.</w:t>
      </w:r>
    </w:p>
    <w:p w14:paraId="7317DB94" w14:textId="77777777" w:rsidR="00B000D4" w:rsidRDefault="00000000">
      <w:pPr>
        <w:rPr>
          <w:sz w:val="24"/>
          <w:szCs w:val="24"/>
          <w:lang w:eastAsia="nl-NL"/>
        </w:rPr>
      </w:pPr>
      <w:r>
        <w:rPr>
          <w:sz w:val="24"/>
          <w:szCs w:val="24"/>
          <w:lang w:eastAsia="nl-NL"/>
        </w:rPr>
        <w:t>Modellering: We evolueren van simpele "ball in a mass" modellen naar complexe 3-lagen modellen: huid, vetweefsel en klierweefsel.</w:t>
      </w:r>
    </w:p>
    <w:p w14:paraId="754FB71F" w14:textId="77777777" w:rsidR="00B000D4" w:rsidRDefault="00000000">
      <w:pPr>
        <w:rPr>
          <w:sz w:val="24"/>
          <w:szCs w:val="24"/>
          <w:lang w:eastAsia="nl-NL"/>
        </w:rPr>
      </w:pPr>
      <w:r>
        <w:rPr>
          <w:sz w:val="24"/>
          <w:szCs w:val="24"/>
          <w:lang w:eastAsia="nl-NL"/>
        </w:rPr>
        <w:t>Boundary Conditions: Waar de huid voorheen werd genegeerd, wordt deze nu behandeld als een kritieke grens (boundary) die de nauwkeurigheid van de scanner bepaalt.</w:t>
      </w:r>
    </w:p>
    <w:p w14:paraId="0E3111EE" w14:textId="77777777" w:rsidR="00B000D4" w:rsidRDefault="00000000">
      <w:pPr>
        <w:rPr>
          <w:sz w:val="24"/>
          <w:szCs w:val="24"/>
          <w:lang w:eastAsia="nl-NL"/>
        </w:rPr>
      </w:pPr>
      <w:r>
        <w:rPr>
          <w:sz w:val="24"/>
          <w:szCs w:val="24"/>
          <w:lang w:eastAsia="nl-NL"/>
        </w:rPr>
        <w:t>Variabelen: Elasticiteitsmodulus, leeftijd, vetgehalte en de impact van tumorgrootte op de oppervlakte-verplaatsing.</w:t>
      </w:r>
    </w:p>
    <w:p w14:paraId="0B89A012" w14:textId="77777777" w:rsidR="00B000D4" w:rsidRDefault="00000000">
      <w:pPr>
        <w:pStyle w:val="Kop1"/>
        <w:rPr>
          <w:sz w:val="36"/>
          <w:szCs w:val="36"/>
          <w:lang w:eastAsia="nl-NL"/>
        </w:rPr>
      </w:pPr>
      <w:r>
        <w:rPr>
          <w:sz w:val="36"/>
          <w:szCs w:val="36"/>
          <w:lang w:eastAsia="nl-NL"/>
        </w:rPr>
        <w:t>5. Operationele Structuur en Projectmanagement</w:t>
      </w:r>
    </w:p>
    <w:p w14:paraId="39CE8664" w14:textId="77777777" w:rsidR="00B000D4" w:rsidRDefault="00000000">
      <w:pPr>
        <w:rPr>
          <w:sz w:val="24"/>
          <w:szCs w:val="24"/>
          <w:lang w:eastAsia="nl-NL"/>
        </w:rPr>
      </w:pPr>
      <w:r>
        <w:rPr>
          <w:sz w:val="24"/>
          <w:szCs w:val="24"/>
          <w:lang w:eastAsia="nl-NL"/>
        </w:rPr>
        <w:t>De schaal van het project vereist een transitie van een informele samenwerking ("Gentleman's Agreement") naar een formele Consortium Agreement. Dit is noodzakelijk om intellectueel eigendom (IP) en verantwoordelijkheden tussen de TU/e, het Catharina Ziekenhuis en de stichting te borgen.</w:t>
      </w:r>
    </w:p>
    <w:p w14:paraId="4306787A" w14:textId="77777777" w:rsidR="00B000D4" w:rsidRDefault="00000000">
      <w:pPr>
        <w:rPr>
          <w:sz w:val="24"/>
          <w:szCs w:val="24"/>
          <w:lang w:eastAsia="nl-NL"/>
        </w:rPr>
      </w:pPr>
      <w:r>
        <w:rPr>
          <w:sz w:val="24"/>
          <w:szCs w:val="24"/>
          <w:lang w:eastAsia="nl-NL"/>
        </w:rPr>
        <w:t>Werkpakketten (WP 1-8): De structuur dekt het volledige traject af, van hardware-optimalisatie (WP1) en data-opslag tot klinische research (WP8). Er is behoefte aan een "Single Point of Truth" voor alle documentatie en data.</w:t>
      </w:r>
    </w:p>
    <w:p w14:paraId="6A48CB77" w14:textId="77777777" w:rsidR="00B000D4" w:rsidRDefault="00000000">
      <w:pPr>
        <w:rPr>
          <w:sz w:val="24"/>
          <w:szCs w:val="24"/>
          <w:lang w:eastAsia="nl-NL"/>
        </w:rPr>
      </w:pPr>
      <w:r>
        <w:rPr>
          <w:sz w:val="24"/>
          <w:szCs w:val="24"/>
          <w:lang w:eastAsia="nl-NL"/>
        </w:rPr>
        <w:t>Data Security: Meike biedt aan hiervoor haar collega Rien te benaderen.</w:t>
      </w:r>
    </w:p>
    <w:p w14:paraId="05B28AB2" w14:textId="77777777" w:rsidR="00B000D4" w:rsidRDefault="00000000">
      <w:pPr>
        <w:pStyle w:val="Kop1"/>
        <w:rPr>
          <w:sz w:val="36"/>
          <w:szCs w:val="36"/>
          <w:lang w:eastAsia="nl-NL"/>
        </w:rPr>
      </w:pPr>
      <w:r>
        <w:rPr>
          <w:sz w:val="36"/>
          <w:szCs w:val="36"/>
          <w:lang w:eastAsia="nl-NL"/>
        </w:rPr>
        <w:t>6. Financieringsroadmap</w:t>
      </w:r>
    </w:p>
    <w:p w14:paraId="2D7F88CF" w14:textId="77777777" w:rsidR="00B000D4" w:rsidRDefault="00000000">
      <w:pPr>
        <w:rPr>
          <w:sz w:val="24"/>
          <w:szCs w:val="24"/>
          <w:lang w:eastAsia="nl-NL"/>
        </w:rPr>
      </w:pPr>
      <w:r>
        <w:rPr>
          <w:sz w:val="24"/>
          <w:szCs w:val="24"/>
          <w:lang w:eastAsia="nl-NL"/>
        </w:rPr>
        <w:t>De financiering berust op een gezonde mix van crowdfunding, filantropie en subsidies.</w:t>
      </w:r>
    </w:p>
    <w:p w14:paraId="10B0453E" w14:textId="77777777" w:rsidR="00B000D4" w:rsidRDefault="00000000">
      <w:pPr>
        <w:rPr>
          <w:sz w:val="24"/>
          <w:szCs w:val="24"/>
          <w:lang w:eastAsia="nl-NL"/>
        </w:rPr>
      </w:pPr>
      <w:r>
        <w:rPr>
          <w:sz w:val="24"/>
          <w:szCs w:val="24"/>
          <w:lang w:eastAsia="nl-NL"/>
        </w:rPr>
        <w:t>Voor.nl campagne: Op advies van de organisatie zetten we in op het maximumbedrag van €125.000. De momentum is positief; we moeten uiterlijk 24 mei 20.000 punten behalen (minimaal 2.000 geëngageerde stemmers die 10 punten geven).</w:t>
      </w:r>
    </w:p>
    <w:p w14:paraId="555D1F68" w14:textId="77777777" w:rsidR="00B000D4" w:rsidRDefault="00000000">
      <w:pPr>
        <w:rPr>
          <w:sz w:val="24"/>
          <w:szCs w:val="24"/>
          <w:lang w:eastAsia="nl-NL"/>
        </w:rPr>
      </w:pPr>
      <w:r>
        <w:rPr>
          <w:sz w:val="24"/>
          <w:szCs w:val="24"/>
          <w:lang w:eastAsia="nl-NL"/>
        </w:rPr>
        <w:t>Structurele Inkomsten: Evenementen zoals de 24-uurs wandeltocht (Catharina Onderzoeksfonds) en de Midzomeravond wandeltocht leveren jaarlijks circa €20.000 op.</w:t>
      </w:r>
    </w:p>
    <w:p w14:paraId="708AC859" w14:textId="77777777" w:rsidR="00B000D4" w:rsidRDefault="00000000">
      <w:pPr>
        <w:rPr>
          <w:sz w:val="24"/>
          <w:szCs w:val="24"/>
          <w:lang w:eastAsia="nl-NL"/>
        </w:rPr>
      </w:pPr>
      <w:r>
        <w:rPr>
          <w:sz w:val="24"/>
          <w:szCs w:val="24"/>
          <w:lang w:eastAsia="nl-NL"/>
        </w:rPr>
        <w:t>Impact Investing: De focus richting familiefondsen en filantropen ligt op de maatschappelijke  waarde (impact). Het consortiummodel versterkt onze propositie richting deze groep financiers.</w:t>
      </w:r>
    </w:p>
    <w:p w14:paraId="1734E9EF" w14:textId="77777777" w:rsidR="00B000D4" w:rsidRDefault="00000000">
      <w:pPr>
        <w:pStyle w:val="Kop1"/>
        <w:rPr>
          <w:sz w:val="36"/>
          <w:szCs w:val="36"/>
          <w:lang w:eastAsia="nl-NL"/>
        </w:rPr>
      </w:pPr>
      <w:r>
        <w:rPr>
          <w:sz w:val="36"/>
          <w:szCs w:val="36"/>
          <w:lang w:eastAsia="nl-NL"/>
        </w:rPr>
        <w:lastRenderedPageBreak/>
        <w:t>7. Conclusie en Actiepunten</w:t>
      </w:r>
    </w:p>
    <w:p w14:paraId="63FF2301" w14:textId="77777777" w:rsidR="00B000D4" w:rsidRDefault="00000000">
      <w:pPr>
        <w:rPr>
          <w:sz w:val="24"/>
          <w:szCs w:val="24"/>
          <w:lang w:eastAsia="nl-NL"/>
        </w:rPr>
      </w:pPr>
      <w:r>
        <w:rPr>
          <w:sz w:val="24"/>
          <w:szCs w:val="24"/>
          <w:lang w:eastAsia="nl-NL"/>
        </w:rPr>
        <w:t>Het project bevindt zich op een kantelpunt waarbij de “uitvinderscultuur” moet evolueren naar professionalisering met de focus op een wetenschappelijk verantwoorde doorontwikkeling. Met de deelname van het Catharina Kanker Instituut komt klinische research binnen bereik.</w:t>
      </w:r>
    </w:p>
    <w:p w14:paraId="4DEECB82" w14:textId="77777777" w:rsidR="00B000D4" w:rsidRDefault="00000000">
      <w:pPr>
        <w:pStyle w:val="Kop1"/>
        <w:rPr>
          <w:sz w:val="27"/>
          <w:szCs w:val="27"/>
          <w:lang w:eastAsia="nl-NL"/>
        </w:rPr>
      </w:pPr>
      <w:r>
        <w:rPr>
          <w:sz w:val="27"/>
          <w:szCs w:val="27"/>
          <w:lang w:eastAsia="nl-NL"/>
        </w:rPr>
        <w:t>Volgende bijeenkomst</w:t>
      </w:r>
    </w:p>
    <w:p w14:paraId="5D021484" w14:textId="77777777" w:rsidR="00B000D4" w:rsidRDefault="00000000">
      <w:pPr>
        <w:rPr>
          <w:sz w:val="24"/>
          <w:szCs w:val="24"/>
          <w:lang w:eastAsia="nl-NL"/>
        </w:rPr>
      </w:pPr>
      <w:r>
        <w:rPr>
          <w:sz w:val="24"/>
          <w:szCs w:val="24"/>
          <w:lang w:eastAsia="nl-NL"/>
        </w:rPr>
        <w:t>De volgende vergadering vindt plaats op 9 juli om 09:00 uur in het Catharina Ziekenhuis.</w:t>
      </w:r>
    </w:p>
    <w:p w14:paraId="33D9E113" w14:textId="77777777" w:rsidR="00B000D4" w:rsidRDefault="00000000">
      <w:pPr>
        <w:pStyle w:val="Kop1"/>
        <w:rPr>
          <w:sz w:val="27"/>
          <w:szCs w:val="27"/>
          <w:lang w:eastAsia="nl-NL"/>
        </w:rPr>
      </w:pPr>
      <w:r>
        <w:rPr>
          <w:sz w:val="27"/>
          <w:szCs w:val="27"/>
          <w:lang w:eastAsia="nl-NL"/>
        </w:rPr>
        <w:t>Actielijst</w:t>
      </w:r>
    </w:p>
    <w:p w14:paraId="489C5691" w14:textId="77777777" w:rsidR="00B000D4" w:rsidRDefault="00000000">
      <w:pPr>
        <w:pStyle w:val="Lijstalinea"/>
        <w:numPr>
          <w:ilvl w:val="0"/>
          <w:numId w:val="8"/>
        </w:numPr>
        <w:rPr>
          <w:sz w:val="24"/>
          <w:szCs w:val="24"/>
          <w:lang w:eastAsia="nl-NL"/>
        </w:rPr>
      </w:pPr>
      <w:r>
        <w:rPr>
          <w:sz w:val="24"/>
          <w:szCs w:val="24"/>
          <w:lang w:eastAsia="nl-NL"/>
        </w:rPr>
        <w:t>IEDEREEN: Mobiliseren van achterban om VOORbeeld verkiezing stemmen te verzamelen voor 20.000 punten. Stemmen kan tot en met 24 mei.</w:t>
      </w:r>
      <w:r>
        <w:rPr>
          <w:rFonts w:ascii="Calibri" w:eastAsia="Calibri" w:hAnsi="Calibri" w:cs="Calibri"/>
          <w:sz w:val="24"/>
          <w:szCs w:val="24"/>
          <w:lang w:eastAsia="nl-NL"/>
        </w:rPr>
        <w:t xml:space="preserve"> </w:t>
      </w:r>
      <w:hyperlink r:id="rId7" w:tooltip="https://www.voor.nl/voorbeeld-projecten/2026" w:history="1">
        <w:r w:rsidR="00B000D4">
          <w:rPr>
            <w:rStyle w:val="Hyperlink"/>
            <w:rFonts w:ascii="Calibri" w:eastAsia="Calibri" w:hAnsi="Calibri" w:cs="Calibri"/>
            <w:color w:val="0000EE"/>
            <w:sz w:val="24"/>
          </w:rPr>
          <w:t>VOORbeeld 2026</w:t>
        </w:r>
      </w:hyperlink>
    </w:p>
    <w:p w14:paraId="30B1C926" w14:textId="77777777" w:rsidR="00B000D4" w:rsidRDefault="00000000">
      <w:pPr>
        <w:pStyle w:val="Lijstalinea"/>
        <w:numPr>
          <w:ilvl w:val="0"/>
          <w:numId w:val="8"/>
        </w:numPr>
        <w:rPr>
          <w:sz w:val="24"/>
          <w:szCs w:val="24"/>
          <w:lang w:eastAsia="nl-NL"/>
        </w:rPr>
      </w:pPr>
      <w:r>
        <w:rPr>
          <w:sz w:val="24"/>
          <w:szCs w:val="24"/>
          <w:lang w:eastAsia="nl-NL"/>
        </w:rPr>
        <w:t>Grant Support: Fons neemt contact op met Edwin Heijman om opties te onderzoeken.</w:t>
      </w:r>
    </w:p>
    <w:p w14:paraId="2F7E93CB" w14:textId="77777777" w:rsidR="00B000D4" w:rsidRDefault="00000000">
      <w:pPr>
        <w:pStyle w:val="Lijstalinea"/>
        <w:numPr>
          <w:ilvl w:val="0"/>
          <w:numId w:val="8"/>
        </w:numPr>
        <w:rPr>
          <w:sz w:val="24"/>
          <w:szCs w:val="24"/>
          <w:lang w:eastAsia="nl-NL"/>
        </w:rPr>
      </w:pPr>
      <w:r>
        <w:rPr>
          <w:sz w:val="24"/>
          <w:szCs w:val="24"/>
          <w:lang w:eastAsia="nl-NL"/>
        </w:rPr>
        <w:t>Consortium Agreement: Fons polst de richtlijnen die de TU hiervoor stelt, Coen idem voor het Catharina</w:t>
      </w:r>
    </w:p>
    <w:p w14:paraId="25F8962F" w14:textId="77777777" w:rsidR="00B000D4" w:rsidRDefault="00000000">
      <w:pPr>
        <w:pStyle w:val="Lijstalinea"/>
        <w:numPr>
          <w:ilvl w:val="0"/>
          <w:numId w:val="8"/>
        </w:numPr>
        <w:rPr>
          <w:sz w:val="24"/>
          <w:szCs w:val="24"/>
          <w:lang w:eastAsia="nl-NL"/>
        </w:rPr>
      </w:pPr>
      <w:r>
        <w:rPr>
          <w:sz w:val="24"/>
          <w:szCs w:val="24"/>
          <w:lang w:eastAsia="nl-NL"/>
        </w:rPr>
        <w:t>Softwaretransitie: Coen en Timo kijken naar verbeterde softwareplatforms voor FEM. Gezien de kosten die hiermee gepaard gaan, graag een root-cause analyse waarom FeBio faalt.</w:t>
      </w:r>
    </w:p>
    <w:p w14:paraId="4CA64ED5" w14:textId="77777777" w:rsidR="00B000D4" w:rsidRDefault="00000000">
      <w:pPr>
        <w:pStyle w:val="Lijstalinea"/>
        <w:numPr>
          <w:ilvl w:val="0"/>
          <w:numId w:val="8"/>
        </w:numPr>
        <w:rPr>
          <w:sz w:val="24"/>
          <w:szCs w:val="24"/>
          <w:lang w:eastAsia="nl-NL"/>
        </w:rPr>
      </w:pPr>
      <w:r>
        <w:rPr>
          <w:sz w:val="24"/>
          <w:szCs w:val="24"/>
          <w:lang w:eastAsia="nl-NL"/>
        </w:rPr>
        <w:t>Timo en Koen stroomlijnen uitwisseling FEM onderzoeksactiviteiten</w:t>
      </w:r>
    </w:p>
    <w:p w14:paraId="2EA3C3CA" w14:textId="743858DC" w:rsidR="00303873" w:rsidRDefault="00303873">
      <w:pPr>
        <w:pStyle w:val="Lijstalinea"/>
        <w:numPr>
          <w:ilvl w:val="0"/>
          <w:numId w:val="8"/>
        </w:numPr>
        <w:rPr>
          <w:sz w:val="24"/>
          <w:szCs w:val="24"/>
          <w:lang w:eastAsia="nl-NL"/>
        </w:rPr>
      </w:pPr>
      <w:r>
        <w:rPr>
          <w:sz w:val="24"/>
          <w:szCs w:val="24"/>
          <w:lang w:eastAsia="nl-NL"/>
        </w:rPr>
        <w:t>Tom bekijkt de mogelijkheden voor een “single point of truth” dataopslag</w:t>
      </w:r>
    </w:p>
    <w:p w14:paraId="232B1F57" w14:textId="77777777" w:rsidR="00B000D4" w:rsidRDefault="00000000">
      <w:pPr>
        <w:pStyle w:val="Kop1"/>
        <w:rPr>
          <w:sz w:val="27"/>
          <w:szCs w:val="27"/>
          <w:lang w:eastAsia="nl-NL"/>
        </w:rPr>
      </w:pPr>
      <w:r>
        <w:rPr>
          <w:sz w:val="27"/>
          <w:szCs w:val="27"/>
          <w:lang w:eastAsia="nl-NL"/>
        </w:rPr>
        <w:t>Overig</w:t>
      </w:r>
    </w:p>
    <w:p w14:paraId="485E1DE7" w14:textId="77777777" w:rsidR="00B000D4" w:rsidRDefault="00000000">
      <w:pPr>
        <w:rPr>
          <w:sz w:val="24"/>
          <w:szCs w:val="24"/>
          <w14:ligatures w14:val="none"/>
        </w:rPr>
      </w:pPr>
      <w:r>
        <w:rPr>
          <w:sz w:val="24"/>
          <w:szCs w:val="24"/>
          <w:lang w:eastAsia="nl-NL"/>
        </w:rPr>
        <w:t xml:space="preserve">Linda heeft aangegeven haar activiteiten voor de Early Warning Scan te beëindigen. Zij kiest ervoor om terug te gaan naar haar medisch roots in de gezondheidszorg. </w:t>
      </w:r>
    </w:p>
    <w:p w14:paraId="5DAE03D4" w14:textId="77777777" w:rsidR="00B000D4" w:rsidRDefault="00B000D4">
      <w:pPr>
        <w:rPr>
          <w:sz w:val="24"/>
          <w:szCs w:val="24"/>
          <w:lang w:eastAsia="nl-NL"/>
        </w:rPr>
      </w:pPr>
    </w:p>
    <w:p w14:paraId="77D5BED8" w14:textId="77777777" w:rsidR="00B000D4" w:rsidRDefault="00B000D4"/>
    <w:sectPr w:rsidR="00B000D4">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191A" w14:textId="77777777" w:rsidR="00AF7035" w:rsidRDefault="00AF7035">
      <w:pPr>
        <w:spacing w:after="0" w:line="240" w:lineRule="auto"/>
      </w:pPr>
      <w:r>
        <w:separator/>
      </w:r>
    </w:p>
  </w:endnote>
  <w:endnote w:type="continuationSeparator" w:id="0">
    <w:p w14:paraId="36A763BC" w14:textId="77777777" w:rsidR="00AF7035" w:rsidRDefault="00AF7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7B621" w14:textId="77777777" w:rsidR="00AF7035" w:rsidRDefault="00AF7035">
      <w:pPr>
        <w:spacing w:after="0" w:line="240" w:lineRule="auto"/>
      </w:pPr>
      <w:r>
        <w:separator/>
      </w:r>
    </w:p>
  </w:footnote>
  <w:footnote w:type="continuationSeparator" w:id="0">
    <w:p w14:paraId="4EF9E5C7" w14:textId="77777777" w:rsidR="00AF7035" w:rsidRDefault="00AF7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BDD"/>
    <w:multiLevelType w:val="multilevel"/>
    <w:tmpl w:val="6130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032BE"/>
    <w:multiLevelType w:val="multilevel"/>
    <w:tmpl w:val="5D109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57C64"/>
    <w:multiLevelType w:val="multilevel"/>
    <w:tmpl w:val="2BBC573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2AB21A69"/>
    <w:multiLevelType w:val="multilevel"/>
    <w:tmpl w:val="AC3AD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C26A7"/>
    <w:multiLevelType w:val="multilevel"/>
    <w:tmpl w:val="A362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D1CF8"/>
    <w:multiLevelType w:val="multilevel"/>
    <w:tmpl w:val="F64A0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C7578"/>
    <w:multiLevelType w:val="multilevel"/>
    <w:tmpl w:val="A066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D1D85"/>
    <w:multiLevelType w:val="multilevel"/>
    <w:tmpl w:val="E168D4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715854988">
    <w:abstractNumId w:val="1"/>
  </w:num>
  <w:num w:numId="2" w16cid:durableId="1410809404">
    <w:abstractNumId w:val="0"/>
  </w:num>
  <w:num w:numId="3" w16cid:durableId="1240138074">
    <w:abstractNumId w:val="5"/>
  </w:num>
  <w:num w:numId="4" w16cid:durableId="308946830">
    <w:abstractNumId w:val="4"/>
  </w:num>
  <w:num w:numId="5" w16cid:durableId="2018459463">
    <w:abstractNumId w:val="6"/>
  </w:num>
  <w:num w:numId="6" w16cid:durableId="195042835">
    <w:abstractNumId w:val="3"/>
  </w:num>
  <w:num w:numId="7" w16cid:durableId="2024087483">
    <w:abstractNumId w:val="2"/>
  </w:num>
  <w:num w:numId="8" w16cid:durableId="267005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D4"/>
    <w:rsid w:val="00303873"/>
    <w:rsid w:val="00530B2C"/>
    <w:rsid w:val="00564206"/>
    <w:rsid w:val="007F0644"/>
    <w:rsid w:val="00AF7035"/>
    <w:rsid w:val="00B000D4"/>
    <w:rsid w:val="00CF2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70A1"/>
  <w15:docId w15:val="{C5A5DE87-77A3-4576-B5C8-1249A3655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Standaardtabe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nopgemaaktetabel1">
    <w:name w:val="Plain Table 1"/>
    <w:basedOn w:val="Standaardtabe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nopgemaaktetabel2">
    <w:name w:val="Plain Table 2"/>
    <w:basedOn w:val="Standaardtabe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nopgemaaktetabel3">
    <w:name w:val="Plain Table 3"/>
    <w:basedOn w:val="Standaardtabe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4">
    <w:name w:val="Plain Table 4"/>
    <w:basedOn w:val="Standaardtabe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nopgemaaktetabel5">
    <w:name w:val="Plain Table 5"/>
    <w:basedOn w:val="Standaardtabe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Rastertabel1licht">
    <w:name w:val="Grid Table 1 Light"/>
    <w:basedOn w:val="Standaardtabe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Standaardtabe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Standaardtabe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Standaardtabe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Standaardtabe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Standaardtabe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Standaardtabe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Rastertabel2">
    <w:name w:val="Grid Table 2"/>
    <w:basedOn w:val="Standaardtabe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Standaardtabe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Standaardtabe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Standaardtabe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Standaardtabe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Standaardtabe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Standaardtabe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3">
    <w:name w:val="Grid Table 3"/>
    <w:basedOn w:val="Standaardtabe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Standaardtabe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Standaardtabe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Standaardtabe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Standaardtabe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Standaardtabe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Standaardtabe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4">
    <w:name w:val="Grid Table 4"/>
    <w:basedOn w:val="Standaardtabe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Standaardtabe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Standaardtabe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Standaardtabe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Standaardtabe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Standaardtabe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Standaardtabe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Rastertabel5donker">
    <w:name w:val="Grid Table 5 Dark"/>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Standaardtabe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Rastertabel6kleurrijk">
    <w:name w:val="Grid Table 6 Colorful"/>
    <w:basedOn w:val="Standaardtabe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Standaardtabe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Standaardtabe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Standaardtabe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Standaardtabe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Standaardtabe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Standaardtabe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Rastertabel7kleurrijk">
    <w:name w:val="Grid Table 7 Colorful"/>
    <w:basedOn w:val="Standaardtabe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Standaardtabe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Standaardtabe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Standaardtabe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Standaardtabe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Standaardtabe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Standaardtabe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jsttabel1licht">
    <w:name w:val="List Table 1 Light"/>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Standaardtabe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jsttabel2">
    <w:name w:val="List Table 2"/>
    <w:basedOn w:val="Standaardtabe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Standaardtabe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Standaardtabe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Standaardtabe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Standaardtabe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Standaardtabe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Standaardtabe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jsttabel3">
    <w:name w:val="List Table 3"/>
    <w:basedOn w:val="Standaardtabe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Standaardtabe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Standaardtabe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Standaardtabe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Standaardtabe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Standaardtabe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Standaardtabe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jsttabel4">
    <w:name w:val="List Table 4"/>
    <w:basedOn w:val="Standaardtabe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Standaardtabe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Standaardtabe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Standaardtabe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Standaardtabe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Standaardtabe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Standaardtabe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jsttabel5donker">
    <w:name w:val="List Table 5 Dark"/>
    <w:basedOn w:val="Standaardtabe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Standaardtabe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Standaardtabe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Standaardtabe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Standaardtabe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Standaardtabe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Standaardtabe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jsttabel6kleurrijk">
    <w:name w:val="List Table 6 Colorful"/>
    <w:basedOn w:val="Standaardtabe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Standaardtabe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Standaardtabe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Standaardtabe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Standaardtabe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Standaardtabe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Standaardtabe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jsttabel7kleurrijk">
    <w:name w:val="List Table 7 Colorful"/>
    <w:basedOn w:val="Standaardtabe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Standaardtabe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Standaardtabe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Standaardtabe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Standaardtabe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Standaardtabe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Standaardtabe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Standaardtabe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Standaardtabel"/>
    <w:uiPriority w:val="99"/>
    <w:pPr>
      <w:spacing w:after="0" w:line="240" w:lineRule="auto"/>
    </w:pPr>
    <w:rPr>
      <w:color w:val="404040"/>
      <w:sz w:val="20"/>
      <w:szCs w:val="20"/>
      <w:lang w:eastAsia="nl-NL"/>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Standaardtabe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Standaardtabe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Standaardtabe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Standaardtabe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Standaardtabe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Standaardtabe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Standaardtabe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Standaardalinea-lettertype"/>
    <w:uiPriority w:val="9"/>
    <w:rPr>
      <w:rFonts w:ascii="Arial" w:eastAsia="Arial" w:hAnsi="Arial" w:cs="Arial"/>
      <w:color w:val="2F5496" w:themeColor="accent1" w:themeShade="BF"/>
      <w:sz w:val="40"/>
      <w:szCs w:val="40"/>
    </w:rPr>
  </w:style>
  <w:style w:type="character" w:customStyle="1" w:styleId="Heading2Char">
    <w:name w:val="Heading 2 Char"/>
    <w:basedOn w:val="Standaardalinea-lettertype"/>
    <w:uiPriority w:val="9"/>
    <w:rPr>
      <w:rFonts w:ascii="Arial" w:eastAsia="Arial" w:hAnsi="Arial" w:cs="Arial"/>
      <w:color w:val="2F5496" w:themeColor="accent1" w:themeShade="BF"/>
      <w:sz w:val="32"/>
      <w:szCs w:val="32"/>
    </w:rPr>
  </w:style>
  <w:style w:type="character" w:customStyle="1" w:styleId="Heading3Char">
    <w:name w:val="Heading 3 Char"/>
    <w:basedOn w:val="Standaardalinea-lettertype"/>
    <w:uiPriority w:val="9"/>
    <w:rPr>
      <w:rFonts w:ascii="Arial" w:eastAsia="Arial" w:hAnsi="Arial" w:cs="Arial"/>
      <w:color w:val="2F5496" w:themeColor="accent1" w:themeShade="BF"/>
      <w:sz w:val="28"/>
      <w:szCs w:val="28"/>
    </w:rPr>
  </w:style>
  <w:style w:type="character" w:customStyle="1" w:styleId="Heading4Char">
    <w:name w:val="Heading 4 Char"/>
    <w:basedOn w:val="Standaardalinea-lettertype"/>
    <w:uiPriority w:val="9"/>
    <w:rPr>
      <w:rFonts w:ascii="Arial" w:eastAsia="Arial" w:hAnsi="Arial" w:cs="Arial"/>
      <w:i/>
      <w:iCs/>
      <w:color w:val="2F5496" w:themeColor="accent1" w:themeShade="BF"/>
    </w:rPr>
  </w:style>
  <w:style w:type="character" w:customStyle="1" w:styleId="Heading5Char">
    <w:name w:val="Heading 5 Char"/>
    <w:basedOn w:val="Standaardalinea-lettertype"/>
    <w:uiPriority w:val="9"/>
    <w:rPr>
      <w:rFonts w:ascii="Arial" w:eastAsia="Arial" w:hAnsi="Arial" w:cs="Arial"/>
      <w:color w:val="2F5496" w:themeColor="accent1" w:themeShade="BF"/>
    </w:rPr>
  </w:style>
  <w:style w:type="character" w:customStyle="1" w:styleId="Heading6Char">
    <w:name w:val="Heading 6 Char"/>
    <w:basedOn w:val="Standaardalinea-lettertype"/>
    <w:uiPriority w:val="9"/>
    <w:rPr>
      <w:rFonts w:ascii="Arial" w:eastAsia="Arial" w:hAnsi="Arial" w:cs="Arial"/>
      <w:i/>
      <w:iCs/>
      <w:color w:val="595959" w:themeColor="text1" w:themeTint="A6"/>
    </w:rPr>
  </w:style>
  <w:style w:type="character" w:customStyle="1" w:styleId="Heading7Char">
    <w:name w:val="Heading 7 Char"/>
    <w:basedOn w:val="Standaardalinea-lettertype"/>
    <w:uiPriority w:val="9"/>
    <w:rPr>
      <w:rFonts w:ascii="Arial" w:eastAsia="Arial" w:hAnsi="Arial" w:cs="Arial"/>
      <w:color w:val="595959" w:themeColor="text1" w:themeTint="A6"/>
    </w:rPr>
  </w:style>
  <w:style w:type="character" w:customStyle="1" w:styleId="Heading8Char">
    <w:name w:val="Heading 8 Char"/>
    <w:basedOn w:val="Standaardalinea-lettertype"/>
    <w:uiPriority w:val="9"/>
    <w:rPr>
      <w:rFonts w:ascii="Arial" w:eastAsia="Arial" w:hAnsi="Arial" w:cs="Arial"/>
      <w:i/>
      <w:iCs/>
      <w:color w:val="272727" w:themeColor="text1" w:themeTint="D8"/>
    </w:rPr>
  </w:style>
  <w:style w:type="character" w:customStyle="1" w:styleId="Heading9Char">
    <w:name w:val="Heading 9 Char"/>
    <w:basedOn w:val="Standaardalinea-lettertype"/>
    <w:uiPriority w:val="9"/>
    <w:rPr>
      <w:rFonts w:ascii="Arial" w:eastAsia="Arial" w:hAnsi="Arial" w:cs="Arial"/>
      <w:i/>
      <w:iCs/>
      <w:color w:val="272727" w:themeColor="text1" w:themeTint="D8"/>
    </w:rPr>
  </w:style>
  <w:style w:type="character" w:customStyle="1" w:styleId="TitleChar">
    <w:name w:val="Title Char"/>
    <w:basedOn w:val="Standaardalinea-lettertype"/>
    <w:uiPriority w:val="10"/>
    <w:rPr>
      <w:rFonts w:ascii="Arial" w:eastAsia="Arial" w:hAnsi="Arial" w:cs="Arial"/>
      <w:spacing w:val="-10"/>
      <w:sz w:val="56"/>
      <w:szCs w:val="56"/>
    </w:rPr>
  </w:style>
  <w:style w:type="character" w:customStyle="1" w:styleId="SubtitleChar">
    <w:name w:val="Subtitle Char"/>
    <w:basedOn w:val="Standaardalinea-lettertype"/>
    <w:uiPriority w:val="11"/>
    <w:rPr>
      <w:color w:val="595959" w:themeColor="text1" w:themeTint="A6"/>
      <w:spacing w:val="15"/>
      <w:sz w:val="28"/>
      <w:szCs w:val="28"/>
    </w:rPr>
  </w:style>
  <w:style w:type="character" w:customStyle="1" w:styleId="QuoteChar">
    <w:name w:val="Quote Char"/>
    <w:basedOn w:val="Standaardalinea-lettertype"/>
    <w:uiPriority w:val="29"/>
    <w:rPr>
      <w:i/>
      <w:iCs/>
      <w:color w:val="404040" w:themeColor="text1" w:themeTint="BF"/>
    </w:rPr>
  </w:style>
  <w:style w:type="character" w:customStyle="1" w:styleId="IntenseQuoteChar">
    <w:name w:val="Intense Quote Char"/>
    <w:basedOn w:val="Standaardalinea-lettertype"/>
    <w:uiPriority w:val="30"/>
    <w:rPr>
      <w:i/>
      <w:iCs/>
      <w:color w:val="2F5496" w:themeColor="accent1" w:themeShade="BF"/>
    </w:rPr>
  </w:style>
  <w:style w:type="paragraph" w:styleId="Geenafstand">
    <w:name w:val="No Spacing"/>
    <w:basedOn w:val="Standaard"/>
    <w:uiPriority w:val="1"/>
    <w:qFormat/>
    <w:pPr>
      <w:spacing w:after="0" w:line="240" w:lineRule="auto"/>
    </w:pPr>
  </w:style>
  <w:style w:type="character" w:styleId="Subtielebenadrukking">
    <w:name w:val="Subtle Emphasis"/>
    <w:basedOn w:val="Standaardalinea-lettertype"/>
    <w:uiPriority w:val="19"/>
    <w:qFormat/>
    <w:rPr>
      <w:i/>
      <w:iCs/>
      <w:color w:val="404040" w:themeColor="text1" w:themeTint="BF"/>
    </w:rPr>
  </w:style>
  <w:style w:type="character" w:styleId="Nadruk">
    <w:name w:val="Emphasis"/>
    <w:basedOn w:val="Standaardalinea-lettertype"/>
    <w:uiPriority w:val="20"/>
    <w:qFormat/>
    <w:rPr>
      <w:i/>
      <w:iCs/>
    </w:rPr>
  </w:style>
  <w:style w:type="character" w:styleId="Zwaar">
    <w:name w:val="Strong"/>
    <w:basedOn w:val="Standaardalinea-lettertype"/>
    <w:uiPriority w:val="22"/>
    <w:qFormat/>
    <w:rPr>
      <w:b/>
      <w:bCs/>
    </w:rPr>
  </w:style>
  <w:style w:type="character" w:styleId="Subtieleverwijzing">
    <w:name w:val="Subtle Reference"/>
    <w:basedOn w:val="Standaardalinea-lettertype"/>
    <w:uiPriority w:val="31"/>
    <w:qFormat/>
    <w:rPr>
      <w:smallCaps/>
      <w:color w:val="5A5A5A" w:themeColor="text1" w:themeTint="A5"/>
    </w:rPr>
  </w:style>
  <w:style w:type="character" w:styleId="Titelvanboek">
    <w:name w:val="Book Title"/>
    <w:basedOn w:val="Standaardalinea-lettertype"/>
    <w:uiPriority w:val="33"/>
    <w:qFormat/>
    <w:rPr>
      <w:b/>
      <w:bCs/>
      <w:i/>
      <w:iCs/>
      <w:spacing w:val="5"/>
    </w:rPr>
  </w:style>
  <w:style w:type="paragraph" w:styleId="Koptekst">
    <w:name w:val="header"/>
    <w:basedOn w:val="Standaard"/>
    <w:link w:val="KoptekstChar"/>
    <w:uiPriority w:val="99"/>
    <w:unhideWhenUsed/>
    <w:pPr>
      <w:tabs>
        <w:tab w:val="center" w:pos="4844"/>
        <w:tab w:val="right" w:pos="9689"/>
      </w:tabs>
      <w:spacing w:after="0" w:line="240" w:lineRule="auto"/>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844"/>
        <w:tab w:val="right" w:pos="9689"/>
      </w:tabs>
      <w:spacing w:after="0" w:line="240" w:lineRule="auto"/>
    </w:pPr>
  </w:style>
  <w:style w:type="character" w:customStyle="1" w:styleId="VoettekstChar">
    <w:name w:val="Voettekst Char"/>
    <w:basedOn w:val="Standaardalinea-lettertype"/>
    <w:link w:val="Voettekst"/>
    <w:uiPriority w:val="99"/>
  </w:style>
  <w:style w:type="paragraph" w:styleId="Bijschrift">
    <w:name w:val="caption"/>
    <w:basedOn w:val="Standaard"/>
    <w:next w:val="Standaard"/>
    <w:uiPriority w:val="35"/>
    <w:unhideWhenUsed/>
    <w:qFormat/>
    <w:pPr>
      <w:spacing w:after="200" w:line="240" w:lineRule="auto"/>
    </w:pPr>
    <w:rPr>
      <w:i/>
      <w:iCs/>
      <w:color w:val="44546A" w:themeColor="text2"/>
      <w:sz w:val="18"/>
      <w:szCs w:val="18"/>
    </w:rPr>
  </w:style>
  <w:style w:type="paragraph" w:styleId="Voetnoottekst">
    <w:name w:val="footnote text"/>
    <w:basedOn w:val="Standaard"/>
    <w:link w:val="VoetnoottekstChar"/>
    <w:uiPriority w:val="99"/>
    <w:semiHidden/>
    <w:unhideWhenUse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Pr>
      <w:sz w:val="20"/>
      <w:szCs w:val="20"/>
    </w:rPr>
  </w:style>
  <w:style w:type="character" w:styleId="Voetnootmarkering">
    <w:name w:val="footnote reference"/>
    <w:basedOn w:val="Standaardalinea-lettertype"/>
    <w:uiPriority w:val="99"/>
    <w:semiHidden/>
    <w:unhideWhenUsed/>
    <w:rPr>
      <w:vertAlign w:val="superscript"/>
    </w:rPr>
  </w:style>
  <w:style w:type="paragraph" w:styleId="Eindnoottekst">
    <w:name w:val="endnote text"/>
    <w:basedOn w:val="Standaard"/>
    <w:link w:val="EindnoottekstChar"/>
    <w:uiPriority w:val="99"/>
    <w:semiHidden/>
    <w:unhideWhenUsed/>
    <w:pPr>
      <w:spacing w:after="0" w:line="240" w:lineRule="auto"/>
    </w:pPr>
    <w:rPr>
      <w:sz w:val="20"/>
      <w:szCs w:val="20"/>
    </w:rPr>
  </w:style>
  <w:style w:type="character" w:customStyle="1" w:styleId="EindnoottekstChar">
    <w:name w:val="Eindnoottekst Char"/>
    <w:basedOn w:val="Standaardalinea-lettertype"/>
    <w:link w:val="Eindnoottekst"/>
    <w:uiPriority w:val="99"/>
    <w:semiHidden/>
    <w:rPr>
      <w:sz w:val="20"/>
      <w:szCs w:val="20"/>
    </w:rPr>
  </w:style>
  <w:style w:type="character" w:styleId="Eindnootmarkering">
    <w:name w:val="endnote reference"/>
    <w:basedOn w:val="Standaardalinea-lettertype"/>
    <w:uiPriority w:val="99"/>
    <w:semiHidden/>
    <w:unhideWhenUsed/>
    <w:rPr>
      <w:vertAlign w:val="superscript"/>
    </w:rPr>
  </w:style>
  <w:style w:type="character" w:styleId="Hyperlink">
    <w:name w:val="Hyperlink"/>
    <w:basedOn w:val="Standaardalinea-lettertype"/>
    <w:uiPriority w:val="99"/>
    <w:unhideWhenUsed/>
    <w:rPr>
      <w:color w:val="0563C1" w:themeColor="hyperlink"/>
      <w:u w:val="single"/>
    </w:rPr>
  </w:style>
  <w:style w:type="character" w:styleId="GevolgdeHyperlink">
    <w:name w:val="FollowedHyperlink"/>
    <w:basedOn w:val="Standaardalinea-lettertype"/>
    <w:uiPriority w:val="99"/>
    <w:semiHidden/>
    <w:unhideWhenUsed/>
    <w:rPr>
      <w:color w:val="954F72" w:themeColor="followedHyperlink"/>
      <w:u w:val="single"/>
    </w:rPr>
  </w:style>
  <w:style w:type="paragraph" w:styleId="Inhopg1">
    <w:name w:val="toc 1"/>
    <w:basedOn w:val="Standaard"/>
    <w:next w:val="Standaard"/>
    <w:uiPriority w:val="39"/>
    <w:unhideWhenUsed/>
    <w:pPr>
      <w:spacing w:after="100"/>
    </w:pPr>
  </w:style>
  <w:style w:type="paragraph" w:styleId="Inhopg2">
    <w:name w:val="toc 2"/>
    <w:basedOn w:val="Standaard"/>
    <w:next w:val="Standaard"/>
    <w:uiPriority w:val="39"/>
    <w:unhideWhenUsed/>
    <w:pPr>
      <w:spacing w:after="100"/>
      <w:ind w:left="220"/>
    </w:pPr>
  </w:style>
  <w:style w:type="paragraph" w:styleId="Inhopg3">
    <w:name w:val="toc 3"/>
    <w:basedOn w:val="Standaard"/>
    <w:next w:val="Standaard"/>
    <w:uiPriority w:val="39"/>
    <w:unhideWhenUsed/>
    <w:pPr>
      <w:spacing w:after="100"/>
      <w:ind w:left="440"/>
    </w:pPr>
  </w:style>
  <w:style w:type="paragraph" w:styleId="Inhopg4">
    <w:name w:val="toc 4"/>
    <w:basedOn w:val="Standaard"/>
    <w:next w:val="Standaard"/>
    <w:uiPriority w:val="39"/>
    <w:unhideWhenUsed/>
    <w:pPr>
      <w:spacing w:after="100"/>
      <w:ind w:left="660"/>
    </w:pPr>
  </w:style>
  <w:style w:type="paragraph" w:styleId="Inhopg5">
    <w:name w:val="toc 5"/>
    <w:basedOn w:val="Standaard"/>
    <w:next w:val="Standaard"/>
    <w:uiPriority w:val="39"/>
    <w:unhideWhenUsed/>
    <w:pPr>
      <w:spacing w:after="100"/>
      <w:ind w:left="880"/>
    </w:pPr>
  </w:style>
  <w:style w:type="paragraph" w:styleId="Inhopg6">
    <w:name w:val="toc 6"/>
    <w:basedOn w:val="Standaard"/>
    <w:next w:val="Standaard"/>
    <w:uiPriority w:val="39"/>
    <w:unhideWhenUsed/>
    <w:pPr>
      <w:spacing w:after="100"/>
      <w:ind w:left="1100"/>
    </w:pPr>
  </w:style>
  <w:style w:type="paragraph" w:styleId="Inhopg7">
    <w:name w:val="toc 7"/>
    <w:basedOn w:val="Standaard"/>
    <w:next w:val="Standaard"/>
    <w:uiPriority w:val="39"/>
    <w:unhideWhenUsed/>
    <w:pPr>
      <w:spacing w:after="100"/>
      <w:ind w:left="1320"/>
    </w:pPr>
  </w:style>
  <w:style w:type="paragraph" w:styleId="Inhopg8">
    <w:name w:val="toc 8"/>
    <w:basedOn w:val="Standaard"/>
    <w:next w:val="Standaard"/>
    <w:uiPriority w:val="39"/>
    <w:unhideWhenUsed/>
    <w:pPr>
      <w:spacing w:after="100"/>
      <w:ind w:left="1540"/>
    </w:pPr>
  </w:style>
  <w:style w:type="paragraph" w:styleId="Inhopg9">
    <w:name w:val="toc 9"/>
    <w:basedOn w:val="Standaard"/>
    <w:next w:val="Standaard"/>
    <w:uiPriority w:val="39"/>
    <w:unhideWhenUsed/>
    <w:pPr>
      <w:spacing w:after="100"/>
      <w:ind w:left="1760"/>
    </w:pPr>
  </w:style>
  <w:style w:type="character" w:styleId="Tekstvantijdelijkeaanduiding">
    <w:name w:val="Placeholder Text"/>
    <w:basedOn w:val="Standaardalinea-lettertype"/>
    <w:uiPriority w:val="99"/>
    <w:semiHidden/>
    <w:rPr>
      <w:color w:val="666666"/>
    </w:rPr>
  </w:style>
  <w:style w:type="paragraph" w:styleId="Kopvaninhoudsopgave">
    <w:name w:val="TOC Heading"/>
    <w:uiPriority w:val="39"/>
    <w:unhideWhenUsed/>
  </w:style>
  <w:style w:type="paragraph" w:styleId="Lijstmetafbeeldingen">
    <w:name w:val="table of figures"/>
    <w:basedOn w:val="Standaard"/>
    <w:next w:val="Standaard"/>
    <w:uiPriority w:val="99"/>
    <w:unhideWhenUsed/>
    <w:pPr>
      <w:spacing w:after="0"/>
    </w:pPr>
  </w:style>
  <w:style w:type="character" w:customStyle="1" w:styleId="Kop1Char">
    <w:name w:val="Kop 1 Char"/>
    <w:basedOn w:val="Standaardalinea-lettertype"/>
    <w:link w:val="Kop1"/>
    <w:uiPriority w:val="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Pr>
      <w:rFonts w:eastAsiaTheme="majorEastAsia" w:cstheme="majorBidi"/>
      <w:color w:val="272727" w:themeColor="text1" w:themeTint="D8"/>
    </w:rPr>
  </w:style>
  <w:style w:type="paragraph" w:styleId="Titel">
    <w:name w:val="Title"/>
    <w:basedOn w:val="Standaard"/>
    <w:next w:val="Standaard"/>
    <w:link w:val="Titel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Char">
    <w:name w:val="Titel Char"/>
    <w:basedOn w:val="Standaardalinea-lettertype"/>
    <w:link w:val="Titel"/>
    <w:uiPriority w:val="10"/>
    <w:rPr>
      <w:rFonts w:asciiTheme="majorHAnsi" w:eastAsiaTheme="majorEastAsia" w:hAnsiTheme="majorHAnsi" w:cstheme="majorBidi"/>
      <w:spacing w:val="-10"/>
      <w:sz w:val="56"/>
      <w:szCs w:val="56"/>
    </w:rPr>
  </w:style>
  <w:style w:type="paragraph" w:styleId="Ondertitel">
    <w:name w:val="Subtitle"/>
    <w:basedOn w:val="Standaard"/>
    <w:next w:val="Standaard"/>
    <w:link w:val="OndertitelChar"/>
    <w:uiPriority w:val="11"/>
    <w:qFormat/>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pPr>
      <w:spacing w:before="160"/>
      <w:jc w:val="center"/>
    </w:pPr>
    <w:rPr>
      <w:i/>
      <w:iCs/>
      <w:color w:val="404040" w:themeColor="text1" w:themeTint="BF"/>
    </w:rPr>
  </w:style>
  <w:style w:type="character" w:customStyle="1" w:styleId="CitaatChar">
    <w:name w:val="Citaat Char"/>
    <w:basedOn w:val="Standaardalinea-lettertype"/>
    <w:link w:val="Citaat"/>
    <w:uiPriority w:val="29"/>
    <w:rPr>
      <w:i/>
      <w:iCs/>
      <w:color w:val="404040" w:themeColor="text1" w:themeTint="BF"/>
    </w:rPr>
  </w:style>
  <w:style w:type="paragraph" w:styleId="Lijstalinea">
    <w:name w:val="List Paragraph"/>
    <w:basedOn w:val="Standaard"/>
    <w:uiPriority w:val="34"/>
    <w:qFormat/>
    <w:pPr>
      <w:ind w:left="720"/>
      <w:contextualSpacing/>
    </w:pPr>
  </w:style>
  <w:style w:type="character" w:styleId="Intensievebenadrukking">
    <w:name w:val="Intense Emphasis"/>
    <w:basedOn w:val="Standaardalinea-lettertype"/>
    <w:uiPriority w:val="21"/>
    <w:qFormat/>
    <w:rPr>
      <w:i/>
      <w:iCs/>
      <w:color w:val="2F5496" w:themeColor="accent1" w:themeShade="BF"/>
    </w:rPr>
  </w:style>
  <w:style w:type="paragraph" w:styleId="Duidelijkcitaat">
    <w:name w:val="Intense Quote"/>
    <w:basedOn w:val="Standaard"/>
    <w:next w:val="Standaard"/>
    <w:link w:val="Duidelijkcitaat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Pr>
      <w:i/>
      <w:iCs/>
      <w:color w:val="2F5496" w:themeColor="accent1" w:themeShade="BF"/>
    </w:rPr>
  </w:style>
  <w:style w:type="character" w:styleId="Intensieveverwijzing">
    <w:name w:val="Intense Reference"/>
    <w:basedOn w:val="Standaardalinea-lettertype"/>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or.nl/voorbeeld-projecten/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1210</Words>
  <Characters>6656</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Sanders</dc:creator>
  <cp:keywords/>
  <dc:description/>
  <cp:lastModifiedBy>T. Sanders</cp:lastModifiedBy>
  <cp:revision>4</cp:revision>
  <dcterms:created xsi:type="dcterms:W3CDTF">2026-05-12T07:38:00Z</dcterms:created>
  <dcterms:modified xsi:type="dcterms:W3CDTF">2026-05-17T13:02:00Z</dcterms:modified>
</cp:coreProperties>
</file>