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F445" w14:textId="77777777" w:rsidR="00B21D97" w:rsidRDefault="00B21D97">
      <w:pPr>
        <w:pStyle w:val="p1"/>
      </w:pPr>
      <w:r>
        <w:rPr>
          <w:rStyle w:val="s1"/>
        </w:rPr>
        <w:t>Dear Esteemed Colleagues,</w:t>
      </w:r>
    </w:p>
    <w:p w14:paraId="784AEEE7" w14:textId="77777777" w:rsidR="00B21D97" w:rsidRDefault="00B21D97">
      <w:pPr>
        <w:pStyle w:val="p2"/>
      </w:pPr>
    </w:p>
    <w:p w14:paraId="6DBC0D13" w14:textId="77777777" w:rsidR="00B21D97" w:rsidRDefault="00B21D97">
      <w:pPr>
        <w:pStyle w:val="p1"/>
      </w:pPr>
      <w:r>
        <w:rPr>
          <w:rStyle w:val="s1"/>
        </w:rPr>
        <w:t>I write to you in my capacity as both a graduate student of business and an independent scholar of linguistics and writing systems. This letter is presented as an academic proposal and as an invitation to dialogue on a matter of increasing significance: the future of abbreviation practices in Chinese and, by extension, in other world languages.</w:t>
      </w:r>
    </w:p>
    <w:p w14:paraId="624E872A" w14:textId="77777777" w:rsidR="00B21D97" w:rsidRDefault="00B21D97">
      <w:pPr>
        <w:pStyle w:val="p2"/>
      </w:pPr>
    </w:p>
    <w:p w14:paraId="79A43A6F" w14:textId="77777777" w:rsidR="00B21D97" w:rsidRDefault="00B21D97">
      <w:pPr>
        <w:pStyle w:val="p1"/>
      </w:pPr>
      <w:r>
        <w:rPr>
          <w:rStyle w:val="s1"/>
        </w:rPr>
        <w:t>The growing reliance on foreign “letter words,” particularly those based on Latin scripts, presents both linguistic and cultural challenges. In the Chinese context, such abbreviations frequently conflict with the semantic and structural logic of Chinese characters, generating ambiguity and limiting accessibility for speakers who do not command foreign alphabets. Yet this challenge is not unique to China; comparable issues have emerged in Korea, Japan, Russia, Armenia, the Arab world, and elsewhere.</w:t>
      </w:r>
    </w:p>
    <w:p w14:paraId="2C62AEE9" w14:textId="77777777" w:rsidR="00B21D97" w:rsidRDefault="00B21D97">
      <w:pPr>
        <w:pStyle w:val="p2"/>
      </w:pPr>
    </w:p>
    <w:p w14:paraId="60DCDA6A" w14:textId="77777777" w:rsidR="00B21D97" w:rsidRDefault="00B21D97">
      <w:pPr>
        <w:pStyle w:val="p1"/>
      </w:pPr>
      <w:r>
        <w:rPr>
          <w:rStyle w:val="s1"/>
        </w:rPr>
        <w:t>Excessive dependence on borrowed abbreviations risks eroding linguistic integrity and conveying a diminished sense of cultural confidence. It can fragment communication within societies, especially among those with limited exposure to foreign scripts. By contrast, systems of abbreviation rooted in native writing traditions—whether Chinese characters, Hangul, Cyrillic, or Arabic—strengthen clarity, inclusiveness, and cultural pride.</w:t>
      </w:r>
    </w:p>
    <w:p w14:paraId="13B3F013" w14:textId="77777777" w:rsidR="00B21D97" w:rsidRDefault="00B21D97">
      <w:pPr>
        <w:pStyle w:val="p2"/>
      </w:pPr>
    </w:p>
    <w:p w14:paraId="790DBB07" w14:textId="77777777" w:rsidR="00B21D97" w:rsidRDefault="00B21D97">
      <w:pPr>
        <w:pStyle w:val="p1"/>
      </w:pPr>
      <w:r>
        <w:rPr>
          <w:rStyle w:val="s1"/>
        </w:rPr>
        <w:t>Historical precedent offers guidance. Chinese manuscripts from Dunhuang and other medieval sources employed a range of abbreviation markers, including the vertical iteration/omission mark (</w:t>
      </w:r>
      <w:r>
        <w:rPr>
          <w:rStyle w:val="s1"/>
          <w:rFonts w:ascii="MS Mincho" w:eastAsia="MS Mincho" w:hAnsi="MS Mincho" w:cs="MS Mincho" w:hint="eastAsia"/>
        </w:rPr>
        <w:t>〻</w:t>
      </w:r>
      <w:r>
        <w:rPr>
          <w:rStyle w:val="s1"/>
        </w:rPr>
        <w:t>), simple dots (</w:t>
      </w:r>
      <w:r>
        <w:rPr>
          <w:rStyle w:val="s1"/>
          <w:rFonts w:ascii="PingFang SC" w:eastAsia="PingFang SC" w:hAnsi="PingFang SC" w:cs="PingFang SC" w:hint="eastAsia"/>
        </w:rPr>
        <w:t>⺀</w:t>
      </w:r>
      <w:r>
        <w:rPr>
          <w:rStyle w:val="s1"/>
        </w:rPr>
        <w:t>), and modified radicals. Similar strategies are attested in Japanese manuscripts, Nüshu, Tangut, and Armenian writing traditions. These examples demonstrate that script-based abbreviation is not a novelty but an organic feature of literate civilizations.</w:t>
      </w:r>
    </w:p>
    <w:p w14:paraId="1ECCE93E" w14:textId="77777777" w:rsidR="00B21D97" w:rsidRDefault="00B21D97">
      <w:pPr>
        <w:pStyle w:val="p2"/>
      </w:pPr>
    </w:p>
    <w:p w14:paraId="361CA001" w14:textId="0A38FC55" w:rsidR="00B21D97" w:rsidRDefault="00B21D97">
      <w:pPr>
        <w:pStyle w:val="p1"/>
      </w:pPr>
      <w:r>
        <w:rPr>
          <w:rStyle w:val="s1"/>
        </w:rPr>
        <w:t>Accordingly, I propose the careful consideration of dedicated abbreviation symbols in contemporary use. Viable candidates include, but are not limited to:</w:t>
      </w:r>
    </w:p>
    <w:p w14:paraId="03330DD9" w14:textId="77777777" w:rsidR="00B21D97" w:rsidRDefault="00B21D97">
      <w:pPr>
        <w:pStyle w:val="p1"/>
        <w:numPr>
          <w:ilvl w:val="0"/>
          <w:numId w:val="1"/>
        </w:numPr>
      </w:pPr>
      <w:r>
        <w:rPr>
          <w:rStyle w:val="s1"/>
        </w:rPr>
        <w:t xml:space="preserve">the </w:t>
      </w:r>
      <w:r>
        <w:rPr>
          <w:rStyle w:val="s2"/>
        </w:rPr>
        <w:t>Armenian abbreviation mark (</w:t>
      </w:r>
      <w:r>
        <w:rPr>
          <w:rStyle w:val="s2"/>
          <w:rFonts w:ascii="Sylfaen" w:hAnsi="Sylfaen" w:cs="Sylfaen"/>
        </w:rPr>
        <w:t>՟</w:t>
      </w:r>
      <w:r>
        <w:rPr>
          <w:rStyle w:val="s2"/>
        </w:rPr>
        <w:t>)</w:t>
      </w:r>
      <w:r>
        <w:rPr>
          <w:rStyle w:val="s1"/>
        </w:rPr>
        <w:t>;</w:t>
      </w:r>
    </w:p>
    <w:p w14:paraId="58A6FC3F" w14:textId="77777777" w:rsidR="00B21D97" w:rsidRDefault="00B21D97">
      <w:pPr>
        <w:pStyle w:val="p1"/>
        <w:numPr>
          <w:ilvl w:val="0"/>
          <w:numId w:val="1"/>
        </w:numPr>
      </w:pPr>
      <w:r>
        <w:rPr>
          <w:rStyle w:val="s1"/>
        </w:rPr>
        <w:t xml:space="preserve">the </w:t>
      </w:r>
      <w:r>
        <w:rPr>
          <w:rStyle w:val="s2"/>
        </w:rPr>
        <w:t xml:space="preserve">archaic Chinese-derived form </w:t>
      </w:r>
      <w:r>
        <w:rPr>
          <w:rStyle w:val="s2"/>
          <w:rFonts w:ascii="SimSun-ExtB" w:eastAsia="SimSun-ExtB" w:hAnsi="SimSun-ExtB" w:cs="SimSun-ExtB" w:hint="eastAsia"/>
        </w:rPr>
        <w:t>𠃋</w:t>
      </w:r>
      <w:r>
        <w:rPr>
          <w:rStyle w:val="s1"/>
        </w:rPr>
        <w:t>, reminiscent of a hooked stroke;</w:t>
      </w:r>
    </w:p>
    <w:p w14:paraId="1927E27F" w14:textId="77777777" w:rsidR="00B21D97" w:rsidRDefault="00B21D97">
      <w:pPr>
        <w:pStyle w:val="p1"/>
        <w:numPr>
          <w:ilvl w:val="0"/>
          <w:numId w:val="1"/>
        </w:numPr>
      </w:pPr>
      <w:r>
        <w:rPr>
          <w:rStyle w:val="s1"/>
        </w:rPr>
        <w:t xml:space="preserve">the </w:t>
      </w:r>
      <w:r>
        <w:rPr>
          <w:rStyle w:val="s2"/>
        </w:rPr>
        <w:t xml:space="preserve">historical iteration mark </w:t>
      </w:r>
      <w:r>
        <w:rPr>
          <w:rStyle w:val="s2"/>
          <w:rFonts w:ascii="MS Mincho" w:eastAsia="MS Mincho" w:hAnsi="MS Mincho" w:cs="MS Mincho" w:hint="eastAsia"/>
        </w:rPr>
        <w:t>〻</w:t>
      </w:r>
      <w:r>
        <w:rPr>
          <w:rStyle w:val="s1"/>
        </w:rPr>
        <w:t>, adaptable to modern contexts;</w:t>
      </w:r>
    </w:p>
    <w:p w14:paraId="2A28D1F1" w14:textId="77777777" w:rsidR="00B21D97" w:rsidRDefault="00B21D97" w:rsidP="00C54A1C">
      <w:pPr>
        <w:pStyle w:val="p1"/>
        <w:numPr>
          <w:ilvl w:val="1"/>
          <w:numId w:val="1"/>
        </w:numPr>
      </w:pPr>
      <w:r>
        <w:rPr>
          <w:rStyle w:val="s1"/>
        </w:rPr>
        <w:t xml:space="preserve">and importantly, a </w:t>
      </w:r>
      <w:r>
        <w:rPr>
          <w:rStyle w:val="s2"/>
        </w:rPr>
        <w:t>simplified variant resembling a cursive numeral 2 or a stylized stroke with qualities akin to a lightning glyph</w:t>
      </w:r>
      <w:r>
        <w:rPr>
          <w:rStyle w:val="s1"/>
        </w:rPr>
        <w:t>. This latter form may be especially appropriate: it is visually distinct yet unobtrusive, less likely to be mistaken for an actual number, easier to write, and well suited to both vertical and horizontal text layouts.</w:t>
      </w:r>
    </w:p>
    <w:p w14:paraId="7B0AE00A" w14:textId="77777777" w:rsidR="00B21D97" w:rsidRDefault="00B21D97">
      <w:pPr>
        <w:pStyle w:val="p2"/>
      </w:pPr>
    </w:p>
    <w:p w14:paraId="6B41E980" w14:textId="0F869B36" w:rsidR="00B21D97" w:rsidRDefault="00B21D97">
      <w:pPr>
        <w:pStyle w:val="p1"/>
      </w:pPr>
      <w:r>
        <w:rPr>
          <w:rStyle w:val="s1"/>
        </w:rPr>
        <w:t>Such marks could be deployed after abbreviations to signal their truncated form, thereby avoiding ambiguity with full words or phrases.</w:t>
      </w:r>
      <w:r w:rsidR="00C54A1C">
        <w:rPr>
          <w:rStyle w:val="s1"/>
        </w:rPr>
        <w:t>Other honorable mentions include the</w:t>
      </w:r>
      <w:r w:rsidR="00DC2479">
        <w:rPr>
          <w:rStyle w:val="s1"/>
        </w:rPr>
        <w:t xml:space="preserve"> period</w:t>
      </w:r>
      <w:r w:rsidR="00347DBA">
        <w:rPr>
          <w:rStyle w:val="s1"/>
        </w:rPr>
        <w:t>/full-stop and the</w:t>
      </w:r>
      <w:r w:rsidR="00C54A1C">
        <w:rPr>
          <w:rStyle w:val="s1"/>
        </w:rPr>
        <w:t xml:space="preserve"> Vinculum or otherwise called the Overline</w:t>
      </w:r>
      <w:r w:rsidR="00EF754B">
        <w:rPr>
          <w:rStyle w:val="s1"/>
        </w:rPr>
        <w:t xml:space="preserve"> illustrated by</w:t>
      </w:r>
      <w:r w:rsidR="00380294">
        <w:rPr>
          <w:rStyle w:val="s1"/>
        </w:rPr>
        <w:t xml:space="preserve"> liturgical and artistic </w:t>
      </w:r>
      <w:r w:rsidR="00EF754B">
        <w:rPr>
          <w:rStyle w:val="s1"/>
        </w:rPr>
        <w:t>Greek, Cyrillic, Coptic</w:t>
      </w:r>
      <w:r w:rsidR="00380294">
        <w:rPr>
          <w:rStyle w:val="s1"/>
        </w:rPr>
        <w:t xml:space="preserve"> writings as well as </w:t>
      </w:r>
      <w:r w:rsidR="00DC2479">
        <w:rPr>
          <w:rStyle w:val="s1"/>
        </w:rPr>
        <w:t>present in the Syriac Abbreviation Mark</w:t>
      </w:r>
      <w:r w:rsidR="00347DBA">
        <w:rPr>
          <w:rStyle w:val="s1"/>
        </w:rPr>
        <w:t xml:space="preserve">. These are </w:t>
      </w:r>
      <w:r w:rsidR="008E223F">
        <w:rPr>
          <w:rStyle w:val="s1"/>
        </w:rPr>
        <w:t xml:space="preserve">not mentioned in detail because they might not work with some languages and could be confused </w:t>
      </w:r>
      <w:r w:rsidR="007B7C84">
        <w:rPr>
          <w:rStyle w:val="s1"/>
        </w:rPr>
        <w:t>with other uses of such symbols such as web addresses.</w:t>
      </w:r>
    </w:p>
    <w:p w14:paraId="5AA7B5BB" w14:textId="77777777" w:rsidR="00B21D97" w:rsidRDefault="00B21D97">
      <w:pPr>
        <w:pStyle w:val="p2"/>
      </w:pPr>
    </w:p>
    <w:p w14:paraId="6EF3A5DD" w14:textId="77777777" w:rsidR="00B21D97" w:rsidRDefault="00B21D97">
      <w:pPr>
        <w:pStyle w:val="p1"/>
      </w:pPr>
      <w:r>
        <w:rPr>
          <w:rStyle w:val="s1"/>
        </w:rPr>
        <w:t>Illustrative examples (in Chinese):</w:t>
      </w:r>
    </w:p>
    <w:p w14:paraId="142F14CF" w14:textId="77777777" w:rsidR="00B21D97" w:rsidRDefault="00B21D97">
      <w:pPr>
        <w:pStyle w:val="p1"/>
        <w:numPr>
          <w:ilvl w:val="0"/>
          <w:numId w:val="2"/>
        </w:numPr>
      </w:pPr>
      <w:r>
        <w:rPr>
          <w:rStyle w:val="s1"/>
        </w:rPr>
        <w:t>中央图形处理机 (Central Graphics Processing Unit)</w:t>
      </w:r>
      <w:r>
        <w:rPr>
          <w:rStyle w:val="s2"/>
        </w:rPr>
        <w:t xml:space="preserve"> → 央形处器</w:t>
      </w:r>
      <w:r>
        <w:rPr>
          <w:rStyle w:val="s2"/>
          <w:rFonts w:ascii="MS Mincho" w:eastAsia="MS Mincho" w:hAnsi="MS Mincho" w:cs="MS Mincho" w:hint="eastAsia"/>
        </w:rPr>
        <w:t>〻</w:t>
      </w:r>
    </w:p>
    <w:p w14:paraId="6D3E16E6" w14:textId="2B3765D5" w:rsidR="00B21D97" w:rsidRDefault="00B21D97">
      <w:pPr>
        <w:pStyle w:val="p1"/>
        <w:numPr>
          <w:ilvl w:val="0"/>
          <w:numId w:val="2"/>
        </w:numPr>
      </w:pPr>
      <w:r>
        <w:rPr>
          <w:rStyle w:val="s1"/>
        </w:rPr>
        <w:t>客户关系管理 (Customer Relationship Management)</w:t>
      </w:r>
      <w:r>
        <w:rPr>
          <w:rStyle w:val="s2"/>
        </w:rPr>
        <w:t xml:space="preserve"> → 客关管</w:t>
      </w:r>
      <w:r w:rsidR="00555FAD">
        <w:rPr>
          <w:rStyle w:val="s2"/>
          <w:rFonts w:ascii="MS Mincho" w:eastAsia="MS Mincho" w:hAnsi="MS Mincho" w:cs="MS Mincho" w:hint="eastAsia"/>
        </w:rPr>
        <w:t>〻</w:t>
      </w:r>
    </w:p>
    <w:p w14:paraId="02015D42" w14:textId="4BF9F2CB" w:rsidR="00B21D97" w:rsidRDefault="00B21D97">
      <w:pPr>
        <w:pStyle w:val="p1"/>
        <w:numPr>
          <w:ilvl w:val="0"/>
          <w:numId w:val="2"/>
        </w:numPr>
      </w:pPr>
      <w:r>
        <w:rPr>
          <w:rStyle w:val="s1"/>
        </w:rPr>
        <w:t>虚拟现实 (Virtual Reality)</w:t>
      </w:r>
      <w:r>
        <w:rPr>
          <w:rStyle w:val="s2"/>
        </w:rPr>
        <w:t xml:space="preserve"> → 虚实</w:t>
      </w:r>
      <w:r w:rsidR="00555FAD">
        <w:rPr>
          <w:rStyle w:val="s2"/>
          <w:rFonts w:ascii="MS Mincho" w:eastAsia="MS Mincho" w:hAnsi="MS Mincho" w:cs="MS Mincho" w:hint="eastAsia"/>
        </w:rPr>
        <w:t>〻</w:t>
      </w:r>
    </w:p>
    <w:p w14:paraId="09636F71" w14:textId="77777777" w:rsidR="00B21D97" w:rsidRDefault="00B21D97">
      <w:pPr>
        <w:pStyle w:val="p1"/>
        <w:numPr>
          <w:ilvl w:val="0"/>
          <w:numId w:val="2"/>
        </w:numPr>
      </w:pPr>
      <w:r>
        <w:rPr>
          <w:rStyle w:val="s1"/>
        </w:rPr>
        <w:t>快速公交系统 (Bus Rapid Transit)</w:t>
      </w:r>
      <w:r>
        <w:rPr>
          <w:rStyle w:val="s2"/>
        </w:rPr>
        <w:t xml:space="preserve"> → 快公交</w:t>
      </w:r>
      <w:r>
        <w:rPr>
          <w:rStyle w:val="s2"/>
          <w:rFonts w:ascii="MS Mincho" w:eastAsia="MS Mincho" w:hAnsi="MS Mincho" w:cs="MS Mincho" w:hint="eastAsia"/>
        </w:rPr>
        <w:t>〻</w:t>
      </w:r>
    </w:p>
    <w:p w14:paraId="46B6F9F3" w14:textId="4EE444DD" w:rsidR="00B21D97" w:rsidRDefault="00B21D97">
      <w:pPr>
        <w:pStyle w:val="p1"/>
        <w:numPr>
          <w:ilvl w:val="0"/>
          <w:numId w:val="2"/>
        </w:numPr>
      </w:pPr>
      <w:r>
        <w:rPr>
          <w:rStyle w:val="s1"/>
        </w:rPr>
        <w:t>人力资源 (Human Resources)</w:t>
      </w:r>
      <w:r>
        <w:rPr>
          <w:rStyle w:val="s2"/>
        </w:rPr>
        <w:t xml:space="preserve"> → 人</w:t>
      </w:r>
      <w:r>
        <w:rPr>
          <w:rStyle w:val="s2"/>
          <w:rFonts w:ascii="MS Mincho" w:eastAsia="MS Mincho" w:hAnsi="MS Mincho" w:cs="MS Mincho" w:hint="eastAsia"/>
        </w:rPr>
        <w:t>〻</w:t>
      </w:r>
    </w:p>
    <w:p w14:paraId="749FBD13" w14:textId="77777777" w:rsidR="00B21D97" w:rsidRDefault="00B21D97">
      <w:pPr>
        <w:pStyle w:val="p2"/>
      </w:pPr>
    </w:p>
    <w:p w14:paraId="2F2582B5" w14:textId="77777777" w:rsidR="00B21D97" w:rsidRDefault="00B21D97">
      <w:pPr>
        <w:pStyle w:val="p1"/>
      </w:pPr>
      <w:r>
        <w:rPr>
          <w:rStyle w:val="s1"/>
        </w:rPr>
        <w:t>In English translation, these would appear as:</w:t>
      </w:r>
    </w:p>
    <w:p w14:paraId="4D141685" w14:textId="155F9A5E" w:rsidR="00B21D97" w:rsidRDefault="00B21D97">
      <w:pPr>
        <w:pStyle w:val="p1"/>
        <w:numPr>
          <w:ilvl w:val="0"/>
          <w:numId w:val="3"/>
        </w:numPr>
      </w:pPr>
      <w:r>
        <w:rPr>
          <w:rStyle w:val="s1"/>
        </w:rPr>
        <w:t>Central Graphics Processing Unit → C</w:t>
      </w:r>
      <w:r w:rsidR="008D3272">
        <w:rPr>
          <w:rStyle w:val="s1"/>
          <w:rFonts w:hint="eastAsia"/>
        </w:rPr>
        <w:t>GPU</w:t>
      </w:r>
      <w:r w:rsidR="008D3272">
        <w:rPr>
          <w:rStyle w:val="s1"/>
        </w:rPr>
        <w:t xml:space="preserve"> (or</w:t>
      </w:r>
      <w:r w:rsidR="00207DCD">
        <w:rPr>
          <w:rStyle w:val="s1"/>
        </w:rPr>
        <w:t xml:space="preserve"> something like</w:t>
      </w:r>
      <w:r w:rsidR="008D3272">
        <w:rPr>
          <w:rStyle w:val="s1"/>
        </w:rPr>
        <w:t xml:space="preserve"> </w:t>
      </w:r>
      <w:r w:rsidR="00207DCD">
        <w:rPr>
          <w:rStyle w:val="s1"/>
        </w:rPr>
        <w:t>CG</w:t>
      </w:r>
      <w:r>
        <w:rPr>
          <w:rStyle w:val="s1"/>
          <w:rFonts w:ascii="MS Mincho" w:eastAsia="MS Mincho" w:hAnsi="MS Mincho" w:cs="MS Mincho" w:hint="eastAsia"/>
        </w:rPr>
        <w:t>〻</w:t>
      </w:r>
      <w:r w:rsidR="00207DCD">
        <w:rPr>
          <w:rStyle w:val="s1"/>
          <w:rFonts w:ascii="MS Mincho" w:eastAsia="MS Mincho" w:hAnsi="MS Mincho" w:cs="MS Mincho"/>
        </w:rPr>
        <w:t xml:space="preserve"> if experimenting with abbreviation mark punctuation)</w:t>
      </w:r>
    </w:p>
    <w:p w14:paraId="16B0D212" w14:textId="5ECF594D" w:rsidR="00B21D97" w:rsidRDefault="00B21D97">
      <w:pPr>
        <w:pStyle w:val="p1"/>
        <w:numPr>
          <w:ilvl w:val="0"/>
          <w:numId w:val="3"/>
        </w:numPr>
      </w:pPr>
      <w:r>
        <w:rPr>
          <w:rStyle w:val="s1"/>
        </w:rPr>
        <w:t>Customer Relationship Management → C</w:t>
      </w:r>
      <w:r w:rsidR="00DE38FF">
        <w:rPr>
          <w:rStyle w:val="s1"/>
          <w:rFonts w:hint="eastAsia"/>
        </w:rPr>
        <w:t>RM</w:t>
      </w:r>
    </w:p>
    <w:p w14:paraId="1877C9A5" w14:textId="62FAAB9A" w:rsidR="00B21D97" w:rsidRDefault="00B21D97">
      <w:pPr>
        <w:pStyle w:val="p1"/>
        <w:numPr>
          <w:ilvl w:val="0"/>
          <w:numId w:val="3"/>
        </w:numPr>
      </w:pPr>
      <w:r>
        <w:rPr>
          <w:rStyle w:val="s1"/>
        </w:rPr>
        <w:t>Virtual Reality → V</w:t>
      </w:r>
      <w:r w:rsidR="003A4A61">
        <w:rPr>
          <w:rStyle w:val="s1"/>
        </w:rPr>
        <w:t>R</w:t>
      </w:r>
    </w:p>
    <w:p w14:paraId="467F6EE5" w14:textId="2C87E522" w:rsidR="00B21D97" w:rsidRDefault="00B21D97">
      <w:pPr>
        <w:pStyle w:val="p1"/>
        <w:numPr>
          <w:ilvl w:val="0"/>
          <w:numId w:val="3"/>
        </w:numPr>
      </w:pPr>
      <w:r>
        <w:rPr>
          <w:rStyle w:val="s1"/>
        </w:rPr>
        <w:t xml:space="preserve">Bus Rapid Transit → </w:t>
      </w:r>
      <w:r w:rsidR="003A4A61">
        <w:rPr>
          <w:rStyle w:val="s1"/>
        </w:rPr>
        <w:t xml:space="preserve">RBT, or </w:t>
      </w:r>
      <w:r>
        <w:rPr>
          <w:rStyle w:val="s1"/>
        </w:rPr>
        <w:t>R</w:t>
      </w:r>
      <w:r w:rsidR="003A4A61">
        <w:rPr>
          <w:rStyle w:val="s1"/>
        </w:rPr>
        <w:t>apid Bus (RB)</w:t>
      </w:r>
    </w:p>
    <w:p w14:paraId="21CE2AA0" w14:textId="0E206D27" w:rsidR="00B21D97" w:rsidRDefault="00B21D97">
      <w:pPr>
        <w:pStyle w:val="p1"/>
        <w:numPr>
          <w:ilvl w:val="0"/>
          <w:numId w:val="3"/>
        </w:numPr>
      </w:pPr>
      <w:r>
        <w:rPr>
          <w:rStyle w:val="s1"/>
        </w:rPr>
        <w:t>Human Resources → H</w:t>
      </w:r>
      <w:r w:rsidR="004534A4">
        <w:rPr>
          <w:rStyle w:val="s1"/>
        </w:rPr>
        <w:t>R</w:t>
      </w:r>
    </w:p>
    <w:p w14:paraId="7D45F105" w14:textId="77777777" w:rsidR="00B21D97" w:rsidRDefault="00B21D97">
      <w:pPr>
        <w:pStyle w:val="p2"/>
      </w:pPr>
    </w:p>
    <w:p w14:paraId="7F3C5628" w14:textId="77777777" w:rsidR="00B21D97" w:rsidRDefault="00B21D97">
      <w:pPr>
        <w:pStyle w:val="p1"/>
      </w:pPr>
      <w:r>
        <w:rPr>
          <w:rStyle w:val="s1"/>
        </w:rPr>
        <w:t>The advantages of adopting such symbols are multiple:</w:t>
      </w:r>
    </w:p>
    <w:p w14:paraId="48C23AC9" w14:textId="77777777" w:rsidR="00B21D97" w:rsidRDefault="00B21D97">
      <w:pPr>
        <w:pStyle w:val="p1"/>
        <w:numPr>
          <w:ilvl w:val="0"/>
          <w:numId w:val="4"/>
        </w:numPr>
      </w:pPr>
      <w:r>
        <w:rPr>
          <w:rStyle w:val="s1"/>
        </w:rPr>
        <w:t>Clarity of communication</w:t>
      </w:r>
      <w:r>
        <w:rPr>
          <w:rStyle w:val="s2"/>
        </w:rPr>
        <w:t>: readers can immediately recognize an abbreviation without ambiguity.</w:t>
      </w:r>
    </w:p>
    <w:p w14:paraId="5E560D68" w14:textId="77777777" w:rsidR="00B21D97" w:rsidRDefault="00B21D97">
      <w:pPr>
        <w:pStyle w:val="p1"/>
        <w:numPr>
          <w:ilvl w:val="0"/>
          <w:numId w:val="4"/>
        </w:numPr>
      </w:pPr>
      <w:r>
        <w:rPr>
          <w:rStyle w:val="s1"/>
        </w:rPr>
        <w:t>Cultural empowerment</w:t>
      </w:r>
      <w:r>
        <w:rPr>
          <w:rStyle w:val="s2"/>
        </w:rPr>
        <w:t>: languages demonstrate independence rather than reliance on English-based conventions.</w:t>
      </w:r>
    </w:p>
    <w:p w14:paraId="264D2733" w14:textId="77777777" w:rsidR="00B21D97" w:rsidRDefault="00B21D97">
      <w:pPr>
        <w:pStyle w:val="p1"/>
        <w:numPr>
          <w:ilvl w:val="0"/>
          <w:numId w:val="4"/>
        </w:numPr>
      </w:pPr>
      <w:r>
        <w:rPr>
          <w:rStyle w:val="s1"/>
        </w:rPr>
        <w:t>Technical feasibility</w:t>
      </w:r>
      <w:r>
        <w:rPr>
          <w:rStyle w:val="s2"/>
        </w:rPr>
        <w:t>: integration into Unicode and digital platforms ensures accessibility for programming, AI, and global communication.</w:t>
      </w:r>
    </w:p>
    <w:p w14:paraId="78E58FE3" w14:textId="77777777" w:rsidR="00B21D97" w:rsidRDefault="00B21D97">
      <w:pPr>
        <w:pStyle w:val="p1"/>
        <w:numPr>
          <w:ilvl w:val="0"/>
          <w:numId w:val="4"/>
        </w:numPr>
      </w:pPr>
      <w:r>
        <w:rPr>
          <w:rStyle w:val="s1"/>
        </w:rPr>
        <w:t>Educational equity</w:t>
      </w:r>
      <w:r>
        <w:rPr>
          <w:rStyle w:val="s2"/>
        </w:rPr>
        <w:t>: native-script abbreviations reduce barriers for citizens who do not know foreign alphabets.</w:t>
      </w:r>
    </w:p>
    <w:p w14:paraId="19CDF8CB" w14:textId="77777777" w:rsidR="00B21D97" w:rsidRDefault="00B21D97">
      <w:pPr>
        <w:pStyle w:val="p2"/>
      </w:pPr>
    </w:p>
    <w:p w14:paraId="0DCE4ADB" w14:textId="77777777" w:rsidR="00B21D97" w:rsidRDefault="00B21D97">
      <w:pPr>
        <w:pStyle w:val="p1"/>
      </w:pPr>
      <w:r>
        <w:rPr>
          <w:rStyle w:val="s1"/>
        </w:rPr>
        <w:t>The adoption of such practices in Chinese would not only safeguard the internal vitality of the language but also provide a model for global reform. Chinese civilization, as one of humanity’s great linguistic traditions, has both the historical foundation and the contemporary influence to lead this effort.</w:t>
      </w:r>
    </w:p>
    <w:p w14:paraId="3E1A757F" w14:textId="77777777" w:rsidR="00B21D97" w:rsidRDefault="00B21D97">
      <w:pPr>
        <w:pStyle w:val="p2"/>
      </w:pPr>
    </w:p>
    <w:p w14:paraId="181A5CFC" w14:textId="77777777" w:rsidR="00B21D97" w:rsidRDefault="00B21D97">
      <w:pPr>
        <w:pStyle w:val="p1"/>
      </w:pPr>
      <w:r>
        <w:rPr>
          <w:rStyle w:val="s1"/>
        </w:rPr>
        <w:t>This proposal does not suggest the wholesale rejection of foreign abbreviations; they remain useful in international contexts. Rather, it calls for balance, ensuring that native-script abbreviation systems are cultivated in parallel with imported forms. In doing so, China—and by extension, other civilizations—may affirm both linguistic diversity and cultural dignity.</w:t>
      </w:r>
    </w:p>
    <w:p w14:paraId="466DECD7" w14:textId="77777777" w:rsidR="00B21D97" w:rsidRDefault="00B21D97">
      <w:pPr>
        <w:pStyle w:val="p2"/>
      </w:pPr>
    </w:p>
    <w:p w14:paraId="0223BDEA" w14:textId="77777777" w:rsidR="00B21D97" w:rsidRDefault="00B21D97">
      <w:pPr>
        <w:pStyle w:val="p1"/>
      </w:pPr>
      <w:r>
        <w:rPr>
          <w:rStyle w:val="s1"/>
        </w:rPr>
        <w:t>I welcome academic and institutional engagement with these ideas, and I am prepared to provide extended documentation, pilot examples, and technical references.</w:t>
      </w:r>
    </w:p>
    <w:p w14:paraId="30396A43" w14:textId="77777777" w:rsidR="00B21D97" w:rsidRDefault="00B21D97">
      <w:pPr>
        <w:pStyle w:val="p2"/>
      </w:pPr>
    </w:p>
    <w:p w14:paraId="25AE6549" w14:textId="77777777" w:rsidR="00B21D97" w:rsidRDefault="00B21D97">
      <w:pPr>
        <w:pStyle w:val="p1"/>
      </w:pPr>
      <w:r>
        <w:rPr>
          <w:rStyle w:val="s1"/>
        </w:rPr>
        <w:t>With respect and sincerity,</w:t>
      </w:r>
    </w:p>
    <w:p w14:paraId="2E705CF0" w14:textId="07198431" w:rsidR="00B21D97" w:rsidRDefault="00B21D97">
      <w:pPr>
        <w:pStyle w:val="p1"/>
        <w:rPr>
          <w:rStyle w:val="s1"/>
        </w:rPr>
      </w:pPr>
    </w:p>
    <w:p w14:paraId="4F75A45D" w14:textId="739024FF" w:rsidR="004534A4" w:rsidRDefault="004534A4">
      <w:pPr>
        <w:pStyle w:val="p1"/>
      </w:pPr>
      <w:r>
        <w:rPr>
          <w:rStyle w:val="s1"/>
        </w:rPr>
        <w:t>Scottilynne Blank</w:t>
      </w:r>
    </w:p>
    <w:p w14:paraId="558082DB" w14:textId="77777777" w:rsidR="00B21D97" w:rsidRDefault="00B21D97"/>
    <w:sectPr w:rsidR="00B21D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Sylfaen">
    <w:panose1 w:val="010A0502050306030303"/>
    <w:charset w:val="00"/>
    <w:family w:val="roman"/>
    <w:pitch w:val="variable"/>
    <w:sig w:usb0="04000687" w:usb1="00000000" w:usb2="00000000" w:usb3="00000000" w:csb0="0000009F" w:csb1="00000000"/>
  </w:font>
  <w:font w:name="SimSun-ExtB">
    <w:panose1 w:val="02010609060101010101"/>
    <w:charset w:val="86"/>
    <w:family w:val="modern"/>
    <w:pitch w:val="fixed"/>
    <w:sig w:usb0="00000001"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44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90F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C35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64B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646655">
    <w:abstractNumId w:val="1"/>
  </w:num>
  <w:num w:numId="2" w16cid:durableId="1669211602">
    <w:abstractNumId w:val="2"/>
  </w:num>
  <w:num w:numId="3" w16cid:durableId="1719551796">
    <w:abstractNumId w:val="0"/>
  </w:num>
  <w:num w:numId="4" w16cid:durableId="895975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97"/>
    <w:rsid w:val="00207DCD"/>
    <w:rsid w:val="00347DBA"/>
    <w:rsid w:val="00380294"/>
    <w:rsid w:val="003A4A61"/>
    <w:rsid w:val="004534A4"/>
    <w:rsid w:val="00555FAD"/>
    <w:rsid w:val="007B7C84"/>
    <w:rsid w:val="008D3272"/>
    <w:rsid w:val="008E223F"/>
    <w:rsid w:val="00B21D97"/>
    <w:rsid w:val="00C54A1C"/>
    <w:rsid w:val="00C64BCE"/>
    <w:rsid w:val="00DC2479"/>
    <w:rsid w:val="00DE38FF"/>
    <w:rsid w:val="00EF7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CBDDBA"/>
  <w15:chartTrackingRefBased/>
  <w15:docId w15:val="{7ACAD1D7-939F-0C46-B781-2D7121B1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D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D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D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1D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1D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1D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1D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D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1D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D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1D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1D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1D97"/>
    <w:rPr>
      <w:rFonts w:cstheme="majorBidi"/>
      <w:color w:val="0F4761" w:themeColor="accent1" w:themeShade="BF"/>
      <w:sz w:val="28"/>
      <w:szCs w:val="28"/>
    </w:rPr>
  </w:style>
  <w:style w:type="character" w:customStyle="1" w:styleId="50">
    <w:name w:val="标题 5 字符"/>
    <w:basedOn w:val="a0"/>
    <w:link w:val="5"/>
    <w:uiPriority w:val="9"/>
    <w:semiHidden/>
    <w:rsid w:val="00B21D97"/>
    <w:rPr>
      <w:rFonts w:cstheme="majorBidi"/>
      <w:color w:val="0F4761" w:themeColor="accent1" w:themeShade="BF"/>
      <w:sz w:val="24"/>
    </w:rPr>
  </w:style>
  <w:style w:type="character" w:customStyle="1" w:styleId="60">
    <w:name w:val="标题 6 字符"/>
    <w:basedOn w:val="a0"/>
    <w:link w:val="6"/>
    <w:uiPriority w:val="9"/>
    <w:semiHidden/>
    <w:rsid w:val="00B21D97"/>
    <w:rPr>
      <w:rFonts w:cstheme="majorBidi"/>
      <w:b/>
      <w:bCs/>
      <w:color w:val="0F4761" w:themeColor="accent1" w:themeShade="BF"/>
    </w:rPr>
  </w:style>
  <w:style w:type="character" w:customStyle="1" w:styleId="70">
    <w:name w:val="标题 7 字符"/>
    <w:basedOn w:val="a0"/>
    <w:link w:val="7"/>
    <w:uiPriority w:val="9"/>
    <w:semiHidden/>
    <w:rsid w:val="00B21D97"/>
    <w:rPr>
      <w:rFonts w:cstheme="majorBidi"/>
      <w:b/>
      <w:bCs/>
      <w:color w:val="595959" w:themeColor="text1" w:themeTint="A6"/>
    </w:rPr>
  </w:style>
  <w:style w:type="character" w:customStyle="1" w:styleId="80">
    <w:name w:val="标题 8 字符"/>
    <w:basedOn w:val="a0"/>
    <w:link w:val="8"/>
    <w:uiPriority w:val="9"/>
    <w:semiHidden/>
    <w:rsid w:val="00B21D97"/>
    <w:rPr>
      <w:rFonts w:cstheme="majorBidi"/>
      <w:color w:val="595959" w:themeColor="text1" w:themeTint="A6"/>
    </w:rPr>
  </w:style>
  <w:style w:type="character" w:customStyle="1" w:styleId="90">
    <w:name w:val="标题 9 字符"/>
    <w:basedOn w:val="a0"/>
    <w:link w:val="9"/>
    <w:uiPriority w:val="9"/>
    <w:semiHidden/>
    <w:rsid w:val="00B21D97"/>
    <w:rPr>
      <w:rFonts w:eastAsiaTheme="majorEastAsia" w:cstheme="majorBidi"/>
      <w:color w:val="595959" w:themeColor="text1" w:themeTint="A6"/>
    </w:rPr>
  </w:style>
  <w:style w:type="paragraph" w:styleId="a3">
    <w:name w:val="Title"/>
    <w:basedOn w:val="a"/>
    <w:next w:val="a"/>
    <w:link w:val="a4"/>
    <w:uiPriority w:val="10"/>
    <w:qFormat/>
    <w:rsid w:val="00B21D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D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D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D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D97"/>
    <w:pPr>
      <w:spacing w:before="160"/>
      <w:jc w:val="center"/>
    </w:pPr>
    <w:rPr>
      <w:i/>
      <w:iCs/>
      <w:color w:val="404040" w:themeColor="text1" w:themeTint="BF"/>
    </w:rPr>
  </w:style>
  <w:style w:type="character" w:customStyle="1" w:styleId="a8">
    <w:name w:val="引用 字符"/>
    <w:basedOn w:val="a0"/>
    <w:link w:val="a7"/>
    <w:uiPriority w:val="29"/>
    <w:rsid w:val="00B21D97"/>
    <w:rPr>
      <w:i/>
      <w:iCs/>
      <w:color w:val="404040" w:themeColor="text1" w:themeTint="BF"/>
    </w:rPr>
  </w:style>
  <w:style w:type="paragraph" w:styleId="a9">
    <w:name w:val="List Paragraph"/>
    <w:basedOn w:val="a"/>
    <w:uiPriority w:val="34"/>
    <w:qFormat/>
    <w:rsid w:val="00B21D97"/>
    <w:pPr>
      <w:ind w:left="720"/>
      <w:contextualSpacing/>
    </w:pPr>
  </w:style>
  <w:style w:type="character" w:styleId="aa">
    <w:name w:val="Intense Emphasis"/>
    <w:basedOn w:val="a0"/>
    <w:uiPriority w:val="21"/>
    <w:qFormat/>
    <w:rsid w:val="00B21D97"/>
    <w:rPr>
      <w:i/>
      <w:iCs/>
      <w:color w:val="0F4761" w:themeColor="accent1" w:themeShade="BF"/>
    </w:rPr>
  </w:style>
  <w:style w:type="paragraph" w:styleId="ab">
    <w:name w:val="Intense Quote"/>
    <w:basedOn w:val="a"/>
    <w:next w:val="a"/>
    <w:link w:val="ac"/>
    <w:uiPriority w:val="30"/>
    <w:qFormat/>
    <w:rsid w:val="00B21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D97"/>
    <w:rPr>
      <w:i/>
      <w:iCs/>
      <w:color w:val="0F4761" w:themeColor="accent1" w:themeShade="BF"/>
    </w:rPr>
  </w:style>
  <w:style w:type="character" w:styleId="ad">
    <w:name w:val="Intense Reference"/>
    <w:basedOn w:val="a0"/>
    <w:uiPriority w:val="32"/>
    <w:qFormat/>
    <w:rsid w:val="00B21D97"/>
    <w:rPr>
      <w:b/>
      <w:bCs/>
      <w:smallCaps/>
      <w:color w:val="0F4761" w:themeColor="accent1" w:themeShade="BF"/>
      <w:spacing w:val="5"/>
    </w:rPr>
  </w:style>
  <w:style w:type="paragraph" w:customStyle="1" w:styleId="p1">
    <w:name w:val="p1"/>
    <w:basedOn w:val="a"/>
    <w:rsid w:val="00B21D9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1">
    <w:name w:val="s1"/>
    <w:basedOn w:val="a0"/>
    <w:rsid w:val="00B21D97"/>
  </w:style>
  <w:style w:type="paragraph" w:customStyle="1" w:styleId="p2">
    <w:name w:val="p2"/>
    <w:basedOn w:val="a"/>
    <w:rsid w:val="00B21D9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2">
    <w:name w:val="s2"/>
    <w:basedOn w:val="a0"/>
    <w:rsid w:val="00B21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 Scottilynne Rena Roberta</dc:creator>
  <cp:keywords/>
  <dc:description/>
  <cp:lastModifiedBy>Blank, Scottilynne Rena Roberta</cp:lastModifiedBy>
  <cp:revision>2</cp:revision>
  <dcterms:created xsi:type="dcterms:W3CDTF">2025-08-29T02:39:00Z</dcterms:created>
  <dcterms:modified xsi:type="dcterms:W3CDTF">2025-08-29T02:39:00Z</dcterms:modified>
</cp:coreProperties>
</file>