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C47" w:rsidRPr="001C0A4D" w:rsidRDefault="00E932DD">
      <w:pPr>
        <w:rPr>
          <w:rFonts w:ascii="Arial" w:hAnsi="Arial" w:cs="Arial"/>
          <w:b/>
        </w:rPr>
      </w:pPr>
      <w:r w:rsidRPr="001C0A4D">
        <w:rPr>
          <w:rFonts w:ascii="Arial" w:hAnsi="Arial" w:cs="Arial"/>
          <w:b/>
        </w:rPr>
        <w:t>Guidance on writing a good figure title and legend</w:t>
      </w:r>
    </w:p>
    <w:p w:rsidR="00E932DD" w:rsidRPr="002E477E" w:rsidRDefault="008C15C5" w:rsidP="002E477E">
      <w:pPr>
        <w:pStyle w:val="ListParagraph"/>
        <w:numPr>
          <w:ilvl w:val="0"/>
          <w:numId w:val="1"/>
        </w:numPr>
        <w:rPr>
          <w:rFonts w:ascii="Arial" w:hAnsi="Arial" w:cs="Arial"/>
        </w:rPr>
      </w:pPr>
      <w:r w:rsidRPr="002E477E">
        <w:rPr>
          <w:rFonts w:ascii="Arial" w:hAnsi="Arial" w:cs="Arial"/>
        </w:rPr>
        <w:t xml:space="preserve">The figure title and legend should give enough information for the reader to be able to understand and interpret the data presented. However, it should not go into exhaustive detail about experimental methods (typically covered in the materials and methods section), or </w:t>
      </w:r>
      <w:r w:rsidR="00A133BD" w:rsidRPr="002E477E">
        <w:rPr>
          <w:rFonts w:ascii="Arial" w:hAnsi="Arial" w:cs="Arial"/>
        </w:rPr>
        <w:t>analyse</w:t>
      </w:r>
      <w:r w:rsidRPr="002E477E">
        <w:rPr>
          <w:rFonts w:ascii="Arial" w:hAnsi="Arial" w:cs="Arial"/>
        </w:rPr>
        <w:t xml:space="preserve"> the results (</w:t>
      </w:r>
      <w:r w:rsidR="00A133BD" w:rsidRPr="002E477E">
        <w:rPr>
          <w:rFonts w:ascii="Arial" w:hAnsi="Arial" w:cs="Arial"/>
        </w:rPr>
        <w:t>covered</w:t>
      </w:r>
      <w:r w:rsidRPr="002E477E">
        <w:rPr>
          <w:rFonts w:ascii="Arial" w:hAnsi="Arial" w:cs="Arial"/>
        </w:rPr>
        <w:t xml:space="preserve"> in the main body of a paper).</w:t>
      </w:r>
    </w:p>
    <w:p w:rsidR="00A133BD" w:rsidRPr="002E477E" w:rsidRDefault="00A133BD" w:rsidP="002E477E">
      <w:pPr>
        <w:pStyle w:val="ListParagraph"/>
        <w:numPr>
          <w:ilvl w:val="0"/>
          <w:numId w:val="1"/>
        </w:numPr>
        <w:rPr>
          <w:rFonts w:ascii="Arial" w:hAnsi="Arial" w:cs="Arial"/>
        </w:rPr>
      </w:pPr>
      <w:r w:rsidRPr="002E477E">
        <w:rPr>
          <w:rFonts w:ascii="Arial" w:hAnsi="Arial" w:cs="Arial"/>
        </w:rPr>
        <w:t xml:space="preserve">The title may be descriptive (explaining the type of experiment) or declarative (stating the overall finding). </w:t>
      </w:r>
      <w:r w:rsidR="002E477E" w:rsidRPr="002E477E">
        <w:rPr>
          <w:rFonts w:ascii="Arial" w:hAnsi="Arial" w:cs="Arial"/>
        </w:rPr>
        <w:t>Figures and graphs, by their very nature, show data. It is therefore unnecessary to give them titles such as “Figure showing the amount of cell survival.”</w:t>
      </w:r>
    </w:p>
    <w:p w:rsidR="00E932DD" w:rsidRPr="002E477E" w:rsidRDefault="00E932DD" w:rsidP="002E477E">
      <w:pPr>
        <w:pStyle w:val="ListParagraph"/>
        <w:numPr>
          <w:ilvl w:val="0"/>
          <w:numId w:val="1"/>
        </w:numPr>
        <w:rPr>
          <w:rFonts w:ascii="Arial" w:hAnsi="Arial" w:cs="Arial"/>
        </w:rPr>
      </w:pPr>
      <w:r w:rsidRPr="002E477E">
        <w:rPr>
          <w:rFonts w:ascii="Arial" w:hAnsi="Arial" w:cs="Arial"/>
        </w:rPr>
        <w:t>Figure legends should be as concise as possible. Eliminate any unnecessary words.</w:t>
      </w:r>
    </w:p>
    <w:p w:rsidR="000C1A5A" w:rsidRDefault="00A133BD" w:rsidP="008B5D17">
      <w:pPr>
        <w:pStyle w:val="ListParagraph"/>
        <w:numPr>
          <w:ilvl w:val="0"/>
          <w:numId w:val="1"/>
        </w:numPr>
        <w:rPr>
          <w:rFonts w:ascii="Arial" w:hAnsi="Arial" w:cs="Arial"/>
        </w:rPr>
      </w:pPr>
      <w:r w:rsidRPr="000C1A5A">
        <w:rPr>
          <w:rFonts w:ascii="Arial" w:hAnsi="Arial" w:cs="Arial"/>
        </w:rPr>
        <w:t>Any symbols, colours, abbreviations, etc. used in the figure that are not immediately intuitive to the reader should be explained in the figure legend. Any statistical analyses used should be succinctly described, e.g. “error bars represent standard error of the mean (SEM)”.</w:t>
      </w:r>
    </w:p>
    <w:p w:rsidR="006E32BA" w:rsidRPr="000C1A5A" w:rsidRDefault="006E32BA" w:rsidP="008B5D17">
      <w:pPr>
        <w:pStyle w:val="ListParagraph"/>
        <w:numPr>
          <w:ilvl w:val="0"/>
          <w:numId w:val="1"/>
        </w:numPr>
        <w:rPr>
          <w:rFonts w:ascii="Arial" w:hAnsi="Arial" w:cs="Arial"/>
        </w:rPr>
      </w:pPr>
      <w:r w:rsidRPr="000C1A5A">
        <w:rPr>
          <w:rFonts w:ascii="Arial" w:hAnsi="Arial" w:cs="Arial"/>
        </w:rPr>
        <w:t>Correct formatting should be used throughout (e.g. italicized species names, correct Greek symbols where applicable, super- and sub- scripts used appropriately).</w:t>
      </w:r>
    </w:p>
    <w:p w:rsidR="00350FE7" w:rsidRPr="001C0A4D" w:rsidRDefault="000234B1">
      <w:pPr>
        <w:rPr>
          <w:rFonts w:ascii="Arial" w:hAnsi="Arial" w:cs="Arial"/>
        </w:rPr>
      </w:pPr>
      <w:r>
        <w:rPr>
          <w:rFonts w:ascii="Arial" w:hAnsi="Arial" w:cs="Arial"/>
        </w:rPr>
        <w:t>Some</w:t>
      </w:r>
      <w:r w:rsidR="00350FE7" w:rsidRPr="001C0A4D">
        <w:rPr>
          <w:rFonts w:ascii="Arial" w:hAnsi="Arial" w:cs="Arial"/>
        </w:rPr>
        <w:t xml:space="preserve"> examples are shown below.</w:t>
      </w:r>
    </w:p>
    <w:p w:rsidR="000234B1" w:rsidRDefault="000234B1">
      <w:pPr>
        <w:rPr>
          <w:rFonts w:ascii="Arial" w:hAnsi="Arial" w:cs="Arial"/>
          <w:color w:val="6B6B6B"/>
          <w:sz w:val="23"/>
          <w:szCs w:val="23"/>
          <w:shd w:val="clear" w:color="auto" w:fill="F0F0F0"/>
        </w:rPr>
      </w:pPr>
      <w:r>
        <w:rPr>
          <w:rFonts w:ascii="Segoe UI" w:hAnsi="Segoe UI" w:cs="Segoe UI"/>
          <w:color w:val="212121"/>
          <w:shd w:val="clear" w:color="auto" w:fill="FFFFFF"/>
        </w:rPr>
        <w:t xml:space="preserve">Tucker NP, </w:t>
      </w:r>
      <w:proofErr w:type="spellStart"/>
      <w:r>
        <w:rPr>
          <w:rFonts w:ascii="Segoe UI" w:hAnsi="Segoe UI" w:cs="Segoe UI"/>
          <w:color w:val="212121"/>
          <w:shd w:val="clear" w:color="auto" w:fill="FFFFFF"/>
        </w:rPr>
        <w:t>D'Autréaux</w:t>
      </w:r>
      <w:proofErr w:type="spellEnd"/>
      <w:r>
        <w:rPr>
          <w:rFonts w:ascii="Segoe UI" w:hAnsi="Segoe UI" w:cs="Segoe UI"/>
          <w:color w:val="212121"/>
          <w:shd w:val="clear" w:color="auto" w:fill="FFFFFF"/>
        </w:rPr>
        <w:t xml:space="preserve"> B, </w:t>
      </w:r>
      <w:proofErr w:type="spellStart"/>
      <w:r>
        <w:rPr>
          <w:rFonts w:ascii="Segoe UI" w:hAnsi="Segoe UI" w:cs="Segoe UI"/>
          <w:color w:val="212121"/>
          <w:shd w:val="clear" w:color="auto" w:fill="FFFFFF"/>
        </w:rPr>
        <w:t>Studholme</w:t>
      </w:r>
      <w:proofErr w:type="spellEnd"/>
      <w:r>
        <w:rPr>
          <w:rFonts w:ascii="Segoe UI" w:hAnsi="Segoe UI" w:cs="Segoe UI"/>
          <w:color w:val="212121"/>
          <w:shd w:val="clear" w:color="auto" w:fill="FFFFFF"/>
        </w:rPr>
        <w:t xml:space="preserve"> DJ, Spiro S, Dixon R. DNA binding activity of the Escherichia coli nitric oxide sensor </w:t>
      </w:r>
      <w:proofErr w:type="spellStart"/>
      <w:r>
        <w:rPr>
          <w:rFonts w:ascii="Segoe UI" w:hAnsi="Segoe UI" w:cs="Segoe UI"/>
          <w:color w:val="212121"/>
          <w:shd w:val="clear" w:color="auto" w:fill="FFFFFF"/>
        </w:rPr>
        <w:t>NorR</w:t>
      </w:r>
      <w:proofErr w:type="spellEnd"/>
      <w:r>
        <w:rPr>
          <w:rFonts w:ascii="Segoe UI" w:hAnsi="Segoe UI" w:cs="Segoe UI"/>
          <w:color w:val="212121"/>
          <w:shd w:val="clear" w:color="auto" w:fill="FFFFFF"/>
        </w:rPr>
        <w:t xml:space="preserve"> suggests a conserved target sequence in diverse </w:t>
      </w:r>
      <w:proofErr w:type="spellStart"/>
      <w:r>
        <w:rPr>
          <w:rFonts w:ascii="Segoe UI" w:hAnsi="Segoe UI" w:cs="Segoe UI"/>
          <w:color w:val="212121"/>
          <w:shd w:val="clear" w:color="auto" w:fill="FFFFFF"/>
        </w:rPr>
        <w:t>proteobacteria</w:t>
      </w:r>
      <w:proofErr w:type="spellEnd"/>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Bacteriol</w:t>
      </w:r>
      <w:proofErr w:type="spellEnd"/>
      <w:r>
        <w:rPr>
          <w:rFonts w:ascii="Segoe UI" w:hAnsi="Segoe UI" w:cs="Segoe UI"/>
          <w:color w:val="212121"/>
          <w:shd w:val="clear" w:color="auto" w:fill="FFFFFF"/>
        </w:rPr>
        <w:t xml:space="preserve">. 2004 Oct;186(19):6656-60.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10.1128/JB.186.19.6656-6660.2004. </w:t>
      </w:r>
    </w:p>
    <w:p w:rsidR="000234B1" w:rsidRDefault="000234B1">
      <w:pPr>
        <w:rPr>
          <w:rFonts w:ascii="Arial" w:hAnsi="Arial" w:cs="Arial"/>
          <w:color w:val="6B6B6B"/>
          <w:sz w:val="23"/>
          <w:szCs w:val="23"/>
          <w:shd w:val="clear" w:color="auto" w:fill="F0F0F0"/>
        </w:rPr>
      </w:pPr>
      <w:r>
        <w:rPr>
          <w:rFonts w:ascii="Arial" w:hAnsi="Arial" w:cs="Arial"/>
          <w:noProof/>
          <w:color w:val="6B6B6B"/>
          <w:sz w:val="23"/>
          <w:szCs w:val="23"/>
          <w:shd w:val="clear" w:color="auto" w:fill="F0F0F0"/>
          <w:lang w:eastAsia="en-GB"/>
        </w:rPr>
        <w:drawing>
          <wp:inline distT="0" distB="0" distL="0" distR="0">
            <wp:extent cx="2989811" cy="31623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medium.gif"/>
                    <pic:cNvPicPr/>
                  </pic:nvPicPr>
                  <pic:blipFill>
                    <a:blip r:embed="rId5">
                      <a:extLst>
                        <a:ext uri="{28A0092B-C50C-407E-A947-70E740481C1C}">
                          <a14:useLocalDpi xmlns:a14="http://schemas.microsoft.com/office/drawing/2010/main" val="0"/>
                        </a:ext>
                      </a:extLst>
                    </a:blip>
                    <a:stretch>
                      <a:fillRect/>
                    </a:stretch>
                  </pic:blipFill>
                  <pic:spPr>
                    <a:xfrm>
                      <a:off x="0" y="0"/>
                      <a:ext cx="3010004" cy="3183658"/>
                    </a:xfrm>
                    <a:prstGeom prst="rect">
                      <a:avLst/>
                    </a:prstGeom>
                  </pic:spPr>
                </pic:pic>
              </a:graphicData>
            </a:graphic>
          </wp:inline>
        </w:drawing>
      </w:r>
    </w:p>
    <w:p w:rsidR="00350FE7" w:rsidRPr="001C0A4D" w:rsidRDefault="000234B1">
      <w:pPr>
        <w:rPr>
          <w:rFonts w:ascii="Arial" w:hAnsi="Arial" w:cs="Arial"/>
        </w:rPr>
      </w:pPr>
      <w:r>
        <w:rPr>
          <w:rFonts w:ascii="Arial" w:hAnsi="Arial" w:cs="Arial"/>
          <w:color w:val="6B6B6B"/>
          <w:sz w:val="23"/>
          <w:szCs w:val="23"/>
          <w:shd w:val="clear" w:color="auto" w:fill="F0F0F0"/>
        </w:rPr>
        <w:t xml:space="preserve">DNase I </w:t>
      </w:r>
      <w:proofErr w:type="spellStart"/>
      <w:r>
        <w:rPr>
          <w:rFonts w:ascii="Arial" w:hAnsi="Arial" w:cs="Arial"/>
          <w:color w:val="6B6B6B"/>
          <w:sz w:val="23"/>
          <w:szCs w:val="23"/>
          <w:shd w:val="clear" w:color="auto" w:fill="F0F0F0"/>
        </w:rPr>
        <w:t>footprinting</w:t>
      </w:r>
      <w:proofErr w:type="spellEnd"/>
      <w:r>
        <w:rPr>
          <w:rFonts w:ascii="Arial" w:hAnsi="Arial" w:cs="Arial"/>
          <w:color w:val="6B6B6B"/>
          <w:sz w:val="23"/>
          <w:szCs w:val="23"/>
          <w:shd w:val="clear" w:color="auto" w:fill="F0F0F0"/>
        </w:rPr>
        <w:t xml:space="preserve"> of </w:t>
      </w:r>
      <w:proofErr w:type="spellStart"/>
      <w:r>
        <w:rPr>
          <w:rFonts w:ascii="Arial" w:hAnsi="Arial" w:cs="Arial"/>
          <w:color w:val="6B6B6B"/>
          <w:sz w:val="23"/>
          <w:szCs w:val="23"/>
          <w:shd w:val="clear" w:color="auto" w:fill="F0F0F0"/>
        </w:rPr>
        <w:t>NorR</w:t>
      </w:r>
      <w:proofErr w:type="spellEnd"/>
      <w:r>
        <w:rPr>
          <w:rFonts w:ascii="Arial" w:hAnsi="Arial" w:cs="Arial"/>
          <w:color w:val="6B6B6B"/>
          <w:sz w:val="23"/>
          <w:szCs w:val="23"/>
          <w:shd w:val="clear" w:color="auto" w:fill="F0F0F0"/>
        </w:rPr>
        <w:t xml:space="preserve"> with the template strand of the </w:t>
      </w:r>
      <w:proofErr w:type="spellStart"/>
      <w:r>
        <w:rPr>
          <w:rStyle w:val="Emphasis"/>
          <w:rFonts w:ascii="Arial" w:hAnsi="Arial" w:cs="Arial"/>
          <w:color w:val="6B6B6B"/>
          <w:sz w:val="23"/>
          <w:szCs w:val="23"/>
          <w:bdr w:val="none" w:sz="0" w:space="0" w:color="auto" w:frame="1"/>
          <w:shd w:val="clear" w:color="auto" w:fill="F0F0F0"/>
        </w:rPr>
        <w:t>norVW</w:t>
      </w:r>
      <w:proofErr w:type="spellEnd"/>
      <w:r>
        <w:rPr>
          <w:rFonts w:ascii="Arial" w:hAnsi="Arial" w:cs="Arial"/>
          <w:color w:val="6B6B6B"/>
          <w:sz w:val="23"/>
          <w:szCs w:val="23"/>
          <w:shd w:val="clear" w:color="auto" w:fill="F0F0F0"/>
        </w:rPr>
        <w:t xml:space="preserve"> promoter. The DNA fragment was the 362-bp </w:t>
      </w:r>
      <w:proofErr w:type="spellStart"/>
      <w:r>
        <w:rPr>
          <w:rFonts w:ascii="Arial" w:hAnsi="Arial" w:cs="Arial"/>
          <w:color w:val="6B6B6B"/>
          <w:sz w:val="23"/>
          <w:szCs w:val="23"/>
          <w:shd w:val="clear" w:color="auto" w:fill="F0F0F0"/>
        </w:rPr>
        <w:t>EcoRI-BamHI</w:t>
      </w:r>
      <w:proofErr w:type="spellEnd"/>
      <w:r>
        <w:rPr>
          <w:rFonts w:ascii="Arial" w:hAnsi="Arial" w:cs="Arial"/>
          <w:color w:val="6B6B6B"/>
          <w:sz w:val="23"/>
          <w:szCs w:val="23"/>
          <w:shd w:val="clear" w:color="auto" w:fill="F0F0F0"/>
        </w:rPr>
        <w:t xml:space="preserve"> fragment, 5′ end-</w:t>
      </w:r>
      <w:proofErr w:type="spellStart"/>
      <w:r>
        <w:rPr>
          <w:rFonts w:ascii="Arial" w:hAnsi="Arial" w:cs="Arial"/>
          <w:color w:val="6B6B6B"/>
          <w:sz w:val="23"/>
          <w:szCs w:val="23"/>
          <w:shd w:val="clear" w:color="auto" w:fill="F0F0F0"/>
        </w:rPr>
        <w:t>labeled</w:t>
      </w:r>
      <w:proofErr w:type="spellEnd"/>
      <w:r>
        <w:rPr>
          <w:rFonts w:ascii="Arial" w:hAnsi="Arial" w:cs="Arial"/>
          <w:color w:val="6B6B6B"/>
          <w:sz w:val="23"/>
          <w:szCs w:val="23"/>
          <w:shd w:val="clear" w:color="auto" w:fill="F0F0F0"/>
        </w:rPr>
        <w:t xml:space="preserve"> at the </w:t>
      </w:r>
      <w:proofErr w:type="spellStart"/>
      <w:r>
        <w:rPr>
          <w:rFonts w:ascii="Arial" w:hAnsi="Arial" w:cs="Arial"/>
          <w:color w:val="6B6B6B"/>
          <w:sz w:val="23"/>
          <w:szCs w:val="23"/>
          <w:shd w:val="clear" w:color="auto" w:fill="F0F0F0"/>
        </w:rPr>
        <w:t>EcoRI</w:t>
      </w:r>
      <w:proofErr w:type="spellEnd"/>
      <w:r>
        <w:rPr>
          <w:rFonts w:ascii="Arial" w:hAnsi="Arial" w:cs="Arial"/>
          <w:color w:val="6B6B6B"/>
          <w:sz w:val="23"/>
          <w:szCs w:val="23"/>
          <w:shd w:val="clear" w:color="auto" w:fill="F0F0F0"/>
        </w:rPr>
        <w:t xml:space="preserve"> site. G+A sequencing tracks prepared with the </w:t>
      </w:r>
      <w:proofErr w:type="spellStart"/>
      <w:r>
        <w:rPr>
          <w:rFonts w:ascii="Arial" w:hAnsi="Arial" w:cs="Arial"/>
          <w:color w:val="6B6B6B"/>
          <w:sz w:val="23"/>
          <w:szCs w:val="23"/>
          <w:shd w:val="clear" w:color="auto" w:fill="F0F0F0"/>
        </w:rPr>
        <w:t>Maxam</w:t>
      </w:r>
      <w:proofErr w:type="spellEnd"/>
      <w:r>
        <w:rPr>
          <w:rFonts w:ascii="Arial" w:hAnsi="Arial" w:cs="Arial"/>
          <w:color w:val="6B6B6B"/>
          <w:sz w:val="23"/>
          <w:szCs w:val="23"/>
          <w:shd w:val="clear" w:color="auto" w:fill="F0F0F0"/>
        </w:rPr>
        <w:t xml:space="preserve"> and Gilbert method are in lanes 1 and 15. Lane 14 contained no </w:t>
      </w:r>
      <w:proofErr w:type="spellStart"/>
      <w:r>
        <w:rPr>
          <w:rFonts w:ascii="Arial" w:hAnsi="Arial" w:cs="Arial"/>
          <w:color w:val="6B6B6B"/>
          <w:sz w:val="23"/>
          <w:szCs w:val="23"/>
          <w:shd w:val="clear" w:color="auto" w:fill="F0F0F0"/>
        </w:rPr>
        <w:t>NorR</w:t>
      </w:r>
      <w:proofErr w:type="spellEnd"/>
      <w:r>
        <w:rPr>
          <w:rFonts w:ascii="Arial" w:hAnsi="Arial" w:cs="Arial"/>
          <w:color w:val="6B6B6B"/>
          <w:sz w:val="23"/>
          <w:szCs w:val="23"/>
          <w:shd w:val="clear" w:color="auto" w:fill="F0F0F0"/>
        </w:rPr>
        <w:t xml:space="preserve">. Binding reactions shown in lanes 3 to 14 contained increasing concentrations of </w:t>
      </w:r>
      <w:proofErr w:type="spellStart"/>
      <w:r>
        <w:rPr>
          <w:rFonts w:ascii="Arial" w:hAnsi="Arial" w:cs="Arial"/>
          <w:color w:val="6B6B6B"/>
          <w:sz w:val="23"/>
          <w:szCs w:val="23"/>
          <w:shd w:val="clear" w:color="auto" w:fill="F0F0F0"/>
        </w:rPr>
        <w:t>NorR</w:t>
      </w:r>
      <w:proofErr w:type="spellEnd"/>
      <w:r>
        <w:rPr>
          <w:rFonts w:ascii="Arial" w:hAnsi="Arial" w:cs="Arial"/>
          <w:color w:val="6B6B6B"/>
          <w:sz w:val="23"/>
          <w:szCs w:val="23"/>
          <w:shd w:val="clear" w:color="auto" w:fill="F0F0F0"/>
        </w:rPr>
        <w:t xml:space="preserve"> identical to those shown in Fig. </w:t>
      </w:r>
      <w:hyperlink r:id="rId6" w:anchor="F1" w:history="1">
        <w:r>
          <w:rPr>
            <w:rStyle w:val="Hyperlink"/>
            <w:rFonts w:ascii="Arial" w:hAnsi="Arial" w:cs="Arial"/>
            <w:b/>
            <w:bCs/>
            <w:color w:val="1C33D7"/>
            <w:sz w:val="23"/>
            <w:szCs w:val="23"/>
            <w:u w:val="none"/>
            <w:bdr w:val="none" w:sz="0" w:space="0" w:color="auto" w:frame="1"/>
            <w:shd w:val="clear" w:color="auto" w:fill="F0F0F0"/>
          </w:rPr>
          <w:t>1</w:t>
        </w:r>
      </w:hyperlink>
      <w:r>
        <w:rPr>
          <w:rFonts w:ascii="Arial" w:hAnsi="Arial" w:cs="Arial"/>
          <w:color w:val="6B6B6B"/>
          <w:sz w:val="23"/>
          <w:szCs w:val="23"/>
          <w:shd w:val="clear" w:color="auto" w:fill="F0F0F0"/>
        </w:rPr>
        <w:t xml:space="preserve">. Regions of </w:t>
      </w:r>
      <w:proofErr w:type="spellStart"/>
      <w:r>
        <w:rPr>
          <w:rFonts w:ascii="Arial" w:hAnsi="Arial" w:cs="Arial"/>
          <w:color w:val="6B6B6B"/>
          <w:sz w:val="23"/>
          <w:szCs w:val="23"/>
          <w:shd w:val="clear" w:color="auto" w:fill="F0F0F0"/>
        </w:rPr>
        <w:t>NorR</w:t>
      </w:r>
      <w:proofErr w:type="spellEnd"/>
      <w:r>
        <w:rPr>
          <w:rFonts w:ascii="Arial" w:hAnsi="Arial" w:cs="Arial"/>
          <w:color w:val="6B6B6B"/>
          <w:sz w:val="23"/>
          <w:szCs w:val="23"/>
          <w:shd w:val="clear" w:color="auto" w:fill="F0F0F0"/>
        </w:rPr>
        <w:t xml:space="preserve"> protection were deduced from three independent experiments and are denoted by the solid lines to the right of the footprint, </w:t>
      </w:r>
      <w:proofErr w:type="spellStart"/>
      <w:r>
        <w:rPr>
          <w:rFonts w:ascii="Arial" w:hAnsi="Arial" w:cs="Arial"/>
          <w:color w:val="6B6B6B"/>
          <w:sz w:val="23"/>
          <w:szCs w:val="23"/>
          <w:shd w:val="clear" w:color="auto" w:fill="F0F0F0"/>
        </w:rPr>
        <w:t>labeled</w:t>
      </w:r>
      <w:proofErr w:type="spellEnd"/>
      <w:r>
        <w:rPr>
          <w:rFonts w:ascii="Arial" w:hAnsi="Arial" w:cs="Arial"/>
          <w:color w:val="6B6B6B"/>
          <w:sz w:val="23"/>
          <w:szCs w:val="23"/>
          <w:shd w:val="clear" w:color="auto" w:fill="F0F0F0"/>
        </w:rPr>
        <w:t xml:space="preserve"> 1 for the high-affinity site and 2 and 3 for the low-affinity sites.</w:t>
      </w:r>
    </w:p>
    <w:p w:rsidR="000234B1" w:rsidRDefault="000234B1">
      <w:pPr>
        <w:rPr>
          <w:rFonts w:ascii="Arial" w:hAnsi="Arial" w:cs="Arial"/>
          <w:color w:val="212121"/>
          <w:shd w:val="clear" w:color="auto" w:fill="FFFFFF"/>
        </w:rPr>
      </w:pPr>
    </w:p>
    <w:p w:rsidR="00350FE7" w:rsidRPr="001C0A4D" w:rsidRDefault="00350FE7">
      <w:pPr>
        <w:rPr>
          <w:rFonts w:ascii="Arial" w:hAnsi="Arial" w:cs="Arial"/>
          <w:color w:val="212121"/>
          <w:shd w:val="clear" w:color="auto" w:fill="FFFFFF"/>
        </w:rPr>
      </w:pPr>
      <w:r w:rsidRPr="001C0A4D">
        <w:rPr>
          <w:rFonts w:ascii="Arial" w:hAnsi="Arial" w:cs="Arial"/>
          <w:color w:val="212121"/>
          <w:shd w:val="clear" w:color="auto" w:fill="FFFFFF"/>
        </w:rPr>
        <w:lastRenderedPageBreak/>
        <w:t xml:space="preserve">Williamson, G., </w:t>
      </w:r>
      <w:proofErr w:type="spellStart"/>
      <w:r w:rsidRPr="001C0A4D">
        <w:rPr>
          <w:rFonts w:ascii="Arial" w:hAnsi="Arial" w:cs="Arial"/>
          <w:color w:val="212121"/>
          <w:shd w:val="clear" w:color="auto" w:fill="FFFFFF"/>
        </w:rPr>
        <w:t>Tamburrino</w:t>
      </w:r>
      <w:proofErr w:type="spellEnd"/>
      <w:r w:rsidRPr="001C0A4D">
        <w:rPr>
          <w:rFonts w:ascii="Arial" w:hAnsi="Arial" w:cs="Arial"/>
          <w:color w:val="212121"/>
          <w:shd w:val="clear" w:color="auto" w:fill="FFFFFF"/>
        </w:rPr>
        <w:t xml:space="preserve">, G., Bizior, A., </w:t>
      </w:r>
      <w:proofErr w:type="spellStart"/>
      <w:r w:rsidRPr="001C0A4D">
        <w:rPr>
          <w:rFonts w:ascii="Arial" w:hAnsi="Arial" w:cs="Arial"/>
          <w:color w:val="212121"/>
          <w:shd w:val="clear" w:color="auto" w:fill="FFFFFF"/>
        </w:rPr>
        <w:t>Boeckstaens</w:t>
      </w:r>
      <w:proofErr w:type="spellEnd"/>
      <w:r w:rsidRPr="001C0A4D">
        <w:rPr>
          <w:rFonts w:ascii="Arial" w:hAnsi="Arial" w:cs="Arial"/>
          <w:color w:val="212121"/>
          <w:shd w:val="clear" w:color="auto" w:fill="FFFFFF"/>
        </w:rPr>
        <w:t xml:space="preserve">, M., Dias </w:t>
      </w:r>
      <w:proofErr w:type="spellStart"/>
      <w:r w:rsidRPr="001C0A4D">
        <w:rPr>
          <w:rFonts w:ascii="Arial" w:hAnsi="Arial" w:cs="Arial"/>
          <w:color w:val="212121"/>
          <w:shd w:val="clear" w:color="auto" w:fill="FFFFFF"/>
        </w:rPr>
        <w:t>Mirandela</w:t>
      </w:r>
      <w:proofErr w:type="spellEnd"/>
      <w:r w:rsidRPr="001C0A4D">
        <w:rPr>
          <w:rFonts w:ascii="Arial" w:hAnsi="Arial" w:cs="Arial"/>
          <w:color w:val="212121"/>
          <w:shd w:val="clear" w:color="auto" w:fill="FFFFFF"/>
        </w:rPr>
        <w:t xml:space="preserve">, G., </w:t>
      </w:r>
      <w:proofErr w:type="spellStart"/>
      <w:r w:rsidRPr="001C0A4D">
        <w:rPr>
          <w:rFonts w:ascii="Arial" w:hAnsi="Arial" w:cs="Arial"/>
          <w:color w:val="212121"/>
          <w:shd w:val="clear" w:color="auto" w:fill="FFFFFF"/>
        </w:rPr>
        <w:t>Bage</w:t>
      </w:r>
      <w:proofErr w:type="spellEnd"/>
      <w:r w:rsidRPr="001C0A4D">
        <w:rPr>
          <w:rFonts w:ascii="Arial" w:hAnsi="Arial" w:cs="Arial"/>
          <w:color w:val="212121"/>
          <w:shd w:val="clear" w:color="auto" w:fill="FFFFFF"/>
        </w:rPr>
        <w:t xml:space="preserve">, M. G., </w:t>
      </w:r>
      <w:proofErr w:type="spellStart"/>
      <w:r w:rsidRPr="001C0A4D">
        <w:rPr>
          <w:rFonts w:ascii="Arial" w:hAnsi="Arial" w:cs="Arial"/>
          <w:color w:val="212121"/>
          <w:shd w:val="clear" w:color="auto" w:fill="FFFFFF"/>
        </w:rPr>
        <w:t>Pisliakov</w:t>
      </w:r>
      <w:proofErr w:type="spellEnd"/>
      <w:r w:rsidRPr="001C0A4D">
        <w:rPr>
          <w:rFonts w:ascii="Arial" w:hAnsi="Arial" w:cs="Arial"/>
          <w:color w:val="212121"/>
          <w:shd w:val="clear" w:color="auto" w:fill="FFFFFF"/>
        </w:rPr>
        <w:t xml:space="preserve">, A., Ives, C. M., Terras, E., Hoskisson, P. A., Marini, A. M., </w:t>
      </w:r>
      <w:proofErr w:type="spellStart"/>
      <w:r w:rsidRPr="001C0A4D">
        <w:rPr>
          <w:rFonts w:ascii="Arial" w:hAnsi="Arial" w:cs="Arial"/>
          <w:color w:val="212121"/>
          <w:shd w:val="clear" w:color="auto" w:fill="FFFFFF"/>
        </w:rPr>
        <w:t>Zachariae</w:t>
      </w:r>
      <w:proofErr w:type="spellEnd"/>
      <w:r w:rsidRPr="001C0A4D">
        <w:rPr>
          <w:rFonts w:ascii="Arial" w:hAnsi="Arial" w:cs="Arial"/>
          <w:color w:val="212121"/>
          <w:shd w:val="clear" w:color="auto" w:fill="FFFFFF"/>
        </w:rPr>
        <w:t>, U., &amp; Javelle, A. (2020). A two-lane mechanism for selective biological ammonium transport. </w:t>
      </w:r>
      <w:proofErr w:type="spellStart"/>
      <w:r w:rsidRPr="001C0A4D">
        <w:rPr>
          <w:rFonts w:ascii="Arial" w:hAnsi="Arial" w:cs="Arial"/>
          <w:i/>
          <w:iCs/>
          <w:color w:val="212121"/>
          <w:shd w:val="clear" w:color="auto" w:fill="FFFFFF"/>
        </w:rPr>
        <w:t>eLife</w:t>
      </w:r>
      <w:proofErr w:type="spellEnd"/>
      <w:r w:rsidRPr="001C0A4D">
        <w:rPr>
          <w:rFonts w:ascii="Arial" w:hAnsi="Arial" w:cs="Arial"/>
          <w:color w:val="212121"/>
          <w:shd w:val="clear" w:color="auto" w:fill="FFFFFF"/>
        </w:rPr>
        <w:t>, </w:t>
      </w:r>
      <w:r w:rsidRPr="001C0A4D">
        <w:rPr>
          <w:rFonts w:ascii="Arial" w:hAnsi="Arial" w:cs="Arial"/>
          <w:i/>
          <w:iCs/>
          <w:color w:val="212121"/>
          <w:shd w:val="clear" w:color="auto" w:fill="FFFFFF"/>
        </w:rPr>
        <w:t>9</w:t>
      </w:r>
      <w:r w:rsidRPr="001C0A4D">
        <w:rPr>
          <w:rFonts w:ascii="Arial" w:hAnsi="Arial" w:cs="Arial"/>
          <w:color w:val="212121"/>
          <w:shd w:val="clear" w:color="auto" w:fill="FFFFFF"/>
        </w:rPr>
        <w:t xml:space="preserve">, e57183. </w:t>
      </w:r>
      <w:hyperlink r:id="rId7" w:history="1">
        <w:r w:rsidR="001C0A4D" w:rsidRPr="001C0A4D">
          <w:rPr>
            <w:rStyle w:val="Hyperlink"/>
            <w:rFonts w:ascii="Arial" w:hAnsi="Arial" w:cs="Arial"/>
            <w:shd w:val="clear" w:color="auto" w:fill="FFFFFF"/>
          </w:rPr>
          <w:t>https://doi.org/10.7554/eLife.57183</w:t>
        </w:r>
      </w:hyperlink>
    </w:p>
    <w:p w:rsidR="001C0A4D" w:rsidRPr="001C0A4D" w:rsidRDefault="001C0A4D">
      <w:pPr>
        <w:rPr>
          <w:rFonts w:ascii="Arial" w:hAnsi="Arial" w:cs="Arial"/>
        </w:rPr>
      </w:pPr>
    </w:p>
    <w:p w:rsidR="00350FE7" w:rsidRPr="001C0A4D" w:rsidRDefault="00350FE7">
      <w:pPr>
        <w:rPr>
          <w:rFonts w:ascii="Arial" w:hAnsi="Arial" w:cs="Arial"/>
        </w:rPr>
      </w:pPr>
      <w:r w:rsidRPr="001C0A4D">
        <w:rPr>
          <w:rFonts w:ascii="Arial" w:hAnsi="Arial" w:cs="Arial"/>
          <w:noProof/>
          <w:lang w:eastAsia="en-GB"/>
        </w:rPr>
        <w:drawing>
          <wp:inline distT="0" distB="0" distL="0" distR="0">
            <wp:extent cx="5731510" cy="2800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ife-57183-fig2-v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350FE7" w:rsidRPr="006E32BA" w:rsidRDefault="00350FE7" w:rsidP="00350FE7">
      <w:pPr>
        <w:rPr>
          <w:rFonts w:ascii="Arial" w:hAnsi="Arial" w:cs="Arial"/>
          <w:b/>
        </w:rPr>
      </w:pPr>
      <w:r w:rsidRPr="006E32BA">
        <w:rPr>
          <w:rFonts w:ascii="Arial" w:hAnsi="Arial" w:cs="Arial"/>
          <w:b/>
        </w:rPr>
        <w:t xml:space="preserve">Formation and functionality of the periplasmic (PWW) and cytoplasmic (CWW) water wires in </w:t>
      </w:r>
      <w:proofErr w:type="spellStart"/>
      <w:r w:rsidRPr="006E32BA">
        <w:rPr>
          <w:rFonts w:ascii="Arial" w:hAnsi="Arial" w:cs="Arial"/>
          <w:b/>
        </w:rPr>
        <w:t>AmtB</w:t>
      </w:r>
      <w:proofErr w:type="spellEnd"/>
      <w:r w:rsidRPr="006E32BA">
        <w:rPr>
          <w:rFonts w:ascii="Arial" w:hAnsi="Arial" w:cs="Arial"/>
          <w:b/>
        </w:rPr>
        <w:t>.</w:t>
      </w:r>
    </w:p>
    <w:p w:rsidR="00350FE7" w:rsidRPr="001C0A4D" w:rsidRDefault="00350FE7" w:rsidP="00350FE7">
      <w:pPr>
        <w:rPr>
          <w:rFonts w:ascii="Arial" w:hAnsi="Arial" w:cs="Arial"/>
        </w:rPr>
      </w:pPr>
      <w:r w:rsidRPr="001C0A4D">
        <w:rPr>
          <w:rFonts w:ascii="Arial" w:hAnsi="Arial" w:cs="Arial"/>
        </w:rPr>
        <w:t>(A) Extended atomistic simulations show a hydration pattern across the protein, in which cytoplasmic and periplasmic water wires, connected via H168, form a continuous pathway for proton transfer from the S1 NH4</w:t>
      </w:r>
      <w:r w:rsidRPr="001C0A4D">
        <w:rPr>
          <w:rFonts w:ascii="Arial" w:hAnsi="Arial" w:cs="Arial"/>
          <w:vertAlign w:val="superscript"/>
        </w:rPr>
        <w:t>+</w:t>
      </w:r>
      <w:r w:rsidRPr="001C0A4D">
        <w:rPr>
          <w:rFonts w:ascii="Arial" w:hAnsi="Arial" w:cs="Arial"/>
        </w:rPr>
        <w:t xml:space="preserve"> sequestration region to the cytoplasm. (B) Transient currents measured following a 200 </w:t>
      </w:r>
      <w:proofErr w:type="spellStart"/>
      <w:r w:rsidRPr="001C0A4D">
        <w:rPr>
          <w:rFonts w:ascii="Arial" w:hAnsi="Arial" w:cs="Arial"/>
        </w:rPr>
        <w:t>mM</w:t>
      </w:r>
      <w:proofErr w:type="spellEnd"/>
      <w:r w:rsidRPr="001C0A4D">
        <w:rPr>
          <w:rFonts w:ascii="Arial" w:hAnsi="Arial" w:cs="Arial"/>
        </w:rPr>
        <w:t xml:space="preserve"> ammonium pulse on sensors prepared with solutions containing either H</w:t>
      </w:r>
      <w:r w:rsidRPr="001C0A4D">
        <w:rPr>
          <w:rFonts w:ascii="Arial" w:hAnsi="Arial" w:cs="Arial"/>
          <w:vertAlign w:val="subscript"/>
        </w:rPr>
        <w:t>2</w:t>
      </w:r>
      <w:r w:rsidRPr="001C0A4D">
        <w:rPr>
          <w:rFonts w:ascii="Arial" w:hAnsi="Arial" w:cs="Arial"/>
        </w:rPr>
        <w:t>O (black) or D</w:t>
      </w:r>
      <w:r w:rsidRPr="001C0A4D">
        <w:rPr>
          <w:rFonts w:ascii="Arial" w:hAnsi="Arial" w:cs="Arial"/>
          <w:vertAlign w:val="subscript"/>
        </w:rPr>
        <w:t>2</w:t>
      </w:r>
      <w:r w:rsidRPr="001C0A4D">
        <w:rPr>
          <w:rFonts w:ascii="Arial" w:hAnsi="Arial" w:cs="Arial"/>
        </w:rPr>
        <w:t>O (red). D</w:t>
      </w:r>
      <w:r w:rsidRPr="006E32BA">
        <w:rPr>
          <w:rFonts w:ascii="Arial" w:hAnsi="Arial" w:cs="Arial"/>
          <w:vertAlign w:val="subscript"/>
        </w:rPr>
        <w:t>2</w:t>
      </w:r>
      <w:r w:rsidRPr="001C0A4D">
        <w:rPr>
          <w:rFonts w:ascii="Arial" w:hAnsi="Arial" w:cs="Arial"/>
        </w:rPr>
        <w:t>O sensors were rinsed with H</w:t>
      </w:r>
      <w:r w:rsidRPr="001C0A4D">
        <w:rPr>
          <w:rFonts w:ascii="Arial" w:hAnsi="Arial" w:cs="Arial"/>
          <w:vertAlign w:val="subscript"/>
        </w:rPr>
        <w:t>2</w:t>
      </w:r>
      <w:r w:rsidRPr="001C0A4D">
        <w:rPr>
          <w:rFonts w:ascii="Arial" w:hAnsi="Arial" w:cs="Arial"/>
        </w:rPr>
        <w:t>O solutions and subsequently exposed to anoth</w:t>
      </w:r>
      <w:r w:rsidR="001C0A4D">
        <w:rPr>
          <w:rFonts w:ascii="Arial" w:hAnsi="Arial" w:cs="Arial"/>
        </w:rPr>
        <w:t xml:space="preserve">er 200 </w:t>
      </w:r>
      <w:proofErr w:type="spellStart"/>
      <w:r w:rsidR="001C0A4D">
        <w:rPr>
          <w:rFonts w:ascii="Arial" w:hAnsi="Arial" w:cs="Arial"/>
        </w:rPr>
        <w:t>mM</w:t>
      </w:r>
      <w:proofErr w:type="spellEnd"/>
      <w:r w:rsidR="001C0A4D">
        <w:rPr>
          <w:rFonts w:ascii="Arial" w:hAnsi="Arial" w:cs="Arial"/>
        </w:rPr>
        <w:t xml:space="preserve"> ammonium pulse (blue)</w:t>
      </w:r>
    </w:p>
    <w:p w:rsidR="001C0A4D" w:rsidRDefault="001C0A4D" w:rsidP="00350FE7">
      <w:pPr>
        <w:rPr>
          <w:rFonts w:ascii="Arial" w:hAnsi="Arial" w:cs="Arial"/>
        </w:rPr>
      </w:pPr>
    </w:p>
    <w:p w:rsidR="009C4CE8" w:rsidRDefault="009C4CE8" w:rsidP="00350FE7">
      <w:pPr>
        <w:rPr>
          <w:rFonts w:ascii="Arial" w:hAnsi="Arial" w:cs="Arial"/>
        </w:rPr>
      </w:pPr>
    </w:p>
    <w:p w:rsidR="009C4CE8" w:rsidRDefault="009C4CE8" w:rsidP="00350FE7">
      <w:pPr>
        <w:rPr>
          <w:rFonts w:ascii="Arial" w:hAnsi="Arial" w:cs="Arial"/>
        </w:rPr>
      </w:pPr>
    </w:p>
    <w:p w:rsidR="009C4CE8" w:rsidRDefault="009C4CE8" w:rsidP="00350FE7">
      <w:pPr>
        <w:rPr>
          <w:rFonts w:ascii="Arial" w:hAnsi="Arial" w:cs="Arial"/>
        </w:rPr>
      </w:pPr>
    </w:p>
    <w:p w:rsidR="009C4CE8" w:rsidRDefault="009C4CE8" w:rsidP="00350FE7">
      <w:pPr>
        <w:rPr>
          <w:rFonts w:ascii="Arial" w:hAnsi="Arial" w:cs="Arial"/>
        </w:rPr>
      </w:pPr>
    </w:p>
    <w:p w:rsidR="009C4CE8" w:rsidRDefault="009C4CE8" w:rsidP="00350FE7">
      <w:pPr>
        <w:rPr>
          <w:rFonts w:ascii="Arial" w:hAnsi="Arial" w:cs="Arial"/>
        </w:rPr>
      </w:pPr>
    </w:p>
    <w:p w:rsidR="009C4CE8" w:rsidRDefault="009C4CE8" w:rsidP="00350FE7">
      <w:pPr>
        <w:rPr>
          <w:rFonts w:ascii="Arial" w:hAnsi="Arial" w:cs="Arial"/>
        </w:rPr>
      </w:pPr>
    </w:p>
    <w:p w:rsidR="009C4CE8" w:rsidRDefault="009C4CE8" w:rsidP="00350FE7">
      <w:pPr>
        <w:rPr>
          <w:rFonts w:ascii="Arial" w:hAnsi="Arial" w:cs="Arial"/>
        </w:rPr>
      </w:pPr>
    </w:p>
    <w:p w:rsidR="009C4CE8" w:rsidRDefault="009C4CE8" w:rsidP="00350FE7">
      <w:pPr>
        <w:rPr>
          <w:rFonts w:ascii="Arial" w:hAnsi="Arial" w:cs="Arial"/>
        </w:rPr>
      </w:pPr>
    </w:p>
    <w:p w:rsidR="009C4CE8" w:rsidRDefault="009C4CE8" w:rsidP="00350FE7">
      <w:pPr>
        <w:rPr>
          <w:rFonts w:ascii="Arial" w:hAnsi="Arial" w:cs="Arial"/>
        </w:rPr>
      </w:pPr>
    </w:p>
    <w:p w:rsidR="009C4CE8" w:rsidRPr="001C0A4D" w:rsidRDefault="009C4CE8" w:rsidP="00350FE7">
      <w:pPr>
        <w:rPr>
          <w:rFonts w:ascii="Arial" w:hAnsi="Arial" w:cs="Arial"/>
        </w:rPr>
      </w:pPr>
    </w:p>
    <w:p w:rsidR="001C0A4D" w:rsidRDefault="001C0A4D" w:rsidP="00350FE7">
      <w:pPr>
        <w:rPr>
          <w:rFonts w:ascii="Arial" w:hAnsi="Arial" w:cs="Arial"/>
          <w:color w:val="212121"/>
          <w:shd w:val="clear" w:color="auto" w:fill="FFFFFF"/>
        </w:rPr>
      </w:pPr>
      <w:r w:rsidRPr="001C0A4D">
        <w:rPr>
          <w:rFonts w:ascii="Arial" w:hAnsi="Arial" w:cs="Arial"/>
          <w:color w:val="212121"/>
          <w:shd w:val="clear" w:color="auto" w:fill="FFFFFF"/>
        </w:rPr>
        <w:lastRenderedPageBreak/>
        <w:t xml:space="preserve">McHugh, R. E., O'Boyle, N., Connolly, J., Hoskisson, P. A., &amp; Roe, A. J. (2019). Characterization of the Mode of Action of </w:t>
      </w:r>
      <w:proofErr w:type="spellStart"/>
      <w:r w:rsidRPr="001C0A4D">
        <w:rPr>
          <w:rFonts w:ascii="Arial" w:hAnsi="Arial" w:cs="Arial"/>
          <w:color w:val="212121"/>
          <w:shd w:val="clear" w:color="auto" w:fill="FFFFFF"/>
        </w:rPr>
        <w:t>Aurodox</w:t>
      </w:r>
      <w:proofErr w:type="spellEnd"/>
      <w:r w:rsidRPr="001C0A4D">
        <w:rPr>
          <w:rFonts w:ascii="Arial" w:hAnsi="Arial" w:cs="Arial"/>
          <w:color w:val="212121"/>
          <w:shd w:val="clear" w:color="auto" w:fill="FFFFFF"/>
        </w:rPr>
        <w:t xml:space="preserve">, a Type III Secretion System Inhibitor from </w:t>
      </w:r>
      <w:r w:rsidRPr="002E477E">
        <w:rPr>
          <w:rFonts w:ascii="Arial" w:hAnsi="Arial" w:cs="Arial"/>
          <w:i/>
          <w:color w:val="212121"/>
          <w:shd w:val="clear" w:color="auto" w:fill="FFFFFF"/>
        </w:rPr>
        <w:t xml:space="preserve">Streptomyces </w:t>
      </w:r>
      <w:proofErr w:type="spellStart"/>
      <w:r w:rsidRPr="002E477E">
        <w:rPr>
          <w:rFonts w:ascii="Arial" w:hAnsi="Arial" w:cs="Arial"/>
          <w:i/>
          <w:color w:val="212121"/>
          <w:shd w:val="clear" w:color="auto" w:fill="FFFFFF"/>
        </w:rPr>
        <w:t>goldiniensis</w:t>
      </w:r>
      <w:proofErr w:type="spellEnd"/>
      <w:r w:rsidRPr="001C0A4D">
        <w:rPr>
          <w:rFonts w:ascii="Arial" w:hAnsi="Arial" w:cs="Arial"/>
          <w:color w:val="212121"/>
          <w:shd w:val="clear" w:color="auto" w:fill="FFFFFF"/>
        </w:rPr>
        <w:t>. </w:t>
      </w:r>
      <w:r w:rsidRPr="001C0A4D">
        <w:rPr>
          <w:rFonts w:ascii="Arial" w:hAnsi="Arial" w:cs="Arial"/>
          <w:i/>
          <w:iCs/>
          <w:color w:val="212121"/>
          <w:shd w:val="clear" w:color="auto" w:fill="FFFFFF"/>
        </w:rPr>
        <w:t>Infection and immunity</w:t>
      </w:r>
      <w:r w:rsidRPr="001C0A4D">
        <w:rPr>
          <w:rFonts w:ascii="Arial" w:hAnsi="Arial" w:cs="Arial"/>
          <w:color w:val="212121"/>
          <w:shd w:val="clear" w:color="auto" w:fill="FFFFFF"/>
        </w:rPr>
        <w:t>, </w:t>
      </w:r>
      <w:r w:rsidRPr="001C0A4D">
        <w:rPr>
          <w:rFonts w:ascii="Arial" w:hAnsi="Arial" w:cs="Arial"/>
          <w:i/>
          <w:iCs/>
          <w:color w:val="212121"/>
          <w:shd w:val="clear" w:color="auto" w:fill="FFFFFF"/>
        </w:rPr>
        <w:t>87</w:t>
      </w:r>
      <w:r w:rsidRPr="001C0A4D">
        <w:rPr>
          <w:rFonts w:ascii="Arial" w:hAnsi="Arial" w:cs="Arial"/>
          <w:color w:val="212121"/>
          <w:shd w:val="clear" w:color="auto" w:fill="FFFFFF"/>
        </w:rPr>
        <w:t xml:space="preserve">(2), e00595-18. </w:t>
      </w:r>
      <w:hyperlink r:id="rId9" w:history="1">
        <w:r w:rsidRPr="006B0C89">
          <w:rPr>
            <w:rStyle w:val="Hyperlink"/>
            <w:rFonts w:ascii="Arial" w:hAnsi="Arial" w:cs="Arial"/>
            <w:shd w:val="clear" w:color="auto" w:fill="FFFFFF"/>
          </w:rPr>
          <w:t>https://doi.org/10.1128/IAI.00595-18</w:t>
        </w:r>
      </w:hyperlink>
    </w:p>
    <w:p w:rsidR="001C0A4D" w:rsidRPr="001C0A4D" w:rsidRDefault="001C0A4D" w:rsidP="00350FE7">
      <w:pPr>
        <w:rPr>
          <w:rFonts w:ascii="Arial" w:hAnsi="Arial" w:cs="Arial"/>
        </w:rPr>
      </w:pPr>
    </w:p>
    <w:p w:rsidR="00380830" w:rsidRPr="001C0A4D" w:rsidRDefault="001C0A4D" w:rsidP="00350FE7">
      <w:pPr>
        <w:rPr>
          <w:rFonts w:ascii="Arial" w:hAnsi="Arial" w:cs="Arial"/>
        </w:rPr>
      </w:pPr>
      <w:r w:rsidRPr="001C0A4D">
        <w:rPr>
          <w:rFonts w:ascii="Arial" w:hAnsi="Arial" w:cs="Arial"/>
          <w:noProof/>
          <w:lang w:eastAsia="en-GB"/>
        </w:rPr>
        <w:drawing>
          <wp:inline distT="0" distB="0" distL="0" distR="0">
            <wp:extent cx="41910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medium.gif"/>
                    <pic:cNvPicPr/>
                  </pic:nvPicPr>
                  <pic:blipFill>
                    <a:blip r:embed="rId10">
                      <a:extLst>
                        <a:ext uri="{28A0092B-C50C-407E-A947-70E740481C1C}">
                          <a14:useLocalDpi xmlns:a14="http://schemas.microsoft.com/office/drawing/2010/main" val="0"/>
                        </a:ext>
                      </a:extLst>
                    </a:blip>
                    <a:stretch>
                      <a:fillRect/>
                    </a:stretch>
                  </pic:blipFill>
                  <pic:spPr>
                    <a:xfrm>
                      <a:off x="0" y="0"/>
                      <a:ext cx="4191000" cy="1543050"/>
                    </a:xfrm>
                    <a:prstGeom prst="rect">
                      <a:avLst/>
                    </a:prstGeom>
                  </pic:spPr>
                </pic:pic>
              </a:graphicData>
            </a:graphic>
          </wp:inline>
        </w:drawing>
      </w:r>
    </w:p>
    <w:p w:rsidR="00350FE7" w:rsidRPr="001C0A4D" w:rsidRDefault="001C0A4D" w:rsidP="00350FE7">
      <w:pPr>
        <w:rPr>
          <w:rFonts w:ascii="Arial" w:hAnsi="Arial" w:cs="Arial"/>
          <w:color w:val="000000" w:themeColor="text1"/>
          <w:shd w:val="clear" w:color="auto" w:fill="F0F0F0"/>
        </w:rPr>
      </w:pPr>
      <w:r w:rsidRPr="006E32BA">
        <w:rPr>
          <w:rFonts w:ascii="Arial" w:hAnsi="Arial" w:cs="Arial"/>
          <w:b/>
          <w:color w:val="000000" w:themeColor="text1"/>
          <w:shd w:val="clear" w:color="auto" w:fill="F0F0F0"/>
        </w:rPr>
        <w:t xml:space="preserve">Effect of </w:t>
      </w:r>
      <w:proofErr w:type="spellStart"/>
      <w:r w:rsidRPr="006E32BA">
        <w:rPr>
          <w:rFonts w:ascii="Arial" w:hAnsi="Arial" w:cs="Arial"/>
          <w:b/>
          <w:color w:val="000000" w:themeColor="text1"/>
          <w:shd w:val="clear" w:color="auto" w:fill="F0F0F0"/>
        </w:rPr>
        <w:t>Aurodox</w:t>
      </w:r>
      <w:proofErr w:type="spellEnd"/>
      <w:r w:rsidRPr="006E32BA">
        <w:rPr>
          <w:rFonts w:ascii="Arial" w:hAnsi="Arial" w:cs="Arial"/>
          <w:b/>
          <w:color w:val="000000" w:themeColor="text1"/>
          <w:shd w:val="clear" w:color="auto" w:fill="F0F0F0"/>
        </w:rPr>
        <w:t xml:space="preserve"> on EHEC infection of epithelial cells and A/E lesion formation. </w:t>
      </w:r>
      <w:r w:rsidRPr="001C0A4D">
        <w:rPr>
          <w:rFonts w:ascii="Arial" w:hAnsi="Arial" w:cs="Arial"/>
          <w:color w:val="000000" w:themeColor="text1"/>
          <w:shd w:val="clear" w:color="auto" w:fill="F0F0F0"/>
        </w:rPr>
        <w:t>(A) Representative microscopy images from EHEC cell infection assay. Cells were infected with 10</w:t>
      </w:r>
      <w:r w:rsidRPr="001C0A4D">
        <w:rPr>
          <w:rFonts w:ascii="Arial" w:hAnsi="Arial" w:cs="Arial"/>
          <w:color w:val="000000" w:themeColor="text1"/>
          <w:bdr w:val="none" w:sz="0" w:space="0" w:color="auto" w:frame="1"/>
          <w:shd w:val="clear" w:color="auto" w:fill="F0F0F0"/>
          <w:vertAlign w:val="superscript"/>
        </w:rPr>
        <w:t>7</w:t>
      </w:r>
      <w:r w:rsidRPr="001C0A4D">
        <w:rPr>
          <w:rFonts w:ascii="Arial" w:hAnsi="Arial" w:cs="Arial"/>
          <w:color w:val="000000" w:themeColor="text1"/>
          <w:shd w:val="clear" w:color="auto" w:fill="F0F0F0"/>
        </w:rPr>
        <w:t xml:space="preserve"> EHEC cells transformed with </w:t>
      </w:r>
      <w:proofErr w:type="spellStart"/>
      <w:r w:rsidRPr="001C0A4D">
        <w:rPr>
          <w:rFonts w:ascii="Arial" w:hAnsi="Arial" w:cs="Arial"/>
          <w:color w:val="000000" w:themeColor="text1"/>
          <w:shd w:val="clear" w:color="auto" w:fill="F0F0F0"/>
        </w:rPr>
        <w:t>p</w:t>
      </w:r>
      <w:r w:rsidRPr="001C0A4D">
        <w:rPr>
          <w:rStyle w:val="Emphasis"/>
          <w:rFonts w:ascii="Arial" w:hAnsi="Arial" w:cs="Arial"/>
          <w:color w:val="000000" w:themeColor="text1"/>
          <w:bdr w:val="none" w:sz="0" w:space="0" w:color="auto" w:frame="1"/>
          <w:shd w:val="clear" w:color="auto" w:fill="F0F0F0"/>
        </w:rPr>
        <w:t>rpsM-gfp</w:t>
      </w:r>
      <w:proofErr w:type="spellEnd"/>
      <w:r w:rsidRPr="001C0A4D">
        <w:rPr>
          <w:rFonts w:ascii="Arial" w:hAnsi="Arial" w:cs="Arial"/>
          <w:color w:val="000000" w:themeColor="text1"/>
          <w:shd w:val="clear" w:color="auto" w:fill="F0F0F0"/>
        </w:rPr>
        <w:t xml:space="preserve"> (green) to facilitate quantification and imaging. HeLa cells were actin stained with </w:t>
      </w:r>
      <w:proofErr w:type="spellStart"/>
      <w:r w:rsidRPr="001C0A4D">
        <w:rPr>
          <w:rFonts w:ascii="Arial" w:hAnsi="Arial" w:cs="Arial"/>
          <w:color w:val="000000" w:themeColor="text1"/>
          <w:shd w:val="clear" w:color="auto" w:fill="F0F0F0"/>
        </w:rPr>
        <w:t>phalloidin</w:t>
      </w:r>
      <w:proofErr w:type="spellEnd"/>
      <w:r w:rsidRPr="001C0A4D">
        <w:rPr>
          <w:rFonts w:ascii="Arial" w:hAnsi="Arial" w:cs="Arial"/>
          <w:color w:val="000000" w:themeColor="text1"/>
          <w:shd w:val="clear" w:color="auto" w:fill="F0F0F0"/>
        </w:rPr>
        <w:t xml:space="preserve">-Alexa Fluor 555 (red) and mounted in </w:t>
      </w:r>
      <w:proofErr w:type="spellStart"/>
      <w:r w:rsidRPr="001C0A4D">
        <w:rPr>
          <w:rFonts w:ascii="Arial" w:hAnsi="Arial" w:cs="Arial"/>
          <w:color w:val="000000" w:themeColor="text1"/>
          <w:shd w:val="clear" w:color="auto" w:fill="F0F0F0"/>
        </w:rPr>
        <w:t>Vectashield</w:t>
      </w:r>
      <w:proofErr w:type="spellEnd"/>
      <w:r w:rsidRPr="001C0A4D">
        <w:rPr>
          <w:rFonts w:ascii="Arial" w:hAnsi="Arial" w:cs="Arial"/>
          <w:color w:val="000000" w:themeColor="text1"/>
          <w:shd w:val="clear" w:color="auto" w:fill="F0F0F0"/>
        </w:rPr>
        <w:t xml:space="preserve"> with DAPI (blue). Scale bar represents 50 </w:t>
      </w:r>
      <w:proofErr w:type="spellStart"/>
      <w:r w:rsidRPr="001C0A4D">
        <w:rPr>
          <w:rFonts w:ascii="Arial" w:hAnsi="Arial" w:cs="Arial"/>
          <w:color w:val="000000" w:themeColor="text1"/>
          <w:shd w:val="clear" w:color="auto" w:fill="F0F0F0"/>
        </w:rPr>
        <w:t>μm</w:t>
      </w:r>
      <w:proofErr w:type="spellEnd"/>
      <w:r w:rsidRPr="001C0A4D">
        <w:rPr>
          <w:rFonts w:ascii="Arial" w:hAnsi="Arial" w:cs="Arial"/>
          <w:color w:val="000000" w:themeColor="text1"/>
          <w:shd w:val="clear" w:color="auto" w:fill="F0F0F0"/>
        </w:rPr>
        <w:t xml:space="preserve">. Insets contain a ×4 magnification of the indicated area. (B) Colonization was quantitated by counting the numbers of cells possessing EHEC on their surface and expressing as a percentage of the total. (C) Following infection, HeLa cells were washed to remove </w:t>
      </w:r>
      <w:proofErr w:type="spellStart"/>
      <w:r w:rsidRPr="001C0A4D">
        <w:rPr>
          <w:rFonts w:ascii="Arial" w:hAnsi="Arial" w:cs="Arial"/>
          <w:color w:val="000000" w:themeColor="text1"/>
          <w:shd w:val="clear" w:color="auto" w:fill="F0F0F0"/>
        </w:rPr>
        <w:t>nonadherent</w:t>
      </w:r>
      <w:proofErr w:type="spellEnd"/>
      <w:r w:rsidRPr="001C0A4D">
        <w:rPr>
          <w:rFonts w:ascii="Arial" w:hAnsi="Arial" w:cs="Arial"/>
          <w:color w:val="000000" w:themeColor="text1"/>
          <w:shd w:val="clear" w:color="auto" w:fill="F0F0F0"/>
        </w:rPr>
        <w:t xml:space="preserve"> bacteria and subsequently lysed to release colonized bacteria. The CFU of EHEC in the lysate were enumerated, and colonization efficiency was calculated by expressing as a percentage of the inoculum. Significance was calculated by paired Student’s </w:t>
      </w:r>
      <w:r w:rsidRPr="001C0A4D">
        <w:rPr>
          <w:rStyle w:val="Emphasis"/>
          <w:rFonts w:ascii="Arial" w:hAnsi="Arial" w:cs="Arial"/>
          <w:color w:val="000000" w:themeColor="text1"/>
          <w:bdr w:val="none" w:sz="0" w:space="0" w:color="auto" w:frame="1"/>
          <w:shd w:val="clear" w:color="auto" w:fill="F0F0F0"/>
        </w:rPr>
        <w:t>t</w:t>
      </w:r>
      <w:r w:rsidRPr="001C0A4D">
        <w:rPr>
          <w:rFonts w:ascii="Arial" w:hAnsi="Arial" w:cs="Arial"/>
          <w:color w:val="000000" w:themeColor="text1"/>
          <w:shd w:val="clear" w:color="auto" w:fill="F0F0F0"/>
        </w:rPr>
        <w:t> test. *, </w:t>
      </w:r>
      <w:r w:rsidRPr="001C0A4D">
        <w:rPr>
          <w:rStyle w:val="Emphasis"/>
          <w:rFonts w:ascii="Arial" w:hAnsi="Arial" w:cs="Arial"/>
          <w:color w:val="000000" w:themeColor="text1"/>
          <w:bdr w:val="none" w:sz="0" w:space="0" w:color="auto" w:frame="1"/>
          <w:shd w:val="clear" w:color="auto" w:fill="F0F0F0"/>
        </w:rPr>
        <w:t>P</w:t>
      </w:r>
      <w:r w:rsidRPr="001C0A4D">
        <w:rPr>
          <w:rFonts w:ascii="Arial" w:hAnsi="Arial" w:cs="Arial"/>
          <w:color w:val="000000" w:themeColor="text1"/>
          <w:shd w:val="clear" w:color="auto" w:fill="F0F0F0"/>
        </w:rPr>
        <w:t> &lt; 0.05; **, </w:t>
      </w:r>
      <w:r w:rsidRPr="001C0A4D">
        <w:rPr>
          <w:rStyle w:val="Emphasis"/>
          <w:rFonts w:ascii="Arial" w:hAnsi="Arial" w:cs="Arial"/>
          <w:color w:val="000000" w:themeColor="text1"/>
          <w:bdr w:val="none" w:sz="0" w:space="0" w:color="auto" w:frame="1"/>
          <w:shd w:val="clear" w:color="auto" w:fill="F0F0F0"/>
        </w:rPr>
        <w:t>P</w:t>
      </w:r>
      <w:r w:rsidRPr="001C0A4D">
        <w:rPr>
          <w:rFonts w:ascii="Arial" w:hAnsi="Arial" w:cs="Arial"/>
          <w:color w:val="000000" w:themeColor="text1"/>
          <w:shd w:val="clear" w:color="auto" w:fill="F0F0F0"/>
        </w:rPr>
        <w:t> &lt; 0.01.</w:t>
      </w: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p>
    <w:p w:rsidR="001C0A4D" w:rsidRDefault="001C0A4D" w:rsidP="00350FE7">
      <w:pPr>
        <w:rPr>
          <w:rFonts w:ascii="Arial" w:hAnsi="Arial" w:cs="Arial"/>
          <w:color w:val="212121"/>
          <w:shd w:val="clear" w:color="auto" w:fill="FFFFFF"/>
        </w:rPr>
      </w:pPr>
      <w:r w:rsidRPr="001C0A4D">
        <w:rPr>
          <w:rFonts w:ascii="Arial" w:hAnsi="Arial" w:cs="Arial"/>
          <w:color w:val="212121"/>
          <w:shd w:val="clear" w:color="auto" w:fill="FFFFFF"/>
        </w:rPr>
        <w:lastRenderedPageBreak/>
        <w:t xml:space="preserve">Feeney, M. A., Chandra, G., Findlay, K. C., Paget, M., &amp; </w:t>
      </w:r>
      <w:proofErr w:type="spellStart"/>
      <w:r w:rsidRPr="001C0A4D">
        <w:rPr>
          <w:rFonts w:ascii="Arial" w:hAnsi="Arial" w:cs="Arial"/>
          <w:color w:val="212121"/>
          <w:shd w:val="clear" w:color="auto" w:fill="FFFFFF"/>
        </w:rPr>
        <w:t>Buttner</w:t>
      </w:r>
      <w:proofErr w:type="spellEnd"/>
      <w:r w:rsidRPr="001C0A4D">
        <w:rPr>
          <w:rFonts w:ascii="Arial" w:hAnsi="Arial" w:cs="Arial"/>
          <w:color w:val="212121"/>
          <w:shd w:val="clear" w:color="auto" w:fill="FFFFFF"/>
        </w:rPr>
        <w:t xml:space="preserve">, M. J. (2017). Translational Control of the </w:t>
      </w:r>
      <w:proofErr w:type="spellStart"/>
      <w:r w:rsidRPr="001C0A4D">
        <w:rPr>
          <w:rFonts w:ascii="Arial" w:hAnsi="Arial" w:cs="Arial"/>
          <w:color w:val="212121"/>
          <w:shd w:val="clear" w:color="auto" w:fill="FFFFFF"/>
        </w:rPr>
        <w:t>SigR</w:t>
      </w:r>
      <w:proofErr w:type="spellEnd"/>
      <w:r w:rsidRPr="001C0A4D">
        <w:rPr>
          <w:rFonts w:ascii="Arial" w:hAnsi="Arial" w:cs="Arial"/>
          <w:color w:val="212121"/>
          <w:shd w:val="clear" w:color="auto" w:fill="FFFFFF"/>
        </w:rPr>
        <w:t>-Directed Oxidative Stress Response in </w:t>
      </w:r>
      <w:r w:rsidRPr="001C0A4D">
        <w:rPr>
          <w:rFonts w:ascii="Arial" w:hAnsi="Arial" w:cs="Arial"/>
          <w:i/>
          <w:iCs/>
          <w:color w:val="212121"/>
          <w:shd w:val="clear" w:color="auto" w:fill="FFFFFF"/>
        </w:rPr>
        <w:t>Streptomyces</w:t>
      </w:r>
      <w:r w:rsidRPr="001C0A4D">
        <w:rPr>
          <w:rFonts w:ascii="Arial" w:hAnsi="Arial" w:cs="Arial"/>
          <w:color w:val="212121"/>
          <w:shd w:val="clear" w:color="auto" w:fill="FFFFFF"/>
        </w:rPr>
        <w:t xml:space="preserve"> via IF3-Mediated Repression of a </w:t>
      </w:r>
      <w:proofErr w:type="spellStart"/>
      <w:r w:rsidRPr="001C0A4D">
        <w:rPr>
          <w:rFonts w:ascii="Arial" w:hAnsi="Arial" w:cs="Arial"/>
          <w:color w:val="212121"/>
          <w:shd w:val="clear" w:color="auto" w:fill="FFFFFF"/>
        </w:rPr>
        <w:t>Noncanonical</w:t>
      </w:r>
      <w:proofErr w:type="spellEnd"/>
      <w:r w:rsidRPr="001C0A4D">
        <w:rPr>
          <w:rFonts w:ascii="Arial" w:hAnsi="Arial" w:cs="Arial"/>
          <w:color w:val="212121"/>
          <w:shd w:val="clear" w:color="auto" w:fill="FFFFFF"/>
        </w:rPr>
        <w:t xml:space="preserve"> GTC Start Codon. </w:t>
      </w:r>
      <w:proofErr w:type="spellStart"/>
      <w:r w:rsidRPr="001C0A4D">
        <w:rPr>
          <w:rFonts w:ascii="Arial" w:hAnsi="Arial" w:cs="Arial"/>
          <w:i/>
          <w:iCs/>
          <w:color w:val="212121"/>
          <w:shd w:val="clear" w:color="auto" w:fill="FFFFFF"/>
        </w:rPr>
        <w:t>mBio</w:t>
      </w:r>
      <w:proofErr w:type="spellEnd"/>
      <w:r w:rsidRPr="001C0A4D">
        <w:rPr>
          <w:rFonts w:ascii="Arial" w:hAnsi="Arial" w:cs="Arial"/>
          <w:color w:val="212121"/>
          <w:shd w:val="clear" w:color="auto" w:fill="FFFFFF"/>
        </w:rPr>
        <w:t>, </w:t>
      </w:r>
      <w:r w:rsidRPr="001C0A4D">
        <w:rPr>
          <w:rFonts w:ascii="Arial" w:hAnsi="Arial" w:cs="Arial"/>
          <w:i/>
          <w:iCs/>
          <w:color w:val="212121"/>
          <w:shd w:val="clear" w:color="auto" w:fill="FFFFFF"/>
        </w:rPr>
        <w:t>8</w:t>
      </w:r>
      <w:r w:rsidRPr="001C0A4D">
        <w:rPr>
          <w:rFonts w:ascii="Arial" w:hAnsi="Arial" w:cs="Arial"/>
          <w:color w:val="212121"/>
          <w:shd w:val="clear" w:color="auto" w:fill="FFFFFF"/>
        </w:rPr>
        <w:t xml:space="preserve">(3), e00815-17. </w:t>
      </w:r>
      <w:hyperlink r:id="rId11" w:history="1">
        <w:r w:rsidRPr="006B0C89">
          <w:rPr>
            <w:rStyle w:val="Hyperlink"/>
            <w:rFonts w:ascii="Arial" w:hAnsi="Arial" w:cs="Arial"/>
            <w:shd w:val="clear" w:color="auto" w:fill="FFFFFF"/>
          </w:rPr>
          <w:t>https://doi.org/10.1128/mBio.00815-17</w:t>
        </w:r>
      </w:hyperlink>
    </w:p>
    <w:p w:rsidR="001C0A4D" w:rsidRPr="001C0A4D" w:rsidRDefault="001C0A4D" w:rsidP="00350FE7">
      <w:pPr>
        <w:rPr>
          <w:rFonts w:ascii="Arial" w:hAnsi="Arial" w:cs="Arial"/>
          <w:color w:val="000000" w:themeColor="text1"/>
          <w:shd w:val="clear" w:color="auto" w:fill="F0F0F0"/>
        </w:rPr>
      </w:pPr>
    </w:p>
    <w:p w:rsidR="001C0A4D" w:rsidRPr="001C0A4D" w:rsidRDefault="001C0A4D" w:rsidP="00350FE7">
      <w:pPr>
        <w:rPr>
          <w:rFonts w:ascii="Arial" w:hAnsi="Arial" w:cs="Arial"/>
          <w:color w:val="000000" w:themeColor="text1"/>
          <w:shd w:val="clear" w:color="auto" w:fill="F0F0F0"/>
        </w:rPr>
      </w:pPr>
      <w:r w:rsidRPr="001C0A4D">
        <w:rPr>
          <w:rFonts w:ascii="Arial" w:hAnsi="Arial" w:cs="Arial"/>
          <w:noProof/>
          <w:color w:val="000000" w:themeColor="text1"/>
          <w:shd w:val="clear" w:color="auto" w:fill="F0F0F0"/>
          <w:lang w:eastAsia="en-GB"/>
        </w:rPr>
        <w:drawing>
          <wp:inline distT="0" distB="0" distL="0" distR="0">
            <wp:extent cx="2809875" cy="419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medium.gif"/>
                    <pic:cNvPicPr/>
                  </pic:nvPicPr>
                  <pic:blipFill>
                    <a:blip r:embed="rId12">
                      <a:extLst>
                        <a:ext uri="{28A0092B-C50C-407E-A947-70E740481C1C}">
                          <a14:useLocalDpi xmlns:a14="http://schemas.microsoft.com/office/drawing/2010/main" val="0"/>
                        </a:ext>
                      </a:extLst>
                    </a:blip>
                    <a:stretch>
                      <a:fillRect/>
                    </a:stretch>
                  </pic:blipFill>
                  <pic:spPr>
                    <a:xfrm>
                      <a:off x="0" y="0"/>
                      <a:ext cx="2809875" cy="4191000"/>
                    </a:xfrm>
                    <a:prstGeom prst="rect">
                      <a:avLst/>
                    </a:prstGeom>
                  </pic:spPr>
                </pic:pic>
              </a:graphicData>
            </a:graphic>
          </wp:inline>
        </w:drawing>
      </w:r>
    </w:p>
    <w:p w:rsidR="001C0A4D" w:rsidRPr="001C0A4D" w:rsidRDefault="001C0A4D" w:rsidP="00350FE7">
      <w:pPr>
        <w:rPr>
          <w:rFonts w:ascii="Arial" w:hAnsi="Arial" w:cs="Arial"/>
          <w:color w:val="000000" w:themeColor="text1"/>
        </w:rPr>
      </w:pPr>
      <w:proofErr w:type="spellStart"/>
      <w:r w:rsidRPr="006E32BA">
        <w:rPr>
          <w:rFonts w:ascii="Arial" w:hAnsi="Arial" w:cs="Arial"/>
          <w:b/>
          <w:color w:val="6B6B6B"/>
          <w:shd w:val="clear" w:color="auto" w:fill="F0F0F0"/>
        </w:rPr>
        <w:t>SigR</w:t>
      </w:r>
      <w:proofErr w:type="spellEnd"/>
      <w:r w:rsidRPr="006E32BA">
        <w:rPr>
          <w:rFonts w:ascii="Arial" w:hAnsi="Arial" w:cs="Arial"/>
          <w:b/>
          <w:color w:val="6B6B6B"/>
          <w:shd w:val="clear" w:color="auto" w:fill="F0F0F0"/>
        </w:rPr>
        <w:t xml:space="preserve"> and </w:t>
      </w:r>
      <w:proofErr w:type="spellStart"/>
      <w:r w:rsidRPr="006E32BA">
        <w:rPr>
          <w:rFonts w:ascii="Arial" w:hAnsi="Arial" w:cs="Arial"/>
          <w:b/>
          <w:color w:val="6B6B6B"/>
          <w:shd w:val="clear" w:color="auto" w:fill="F0F0F0"/>
        </w:rPr>
        <w:t>RsrA</w:t>
      </w:r>
      <w:proofErr w:type="spellEnd"/>
      <w:r w:rsidRPr="006E32BA">
        <w:rPr>
          <w:rFonts w:ascii="Arial" w:hAnsi="Arial" w:cs="Arial"/>
          <w:b/>
          <w:color w:val="6B6B6B"/>
          <w:shd w:val="clear" w:color="auto" w:fill="F0F0F0"/>
        </w:rPr>
        <w:t xml:space="preserve"> are not produced at </w:t>
      </w:r>
      <w:proofErr w:type="spellStart"/>
      <w:r w:rsidRPr="006E32BA">
        <w:rPr>
          <w:rFonts w:ascii="Arial" w:hAnsi="Arial" w:cs="Arial"/>
          <w:b/>
          <w:color w:val="6B6B6B"/>
          <w:shd w:val="clear" w:color="auto" w:fill="F0F0F0"/>
        </w:rPr>
        <w:t>equimolar</w:t>
      </w:r>
      <w:proofErr w:type="spellEnd"/>
      <w:r w:rsidRPr="006E32BA">
        <w:rPr>
          <w:rFonts w:ascii="Arial" w:hAnsi="Arial" w:cs="Arial"/>
          <w:b/>
          <w:color w:val="6B6B6B"/>
          <w:shd w:val="clear" w:color="auto" w:fill="F0F0F0"/>
        </w:rPr>
        <w:t xml:space="preserve"> levels, and </w:t>
      </w:r>
      <w:proofErr w:type="spellStart"/>
      <w:r w:rsidRPr="006E32BA">
        <w:rPr>
          <w:rStyle w:val="Emphasis"/>
          <w:rFonts w:ascii="Arial" w:hAnsi="Arial" w:cs="Arial"/>
          <w:b/>
          <w:color w:val="6B6B6B"/>
          <w:bdr w:val="none" w:sz="0" w:space="0" w:color="auto" w:frame="1"/>
          <w:shd w:val="clear" w:color="auto" w:fill="F0F0F0"/>
        </w:rPr>
        <w:t>rsrA</w:t>
      </w:r>
      <w:proofErr w:type="spellEnd"/>
      <w:r w:rsidRPr="006E32BA">
        <w:rPr>
          <w:rFonts w:ascii="Arial" w:hAnsi="Arial" w:cs="Arial"/>
          <w:b/>
          <w:color w:val="6B6B6B"/>
          <w:shd w:val="clear" w:color="auto" w:fill="F0F0F0"/>
        </w:rPr>
        <w:t> can be translated independently of </w:t>
      </w:r>
      <w:proofErr w:type="spellStart"/>
      <w:r w:rsidRPr="006E32BA">
        <w:rPr>
          <w:rStyle w:val="Emphasis"/>
          <w:rFonts w:ascii="Arial" w:hAnsi="Arial" w:cs="Arial"/>
          <w:b/>
          <w:color w:val="6B6B6B"/>
          <w:bdr w:val="none" w:sz="0" w:space="0" w:color="auto" w:frame="1"/>
          <w:shd w:val="clear" w:color="auto" w:fill="F0F0F0"/>
        </w:rPr>
        <w:t>sigR</w:t>
      </w:r>
      <w:proofErr w:type="spellEnd"/>
      <w:r w:rsidRPr="006E32BA">
        <w:rPr>
          <w:rFonts w:ascii="Arial" w:hAnsi="Arial" w:cs="Arial"/>
          <w:b/>
          <w:color w:val="6B6B6B"/>
          <w:shd w:val="clear" w:color="auto" w:fill="F0F0F0"/>
        </w:rPr>
        <w:t>.</w:t>
      </w:r>
      <w:r w:rsidRPr="001C0A4D">
        <w:rPr>
          <w:rFonts w:ascii="Arial" w:hAnsi="Arial" w:cs="Arial"/>
          <w:color w:val="6B6B6B"/>
          <w:shd w:val="clear" w:color="auto" w:fill="F0F0F0"/>
        </w:rPr>
        <w:t xml:space="preserve"> (A) Sequence showing the </w:t>
      </w:r>
      <w:proofErr w:type="spellStart"/>
      <w:r w:rsidRPr="001C0A4D">
        <w:rPr>
          <w:rStyle w:val="Emphasis"/>
          <w:rFonts w:ascii="Arial" w:hAnsi="Arial" w:cs="Arial"/>
          <w:color w:val="6B6B6B"/>
          <w:bdr w:val="none" w:sz="0" w:space="0" w:color="auto" w:frame="1"/>
          <w:shd w:val="clear" w:color="auto" w:fill="F0F0F0"/>
        </w:rPr>
        <w:t>rsrA</w:t>
      </w:r>
      <w:proofErr w:type="spellEnd"/>
      <w:r w:rsidRPr="001C0A4D">
        <w:rPr>
          <w:rFonts w:ascii="Arial" w:hAnsi="Arial" w:cs="Arial"/>
          <w:color w:val="6B6B6B"/>
          <w:shd w:val="clear" w:color="auto" w:fill="F0F0F0"/>
        </w:rPr>
        <w:t> RBS and the overlap between the </w:t>
      </w:r>
      <w:proofErr w:type="spellStart"/>
      <w:r w:rsidRPr="001C0A4D">
        <w:rPr>
          <w:rStyle w:val="Emphasis"/>
          <w:rFonts w:ascii="Arial" w:hAnsi="Arial" w:cs="Arial"/>
          <w:color w:val="6B6B6B"/>
          <w:bdr w:val="none" w:sz="0" w:space="0" w:color="auto" w:frame="1"/>
          <w:shd w:val="clear" w:color="auto" w:fill="F0F0F0"/>
        </w:rPr>
        <w:t>sigR</w:t>
      </w:r>
      <w:proofErr w:type="spellEnd"/>
      <w:r w:rsidRPr="001C0A4D">
        <w:rPr>
          <w:rFonts w:ascii="Arial" w:hAnsi="Arial" w:cs="Arial"/>
          <w:color w:val="6B6B6B"/>
          <w:shd w:val="clear" w:color="auto" w:fill="F0F0F0"/>
        </w:rPr>
        <w:t> stop codon and the </w:t>
      </w:r>
      <w:proofErr w:type="spellStart"/>
      <w:r w:rsidRPr="001C0A4D">
        <w:rPr>
          <w:rStyle w:val="Emphasis"/>
          <w:rFonts w:ascii="Arial" w:hAnsi="Arial" w:cs="Arial"/>
          <w:color w:val="6B6B6B"/>
          <w:bdr w:val="none" w:sz="0" w:space="0" w:color="auto" w:frame="1"/>
          <w:shd w:val="clear" w:color="auto" w:fill="F0F0F0"/>
        </w:rPr>
        <w:t>rsrA</w:t>
      </w:r>
      <w:proofErr w:type="spellEnd"/>
      <w:r w:rsidRPr="001C0A4D">
        <w:rPr>
          <w:rFonts w:ascii="Arial" w:hAnsi="Arial" w:cs="Arial"/>
          <w:color w:val="6B6B6B"/>
          <w:shd w:val="clear" w:color="auto" w:fill="F0F0F0"/>
        </w:rPr>
        <w:t> start codon. (B) The</w:t>
      </w:r>
      <w:r w:rsidRPr="001C0A4D">
        <w:rPr>
          <w:rStyle w:val="Emphasis"/>
          <w:rFonts w:ascii="Arial" w:hAnsi="Arial" w:cs="Arial"/>
          <w:color w:val="6B6B6B"/>
          <w:bdr w:val="none" w:sz="0" w:space="0" w:color="auto" w:frame="1"/>
          <w:shd w:val="clear" w:color="auto" w:fill="F0F0F0"/>
        </w:rPr>
        <w:t> </w:t>
      </w:r>
      <w:proofErr w:type="spellStart"/>
      <w:r w:rsidRPr="001C0A4D">
        <w:rPr>
          <w:rStyle w:val="Emphasis"/>
          <w:rFonts w:ascii="Arial" w:hAnsi="Arial" w:cs="Arial"/>
          <w:color w:val="6B6B6B"/>
          <w:bdr w:val="none" w:sz="0" w:space="0" w:color="auto" w:frame="1"/>
          <w:shd w:val="clear" w:color="auto" w:fill="F0F0F0"/>
        </w:rPr>
        <w:t>sigR-gusA</w:t>
      </w:r>
      <w:proofErr w:type="spellEnd"/>
      <w:r w:rsidRPr="001C0A4D">
        <w:rPr>
          <w:rFonts w:ascii="Arial" w:hAnsi="Arial" w:cs="Arial"/>
          <w:color w:val="6B6B6B"/>
          <w:shd w:val="clear" w:color="auto" w:fill="F0F0F0"/>
        </w:rPr>
        <w:t> and </w:t>
      </w:r>
      <w:proofErr w:type="spellStart"/>
      <w:r w:rsidRPr="001C0A4D">
        <w:rPr>
          <w:rStyle w:val="Emphasis"/>
          <w:rFonts w:ascii="Arial" w:hAnsi="Arial" w:cs="Arial"/>
          <w:color w:val="6B6B6B"/>
          <w:bdr w:val="none" w:sz="0" w:space="0" w:color="auto" w:frame="1"/>
          <w:shd w:val="clear" w:color="auto" w:fill="F0F0F0"/>
        </w:rPr>
        <w:t>rsrA-gusA</w:t>
      </w:r>
      <w:proofErr w:type="spellEnd"/>
      <w:r w:rsidRPr="001C0A4D">
        <w:rPr>
          <w:rFonts w:ascii="Arial" w:hAnsi="Arial" w:cs="Arial"/>
          <w:color w:val="6B6B6B"/>
          <w:shd w:val="clear" w:color="auto" w:fill="F0F0F0"/>
        </w:rPr>
        <w:t> translational reporter fusions used. The positions of the mutations made in the </w:t>
      </w:r>
      <w:proofErr w:type="spellStart"/>
      <w:r w:rsidRPr="001C0A4D">
        <w:rPr>
          <w:rStyle w:val="Emphasis"/>
          <w:rFonts w:ascii="Arial" w:hAnsi="Arial" w:cs="Arial"/>
          <w:color w:val="6B6B6B"/>
          <w:bdr w:val="none" w:sz="0" w:space="0" w:color="auto" w:frame="1"/>
          <w:shd w:val="clear" w:color="auto" w:fill="F0F0F0"/>
        </w:rPr>
        <w:t>sigR</w:t>
      </w:r>
      <w:proofErr w:type="spellEnd"/>
      <w:r w:rsidRPr="001C0A4D">
        <w:rPr>
          <w:rFonts w:ascii="Arial" w:hAnsi="Arial" w:cs="Arial"/>
          <w:color w:val="6B6B6B"/>
          <w:shd w:val="clear" w:color="auto" w:fill="F0F0F0"/>
        </w:rPr>
        <w:t> start codon and the </w:t>
      </w:r>
      <w:proofErr w:type="spellStart"/>
      <w:r w:rsidRPr="001C0A4D">
        <w:rPr>
          <w:rStyle w:val="Emphasis"/>
          <w:rFonts w:ascii="Arial" w:hAnsi="Arial" w:cs="Arial"/>
          <w:color w:val="6B6B6B"/>
          <w:bdr w:val="none" w:sz="0" w:space="0" w:color="auto" w:frame="1"/>
          <w:shd w:val="clear" w:color="auto" w:fill="F0F0F0"/>
        </w:rPr>
        <w:t>rsrA</w:t>
      </w:r>
      <w:proofErr w:type="spellEnd"/>
      <w:r w:rsidRPr="001C0A4D">
        <w:rPr>
          <w:rFonts w:ascii="Arial" w:hAnsi="Arial" w:cs="Arial"/>
          <w:color w:val="6B6B6B"/>
          <w:shd w:val="clear" w:color="auto" w:fill="F0F0F0"/>
        </w:rPr>
        <w:t xml:space="preserve"> RBS are indicated by the red arrowhead and the asterisk, respectively. (C) Relative </w:t>
      </w:r>
      <w:proofErr w:type="spellStart"/>
      <w:r w:rsidRPr="001C0A4D">
        <w:rPr>
          <w:rFonts w:ascii="Arial" w:hAnsi="Arial" w:cs="Arial"/>
          <w:color w:val="6B6B6B"/>
          <w:shd w:val="clear" w:color="auto" w:fill="F0F0F0"/>
        </w:rPr>
        <w:t>SigR</w:t>
      </w:r>
      <w:proofErr w:type="spellEnd"/>
      <w:r w:rsidRPr="001C0A4D">
        <w:rPr>
          <w:rFonts w:ascii="Arial" w:hAnsi="Arial" w:cs="Arial"/>
          <w:color w:val="6B6B6B"/>
          <w:shd w:val="clear" w:color="auto" w:fill="F0F0F0"/>
        </w:rPr>
        <w:t xml:space="preserve"> and </w:t>
      </w:r>
      <w:proofErr w:type="spellStart"/>
      <w:r w:rsidRPr="001C0A4D">
        <w:rPr>
          <w:rFonts w:ascii="Arial" w:hAnsi="Arial" w:cs="Arial"/>
          <w:color w:val="6B6B6B"/>
          <w:shd w:val="clear" w:color="auto" w:fill="F0F0F0"/>
        </w:rPr>
        <w:t>RsrA</w:t>
      </w:r>
      <w:proofErr w:type="spellEnd"/>
      <w:r w:rsidRPr="001C0A4D">
        <w:rPr>
          <w:rFonts w:ascii="Arial" w:hAnsi="Arial" w:cs="Arial"/>
          <w:color w:val="6B6B6B"/>
          <w:shd w:val="clear" w:color="auto" w:fill="F0F0F0"/>
        </w:rPr>
        <w:t xml:space="preserve"> expression levels when the </w:t>
      </w:r>
      <w:proofErr w:type="spellStart"/>
      <w:r w:rsidRPr="001C0A4D">
        <w:rPr>
          <w:rStyle w:val="Emphasis"/>
          <w:rFonts w:ascii="Arial" w:hAnsi="Arial" w:cs="Arial"/>
          <w:color w:val="6B6B6B"/>
          <w:bdr w:val="none" w:sz="0" w:space="0" w:color="auto" w:frame="1"/>
          <w:shd w:val="clear" w:color="auto" w:fill="F0F0F0"/>
        </w:rPr>
        <w:t>sigR</w:t>
      </w:r>
      <w:proofErr w:type="spellEnd"/>
      <w:r w:rsidRPr="001C0A4D">
        <w:rPr>
          <w:rFonts w:ascii="Arial" w:hAnsi="Arial" w:cs="Arial"/>
          <w:color w:val="6B6B6B"/>
          <w:shd w:val="clear" w:color="auto" w:fill="F0F0F0"/>
        </w:rPr>
        <w:t> start codon is GTC (wild type), ATG, or TGA (stop) and when the </w:t>
      </w:r>
      <w:proofErr w:type="spellStart"/>
      <w:r w:rsidRPr="001C0A4D">
        <w:rPr>
          <w:rStyle w:val="Emphasis"/>
          <w:rFonts w:ascii="Arial" w:hAnsi="Arial" w:cs="Arial"/>
          <w:color w:val="6B6B6B"/>
          <w:bdr w:val="none" w:sz="0" w:space="0" w:color="auto" w:frame="1"/>
          <w:shd w:val="clear" w:color="auto" w:fill="F0F0F0"/>
        </w:rPr>
        <w:t>rsrA</w:t>
      </w:r>
      <w:proofErr w:type="spellEnd"/>
      <w:r w:rsidRPr="001C0A4D">
        <w:rPr>
          <w:rFonts w:ascii="Arial" w:hAnsi="Arial" w:cs="Arial"/>
          <w:color w:val="6B6B6B"/>
          <w:shd w:val="clear" w:color="auto" w:fill="F0F0F0"/>
        </w:rPr>
        <w:t> RBS is mutated in combination with a TGA</w:t>
      </w:r>
      <w:r w:rsidRPr="001C0A4D">
        <w:rPr>
          <w:rStyle w:val="Emphasis"/>
          <w:rFonts w:ascii="Arial" w:hAnsi="Arial" w:cs="Arial"/>
          <w:color w:val="6B6B6B"/>
          <w:bdr w:val="none" w:sz="0" w:space="0" w:color="auto" w:frame="1"/>
          <w:shd w:val="clear" w:color="auto" w:fill="F0F0F0"/>
        </w:rPr>
        <w:t> </w:t>
      </w:r>
      <w:proofErr w:type="spellStart"/>
      <w:r w:rsidRPr="001C0A4D">
        <w:rPr>
          <w:rStyle w:val="Emphasis"/>
          <w:rFonts w:ascii="Arial" w:hAnsi="Arial" w:cs="Arial"/>
          <w:color w:val="6B6B6B"/>
          <w:bdr w:val="none" w:sz="0" w:space="0" w:color="auto" w:frame="1"/>
          <w:shd w:val="clear" w:color="auto" w:fill="F0F0F0"/>
        </w:rPr>
        <w:t>sigR</w:t>
      </w:r>
      <w:proofErr w:type="spellEnd"/>
      <w:r w:rsidRPr="001C0A4D">
        <w:rPr>
          <w:rFonts w:ascii="Arial" w:hAnsi="Arial" w:cs="Arial"/>
          <w:color w:val="6B6B6B"/>
          <w:shd w:val="clear" w:color="auto" w:fill="F0F0F0"/>
        </w:rPr>
        <w:t> start codon. The </w:t>
      </w:r>
      <w:proofErr w:type="spellStart"/>
      <w:r w:rsidRPr="001C0A4D">
        <w:rPr>
          <w:rStyle w:val="Emphasis"/>
          <w:rFonts w:ascii="Arial" w:hAnsi="Arial" w:cs="Arial"/>
          <w:color w:val="6B6B6B"/>
          <w:bdr w:val="none" w:sz="0" w:space="0" w:color="auto" w:frame="1"/>
          <w:shd w:val="clear" w:color="auto" w:fill="F0F0F0"/>
        </w:rPr>
        <w:t>rsrA</w:t>
      </w:r>
      <w:proofErr w:type="spellEnd"/>
      <w:r w:rsidRPr="001C0A4D">
        <w:rPr>
          <w:rFonts w:ascii="Arial" w:hAnsi="Arial" w:cs="Arial"/>
          <w:color w:val="6B6B6B"/>
          <w:shd w:val="clear" w:color="auto" w:fill="F0F0F0"/>
        </w:rPr>
        <w:t> RBS mutation used was GAAAGG to TCTAGA. MU, Miller units.</w:t>
      </w:r>
    </w:p>
    <w:p w:rsidR="00350FE7" w:rsidRDefault="00350FE7" w:rsidP="00350FE7">
      <w:pPr>
        <w:rPr>
          <w:rFonts w:ascii="Arial" w:hAnsi="Arial" w:cs="Arial"/>
        </w:rPr>
      </w:pPr>
    </w:p>
    <w:p w:rsidR="00AA426C" w:rsidRDefault="00AA426C" w:rsidP="00350FE7">
      <w:pPr>
        <w:rPr>
          <w:rFonts w:ascii="Arial" w:hAnsi="Arial" w:cs="Arial"/>
        </w:rPr>
      </w:pPr>
    </w:p>
    <w:p w:rsidR="00AA426C" w:rsidRDefault="00AA426C" w:rsidP="00350FE7">
      <w:pPr>
        <w:rPr>
          <w:rFonts w:ascii="Arial" w:hAnsi="Arial" w:cs="Arial"/>
        </w:rPr>
      </w:pPr>
    </w:p>
    <w:p w:rsidR="00AA426C" w:rsidRDefault="00AA426C" w:rsidP="00350FE7">
      <w:pPr>
        <w:rPr>
          <w:rFonts w:ascii="Arial" w:hAnsi="Arial" w:cs="Arial"/>
        </w:rPr>
      </w:pPr>
    </w:p>
    <w:p w:rsidR="00AA426C" w:rsidRDefault="00AA426C" w:rsidP="00350FE7">
      <w:pPr>
        <w:rPr>
          <w:rFonts w:ascii="Arial" w:hAnsi="Arial" w:cs="Arial"/>
        </w:rPr>
      </w:pPr>
    </w:p>
    <w:p w:rsidR="00AA426C" w:rsidRDefault="00AA426C" w:rsidP="00350FE7">
      <w:pPr>
        <w:rPr>
          <w:rFonts w:ascii="Arial" w:hAnsi="Arial" w:cs="Arial"/>
        </w:rPr>
      </w:pPr>
    </w:p>
    <w:p w:rsidR="00AA426C" w:rsidRDefault="00AA426C" w:rsidP="00350FE7">
      <w:pPr>
        <w:rPr>
          <w:rFonts w:ascii="Arial" w:hAnsi="Arial" w:cs="Arial"/>
        </w:rPr>
      </w:pPr>
    </w:p>
    <w:p w:rsidR="00AA426C" w:rsidRDefault="00AA426C" w:rsidP="00350FE7">
      <w:pPr>
        <w:rPr>
          <w:rFonts w:ascii="Arial" w:hAnsi="Arial" w:cs="Arial"/>
        </w:rPr>
      </w:pPr>
    </w:p>
    <w:p w:rsidR="00AA426C" w:rsidRDefault="00AA426C" w:rsidP="00350FE7">
      <w:pPr>
        <w:rPr>
          <w:rFonts w:ascii="Arial" w:hAnsi="Arial" w:cs="Arial"/>
        </w:rPr>
      </w:pPr>
      <w:r>
        <w:rPr>
          <w:rFonts w:ascii="Segoe UI" w:hAnsi="Segoe UI" w:cs="Segoe UI"/>
          <w:color w:val="212121"/>
          <w:shd w:val="clear" w:color="auto" w:fill="FFFFFF"/>
        </w:rPr>
        <w:lastRenderedPageBreak/>
        <w:t xml:space="preserve">Gallagher, K. A., &amp; Jensen, P. R. (2015). Genomic insights into the evolution of hybrid isoprenoid biosynthetic gene clusters in the MAR4 marine </w:t>
      </w:r>
      <w:proofErr w:type="spellStart"/>
      <w:r>
        <w:rPr>
          <w:rFonts w:ascii="Segoe UI" w:hAnsi="Segoe UI" w:cs="Segoe UI"/>
          <w:color w:val="212121"/>
          <w:shd w:val="clear" w:color="auto" w:fill="FFFFFF"/>
        </w:rPr>
        <w:t>streptomycete</w:t>
      </w:r>
      <w:proofErr w:type="spellEnd"/>
      <w:r>
        <w:rPr>
          <w:rFonts w:ascii="Segoe UI" w:hAnsi="Segoe UI" w:cs="Segoe UI"/>
          <w:color w:val="212121"/>
          <w:shd w:val="clear" w:color="auto" w:fill="FFFFFF"/>
        </w:rPr>
        <w:t xml:space="preserve"> clade. </w:t>
      </w:r>
      <w:r>
        <w:rPr>
          <w:rFonts w:ascii="Segoe UI" w:hAnsi="Segoe UI" w:cs="Segoe UI"/>
          <w:i/>
          <w:iCs/>
          <w:color w:val="212121"/>
          <w:shd w:val="clear" w:color="auto" w:fill="FFFFFF"/>
        </w:rPr>
        <w:t>BMC genomics</w:t>
      </w:r>
      <w:r>
        <w:rPr>
          <w:rFonts w:ascii="Segoe UI" w:hAnsi="Segoe UI" w:cs="Segoe UI"/>
          <w:color w:val="212121"/>
          <w:shd w:val="clear" w:color="auto" w:fill="FFFFFF"/>
        </w:rPr>
        <w:t>, </w:t>
      </w:r>
      <w:r>
        <w:rPr>
          <w:rFonts w:ascii="Segoe UI" w:hAnsi="Segoe UI" w:cs="Segoe UI"/>
          <w:i/>
          <w:iCs/>
          <w:color w:val="212121"/>
          <w:shd w:val="clear" w:color="auto" w:fill="FFFFFF"/>
        </w:rPr>
        <w:t>16</w:t>
      </w:r>
      <w:r>
        <w:rPr>
          <w:rFonts w:ascii="Segoe UI" w:hAnsi="Segoe UI" w:cs="Segoe UI"/>
          <w:color w:val="212121"/>
          <w:shd w:val="clear" w:color="auto" w:fill="FFFFFF"/>
        </w:rPr>
        <w:t>, 960. https://doi.org/10.1186/s12864-015-2110-3</w:t>
      </w:r>
    </w:p>
    <w:p w:rsidR="00AA426C" w:rsidRPr="001C0A4D" w:rsidRDefault="00AA426C" w:rsidP="00350FE7">
      <w:pPr>
        <w:rPr>
          <w:rFonts w:ascii="Arial" w:hAnsi="Arial" w:cs="Arial"/>
        </w:rPr>
      </w:pPr>
      <w:bookmarkStart w:id="0" w:name="_GoBack"/>
      <w:r>
        <w:rPr>
          <w:noProof/>
          <w:lang w:eastAsia="en-GB"/>
        </w:rPr>
        <w:drawing>
          <wp:inline distT="0" distB="0" distL="0" distR="0">
            <wp:extent cx="5248893" cy="6873211"/>
            <wp:effectExtent l="0" t="0" r="9525" b="4445"/>
            <wp:docPr id="5" name="Picture 5"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617" cy="6888564"/>
                    </a:xfrm>
                    <a:prstGeom prst="rect">
                      <a:avLst/>
                    </a:prstGeom>
                    <a:noFill/>
                    <a:ln>
                      <a:noFill/>
                    </a:ln>
                  </pic:spPr>
                </pic:pic>
              </a:graphicData>
            </a:graphic>
          </wp:inline>
        </w:drawing>
      </w:r>
      <w:bookmarkEnd w:id="0"/>
    </w:p>
    <w:p w:rsidR="00350FE7" w:rsidRPr="001C0A4D" w:rsidRDefault="00AA426C" w:rsidP="00350FE7">
      <w:pPr>
        <w:rPr>
          <w:rFonts w:ascii="Arial" w:hAnsi="Arial" w:cs="Arial"/>
        </w:rPr>
      </w:pPr>
      <w:r>
        <w:rPr>
          <w:rFonts w:ascii="Georgia" w:hAnsi="Georgia"/>
          <w:color w:val="333333"/>
          <w:shd w:val="clear" w:color="auto" w:fill="FFFFFF"/>
        </w:rPr>
        <w:t>Maximum likelihood phylogeny of the 120 </w:t>
      </w:r>
      <w:r>
        <w:rPr>
          <w:rFonts w:ascii="Georgia" w:hAnsi="Georgia"/>
          <w:i/>
          <w:iCs/>
          <w:color w:val="333333"/>
          <w:shd w:val="clear" w:color="auto" w:fill="FFFFFF"/>
        </w:rPr>
        <w:t>Streptomyces</w:t>
      </w:r>
      <w:r>
        <w:rPr>
          <w:rFonts w:ascii="Georgia" w:hAnsi="Georgia"/>
          <w:color w:val="333333"/>
          <w:shd w:val="clear" w:color="auto" w:fill="FFFFFF"/>
        </w:rPr>
        <w:t xml:space="preserve"> strains used in this study. Phylogeny is based on concatenated </w:t>
      </w:r>
      <w:proofErr w:type="spellStart"/>
      <w:r>
        <w:rPr>
          <w:rFonts w:ascii="Georgia" w:hAnsi="Georgia"/>
          <w:color w:val="333333"/>
          <w:shd w:val="clear" w:color="auto" w:fill="FFFFFF"/>
        </w:rPr>
        <w:t>AtpD</w:t>
      </w:r>
      <w:proofErr w:type="spellEnd"/>
      <w:r>
        <w:rPr>
          <w:rFonts w:ascii="Georgia" w:hAnsi="Georgia"/>
          <w:color w:val="333333"/>
          <w:shd w:val="clear" w:color="auto" w:fill="FFFFFF"/>
        </w:rPr>
        <w:t xml:space="preserve"> and </w:t>
      </w:r>
      <w:proofErr w:type="spellStart"/>
      <w:r>
        <w:rPr>
          <w:rFonts w:ascii="Georgia" w:hAnsi="Georgia"/>
          <w:color w:val="333333"/>
          <w:shd w:val="clear" w:color="auto" w:fill="FFFFFF"/>
        </w:rPr>
        <w:t>RpoB</w:t>
      </w:r>
      <w:proofErr w:type="spellEnd"/>
      <w:r>
        <w:rPr>
          <w:rFonts w:ascii="Georgia" w:hAnsi="Georgia"/>
          <w:color w:val="333333"/>
          <w:shd w:val="clear" w:color="auto" w:fill="FFFFFF"/>
        </w:rPr>
        <w:t xml:space="preserve"> amino acid sequences. Bootstrap values &gt;50 % are indicated at their respective nodes (based on 100 replicates). </w:t>
      </w:r>
      <w:proofErr w:type="spellStart"/>
      <w:r>
        <w:rPr>
          <w:rFonts w:ascii="Georgia" w:hAnsi="Georgia"/>
          <w:color w:val="333333"/>
          <w:shd w:val="clear" w:color="auto" w:fill="FFFFFF"/>
        </w:rPr>
        <w:t>Colors</w:t>
      </w:r>
      <w:proofErr w:type="spellEnd"/>
      <w:r>
        <w:rPr>
          <w:rFonts w:ascii="Georgia" w:hAnsi="Georgia"/>
          <w:color w:val="333333"/>
          <w:shd w:val="clear" w:color="auto" w:fill="FFFFFF"/>
        </w:rPr>
        <w:t xml:space="preserve"> indicate the number of ABBA </w:t>
      </w:r>
      <w:proofErr w:type="spellStart"/>
      <w:r>
        <w:rPr>
          <w:rFonts w:ascii="Georgia" w:hAnsi="Georgia"/>
          <w:color w:val="333333"/>
          <w:shd w:val="clear" w:color="auto" w:fill="FFFFFF"/>
        </w:rPr>
        <w:t>PTases</w:t>
      </w:r>
      <w:proofErr w:type="spellEnd"/>
      <w:r>
        <w:rPr>
          <w:rFonts w:ascii="Georgia" w:hAnsi="Georgia"/>
          <w:color w:val="333333"/>
          <w:shd w:val="clear" w:color="auto" w:fill="FFFFFF"/>
        </w:rPr>
        <w:t xml:space="preserve"> found in each genome. The MAR4 and </w:t>
      </w:r>
      <w:r>
        <w:rPr>
          <w:rFonts w:ascii="Georgia" w:hAnsi="Georgia"/>
          <w:i/>
          <w:iCs/>
          <w:color w:val="333333"/>
          <w:shd w:val="clear" w:color="auto" w:fill="FFFFFF"/>
        </w:rPr>
        <w:t xml:space="preserve">S. </w:t>
      </w:r>
      <w:proofErr w:type="spellStart"/>
      <w:r>
        <w:rPr>
          <w:rFonts w:ascii="Georgia" w:hAnsi="Georgia"/>
          <w:i/>
          <w:iCs/>
          <w:color w:val="333333"/>
          <w:shd w:val="clear" w:color="auto" w:fill="FFFFFF"/>
        </w:rPr>
        <w:t>coelicolor</w:t>
      </w:r>
      <w:proofErr w:type="spellEnd"/>
      <w:r>
        <w:rPr>
          <w:rFonts w:ascii="Georgia" w:hAnsi="Georgia"/>
          <w:color w:val="333333"/>
          <w:shd w:val="clear" w:color="auto" w:fill="FFFFFF"/>
        </w:rPr>
        <w:t> clades are indicated. Sequences derived from two </w:t>
      </w:r>
      <w:proofErr w:type="spellStart"/>
      <w:r>
        <w:rPr>
          <w:rFonts w:ascii="Georgia" w:hAnsi="Georgia"/>
          <w:i/>
          <w:iCs/>
          <w:color w:val="333333"/>
          <w:shd w:val="clear" w:color="auto" w:fill="FFFFFF"/>
        </w:rPr>
        <w:t>Pseudonocardia</w:t>
      </w:r>
      <w:proofErr w:type="spellEnd"/>
      <w:r>
        <w:rPr>
          <w:rFonts w:ascii="Georgia" w:hAnsi="Georgia"/>
          <w:color w:val="333333"/>
          <w:shd w:val="clear" w:color="auto" w:fill="FFFFFF"/>
        </w:rPr>
        <w:t> genomes were used to root the tree</w:t>
      </w:r>
    </w:p>
    <w:sectPr w:rsidR="00350FE7" w:rsidRPr="001C0A4D" w:rsidSect="001C0A4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36C2F"/>
    <w:multiLevelType w:val="hybridMultilevel"/>
    <w:tmpl w:val="2E582F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2DD"/>
    <w:rsid w:val="000234B1"/>
    <w:rsid w:val="000C1A5A"/>
    <w:rsid w:val="001C0A4D"/>
    <w:rsid w:val="002E477E"/>
    <w:rsid w:val="00350FE7"/>
    <w:rsid w:val="00380830"/>
    <w:rsid w:val="006E32BA"/>
    <w:rsid w:val="008C15C5"/>
    <w:rsid w:val="009521A1"/>
    <w:rsid w:val="009C4CE8"/>
    <w:rsid w:val="00A133BD"/>
    <w:rsid w:val="00AA426C"/>
    <w:rsid w:val="00B72971"/>
    <w:rsid w:val="00CD5603"/>
    <w:rsid w:val="00DA65A8"/>
    <w:rsid w:val="00E93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8276"/>
  <w15:chartTrackingRefBased/>
  <w15:docId w15:val="{0855B03A-CEFE-4AF9-90E4-78BDD3F0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FE7"/>
    <w:pPr>
      <w:ind w:left="720"/>
      <w:contextualSpacing/>
    </w:pPr>
  </w:style>
  <w:style w:type="character" w:styleId="Emphasis">
    <w:name w:val="Emphasis"/>
    <w:basedOn w:val="DefaultParagraphFont"/>
    <w:uiPriority w:val="20"/>
    <w:qFormat/>
    <w:rsid w:val="001C0A4D"/>
    <w:rPr>
      <w:i/>
      <w:iCs/>
    </w:rPr>
  </w:style>
  <w:style w:type="character" w:styleId="Hyperlink">
    <w:name w:val="Hyperlink"/>
    <w:basedOn w:val="DefaultParagraphFont"/>
    <w:uiPriority w:val="99"/>
    <w:unhideWhenUsed/>
    <w:rsid w:val="001C0A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6359">
      <w:bodyDiv w:val="1"/>
      <w:marLeft w:val="0"/>
      <w:marRight w:val="0"/>
      <w:marTop w:val="0"/>
      <w:marBottom w:val="0"/>
      <w:divBdr>
        <w:top w:val="none" w:sz="0" w:space="0" w:color="auto"/>
        <w:left w:val="none" w:sz="0" w:space="0" w:color="auto"/>
        <w:bottom w:val="none" w:sz="0" w:space="0" w:color="auto"/>
        <w:right w:val="none" w:sz="0" w:space="0" w:color="auto"/>
      </w:divBdr>
      <w:divsChild>
        <w:div w:id="119805804">
          <w:marLeft w:val="0"/>
          <w:marRight w:val="0"/>
          <w:marTop w:val="0"/>
          <w:marBottom w:val="0"/>
          <w:divBdr>
            <w:top w:val="none" w:sz="0" w:space="0" w:color="auto"/>
            <w:left w:val="none" w:sz="0" w:space="0" w:color="auto"/>
            <w:bottom w:val="none" w:sz="0" w:space="0" w:color="auto"/>
            <w:right w:val="none" w:sz="0" w:space="0" w:color="auto"/>
          </w:divBdr>
        </w:div>
        <w:div w:id="189300500">
          <w:marLeft w:val="0"/>
          <w:marRight w:val="0"/>
          <w:marTop w:val="75"/>
          <w:marBottom w:val="0"/>
          <w:divBdr>
            <w:top w:val="none" w:sz="0" w:space="0" w:color="auto"/>
            <w:left w:val="none" w:sz="0" w:space="0" w:color="auto"/>
            <w:bottom w:val="none" w:sz="0" w:space="0" w:color="auto"/>
            <w:right w:val="none" w:sz="0" w:space="0" w:color="auto"/>
          </w:divBdr>
        </w:div>
        <w:div w:id="1096093497">
          <w:marLeft w:val="0"/>
          <w:marRight w:val="0"/>
          <w:marTop w:val="75"/>
          <w:marBottom w:val="0"/>
          <w:divBdr>
            <w:top w:val="none" w:sz="0" w:space="0" w:color="auto"/>
            <w:left w:val="none" w:sz="0" w:space="0" w:color="auto"/>
            <w:bottom w:val="none" w:sz="0" w:space="0" w:color="auto"/>
            <w:right w:val="none" w:sz="0" w:space="0" w:color="auto"/>
          </w:divBdr>
        </w:div>
      </w:divsChild>
    </w:div>
    <w:div w:id="1625112507">
      <w:bodyDiv w:val="1"/>
      <w:marLeft w:val="0"/>
      <w:marRight w:val="0"/>
      <w:marTop w:val="0"/>
      <w:marBottom w:val="0"/>
      <w:divBdr>
        <w:top w:val="none" w:sz="0" w:space="0" w:color="auto"/>
        <w:left w:val="none" w:sz="0" w:space="0" w:color="auto"/>
        <w:bottom w:val="none" w:sz="0" w:space="0" w:color="auto"/>
        <w:right w:val="none" w:sz="0" w:space="0" w:color="auto"/>
      </w:divBdr>
      <w:divsChild>
        <w:div w:id="103112142">
          <w:marLeft w:val="0"/>
          <w:marRight w:val="0"/>
          <w:marTop w:val="0"/>
          <w:marBottom w:val="0"/>
          <w:divBdr>
            <w:top w:val="none" w:sz="0" w:space="0" w:color="auto"/>
            <w:left w:val="none" w:sz="0" w:space="0" w:color="auto"/>
            <w:bottom w:val="none" w:sz="0" w:space="0" w:color="auto"/>
            <w:right w:val="none" w:sz="0" w:space="0" w:color="auto"/>
          </w:divBdr>
        </w:div>
        <w:div w:id="1304000396">
          <w:marLeft w:val="0"/>
          <w:marRight w:val="0"/>
          <w:marTop w:val="75"/>
          <w:marBottom w:val="0"/>
          <w:divBdr>
            <w:top w:val="none" w:sz="0" w:space="0" w:color="auto"/>
            <w:left w:val="none" w:sz="0" w:space="0" w:color="auto"/>
            <w:bottom w:val="none" w:sz="0" w:space="0" w:color="auto"/>
            <w:right w:val="none" w:sz="0" w:space="0" w:color="auto"/>
          </w:divBdr>
        </w:div>
        <w:div w:id="1469514865">
          <w:marLeft w:val="0"/>
          <w:marRight w:val="0"/>
          <w:marTop w:val="75"/>
          <w:marBottom w:val="0"/>
          <w:divBdr>
            <w:top w:val="none" w:sz="0" w:space="0" w:color="auto"/>
            <w:left w:val="none" w:sz="0" w:space="0" w:color="auto"/>
            <w:bottom w:val="none" w:sz="0" w:space="0" w:color="auto"/>
            <w:right w:val="none" w:sz="0" w:space="0" w:color="auto"/>
          </w:divBdr>
        </w:div>
      </w:divsChild>
    </w:div>
    <w:div w:id="2034064591">
      <w:bodyDiv w:val="1"/>
      <w:marLeft w:val="0"/>
      <w:marRight w:val="0"/>
      <w:marTop w:val="0"/>
      <w:marBottom w:val="0"/>
      <w:divBdr>
        <w:top w:val="none" w:sz="0" w:space="0" w:color="auto"/>
        <w:left w:val="none" w:sz="0" w:space="0" w:color="auto"/>
        <w:bottom w:val="none" w:sz="0" w:space="0" w:color="auto"/>
        <w:right w:val="none" w:sz="0" w:space="0" w:color="auto"/>
      </w:divBdr>
      <w:divsChild>
        <w:div w:id="2115469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i.org/10.7554/eLife.57183" TargetMode="External"/><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b.asm.org/content/186/19/6656.long" TargetMode="External"/><Relationship Id="rId11" Type="http://schemas.openxmlformats.org/officeDocument/2006/relationships/hyperlink" Target="https://doi.org/10.1128/mBio.00815-17"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doi.org/10.1128/IAI.00595-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cp:revision>
  <dcterms:created xsi:type="dcterms:W3CDTF">2021-07-20T14:31:00Z</dcterms:created>
  <dcterms:modified xsi:type="dcterms:W3CDTF">2021-07-26T11:41:00Z</dcterms:modified>
</cp:coreProperties>
</file>