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2.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 [Markdown] 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(1984)</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44" w:name="quiz"/>
    <w:p>
      <w:pPr>
        <w:pStyle w:val="Heading1"/>
      </w:pPr>
      <w:r>
        <w:t xml:space="preserve">3. Quiz</w:t>
      </w:r>
    </w:p>
    <w:p>
      <w:pPr>
        <w:pStyle w:val="FirstParagraph"/>
      </w:pPr>
      <w:r>
        <w:t xml:space="preserve">This page demonstrates the setup of a</w:t>
      </w:r>
      <w:r>
        <w:t xml:space="preserve"> </w:t>
      </w:r>
      <w:r>
        <w:rPr>
          <w:rStyle w:val="VerbatimChar"/>
        </w:rPr>
        <w:t xml:space="preserve">naquiz</w:t>
      </w:r>
      <w:r>
        <w:t xml:space="preserve"> </w:t>
      </w:r>
      <w:r>
        <w:t xml:space="preserve">multiple-choice quiz. The advantage of this extension is that we don’t need to use a Shiny server.</w:t>
      </w:r>
    </w:p>
    <w:p>
      <w:pPr>
        <w:pStyle w:val="Compact"/>
        <w:numPr>
          <w:ilvl w:val="0"/>
          <w:numId w:val="1003"/>
        </w:numPr>
      </w:pPr>
      <w:hyperlink r:id="rId41">
        <w:r>
          <w:rPr>
            <w:rStyle w:val="VerbatimChar"/>
          </w:rPr>
          <w:t xml:space="preserve">naquiz</w:t>
        </w:r>
      </w:hyperlink>
    </w:p>
    <w:bookmarkStart w:id="42" w:name="basic-mcq"/>
    <w:p>
      <w:pPr>
        <w:pStyle w:val="Heading2"/>
      </w:pPr>
      <w:r>
        <w:t xml:space="preserve">3.1 Basic MCQ</w:t>
      </w:r>
    </w:p>
    <w:p>
      <w:pPr>
        <w:pStyle w:val="FirstParagraph"/>
      </w:pPr>
      <w:r>
        <w:t xml:space="preserve">The MCQ below is coded as:</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bookmarkEnd w:id="42"/>
    <w:bookmarkStart w:id="43" w:name="mcq-in-callout"/>
    <w:p>
      <w:pPr>
        <w:pStyle w:val="Heading2"/>
      </w:pPr>
      <w:r>
        <w:t xml:space="preserve">3.2 MCQ in callout</w:t>
      </w:r>
    </w:p>
    <w:p>
      <w:pPr>
        <w:pStyle w:val="FirstParagraph"/>
      </w:pPr>
      <w:r>
        <w:t xml:space="preserve">We can use the</w:t>
      </w:r>
      <w:r>
        <w:t xml:space="preserve"> </w:t>
      </w:r>
      <w:r>
        <w:rPr>
          <w:rStyle w:val="VerbatimChar"/>
        </w:rPr>
        <w:t xml:space="preserve">callout-question</w:t>
      </w:r>
      <w:r>
        <w:t xml:space="preserve"> </w:t>
      </w:r>
      <w:r>
        <w:t xml:space="preserve">callout to make the MCQ stand out a bit more.</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btn-light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btn-danger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btn-info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bookmarkEnd w:id="43"/>
    <w:bookmarkEnd w:id="44"/>
    <w:bookmarkStart w:id="56" w:name="r-playground"/>
    <w:p>
      <w:pPr>
        <w:pStyle w:val="Heading1"/>
      </w:pPr>
      <w:r>
        <w:t xml:space="preserve">4. </w:t>
      </w:r>
      <w:r>
        <w:rPr>
          <w:rStyle w:val="VerbatimChar"/>
        </w:rPr>
        <w:t xml:space="preserve">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library(ggplot2)</w:t>
      </w:r>
      <w:r>
        <w:br/>
      </w:r>
      <w:r>
        <w:rPr>
          <w:rStyle w:val="VerbatimChar"/>
        </w:rPr>
        <w:t xml:space="preserve">library(palmerpenguins)</w:t>
      </w:r>
      <w:r>
        <w:br/>
      </w:r>
      <w:r>
        <w:rPr>
          <w:rStyle w:val="VerbatimChar"/>
        </w:rPr>
        <w:t xml:space="preserve">library(tidyverse)</w:t>
      </w:r>
    </w:p>
    <w:bookmarkStart w:id="45" w:name="introduction-1"/>
    <w:p>
      <w:pPr>
        <w:pStyle w:val="Heading2"/>
      </w:pPr>
      <w:r>
        <w:t xml:space="preserve">4.1 Introduction</w:t>
      </w:r>
    </w:p>
    <w:p>
      <w:pPr>
        <w:pStyle w:val="FirstParagraph"/>
      </w:pPr>
      <w:r>
        <w:t xml:space="preserve">This page provides a</w:t>
      </w:r>
      <w:r>
        <w:t xml:space="preserve"> </w:t>
      </w:r>
      <w:r>
        <w:rPr>
          <w:rStyle w:val="VerbatimChar"/>
        </w:rPr>
        <w:t xml:space="preserve">WebR</w:t>
      </w:r>
      <w:r>
        <w:t xml:space="preserve"> </w:t>
      </w:r>
      <w:r>
        <w:t xml:space="preserve">cell for you to use as a playground to experiment with some example datasets. You can use this page to explore data management and visualisation in</w:t>
      </w:r>
      <w:r>
        <w:t xml:space="preserve"> </w:t>
      </w:r>
      <w:r>
        <w:rPr>
          <w:rStyle w:val="VerbatimChar"/>
        </w:rPr>
        <w:t xml:space="preserve">R</w:t>
      </w:r>
      <w:r>
        <w:t xml:space="preserve">.</w:t>
      </w:r>
    </w:p>
    <w:bookmarkEnd w:id="45"/>
    <w:bookmarkStart w:id="46" w:name="playground"/>
    <w:p>
      <w:pPr>
        <w:pStyle w:val="Heading2"/>
      </w:pPr>
      <w:r>
        <w:t xml:space="preserve">4.2 Playground</w:t>
      </w:r>
    </w:p>
    <w:p>
      <w:pPr>
        <w:pStyle w:val="SourceCode"/>
      </w:pPr>
      <w:r>
        <w:rPr>
          <w:rStyle w:val="VerbatimChar"/>
        </w:rPr>
        <w:t xml:space="preserve"># Use this WebR cell to experiment with some practice biological datasets</w:t>
      </w:r>
    </w:p>
    <w:bookmarkEnd w:id="46"/>
    <w:bookmarkStart w:id="55" w:name="things-you-can-do"/>
    <w:p>
      <w:pPr>
        <w:pStyle w:val="Heading2"/>
      </w:pPr>
      <w:r>
        <w:t xml:space="preserve">4.3 Things you can do</w:t>
      </w:r>
    </w:p>
    <w:p>
      <w:pPr>
        <w:pStyle w:val="FirstParagraph"/>
      </w:pPr>
      <w:r>
        <w:t xml:space="preserve">This</w:t>
      </w:r>
      <w:r>
        <w:t xml:space="preserve"> </w:t>
      </w:r>
      <w:r>
        <w:rPr>
          <w:rStyle w:val="VerbatimChar"/>
        </w:rPr>
        <w:t xml:space="preserve">WebR</w:t>
      </w:r>
      <w:r>
        <w:t xml:space="preserve"> </w:t>
      </w:r>
      <w:r>
        <w:t xml:space="preserve">instance has three packages installed:</w:t>
      </w:r>
    </w:p>
    <w:p>
      <w:pPr>
        <w:pStyle w:val="Compact"/>
        <w:numPr>
          <w:ilvl w:val="0"/>
          <w:numId w:val="1004"/>
        </w:numPr>
      </w:pPr>
      <w:r>
        <w:rPr>
          <w:rStyle w:val="VerbatimChar"/>
        </w:rPr>
        <w:t xml:space="preserve">ggplot2</w:t>
      </w:r>
    </w:p>
    <w:p>
      <w:pPr>
        <w:pStyle w:val="Compact"/>
        <w:numPr>
          <w:ilvl w:val="0"/>
          <w:numId w:val="1004"/>
        </w:numPr>
      </w:pPr>
      <w:r>
        <w:rPr>
          <w:rStyle w:val="VerbatimChar"/>
        </w:rPr>
        <w:t xml:space="preserve">GGally</w:t>
      </w:r>
    </w:p>
    <w:p>
      <w:pPr>
        <w:pStyle w:val="Compact"/>
        <w:numPr>
          <w:ilvl w:val="0"/>
          <w:numId w:val="1004"/>
        </w:numPr>
      </w:pPr>
      <w:r>
        <w:rPr>
          <w:rStyle w:val="VerbatimChar"/>
        </w:rPr>
        <w:t xml:space="preserve">tidyverse</w:t>
      </w:r>
    </w:p>
    <w:p>
      <w:pPr>
        <w:pStyle w:val="Compact"/>
        <w:numPr>
          <w:ilvl w:val="0"/>
          <w:numId w:val="1004"/>
        </w:numPr>
      </w:pPr>
      <w:r>
        <w:rPr>
          <w:rStyle w:val="VerbatimChar"/>
        </w:rPr>
        <w:t xml:space="preserve">palmerpenguins</w:t>
      </w:r>
    </w:p>
    <w:p>
      <w:pPr>
        <w:pStyle w:val="FirstParagraph"/>
      </w:pPr>
      <w:r>
        <w:t xml:space="preserve">Open the callout boxes below to see some examples you can try in the code cell above.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Play with data from a GitHub repository</w:t>
            </w:r>
          </w:p>
        </w:tc>
      </w:tr>
      <w:tr>
        <w:trPr>
          <w:cantSplit/>
        </w:trPr>
        <w:tc>
          <w:tcPr>
            <w:tcMar>
              <w:top w:w="108" w:type="dxa"/>
              <w:bottom w:w="108" w:type="dxa"/>
            </w:tcMar>
          </w:tcPr>
          <w:p>
            <w:pPr>
              <w:pStyle w:val="BodyText"/>
            </w:pPr>
            <w:pPr>
              <w:spacing w:before="16"/>
            </w:pPr>
            <w:r>
              <w:t xml:space="preserve">One of our</w:t>
            </w:r>
            <w:r>
              <w:t xml:space="preserve"> </w:t>
            </w:r>
            <w:hyperlink r:id="rId4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 We preload this data in the</w:t>
            </w:r>
            <w:r>
              <w:t xml:space="preserve"> </w:t>
            </w:r>
            <w:r>
              <w:rPr>
                <w:rStyle w:val="VerbatimChar"/>
              </w:rPr>
              <w:t xml:space="preserve">setup</w:t>
            </w:r>
            <w:r>
              <w:t xml:space="preserve"> </w:t>
            </w:r>
            <w:r>
              <w:t xml:space="preserve">cell (see source code), and you can interact with it below with the code: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rPr>
                <w:rStyle w:val="FunctionTok"/>
              </w:rPr>
              <w:t xml:space="preserve">glimpse</w:t>
            </w:r>
            <w:r>
              <w:rPr>
                <w:rStyle w:val="NormalTok"/>
              </w:rPr>
              <w:t xml:space="preserve">(data)</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tip.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Investigate Palmer’s Penguins</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penguins</w:t>
            </w:r>
            <w:r>
              <w:t xml:space="preserve"> </w:t>
            </w:r>
            <w:r>
              <w:t xml:space="preserve">dataset contains data about three different species of penguins. Take a look at the format of the dataset:</w:t>
            </w:r>
          </w:p>
          <w:p>
            <w:pPr>
              <w:pStyle w:val="SourceCode"/>
            </w:pPr>
            <w:r>
              <w:rPr>
                <w:rStyle w:val="FunctionTok"/>
              </w:rPr>
              <w:t xml:space="preserve">glimpse</w:t>
            </w:r>
            <w:r>
              <w:rPr>
                <w:rStyle w:val="NormalTok"/>
              </w:rPr>
              <w:t xml:space="preserve">(penguins)</w:t>
            </w:r>
          </w:p>
          <w:p>
            <w:pPr>
              <w:pStyle w:val="FirstParagraph"/>
            </w:pPr>
            <w:r>
              <w:t xml:space="preserve">You’ll see there are eight variables, including</w:t>
            </w:r>
            <w:r>
              <w:t xml:space="preserve"> </w:t>
            </w:r>
            <w:r>
              <w:rPr>
                <w:rStyle w:val="VerbatimChar"/>
              </w:rPr>
              <w:t xml:space="preserve">species</w:t>
            </w:r>
            <w:r>
              <w:t xml:space="preserve">,</w:t>
            </w:r>
            <w:r>
              <w:t xml:space="preserve"> </w:t>
            </w:r>
            <w:r>
              <w:rPr>
                <w:rStyle w:val="VerbatimChar"/>
              </w:rPr>
              <w:t xml:space="preserve">weight</w:t>
            </w:r>
            <w:r>
              <w:t xml:space="preserve">,</w:t>
            </w:r>
            <w:r>
              <w:t xml:space="preserve"> </w:t>
            </w:r>
            <w:r>
              <w:rPr>
                <w:rStyle w:val="VerbatimChar"/>
              </w:rPr>
              <w:t xml:space="preserve">sex</w:t>
            </w:r>
            <w:r>
              <w:t xml:space="preserve">, etc. - some of these variables are</w:t>
            </w:r>
            <w:r>
              <w:t xml:space="preserve"> </w:t>
            </w:r>
            <w:r>
              <w:rPr>
                <w:i/>
                <w:iCs/>
              </w:rPr>
              <w:t xml:space="preserve">categorical</w:t>
            </w:r>
            <w:r>
              <w:t xml:space="preserve"> </w:t>
            </w:r>
            <w:r>
              <w:t xml:space="preserve">(i.e. a category, like</w:t>
            </w:r>
            <w:r>
              <w:t xml:space="preserve"> </w:t>
            </w:r>
            <w:r>
              <w:rPr>
                <w:rStyle w:val="VerbatimChar"/>
              </w:rPr>
              <w:t xml:space="preserve">species</w:t>
            </w:r>
            <w:r>
              <w:t xml:space="preserve">), and others are</w:t>
            </w:r>
            <w:r>
              <w:t xml:space="preserve"> </w:t>
            </w:r>
            <w:r>
              <w:rPr>
                <w:i/>
                <w:iCs/>
              </w:rPr>
              <w:t xml:space="preserve">continuous</w:t>
            </w:r>
            <w:r>
              <w:t xml:space="preserve"> </w:t>
            </w:r>
            <w:r>
              <w:t xml:space="preserve">(i.e. numerical). You can see a visual overview of how the data is related using the</w:t>
            </w:r>
            <w:r>
              <w:t xml:space="preserve"> </w:t>
            </w:r>
            <w:r>
              <w:rPr>
                <w:rStyle w:val="VerbatimChar"/>
              </w:rPr>
              <w:t xml:space="preserve">plot()</w:t>
            </w:r>
            <w:r>
              <w:t xml:space="preserve"> </w:t>
            </w:r>
            <w:r>
              <w:t xml:space="preserve">function:</w:t>
            </w:r>
          </w:p>
          <w:p>
            <w:pPr>
              <w:pStyle w:val="SourceCode"/>
            </w:pPr>
            <w:r>
              <w:rPr>
                <w:rStyle w:val="FunctionTok"/>
              </w:rPr>
              <w:t xml:space="preserve">plot</w:t>
            </w:r>
            <w:r>
              <w:rPr>
                <w:rStyle w:val="NormalTok"/>
              </w:rPr>
              <w:t xml:space="preserve">(penguins)</w:t>
            </w:r>
          </w:p>
          <w:p>
            <w:pPr>
              <w:pStyle w:val="FirstParagraph"/>
            </w:pPr>
            <w:r>
              <w:t xml:space="preserve">We can visualise the number of penguins of each species in a bar chart:</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fig</w:t>
            </w:r>
          </w:p>
          <w:p>
            <w:pPr>
              <w:pStyle w:val="FirstParagraph"/>
            </w:pPr>
            <w:r>
              <w:t xml:space="preserve">And break this down in a facet plot, by sex:</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rPr>
                <w:rStyle w:val="NormalTok"/>
              </w:rPr>
              <w:t xml:space="preserve">fig</w:t>
            </w:r>
          </w:p>
          <w:p>
            <w:pPr>
              <w:pStyle w:val="FirstParagraph"/>
            </w:pPr>
            <w:r>
              <w:t xml:space="preserve">We can make a box and whisker plot of penguin body mass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And plot the body mass for each sex side-by-side</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We can investigate correlations, such as between body mass and flipper length:</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We can colour datapoints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And fit a linear regression to each species separately:</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fig</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rStyle w:val="VerbatimChar"/>
              </w:rPr>
              <w:t xml:space="preserve">R</w:t>
            </w:r>
            <w:r>
              <w:t xml:space="preserve"> </w:t>
            </w:r>
            <w:r>
              <w:t xml:space="preserve">comes with a number of example datasets you can practice with, including:</w:t>
            </w:r>
          </w:p>
          <w:p>
            <w:pPr>
              <w:pStyle w:val="Compact"/>
              <w:numPr>
                <w:ilvl w:val="0"/>
                <w:numId w:val="1005"/>
              </w:numPr>
            </w:pPr>
            <w:r>
              <w:rPr>
                <w:rStyle w:val="VerbatimChar"/>
              </w:rPr>
              <w:t xml:space="preserve">mtcars</w:t>
            </w:r>
            <w:r>
              <w:t xml:space="preserve">: fuel consumption and other statistic for 32 automobiles</w:t>
            </w:r>
          </w:p>
          <w:p>
            <w:pPr>
              <w:pStyle w:val="Compact"/>
              <w:numPr>
                <w:ilvl w:val="0"/>
                <w:numId w:val="1005"/>
              </w:numPr>
            </w:pPr>
            <w:r>
              <w:rPr>
                <w:rStyle w:val="VerbatimChar"/>
              </w:rPr>
              <w:t xml:space="preserve">Titanic</w:t>
            </w:r>
            <w:r>
              <w:t xml:space="preserve">: information on the fate of passengers on the fatal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tc>
      </w:tr>
    </w:tbl>
    <w:bookmarkEnd w:id="55"/>
    <w:bookmarkEnd w:id="56"/>
    <w:bookmarkStart w:id="60" w:name="references"/>
    <w:p>
      <w:pPr>
        <w:pStyle w:val="Heading1"/>
      </w:pPr>
      <w:r>
        <w:t xml:space="preserve">References</w:t>
      </w:r>
    </w:p>
    <w:bookmarkStart w:id="59" w:name="refs"/>
    <w:bookmarkStart w:id="58"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7">
        <w:r>
          <w:rPr>
            <w:rStyle w:val="Hyperlink"/>
          </w:rPr>
          <w:t xml:space="preserve">https://doi.org/10.1093/comjnl/27.2.97</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7" Target="https://doi.org/10.1093/comjnl/27.2.97" TargetMode="External" /><Relationship Type="http://schemas.openxmlformats.org/officeDocument/2006/relationships/hyperlink" Id="rId41" Target="https://github.com/nareal/naquiz"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49" Target="https://sipbs-compbiol.github.io/BM214-Workshop-3/"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93/comjnl/27.2.97" TargetMode="External" /><Relationship Type="http://schemas.openxmlformats.org/officeDocument/2006/relationships/hyperlink" Id="rId41" Target="https://github.com/nareal/naquiz"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49" Target="https://sipbs-compbiol.github.io/BM214-Workshop-3/"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2025-07-04T07:04:05Z</dcterms:created>
  <dcterms:modified xsi:type="dcterms:W3CDTF">2025-07-04T07:04:05Z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meta">
    <vt:lpwstr>Leighton Pritchard</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uthor">
    <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