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plain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32"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8"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7"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p>
      <w:pPr>
        <w:pStyle w:val="Compact"/>
        <w:numPr>
          <w:ilvl w:val="0"/>
          <w:numId w:val="1019"/>
        </w:numPr>
      </w:pPr>
      <w:hyperlink r:id="rId85">
        <w:r>
          <w:rPr>
            <w:rStyle w:val="VerbatimChar"/>
          </w:rPr>
          <w:t xml:space="preserve">kableExtra</w:t>
        </w:r>
        <w:r>
          <w:rPr>
            <w:rStyle w:val="Hyperlink"/>
          </w:rPr>
          <w:t xml:space="preserve"> </w:t>
        </w:r>
        <w:r>
          <w:rPr>
            <w:rStyle w:val="Hyperlink"/>
          </w:rPr>
          <w:t xml:space="preserve">documentation</w:t>
        </w:r>
      </w:hyperlink>
    </w:p>
    <w:p>
      <w:pPr>
        <w:pStyle w:val="Compact"/>
        <w:numPr>
          <w:ilvl w:val="0"/>
          <w:numId w:val="1019"/>
        </w:numPr>
      </w:pPr>
      <w:hyperlink r:id="rId86">
        <w:r>
          <w:rPr>
            <w:rStyle w:val="VerbatimChar"/>
          </w:rPr>
          <w:t xml:space="preserve">RMarkdown</w:t>
        </w:r>
        <w:r>
          <w:rPr>
            <w:rStyle w:val="Hyperlink"/>
          </w:rPr>
          <w:t xml:space="preserve"> </w:t>
        </w:r>
        <w:r>
          <w:rPr>
            <w:rStyle w:val="Hyperlink"/>
          </w:rPr>
          <w:t xml:space="preserve">cookbook</w:t>
        </w:r>
      </w:hyperlink>
    </w:p>
    <w:bookmarkEnd w:id="87"/>
    <w:bookmarkEnd w:id="88"/>
    <w:bookmarkStart w:id="103" w:name="r"/>
    <w:p>
      <w:pPr>
        <w:pStyle w:val="Heading2"/>
      </w:pPr>
      <w:r>
        <w:t xml:space="preserve">4.2</w:t>
      </w:r>
      <w:r>
        <w:t xml:space="preserve"> </w:t>
      </w:r>
      <w:r>
        <w:rPr>
          <w:rStyle w:val="VerbatimChar"/>
        </w:rPr>
        <w:t xml:space="preserve">R</w:t>
      </w:r>
    </w:p>
    <w:p>
      <w:pPr>
        <w:pStyle w:val="Compact"/>
        <w:numPr>
          <w:ilvl w:val="0"/>
          <w:numId w:val="1020"/>
        </w:numPr>
      </w:pPr>
      <w:hyperlink r:id="rId89">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90">
        <w:r>
          <w:rPr>
            <w:rStyle w:val="VerbatimChar"/>
          </w:rPr>
          <w:t xml:space="preserve">R</w:t>
        </w:r>
        <w:r>
          <w:rPr>
            <w:rStyle w:val="Hyperlink"/>
          </w:rPr>
          <w:t xml:space="preserve"> </w:t>
        </w:r>
        <w:r>
          <w:rPr>
            <w:rStyle w:val="Hyperlink"/>
          </w:rPr>
          <w:t xml:space="preserve">for Reproducible Scientific Analysis (Carpentries)</w:t>
        </w:r>
      </w:hyperlink>
    </w:p>
    <w:bookmarkStart w:id="96" w:name="data-processing"/>
    <w:p>
      <w:pPr>
        <w:pStyle w:val="Heading3"/>
      </w:pPr>
      <w:r>
        <w:t xml:space="preserve">4.2.1 Data processing</w:t>
      </w:r>
    </w:p>
    <w:p>
      <w:pPr>
        <w:pStyle w:val="Compact"/>
        <w:numPr>
          <w:ilvl w:val="0"/>
          <w:numId w:val="1021"/>
        </w:numPr>
      </w:pPr>
      <w:hyperlink r:id="rId91">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4">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5">
        <w:r>
          <w:rPr>
            <w:rStyle w:val="VerbatimChar"/>
          </w:rPr>
          <w:t xml:space="preserve">lubridate</w:t>
        </w:r>
        <w:r>
          <w:rPr>
            <w:rStyle w:val="Hyperlink"/>
          </w:rPr>
          <w:t xml:space="preserve"> </w:t>
        </w:r>
        <w:r>
          <w:rPr>
            <w:rStyle w:val="Hyperlink"/>
          </w:rPr>
          <w:t xml:space="preserve">documentation</w:t>
        </w:r>
      </w:hyperlink>
    </w:p>
    <w:bookmarkEnd w:id="96"/>
    <w:bookmarkStart w:id="100" w:name="data-visualisation"/>
    <w:p>
      <w:pPr>
        <w:pStyle w:val="Heading3"/>
      </w:pPr>
      <w:r>
        <w:t xml:space="preserve">4.2.2 Data Visualisation</w:t>
      </w:r>
    </w:p>
    <w:p>
      <w:pPr>
        <w:pStyle w:val="Compact"/>
        <w:numPr>
          <w:ilvl w:val="0"/>
          <w:numId w:val="1022"/>
        </w:numPr>
      </w:pPr>
      <w:hyperlink r:id="rId97">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8">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9">
        <w:r>
          <w:rPr>
            <w:rStyle w:val="VerbatimChar"/>
          </w:rPr>
          <w:t xml:space="preserve">ggpubr</w:t>
        </w:r>
        <w:r>
          <w:rPr>
            <w:rStyle w:val="Hyperlink"/>
          </w:rPr>
          <w:t xml:space="preserve"> </w:t>
        </w:r>
        <w:r>
          <w:rPr>
            <w:rStyle w:val="Hyperlink"/>
          </w:rPr>
          <w:t xml:space="preserve">documentation</w:t>
        </w:r>
      </w:hyperlink>
    </w:p>
    <w:bookmarkEnd w:id="100"/>
    <w:bookmarkStart w:id="102" w:name="shiny"/>
    <w:p>
      <w:pPr>
        <w:pStyle w:val="Heading3"/>
      </w:pPr>
      <w:r>
        <w:t xml:space="preserve">4.2.3</w:t>
      </w:r>
      <w:r>
        <w:t xml:space="preserve"> </w:t>
      </w:r>
      <w:r>
        <w:rPr>
          <w:rStyle w:val="VerbatimChar"/>
        </w:rPr>
        <w:t xml:space="preserve">Shiny</w:t>
      </w:r>
    </w:p>
    <w:p>
      <w:pPr>
        <w:pStyle w:val="Compact"/>
        <w:numPr>
          <w:ilvl w:val="0"/>
          <w:numId w:val="1023"/>
        </w:numPr>
      </w:pPr>
      <w:hyperlink r:id="rId101">
        <w:r>
          <w:rPr>
            <w:rStyle w:val="VerbatimChar"/>
          </w:rPr>
          <w:t xml:space="preserve">Shiny</w:t>
        </w:r>
        <w:r>
          <w:rPr>
            <w:rStyle w:val="Hyperlink"/>
          </w:rPr>
          <w:t xml:space="preserve"> </w:t>
        </w:r>
        <w:r>
          <w:rPr>
            <w:rStyle w:val="Hyperlink"/>
          </w:rPr>
          <w:t xml:space="preserve">documentation</w:t>
        </w:r>
      </w:hyperlink>
    </w:p>
    <w:bookmarkEnd w:id="102"/>
    <w:bookmarkEnd w:id="103"/>
    <w:bookmarkStart w:id="112" w:name="rstudio"/>
    <w:p>
      <w:pPr>
        <w:pStyle w:val="Heading2"/>
      </w:pPr>
      <w:r>
        <w:t xml:space="preserve">4.3</w:t>
      </w:r>
      <w:r>
        <w:t xml:space="preserve"> </w:t>
      </w:r>
      <w:r>
        <w:rPr>
          <w:rStyle w:val="VerbatimChar"/>
        </w:rPr>
        <w:t xml:space="preserve">RStudio</w:t>
      </w:r>
    </w:p>
    <w:p>
      <w:pPr>
        <w:pStyle w:val="Compact"/>
        <w:numPr>
          <w:ilvl w:val="0"/>
          <w:numId w:val="1024"/>
        </w:numPr>
      </w:pPr>
      <w:hyperlink r:id="rId104">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5">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6">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9" w:name="shiny-1"/>
    <w:p>
      <w:pPr>
        <w:pStyle w:val="Heading3"/>
      </w:pPr>
      <w:r>
        <w:t xml:space="preserve">4.3.1</w:t>
      </w:r>
      <w:r>
        <w:t xml:space="preserve"> </w:t>
      </w:r>
      <w:r>
        <w:rPr>
          <w:rStyle w:val="VerbatimChar"/>
        </w:rPr>
        <w:t xml:space="preserve">Shiny</w:t>
      </w:r>
    </w:p>
    <w:p>
      <w:pPr>
        <w:pStyle w:val="Compact"/>
        <w:numPr>
          <w:ilvl w:val="0"/>
          <w:numId w:val="1025"/>
        </w:numPr>
      </w:pPr>
      <w:hyperlink r:id="rId107">
        <w:r>
          <w:rPr>
            <w:rStyle w:val="VerbatimChar"/>
          </w:rPr>
          <w:t xml:space="preserve">r-</w:t>
        </w:r>
        <w:r>
          <w:rPr>
            <w:rStyle w:val="Hyperlink"/>
          </w:rPr>
          <w:t xml:space="preserve">shinylive` documentation</w:t>
        </w:r>
      </w:hyperlink>
    </w:p>
    <w:p>
      <w:pPr>
        <w:pStyle w:val="Compact"/>
        <w:numPr>
          <w:ilvl w:val="0"/>
          <w:numId w:val="1025"/>
        </w:numPr>
      </w:pPr>
      <w:hyperlink r:id="rId108">
        <w:r>
          <w:rPr>
            <w:rStyle w:val="VerbatimChar"/>
          </w:rPr>
          <w:t xml:space="preserve">shinylive</w:t>
        </w:r>
        <w:r>
          <w:rPr>
            <w:rStyle w:val="Hyperlink"/>
          </w:rPr>
          <w:t xml:space="preserve"> </w:t>
        </w:r>
        <w:r>
          <w:rPr>
            <w:rStyle w:val="Hyperlink"/>
          </w:rPr>
          <w:t xml:space="preserve">documentation</w:t>
        </w:r>
      </w:hyperlink>
    </w:p>
    <w:bookmarkEnd w:id="109"/>
    <w:bookmarkStart w:id="111" w:name="webr"/>
    <w:p>
      <w:pPr>
        <w:pStyle w:val="Heading3"/>
      </w:pPr>
      <w:r>
        <w:t xml:space="preserve">4.3.2</w:t>
      </w:r>
      <w:r>
        <w:t xml:space="preserve"> </w:t>
      </w:r>
      <w:r>
        <w:rPr>
          <w:rStyle w:val="VerbatimChar"/>
        </w:rPr>
        <w:t xml:space="preserve">WebR</w:t>
      </w:r>
    </w:p>
    <w:p>
      <w:pPr>
        <w:pStyle w:val="Compact"/>
        <w:numPr>
          <w:ilvl w:val="0"/>
          <w:numId w:val="1026"/>
        </w:numPr>
      </w:pPr>
      <w:hyperlink r:id="rId110">
        <w:r>
          <w:rPr>
            <w:rStyle w:val="VerbatimChar"/>
          </w:rPr>
          <w:t xml:space="preserve">WebR</w:t>
        </w:r>
        <w:r>
          <w:rPr>
            <w:rStyle w:val="Hyperlink"/>
          </w:rPr>
          <w:t xml:space="preserve"> </w:t>
        </w:r>
        <w:r>
          <w:rPr>
            <w:rStyle w:val="Hyperlink"/>
          </w:rPr>
          <w:t xml:space="preserve">documentation</w:t>
        </w:r>
      </w:hyperlink>
    </w:p>
    <w:bookmarkEnd w:id="111"/>
    <w:bookmarkEnd w:id="112"/>
    <w:bookmarkStart w:id="120"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6" w:name="git"/>
    <w:p>
      <w:pPr>
        <w:pStyle w:val="Heading3"/>
      </w:pPr>
      <w:r>
        <w:t xml:space="preserve">4.4.1</w:t>
      </w:r>
      <w:r>
        <w:t xml:space="preserve"> </w:t>
      </w:r>
      <w:r>
        <w:rPr>
          <w:rStyle w:val="VerbatimChar"/>
        </w:rPr>
        <w:t xml:space="preserve">git</w:t>
      </w:r>
    </w:p>
    <w:p>
      <w:pPr>
        <w:pStyle w:val="Compact"/>
        <w:numPr>
          <w:ilvl w:val="0"/>
          <w:numId w:val="1027"/>
        </w:numPr>
      </w:pPr>
      <w:hyperlink r:id="rId113">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4">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6"/>
    <w:bookmarkStart w:id="119" w:name="github"/>
    <w:p>
      <w:pPr>
        <w:pStyle w:val="Heading3"/>
      </w:pPr>
      <w:r>
        <w:t xml:space="preserve">4.4.2 GitHub</w:t>
      </w:r>
    </w:p>
    <w:p>
      <w:pPr>
        <w:pStyle w:val="Compact"/>
        <w:numPr>
          <w:ilvl w:val="0"/>
          <w:numId w:val="1028"/>
        </w:numPr>
      </w:pPr>
      <w:hyperlink r:id="rId117">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8">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9"/>
    <w:bookmarkEnd w:id="120"/>
    <w:bookmarkStart w:id="131" w:name="cheatsheets"/>
    <w:p>
      <w:pPr>
        <w:pStyle w:val="Heading2"/>
      </w:pPr>
      <w:r>
        <w:t xml:space="preserve">4.5 Cheatsheets</w:t>
      </w:r>
    </w:p>
    <w:p>
      <w:pPr>
        <w:pStyle w:val="Compact"/>
        <w:numPr>
          <w:ilvl w:val="0"/>
          <w:numId w:val="1029"/>
        </w:numPr>
      </w:pPr>
      <w:hyperlink r:id="rId121">
        <w:r>
          <w:rPr>
            <w:rStyle w:val="Hyperlink"/>
          </w:rPr>
          <w:t xml:space="preserve">Quarto/RMarkdown cheatsheet</w:t>
        </w:r>
      </w:hyperlink>
    </w:p>
    <w:p>
      <w:pPr>
        <w:pStyle w:val="Compact"/>
        <w:numPr>
          <w:ilvl w:val="0"/>
          <w:numId w:val="1029"/>
        </w:numPr>
      </w:pPr>
      <w:hyperlink r:id="rId122">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6">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7">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8">
        <w:r>
          <w:rPr>
            <w:rStyle w:val="VerbatimChar"/>
          </w:rPr>
          <w:t xml:space="preserve">Shiny</w:t>
        </w:r>
        <w:r>
          <w:rPr>
            <w:rStyle w:val="Hyperlink"/>
          </w:rPr>
          <w:t xml:space="preserve"> </w:t>
        </w:r>
        <w:r>
          <w:rPr>
            <w:rStyle w:val="Hyperlink"/>
          </w:rPr>
          <w:t xml:space="preserve">cheatsheet</w:t>
        </w:r>
      </w:hyperlink>
    </w:p>
    <w:p>
      <w:pPr>
        <w:pStyle w:val="Compact"/>
        <w:numPr>
          <w:ilvl w:val="0"/>
          <w:numId w:val="1029"/>
        </w:numPr>
      </w:pPr>
      <w:hyperlink r:id="rId129">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30">
        <w:r>
          <w:rPr>
            <w:rStyle w:val="Hyperlink"/>
          </w:rPr>
          <w:t xml:space="preserve">GitHub cheatsheet</w:t>
        </w:r>
      </w:hyperlink>
    </w:p>
    <w:bookmarkEnd w:id="131"/>
    <w:bookmarkEnd w:id="132"/>
    <w:bookmarkStart w:id="152" w:name="custom-callouts"/>
    <w:p>
      <w:pPr>
        <w:pStyle w:val="Heading1"/>
      </w:pPr>
      <w:r>
        <w:t xml:space="preserve">5. Custom Callouts</w:t>
      </w:r>
    </w:p>
    <w:p>
      <w:pPr>
        <w:pStyle w:val="FirstParagraph"/>
      </w:pPr>
      <w:r>
        <w:t xml:space="preserve">This page demonstrates the use of the</w:t>
      </w:r>
      <w:r>
        <w:t xml:space="preserve"> </w:t>
      </w:r>
      <w:hyperlink r:id="rId133">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33">
        <w:r>
          <w:rPr>
            <w:rStyle w:val="VerbatimChar"/>
          </w:rPr>
          <w:t xml:space="preserve">quarto-custom-callout</w:t>
        </w:r>
        <w:r>
          <w:rPr>
            <w:rStyle w:val="Hyperlink"/>
          </w:rPr>
          <w:t xml:space="preserve"> </w:t>
        </w:r>
        <w:r>
          <w:rPr>
            <w:rStyle w:val="Hyperlink"/>
          </w:rPr>
          <w:t xml:space="preserve">examples and documentation</w:t>
        </w:r>
      </w:hyperlink>
    </w:p>
    <w:bookmarkStart w:id="145"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caution.png" id="13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important.png" id="13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opt/quarto/share/formats/docx/tip.png" id="14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opt/quarto/share/formats/docx/caution.png" id="14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5"/>
    <w:bookmarkStart w:id="150"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warning.png" id="1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tip.png" id="14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50"/>
    <w:bookmarkStart w:id="151"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51"/>
    <w:bookmarkEnd w:id="152"/>
    <w:bookmarkStart w:id="162"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53">
        <w:r>
          <w:rPr>
            <w:rStyle w:val="Hyperlink"/>
          </w:rPr>
          <w:t xml:space="preserve">Quarto video embedding documentation</w:t>
        </w:r>
      </w:hyperlink>
    </w:p>
    <w:bookmarkStart w:id="157"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6"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6"/>
    <w:bookmarkEnd w:id="157"/>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8" w:name="remote-video-file"/>
    <w:p>
      <w:pPr>
        <w:pStyle w:val="Heading3"/>
      </w:pPr>
      <w:r>
        <w:t xml:space="preserve">6.1.2 Remote video file</w:t>
      </w:r>
    </w:p>
    <w:bookmarkEnd w:id="158"/>
    <w:p>
      <w:pPr>
        <w:pStyle w:val="Heading2"/>
      </w:pPr>
      <w:r>
        <w:t xml:space="preserve">Appearance</w:t>
      </w:r>
    </w:p>
    <w:p>
      <w:pPr>
        <w:pStyle w:val="FirstParagraph"/>
      </w:pPr>
      <w:hyperlink r:id="rId159">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60"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60"/>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61"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61"/>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62"/>
    <w:bookmarkStart w:id="178"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warning.png" id="1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5"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5"/>
    <w:p>
      <w:pPr>
        <w:pStyle w:val="Heading2"/>
      </w:pPr>
      <w:r>
        <w:t xml:space="preserve">Appearance</w:t>
      </w:r>
    </w:p>
    <w:p>
      <w:pPr>
        <w:pStyle w:val="CaptionedFigure"/>
      </w:pPr>
      <w:r>
        <w:drawing>
          <wp:inline>
            <wp:extent cx="5334000" cy="7010400"/>
            <wp:effectExtent b="0" l="0" r="0" t="0"/>
            <wp:docPr descr="Kiepas et al. (2024)" title="" id="167" name="Picture"/>
            <a:graphic>
              <a:graphicData uri="http://schemas.openxmlformats.org/drawingml/2006/picture">
                <pic:pic>
                  <pic:nvPicPr>
                    <pic:cNvPr descr="assets/papers/kiepas_et_al_2024.pdf" id="168" name="Picture"/>
                    <pic:cNvPicPr>
                      <a:picLocks noChangeArrowheads="1" noChangeAspect="1"/>
                    </pic:cNvPicPr>
                  </pic:nvPicPr>
                  <pic:blipFill>
                    <a:blip r:embed="rId166"/>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9"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9"/>
    <w:p>
      <w:pPr>
        <w:pStyle w:val="Heading2"/>
      </w:pPr>
      <w:r>
        <w:t xml:space="preserve">Appearance</w:t>
      </w:r>
    </w:p>
    <w:p>
      <w:pPr>
        <w:pStyle w:val="CaptionedFigure"/>
      </w:pPr>
      <w:r>
        <w:drawing>
          <wp:inline>
            <wp:extent cx="2174184" cy="2857500"/>
            <wp:effectExtent b="0" l="0" r="0" t="0"/>
            <wp:docPr descr="Kiepas et al. (2024)" title="" id="170" name="Picture"/>
            <a:graphic>
              <a:graphicData uri="http://schemas.openxmlformats.org/drawingml/2006/picture">
                <pic:pic>
                  <pic:nvPicPr>
                    <pic:cNvPr descr="assets/papers/kiepas_et_al_2024.pdf" id="171" name="Picture"/>
                    <pic:cNvPicPr>
                      <a:picLocks noChangeArrowheads="1" noChangeAspect="1"/>
                    </pic:cNvPicPr>
                  </pic:nvPicPr>
                  <pic:blipFill>
                    <a:blip r:embed="rId166"/>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5"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72">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73">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4">
        <w:r>
          <w:rPr>
            <w:rStyle w:val="Hyperlink"/>
          </w:rPr>
          <w:t xml:space="preserve">shortcodes</w:t>
        </w:r>
      </w:hyperlink>
      <w:r>
        <w:t xml:space="preserve">, e.g.:</w:t>
      </w:r>
    </w:p>
    <w:p>
      <w:pPr>
        <w:pStyle w:val="SourceCode"/>
      </w:pPr>
      <w:r>
        <w:rPr>
          <w:rStyle w:val="NormalTok"/>
        </w:rPr>
        <w:t xml:space="preserve">{{&lt; pdf example.pdf &gt;}}</w:t>
      </w:r>
    </w:p>
    <w:bookmarkEnd w:id="175"/>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6"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6"/>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7"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7"/>
    <w:bookmarkEnd w:id="178"/>
    <w:bookmarkStart w:id="199"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9">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80">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9">
        <w:r>
          <w:rPr>
            <w:rStyle w:val="VerbatimChar"/>
          </w:rPr>
          <w:t xml:space="preserve">naquiz</w:t>
        </w:r>
        <w:r>
          <w:rPr>
            <w:rStyle w:val="Hyperlink"/>
          </w:rPr>
          <w:t xml:space="preserve"> </w:t>
        </w:r>
        <w:r>
          <w:rPr>
            <w:rStyle w:val="Hyperlink"/>
          </w:rPr>
          <w:t xml:space="preserve">examples and documentation</w:t>
        </w:r>
      </w:hyperlink>
    </w:p>
    <w:bookmarkStart w:id="182" w:name="multiple-choice-questions"/>
    <w:p>
      <w:pPr>
        <w:pStyle w:val="Heading2"/>
      </w:pPr>
      <w:r>
        <w:t xml:space="preserve">8.1 Multiple Choice Questions</w:t>
      </w:r>
    </w:p>
    <w:bookmarkStart w:id="181"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81"/>
    <w:bookmarkEnd w:id="182"/>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caution.png" id="18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5"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5"/>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important.png" id="18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8"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important.png" id="190"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91"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9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4"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8"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caution.png" id="19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01">
              <w:r>
                <w:rPr>
                  <w:rStyle w:val="Hyperlink"/>
                </w:rPr>
                <w:t xml:space="preserve">Shiny</w:t>
              </w:r>
            </w:hyperlink>
            <w:r>
              <w:t xml:space="preserve"> </w:t>
            </w:r>
            <w:r>
              <w:t xml:space="preserve">or</w:t>
            </w:r>
            <w:r>
              <w:t xml:space="preserve"> </w:t>
            </w:r>
            <w:hyperlink r:id="rId107">
              <w:r>
                <w:rPr>
                  <w:rStyle w:val="Hyperlink"/>
                </w:rPr>
                <w:t xml:space="preserve">Shinylive</w:t>
              </w:r>
            </w:hyperlink>
            <w:r>
              <w:t xml:space="preserve"> </w:t>
            </w:r>
            <w:r>
              <w:t xml:space="preserve">solution, or a solution like</w:t>
            </w:r>
            <w:r>
              <w:t xml:space="preserve"> </w:t>
            </w:r>
            <w:hyperlink r:id="rId197">
              <w:r>
                <w:rPr>
                  <w:rStyle w:val="Hyperlink"/>
                </w:rPr>
                <w:t xml:space="preserve">Numbas</w:t>
              </w:r>
            </w:hyperlink>
            <w:r>
              <w:t xml:space="preserve">.</w:t>
            </w:r>
          </w:p>
        </w:tc>
      </w:tr>
    </w:tbl>
    <w:bookmarkEnd w:id="19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12?</w:t>
            </w:r>
          </w:p>
          <w:p>
            <w:pPr>
              <w:pStyle w:val="BodyText"/>
            </w:pPr>
            <w:r>
              <w:t xml:space="preserve">-8</w:t>
            </w:r>
          </w:p>
          <w:p>
            <w:pPr>
              <w:pStyle w:val="BodyText"/>
            </w:pPr>
            <w:r>
              <w:t xml:space="preserve">16</w:t>
            </w:r>
          </w:p>
          <w:p>
            <w:pPr>
              <w:pStyle w:val="BodyText"/>
            </w:pPr>
            <w:r>
              <w:t xml:space="preserve">8</w:t>
            </w:r>
          </w:p>
          <w:p>
            <w:pPr>
              <w:pStyle w:val="BodyText"/>
            </w:pPr>
            <w:r>
              <w:t xml:space="preserve">48</w:t>
            </w:r>
          </w:p>
          <w:p>
            <w:pPr>
              <w:pStyle w:val="BodyText"/>
            </w:pPr>
            <w:r>
              <w:t xml:space="preserve">You need to add the two numbers 4 and 12</w:t>
            </w:r>
          </w:p>
          <w:p>
            <w:pPr>
              <w:pStyle w:val="BodyText"/>
            </w:pPr>
            <w:r>
              <w:t xml:space="preserve">4 + 12 = 16</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9"/>
    <w:bookmarkStart w:id="23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200" w:name="introduction-2"/>
    <w:p>
      <w:pPr>
        <w:pStyle w:val="Heading2"/>
      </w:pPr>
      <w:r>
        <w:t xml:space="preserve">9.1 Introduction</w:t>
      </w:r>
    </w:p>
    <w:p>
      <w:pPr>
        <w:pStyle w:val="FirstParagraph"/>
      </w:pPr>
      <w:r>
        <w:t xml:space="preserve">This page provides a</w:t>
      </w:r>
      <w:r>
        <w:t xml:space="preserve"> </w:t>
      </w:r>
      <w:hyperlink r:id="rId11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10">
        <w:r>
          <w:rPr>
            <w:rStyle w:val="VerbatimChar"/>
          </w:rPr>
          <w:t xml:space="preserve">WebR</w:t>
        </w:r>
        <w:r>
          <w:rPr>
            <w:rStyle w:val="Hyperlink"/>
          </w:rPr>
          <w:t xml:space="preserve"> </w:t>
        </w:r>
        <w:r>
          <w:rPr>
            <w:rStyle w:val="Hyperlink"/>
          </w:rPr>
          <w:t xml:space="preserve">documentation</w:t>
        </w:r>
      </w:hyperlink>
    </w:p>
    <w:bookmarkEnd w:id="200"/>
    <w:bookmarkStart w:id="201" w:name="playground"/>
    <w:p>
      <w:pPr>
        <w:pStyle w:val="Heading2"/>
      </w:pPr>
      <w:r>
        <w:t xml:space="preserve">9.2 Playground</w:t>
      </w:r>
    </w:p>
    <w:bookmarkEnd w:id="201"/>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202" w:name="examples-to-try"/>
    <w:p>
      <w:pPr>
        <w:pStyle w:val="Heading2"/>
      </w:pPr>
      <w:r>
        <w:t xml:space="preserve">9.3 Examples to try</w:t>
      </w:r>
    </w:p>
    <w:bookmarkEnd w:id="202"/>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203">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7"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4"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4"/>
    <w:bookmarkStart w:id="205"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5"/>
    <w:bookmarkStart w:id="206"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6"/>
    <w:bookmarkEnd w:id="207"/>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2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08"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8"/>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p>
      <w:pPr>
        <w:pStyle w:val="Heading2"/>
      </w:pPr>
      <w:r>
        <w:t xml:space="preserve">Code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(bslib)</w:t>
      </w:r>
      <w:r>
        <w:br/>
      </w:r>
      <w:r>
        <w:br/>
      </w:r>
      <w:r>
        <w:rPr>
          <w:rStyle w:val="CommentTok"/>
        </w:rPr>
        <w:t xml:space="preserve"># Define UI for app that draws a histogram ----</w:t>
      </w:r>
      <w:r>
        <w:br/>
      </w:r>
      <w:r>
        <w:rPr>
          <w:rStyle w:val="NormalTok"/>
        </w:rPr>
        <w:t xml:space="preserve">ui </w:t>
      </w:r>
      <w:r>
        <w:rPr>
          <w:rStyle w:val="OtherTok"/>
        </w:rPr>
        <w:t xml:space="preserve">&lt;-</w:t>
      </w:r>
      <w:r>
        <w:rPr>
          <w:rStyle w:val="NormalTok"/>
        </w:rPr>
        <w:t xml:space="preserve"> </w:t>
      </w:r>
      <w:r>
        <w:rPr>
          <w:rStyle w:val="FunctionTok"/>
        </w:rPr>
        <w:t xml:space="preserve">page_sidebar</w:t>
      </w:r>
      <w:r>
        <w:rPr>
          <w:rStyle w:val="NormalTok"/>
        </w:rPr>
        <w:t xml:space="preserve">(</w:t>
      </w:r>
      <w:r>
        <w:br/>
      </w:r>
      <w:r>
        <w:rPr>
          <w:rStyle w:val="NormalTok"/>
        </w:rPr>
        <w:t xml:space="preserve">  </w:t>
      </w:r>
      <w:r>
        <w:rPr>
          <w:rStyle w:val="AttributeTok"/>
        </w:rPr>
        <w:t xml:space="preserve">sidebar =</w:t>
      </w:r>
      <w:r>
        <w:rPr>
          <w:rStyle w:val="NormalTok"/>
        </w:rPr>
        <w:t xml:space="preserve"> </w:t>
      </w:r>
      <w:r>
        <w:rPr>
          <w:rStyle w:val="FunctionTok"/>
        </w:rPr>
        <w:t xml:space="preserve">sidebar</w:t>
      </w:r>
      <w:r>
        <w:rPr>
          <w:rStyle w:val="NormalTok"/>
        </w:rPr>
        <w:t xml:space="preserve">(</w:t>
      </w:r>
      <w:r>
        <w:rPr>
          <w:rStyle w:val="AttributeTok"/>
        </w:rPr>
        <w:t xml:space="preserve">open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FunctionTok"/>
        </w:rPr>
        <w:t xml:space="preserve">numericInput</w:t>
      </w:r>
      <w:r>
        <w:rPr>
          <w:rStyle w:val="NormalTok"/>
        </w:rPr>
        <w:t xml:space="preserve">(</w:t>
      </w:r>
      <w:r>
        <w:rPr>
          <w:rStyle w:val="StringTok"/>
        </w:rPr>
        <w:t xml:space="preserve">"n"</w:t>
      </w:r>
      <w:r>
        <w:rPr>
          <w:rStyle w:val="NormalTok"/>
        </w:rPr>
        <w:t xml:space="preserve">, </w:t>
      </w:r>
      <w:r>
        <w:rPr>
          <w:rStyle w:val="StringTok"/>
        </w:rPr>
        <w:t xml:space="preserve">"Sample count"</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checkboxInput</w:t>
      </w:r>
      <w:r>
        <w:rPr>
          <w:rStyle w:val="NormalTok"/>
        </w:rPr>
        <w:t xml:space="preserve">(</w:t>
      </w:r>
      <w:r>
        <w:rPr>
          <w:rStyle w:val="StringTok"/>
        </w:rPr>
        <w:t xml:space="preserve">"pause"</w:t>
      </w:r>
      <w:r>
        <w:rPr>
          <w:rStyle w:val="NormalTok"/>
        </w:rPr>
        <w:t xml:space="preserve">, </w:t>
      </w:r>
      <w:r>
        <w:rPr>
          <w:rStyle w:val="StringTok"/>
        </w:rPr>
        <w:t xml:space="preserve">"Pause"</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width=</w:t>
      </w:r>
      <w:r>
        <w:rPr>
          <w:rStyle w:val="DecValTok"/>
        </w:rPr>
        <w:t xml:space="preserve">500</w:t>
      </w:r>
      <w:r>
        <w:rPr>
          <w:rStyle w:val="NormalTok"/>
        </w:rPr>
        <w:t xml:space="preserve">)</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input</w:t>
      </w:r>
      <w:r>
        <w:rPr>
          <w:rStyle w:val="SpecialCharTok"/>
        </w:rPr>
        <w:t xml:space="preserve">$</w:t>
      </w:r>
      <w:r>
        <w:rPr>
          <w:rStyle w:val="NormalTok"/>
        </w:rPr>
        <w:t xml:space="preserve">resample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isTRUE</w:t>
      </w:r>
      <w:r>
        <w:rPr>
          <w:rStyle w:val="NormalTok"/>
        </w:rPr>
        <w:t xml:space="preserve">(input</w:t>
      </w:r>
      <w:r>
        <w:rPr>
          <w:rStyle w:val="SpecialCharTok"/>
        </w:rPr>
        <w:t xml:space="preserve">$</w:t>
      </w:r>
      <w:r>
        <w:rPr>
          <w:rStyle w:val="NormalTok"/>
        </w:rPr>
        <w:t xml:space="preserve">pause)) {</w:t>
      </w:r>
      <w:r>
        <w:br/>
      </w:r>
      <w:r>
        <w:rPr>
          <w:rStyle w:val="NormalTok"/>
        </w:rPr>
        <w:t xml:space="preserve">      </w:t>
      </w:r>
      <w:r>
        <w:rPr>
          <w:rStyle w:val="FunctionTok"/>
        </w:rPr>
        <w:t xml:space="preserve">invalidateLater</w:t>
      </w:r>
      <w:r>
        <w:rPr>
          <w:rStyle w:val="Normal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FunctionTok"/>
        </w:rPr>
        <w:t xml:space="preserve">rnorm</w:t>
      </w:r>
      <w:r>
        <w:rPr>
          <w:rStyle w:val="NormalTok"/>
        </w:rPr>
        <w:t xml:space="preserve">(input</w:t>
      </w:r>
      <w:r>
        <w:rPr>
          <w:rStyle w:val="SpecialCharTok"/>
        </w:rPr>
        <w:t xml:space="preserve">$</w:t>
      </w:r>
      <w:r>
        <w:rPr>
          <w:rStyle w:val="NormalTok"/>
        </w:rPr>
        <w:t xml:space="preserve">n)</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cex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FunctionTok"/>
        </w:rPr>
        <w:t xml:space="preserve">hist</w:t>
      </w:r>
      <w:r>
        <w:rPr>
          <w:rStyle w:val="NormalTok"/>
        </w:rPr>
        <w:t xml:space="preserve">(</w:t>
      </w:r>
      <w:r>
        <w:rPr>
          <w:rStyle w:val="FunctionTok"/>
        </w:rPr>
        <w:t xml:space="preserve">data</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StringTok"/>
        </w:rPr>
        <w:t xml:space="preserve">"blank"</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w:t>
      </w:r>
      <w:r>
        <w:br/>
      </w:r>
      <w:r>
        <w:rPr>
          <w:rStyle w:val="NormalTok"/>
        </w:rPr>
        <w:t xml:space="preserve">    )</w:t>
      </w:r>
      <w:r>
        <w:br/>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2</w:t>
      </w:r>
      <w:r>
        <w:rPr>
          <w:rStyle w:val="NormalTok"/>
        </w:rPr>
        <w:t xml:space="preserve">, </w:t>
      </w:r>
      <w:r>
        <w:rPr>
          <w:rStyle w:val="AttributeTok"/>
        </w:rPr>
        <w:t xml:space="preserve">length.out =</w:t>
      </w:r>
      <w:r>
        <w:rPr>
          <w:rStyle w:val="NormalTok"/>
        </w:rPr>
        <w:t xml:space="preserve"> </w:t>
      </w:r>
      <w:r>
        <w:rPr>
          <w:rStyle w:val="DecValTok"/>
        </w:rPr>
        <w:t xml:space="preserve">500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    </w:t>
      </w:r>
      <w:r>
        <w:rPr>
          <w:rStyle w:val="FunctionTok"/>
        </w:rPr>
        <w:t xml:space="preserve">lines</w:t>
      </w:r>
      <w:r>
        <w:rPr>
          <w:rStyle w:val="NormalTok"/>
        </w:rPr>
        <w:t xml:space="preserve">(x, y, </w:t>
      </w:r>
      <w:r>
        <w:rPr>
          <w:rStyle w:val="AttributeTok"/>
        </w:rPr>
        <w:t xml:space="preserve">lwd=</w:t>
      </w:r>
      <w:r>
        <w:rPr>
          <w:rStyle w:val="FloatTok"/>
        </w:rPr>
        <w:t xml:space="preserve">1.5</w:t>
      </w:r>
      <w:r>
        <w:rPr>
          <w:rStyle w:val="NormalTok"/>
        </w:rPr>
        <w:t xml:space="preserve">)</w:t>
      </w:r>
      <w:r>
        <w:br/>
      </w:r>
      <w:r>
        <w:rPr>
          <w:rStyle w:val="NormalTok"/>
        </w:rPr>
        <w:t xml:space="preserve">    </w:t>
      </w:r>
      <w:r>
        <w:br/>
      </w:r>
      <w:r>
        <w:rPr>
          <w:rStyle w:val="NormalTok"/>
        </w:rPr>
        <w:t xml:space="preserve">    lwd </w:t>
      </w:r>
      <w:r>
        <w:rPr>
          <w:rStyle w:val="OtherTok"/>
        </w:rPr>
        <w:t xml:space="preserve">&lt;-</w:t>
      </w:r>
      <w:r>
        <w:rPr>
          <w:rStyle w:val="NormalTok"/>
        </w:rPr>
        <w:t xml:space="preserve"> </w:t>
      </w:r>
      <w:r>
        <w:rPr>
          <w:rStyle w:val="DecValTok"/>
        </w:rPr>
        <w:t xml:space="preserve">5</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w:t>
      </w:r>
      <w:r>
        <w:rPr>
          <w:rStyle w:val="FunctionTok"/>
        </w:rPr>
        <w:t xml:space="preserve">data</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"Mean"</w:t>
      </w:r>
      <w:r>
        <w:rPr>
          <w:rStyle w:val="NormalTok"/>
        </w:rPr>
        <w:t xml:space="preserve">, </w:t>
      </w:r>
      <w:r>
        <w:rPr>
          <w:rStyle w:val="StringTok"/>
        </w:rPr>
        <w:t xml:space="preserve">"Sample mean"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lwd, lwd),</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br/>
      </w:r>
      <w:r>
        <w:rPr>
          <w:rStyle w:val="NormalTok"/>
        </w:rPr>
        <w:t xml:space="preserve">    )</w:t>
      </w:r>
      <w:r>
        <w:br/>
      </w:r>
      <w:r>
        <w:rPr>
          <w:rStyle w:val="NormalTok"/>
        </w:rPr>
        <w:t xml:space="preserve">  }, </w:t>
      </w:r>
      <w:r>
        <w:rPr>
          <w:rStyle w:val="AttributeTok"/>
        </w:rPr>
        <w:t xml:space="preserve">res=</w:t>
      </w:r>
      <w:r>
        <w:rPr>
          <w:rStyle w:val="DecValTok"/>
        </w:rPr>
        <w:t xml:space="preserve">140</w:t>
      </w:r>
      <w:r>
        <w:rPr>
          <w:rStyle w:val="NormalTok"/>
        </w:rPr>
        <w:t xml:space="preserve">)</w:t>
      </w:r>
      <w:r>
        <w:br/>
      </w:r>
      <w:r>
        <w:rPr>
          <w:rStyle w:val="NormalTok"/>
        </w:rPr>
        <w:t xml:space="preserve">}</w:t>
      </w:r>
      <w:r>
        <w:br/>
      </w:r>
      <w:r>
        <w:br/>
      </w:r>
      <w:r>
        <w:rPr>
          <w:rStyle w:val="CommentTok"/>
        </w:rPr>
        <w:t xml:space="preserve"># Create Shiny app ----</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p>
      <w:pPr>
        <w:pStyle w:val="Heading2"/>
      </w:pPr>
      <w:r>
        <w:t xml:space="preserve">The fundamentals of a Shiny app</w:t>
      </w:r>
    </w:p>
    <w:p>
      <w:pPr>
        <w:pStyle w:val="FirstParagraph"/>
      </w:pPr>
      <w:r>
        <w:t xml:space="preserve">We don’t have space here for a tutorial on how to use Shiny. There is a learning curve, and we can recommend a number of online resources for you to get up to speed with this package, including:</w:t>
      </w:r>
    </w:p>
    <w:p>
      <w:pPr>
        <w:pStyle w:val="Compact"/>
        <w:numPr>
          <w:ilvl w:val="0"/>
          <w:numId w:val="1037"/>
        </w:numPr>
      </w:pPr>
      <w:hyperlink r:id="rId101">
        <w:r>
          <w:rPr>
            <w:rStyle w:val="VerbatimChar"/>
          </w:rPr>
          <w:t xml:space="preserve">Shiny</w:t>
        </w:r>
        <w:r>
          <w:rPr>
            <w:rStyle w:val="Hyperlink"/>
          </w:rPr>
          <w:t xml:space="preserve"> </w:t>
        </w:r>
        <w:r>
          <w:rPr>
            <w:rStyle w:val="Hyperlink"/>
          </w:rPr>
          <w:t xml:space="preserve">documentation</w:t>
        </w:r>
      </w:hyperlink>
    </w:p>
    <w:p>
      <w:pPr>
        <w:pStyle w:val="Compact"/>
        <w:numPr>
          <w:ilvl w:val="1"/>
          <w:numId w:val="1038"/>
        </w:numPr>
      </w:pPr>
      <w:hyperlink r:id="rId128">
        <w:r>
          <w:rPr>
            <w:rStyle w:val="VerbatimChar"/>
          </w:rPr>
          <w:t xml:space="preserve">Shiny</w:t>
        </w:r>
        <w:r>
          <w:rPr>
            <w:rStyle w:val="Hyperlink"/>
          </w:rPr>
          <w:t xml:space="preserve"> </w:t>
        </w:r>
        <w:r>
          <w:rPr>
            <w:rStyle w:val="Hyperlink"/>
          </w:rPr>
          <w:t xml:space="preserve">cheatsheet</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bare bones</w:t>
            </w:r>
          </w:p>
        </w:tc>
      </w:tr>
      <w:tr>
        <w:trPr>
          <w:cantSplit/>
        </w:trPr>
        <w:tc>
          <w:tcPr>
            <w:tcMar>
              <w:top w:w="108" w:type="dxa"/>
              <w:bottom w:w="108" w:type="dxa"/>
            </w:tcMar>
          </w:tcPr>
          <w:p>
            <w:pPr>
              <w:pStyle w:val="BodyText"/>
            </w:pPr>
            <w:pPr>
              <w:spacing w:before="16"/>
            </w:pPr>
            <w:r>
              <w:t xml:space="preserve">To implement a Shiny app, you need to define three things in your</w:t>
            </w:r>
            <w:r>
              <w:t xml:space="preserve"> </w:t>
            </w:r>
            <w:r>
              <w:rPr>
                <w:rStyle w:val="VerbatimChar"/>
              </w:rPr>
              <w:t xml:space="preserve">R</w:t>
            </w:r>
            <w:r>
              <w:t xml:space="preserve"> </w:t>
            </w:r>
            <w:r>
              <w:t xml:space="preserve">code:</w:t>
            </w:r>
          </w:p>
          <w:p>
            <w:pPr>
              <w:pStyle w:val="Compact"/>
              <w:numPr>
                <w:ilvl w:val="0"/>
                <w:numId w:val="1039"/>
              </w:numPr>
            </w:pPr>
            <w:r>
              <w:t xml:space="preserve">a</w:t>
            </w:r>
            <w:r>
              <w:t xml:space="preserve"> </w:t>
            </w:r>
            <w:r>
              <w:rPr>
                <w:i/>
                <w:iCs/>
              </w:rPr>
              <w:t xml:space="preserve">user interface</w:t>
            </w:r>
            <w:r>
              <w:t xml:space="preserve"> </w:t>
            </w:r>
            <w:r>
              <w:t xml:space="preserve">object that defines how the user interacts with the app (sliders, checkboxes, plots, etc.)</w:t>
            </w:r>
          </w:p>
          <w:p>
            <w:pPr>
              <w:pStyle w:val="Compact"/>
              <w:numPr>
                <w:ilvl w:val="0"/>
                <w:numId w:val="1039"/>
              </w:numPr>
            </w:pPr>
            <w:r>
              <w:t xml:space="preserve">a</w:t>
            </w:r>
            <w:r>
              <w:t xml:space="preserve"> </w:t>
            </w:r>
            <w:r>
              <w:rPr>
                <w:i/>
                <w:iCs/>
              </w:rPr>
              <w:t xml:space="preserve">server</w:t>
            </w:r>
            <w:r>
              <w:t xml:space="preserve"> </w:t>
            </w:r>
            <w:r>
              <w:t xml:space="preserve">function that returns values to be displayed by the</w:t>
            </w:r>
            <w:r>
              <w:t xml:space="preserve"> </w:t>
            </w:r>
            <w:r>
              <w:rPr>
                <w:i/>
                <w:iCs/>
              </w:rPr>
              <w:t xml:space="preserve">user interface</w:t>
            </w:r>
          </w:p>
          <w:p>
            <w:pPr>
              <w:pStyle w:val="Compact"/>
              <w:numPr>
                <w:ilvl w:val="0"/>
                <w:numId w:val="1039"/>
              </w:numPr>
            </w:pPr>
            <w:r>
              <w:t xml:space="preserve">a call to the</w:t>
            </w:r>
            <w:r>
              <w:t xml:space="preserve"> </w:t>
            </w:r>
            <w:r>
              <w:rPr>
                <w:rStyle w:val="VerbatimChar"/>
              </w:rPr>
              <w:t xml:space="preserve">shinyApp()</w:t>
            </w:r>
            <w:r>
              <w:t xml:space="preserve"> </w:t>
            </w:r>
            <w:r>
              <w:t xml:space="preserve">function</w:t>
            </w:r>
          </w:p>
          <w:p>
            <w:pPr>
              <w:pStyle w:val="SourceCode"/>
            </w:pPr>
            <w:r>
              <w:rPr>
                <w:rStyle w:val="FunctionTok"/>
              </w:rPr>
              <w:t xml:space="preserve">library</w:t>
            </w:r>
            <w:r>
              <w:rPr>
                <w:rStyle w:val="NormalTok"/>
              </w:rPr>
              <w:t xml:space="preserve">(shiny)   </w:t>
            </w:r>
            <w:r>
              <w:rPr>
                <w:rStyle w:val="CommentTok"/>
              </w:rPr>
              <w:t xml:space="preserve"># of course, you have to make the Shiny package available</w:t>
            </w:r>
            <w:r>
              <w:br/>
            </w:r>
            <w:r>
              <w:br/>
            </w:r>
            <w:r>
              <w:rPr>
                <w:rStyle w:val="NormalTok"/>
              </w:rPr>
              <w:t xml:space="preserve">ui </w:t>
            </w:r>
            <w:r>
              <w:rPr>
                <w:rStyle w:val="OtherTok"/>
              </w:rPr>
              <w:t xml:space="preserve">&lt;-</w:t>
            </w:r>
            <w:r>
              <w:rPr>
                <w:rStyle w:val="NormalTok"/>
              </w:rPr>
              <w:t xml:space="preserve"> {CODE DEFINING USER INTERFACE}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{CODE DEFINING WHAT HAPPENS}</w:t>
            </w:r>
            <w:r>
              <w:br/>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c>
      </w:tr>
    </w:tbl>
    <w:p>
      <w:pPr>
        <w:pStyle w:val="Heading2"/>
      </w:pPr>
      <w:r>
        <w:t xml:space="preserve">What you need to do special for</w:t>
      </w:r>
      <w:r>
        <w:t xml:space="preserve"> </w:t>
      </w:r>
      <w:r>
        <w:rPr>
          <w:rStyle w:val="VerbatimChar"/>
        </w:rPr>
        <w:t xml:space="preserve">shinylive</w:t>
      </w:r>
    </w:p>
    <w:p>
      <w:pPr>
        <w:pStyle w:val="FirstParagraph"/>
      </w:pPr>
      <w:r>
        <w:t xml:space="preserve">Under normal circumstances, the Shiny code with the three elements above would run on a Shiny server, and you wouldn’t need to do much else. But with</w:t>
      </w:r>
      <w:r>
        <w:t xml:space="preserve"> </w:t>
      </w:r>
      <w:r>
        <w:rPr>
          <w:rStyle w:val="VerbatimChar"/>
        </w:rPr>
        <w:t xml:space="preserve">shinylive</w:t>
      </w:r>
      <w:r>
        <w:t xml:space="preserve"> </w:t>
      </w:r>
      <w:r>
        <w:t xml:space="preserve">and Quarto you need to place the app on the page, and tell Quarto that you want to use the</w:t>
      </w:r>
      <w:r>
        <w:t xml:space="preserve"> </w:t>
      </w:r>
      <w:r>
        <w:rPr>
          <w:rStyle w:val="VerbatimChar"/>
        </w:rPr>
        <w:t xml:space="preserve">shinylive</w:t>
      </w:r>
      <w:r>
        <w:t xml:space="preserve"> </w:t>
      </w:r>
      <w:r>
        <w:t xml:space="preserve">filter. Firstly, the header of the page should be defined in</w:t>
      </w:r>
      <w:r>
        <w:t xml:space="preserve"> </w:t>
      </w:r>
      <w:r>
        <w:rPr>
          <w:rStyle w:val="VerbatimChar"/>
        </w:rPr>
        <w:t xml:space="preserve">YAML</w:t>
      </w:r>
      <w:r>
        <w:t xml:space="preserve"> </w:t>
      </w:r>
      <w:r>
        <w:t xml:space="preserve">as, e.g.:</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"Using `shinylive`"</w:t>
      </w:r>
      <w:r>
        <w:br/>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shinylive</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r>
        <w:br/>
      </w:r>
      <w:r>
        <w:rPr>
          <w:rStyle w:val="Preprocess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format:</w:t>
            </w:r>
            <w:r>
              <w:t xml:space="preserve"> </w:t>
            </w:r>
            <w:r>
              <w:t xml:space="preserve">section is required to fix a layout problem with</w:t>
            </w:r>
            <w:r>
              <w:t xml:space="preserve"> </w:t>
            </w:r>
            <w:r>
              <w:rPr>
                <w:rStyle w:val="VerbatimChar"/>
              </w:rPr>
              <w:t xml:space="preserve">r-shinylive</w:t>
            </w:r>
            <w:r>
              <w:t xml:space="preserve"> </w:t>
            </w:r>
            <w:r>
              <w:t xml:space="preserve">interactive editors, described in</w:t>
            </w:r>
            <w:r>
              <w:t xml:space="preserve"> </w:t>
            </w:r>
            <w:r>
              <w:rPr>
                <w:b/>
                <w:bCs/>
              </w:rPr>
              <w:t xml:space="preserve">?@sec-editor</w:t>
            </w:r>
            <w:r>
              <w:t xml:space="preserve">.</w:t>
            </w:r>
          </w:p>
        </w:tc>
      </w:tr>
    </w:tbl>
    <w:p>
      <w:pPr>
        <w:pStyle w:val="BodyText"/>
      </w:pPr>
      <w:r>
        <w:t xml:space="preserve">This requires a new kind of fenced block stating that it is</w:t>
      </w:r>
      <w:r>
        <w:t xml:space="preserve"> </w:t>
      </w:r>
      <w:r>
        <w:rPr>
          <w:rStyle w:val="VerbatimChar"/>
        </w:rPr>
        <w:t xml:space="preserve">{shinylive-r}</w:t>
      </w:r>
      <w:r>
        <w:t xml:space="preserve">:</w:t>
      </w:r>
    </w:p>
    <w:p>
      <w:pPr>
        <w:pStyle w:val="SourceCode"/>
      </w:pPr>
      <w:r>
        <w:rPr>
          <w:rStyle w:val="InformationTok"/>
        </w:rPr>
        <w:t xml:space="preserve">```{shinylive-r}</w:t>
      </w:r>
      <w:r>
        <w:br/>
      </w:r>
      <w:r>
        <w:rPr>
          <w:rStyle w:val="ExtensionTok"/>
        </w:rPr>
        <w:t xml:space="preserve">{CODE</w:t>
      </w:r>
      <w:r>
        <w:rPr>
          <w:rStyle w:val="NormalTok"/>
        </w:rPr>
        <w:t xml:space="preserve"> GOES HERE}</w:t>
      </w:r>
      <w:r>
        <w:br/>
      </w:r>
      <w:r>
        <w:rPr>
          <w:rStyle w:val="InformationTok"/>
        </w:rPr>
        <w:t xml:space="preserve">```</w:t>
      </w:r>
    </w:p>
    <w:p>
      <w:pPr>
        <w:pStyle w:val="FirstParagraph"/>
      </w:pPr>
      <w:r>
        <w:t xml:space="preserve">and there are new block-level arguments controlling on-page display, e.g.</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important.png" id="21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standalone:true</w:t>
            </w:r>
            <w:r>
              <w:t xml:space="preserve"> </w:t>
            </w:r>
            <w:r>
              <w:t xml:space="preserve">setting is required for the compiled app to run in your public repository. This setting tells</w:t>
            </w:r>
            <w:r>
              <w:t xml:space="preserve"> </w:t>
            </w:r>
            <w:r>
              <w:rPr>
                <w:rStyle w:val="VerbatimChar"/>
              </w:rPr>
              <w:t xml:space="preserve">shinylive</w:t>
            </w:r>
            <w:r>
              <w:t xml:space="preserve"> </w:t>
            </w:r>
            <w:r>
              <w:t xml:space="preserve">that the entire app is contained within the fenced code block.</w:t>
            </w:r>
          </w:p>
        </w:tc>
      </w:tr>
    </w:tbl>
    <w:bookmarkStart w:id="215" w:name="example"/>
    <w:p>
      <w:pPr>
        <w:pStyle w:val="Heading3"/>
      </w:pPr>
      <w:r>
        <w:t xml:space="preserve">10.0.1 Example</w:t>
      </w:r>
    </w:p>
    <w:p>
      <w:pPr>
        <w:pStyle w:val="FirstParagraph"/>
      </w:pPr>
      <w:r>
        <w:t xml:space="preserve">The</w:t>
      </w:r>
      <w:r>
        <w:t xml:space="preserve"> </w:t>
      </w:r>
      <w:r>
        <w:rPr>
          <w:rStyle w:val="VerbatimChar"/>
        </w:rPr>
        <w:t xml:space="preserve">shinylive</w:t>
      </w:r>
      <w:r>
        <w:t xml:space="preserve"> </w:t>
      </w:r>
      <w:r>
        <w:t xml:space="preserve">example in</w:t>
      </w:r>
      <w:r>
        <w:t xml:space="preserve"> </w:t>
      </w:r>
      <w:hyperlink w:anchor="fig-shinylive-ggplot2">
        <w:r>
          <w:rPr>
            <w:rStyle w:val="Hyperlink"/>
          </w:rPr>
          <w:t xml:space="preserve">Figure 10.2</w:t>
        </w:r>
      </w:hyperlink>
      <w:r>
        <w:t xml:space="preserve"> </w:t>
      </w:r>
      <w:r>
        <w:t xml:space="preserve">below is fairly short but includes some important points of difference from</w:t>
      </w:r>
      <w:r>
        <w:t xml:space="preserve"> </w:t>
      </w:r>
      <w:hyperlink w:anchor="fig-shinylive-example">
        <w:r>
          <w:rPr>
            <w:rStyle w:val="Hyperlink"/>
          </w:rPr>
          <w:t xml:space="preserve">Figure 10.1</w:t>
        </w:r>
      </w:hyperlink>
      <w:r>
        <w:t xml:space="preserve">.</w:t>
      </w:r>
    </w:p>
    <w:bookmarkEnd w:id="215"/>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16" w:name="fig-shinylive-ggplot2"/>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10.2:</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16"/>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warning.png" id="218"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ggplot2</w:t>
            </w:r>
            <w:r>
              <w:t xml:space="preserve"> </w:t>
            </w:r>
            <w:r>
              <w:t xml:space="preserve">with</w:t>
            </w:r>
            <w:r>
              <w:t xml:space="preserve"> </w:t>
            </w:r>
            <w:r>
              <w:rPr>
                <w:rStyle w:val="VerbatimChar"/>
              </w:rPr>
              <w:t xml:space="preserve">shinylive</w:t>
            </w:r>
          </w:p>
        </w:tc>
      </w:tr>
      <w:tr>
        <w:trPr>
          <w:cantSplit/>
        </w:trPr>
        <w:tc>
          <w:tcPr>
            <w:tcMar>
              <w:top w:w="108" w:type="dxa"/>
              <w:bottom w:w="108" w:type="dxa"/>
            </w:tcMar>
          </w:tcPr>
          <w:p>
            <w:pPr>
              <w:pStyle w:val="BodyText"/>
            </w:pPr>
            <w:pPr>
              <w:spacing w:before="16"/>
            </w:pPr>
            <w:r>
              <w:t xml:space="preserve">There is a known issue with</w:t>
            </w:r>
            <w:r>
              <w:t xml:space="preserve"> </w:t>
            </w:r>
            <w:r>
              <w:rPr>
                <w:rStyle w:val="VerbatimChar"/>
              </w:rPr>
              <w:t xml:space="preserve">ggplot2</w:t>
            </w:r>
            <w:r>
              <w:t xml:space="preserve"> </w:t>
            </w:r>
            <w:r>
              <w:t xml:space="preserve">and</w:t>
            </w:r>
            <w:r>
              <w:t xml:space="preserve"> </w:t>
            </w:r>
            <w:r>
              <w:rPr>
                <w:rStyle w:val="VerbatimChar"/>
              </w:rPr>
              <w:t xml:space="preserve">shinylive</w:t>
            </w:r>
            <w:r>
              <w:t xml:space="preserve"> </w:t>
            </w:r>
            <w:r>
              <w:t xml:space="preserve">such that no output is produced due to a missing suggested dependency. A workaround is indicated at</w:t>
            </w:r>
            <w:r>
              <w:t xml:space="preserve"> </w:t>
            </w:r>
            <w:hyperlink r:id="rId219">
              <w:r>
                <w:rPr>
                  <w:rStyle w:val="Hyperlink"/>
                </w:rPr>
                <w:t xml:space="preserve">this StackOverflow page</w:t>
              </w:r>
            </w:hyperlink>
            <w:r>
              <w:t xml:space="preserve"> </w:t>
            </w:r>
            <w:r>
              <w:t xml:space="preserve">:</w:t>
            </w:r>
          </w:p>
          <w:p>
            <w:pPr>
              <w:pStyle w:val="SourceCode"/>
            </w:pPr>
            <w:r>
              <w:rPr>
                <w:rStyle w:val="FunctionTok"/>
              </w:rPr>
              <w:t xml:space="preserve">library</w:t>
            </w:r>
            <w:r>
              <w:rPr>
                <w:rStyle w:val="NormalTok"/>
              </w:rPr>
              <w:t xml:space="preserve">(ggplot2)</w:t>
            </w:r>
            <w:r>
              <w:br/>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p>
        </w:tc>
      </w:tr>
    </w:tbl>
    <w:p>
      <w:pPr>
        <w:pStyle w:val="Heading2"/>
      </w:pPr>
      <w:r>
        <w:t xml:space="preserve">Adding the</w:t>
      </w:r>
      <w:r>
        <w:t xml:space="preserve"> </w:t>
      </w:r>
      <w:r>
        <w:rPr>
          <w:rStyle w:val="VerbatimChar"/>
        </w:rPr>
        <w:t xml:space="preserve">R</w:t>
      </w:r>
      <w:r>
        <w:t xml:space="preserve"> </w:t>
      </w:r>
      <w:r>
        <w:t xml:space="preserve">editor</w:t>
      </w:r>
    </w:p>
    <w:p>
      <w:pPr>
        <w:pStyle w:val="FirstParagraph"/>
      </w:pPr>
      <w:r>
        <w:t xml:space="preserve">The examples above allow for user interaction, but not user editing of the code. With</w:t>
      </w:r>
      <w:r>
        <w:t xml:space="preserve"> </w:t>
      </w:r>
      <w:r>
        <w:rPr>
          <w:rStyle w:val="VerbatimChar"/>
        </w:rPr>
        <w:t xml:space="preserve">shinylive</w:t>
      </w:r>
      <w:r>
        <w:t xml:space="preserve"> </w:t>
      </w:r>
      <w:r>
        <w:t xml:space="preserve">it is possible to include an editor so that users can modify the code of the app directly, in their own browser.</w:t>
      </w:r>
    </w:p>
    <w:p>
      <w:pPr>
        <w:pStyle w:val="BodyText"/>
      </w:pPr>
      <w:r>
        <w:t xml:space="preserve">To do this, include the code block setting:</w:t>
      </w:r>
      <w:r>
        <w:t xml:space="preserve"> </w:t>
      </w:r>
      <w:r>
        <w:rPr>
          <w:rStyle w:val="VerbatimChar"/>
        </w:rPr>
        <w:t xml:space="preserve">#| components: [editor, viewer]</w:t>
      </w:r>
      <w:r>
        <w:t xml:space="preserve">, as in</w:t>
      </w:r>
      <w:r>
        <w:t xml:space="preserve"> </w:t>
      </w:r>
      <w:hyperlink w:anchor="fig-shinylive-editor">
        <w:r>
          <w:rPr>
            <w:rStyle w:val="Hyperlink"/>
          </w:rPr>
          <w:t xml:space="preserve">Figure 10.3</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Quarto book pages are tall rather than wide, so it is often helpful to stack the editor and viewer vertically, with the options:</w:t>
            </w:r>
          </w:p>
          <w:p>
            <w:pPr>
              <w:pStyle w:val="SourceCode"/>
            </w:pPr>
            <w:r>
              <w:rPr>
                <w:rStyle w:val="NormalTok"/>
              </w:rPr>
              <w:t xml:space="preserve">#| components: </w:t>
            </w:r>
            <w:r>
              <w:rPr>
                <w:rStyle w:val="CommentTok"/>
              </w:rPr>
              <w:t xml:space="preserve">[</w:t>
            </w:r>
            <w:r>
              <w:rPr>
                <w:rStyle w:val="OtherTok"/>
              </w:rPr>
              <w:t xml:space="preserve">editor, viewer</w:t>
            </w:r>
            <w:r>
              <w:rPr>
                <w:rStyle w:val="CommentTok"/>
              </w:rPr>
              <w:t xml:space="preserve">]</w:t>
            </w:r>
            <w:r>
              <w:br/>
            </w:r>
            <w:r>
              <w:rPr>
                <w:rStyle w:val="NormalTok"/>
              </w:rPr>
              <w:t xml:space="preserve">#| layout: vertical</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important.png" id="22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layout for the</w:t>
            </w:r>
            <w:r>
              <w:t xml:space="preserve"> </w:t>
            </w:r>
            <w:r>
              <w:rPr>
                <w:rStyle w:val="VerbatimChar"/>
              </w:rPr>
              <w:t xml:space="preserve">r-shinylive</w:t>
            </w:r>
            <w:r>
              <w:t xml:space="preserve"> </w:t>
            </w:r>
            <w:r>
              <w:t xml:space="preserve">editor inherits text alignment from the surrounding</w:t>
            </w:r>
            <w:r>
              <w:t xml:space="preserve"> </w:t>
            </w:r>
            <w:r>
              <w:rPr>
                <w:rStyle w:val="VerbatimChar"/>
              </w:rPr>
              <w:t xml:space="preserve">&lt;div&gt;</w:t>
            </w:r>
            <w:r>
              <w:t xml:space="preserve"> </w:t>
            </w:r>
            <w:r>
              <w:t xml:space="preserve">and can be misaligned. This book template includes a</w:t>
            </w:r>
            <w:r>
              <w:t xml:space="preserve"> </w:t>
            </w:r>
            <w:r>
              <w:rPr>
                <w:rStyle w:val="VerbatimChar"/>
              </w:rPr>
              <w:t xml:space="preserve">.css</w:t>
            </w:r>
            <w:r>
              <w:t xml:space="preserve"> </w:t>
            </w:r>
            <w:r>
              <w:t xml:space="preserve">file that fixes this, and which must be included in the</w:t>
            </w:r>
            <w:r>
              <w:t xml:space="preserve"> </w:t>
            </w:r>
            <w:r>
              <w:rPr>
                <w:rStyle w:val="VerbatimChar"/>
              </w:rPr>
              <w:t xml:space="preserve">YAML</w:t>
            </w:r>
            <w:r>
              <w:t xml:space="preserve"> </w:t>
            </w:r>
            <w:r>
              <w:t xml:space="preserve">header for the page:</w:t>
            </w:r>
          </w:p>
          <w:p>
            <w:pPr>
              <w:pStyle w:val="SourceCode"/>
            </w:pP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p>
        </w:tc>
      </w:tr>
    </w:tbl>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24" w:name="fig-shinylive-editor"/>
          <w:p>
            <w:pPr>
              <w:pStyle w:val="SourceCode"/>
              <w:jc w:val="center"/>
            </w:pPr>
            <w:r>
              <w:rPr>
                <w:rStyle w:val="VerbatimChar"/>
              </w:rPr>
              <w:t xml:space="preserve">#| standalone: true</w:t>
            </w:r>
            <w:r>
              <w:br/>
            </w:r>
            <w:r>
              <w:rPr>
                <w:rStyle w:val="VerbatimChar"/>
              </w:rPr>
              <w:t xml:space="preserve">#| viewerHeight: 600</w:t>
            </w:r>
            <w:r>
              <w:br/>
            </w:r>
            <w:r>
              <w:rPr>
                <w:rStyle w:val="VerbatimChar"/>
              </w:rPr>
              <w:t xml:space="preserve">#| components: [viewer, editor]</w:t>
            </w:r>
            <w:r>
              <w:br/>
            </w:r>
            <w:r>
              <w:rPr>
                <w:rStyle w:val="VerbatimChar"/>
              </w:rPr>
              <w:t xml:space="preserve">#| layout: vertical</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10.3:</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24"/>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rPr>
          <w:rStyle w:val="CommentTok"/>
        </w:rPr>
        <w:t xml:space="preserve">#| components: [viewer, editor]</w:t>
      </w:r>
      <w:r>
        <w:br/>
      </w:r>
      <w:r>
        <w:rPr>
          <w:rStyle w:val="CommentTok"/>
        </w:rPr>
        <w:t xml:space="preserve">#| layout: vertical</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Challenge</w:t>
            </w:r>
          </w:p>
        </w:tc>
      </w:tr>
      <w:tr>
        <w:trPr>
          <w:cantSplit/>
        </w:trPr>
        <w:tc>
          <w:tcPr>
            <w:tcMar>
              <w:top w:w="108" w:type="dxa"/>
              <w:bottom w:w="108" w:type="dxa"/>
            </w:tcMar>
          </w:tcPr>
          <w:p>
            <w:pPr>
              <w:pStyle w:val="BodyText"/>
            </w:pPr>
            <w:pPr>
              <w:spacing w:before="16"/>
            </w:pPr>
            <w:r>
              <w:t xml:space="preserve">What happens if you change line 17 of the code in the editor to:</w:t>
            </w:r>
          </w:p>
          <w:p>
            <w:pPr>
              <w:pStyle w:val="SourceCode"/>
            </w:pP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w:t>
            </w:r>
            <w:r>
              <w:rPr>
                <w:rStyle w:val="FunctionTok"/>
              </w:rPr>
              <w:t xml:space="preserve">as.factor</w:t>
            </w:r>
            <w:r>
              <w:rPr>
                <w:rStyle w:val="NormalTok"/>
              </w:rPr>
              <w:t xml:space="preserve">(cyl)))</w:t>
            </w:r>
          </w:p>
          <w:p>
            <w:pPr>
              <w:pStyle w:val="FirstParagraph"/>
            </w:pPr>
            <w:pPr>
              <w:spacing w:after="16"/>
            </w:pPr>
            <w:r>
              <w:t xml:space="preserve">and run the code (click on the triangle, or press</w:t>
            </w:r>
            <w:r>
              <w:t xml:space="preserve"> </w:t>
            </w:r>
            <w:r>
              <w:rPr>
                <w:rStyle w:val="VerbatimChar"/>
              </w:rPr>
              <w:t xml:space="preserve">Shift-Return</w:t>
            </w:r>
            <w:r>
              <w:t xml:space="preserve">/</w:t>
            </w:r>
            <w:r>
              <w:rPr>
                <w:rStyle w:val="VerbatimChar"/>
              </w:rPr>
              <w:t xml:space="preserve">Cmd-Shift-Return</w:t>
            </w:r>
            <w:r>
              <w:t xml:space="preserve">)</w:t>
            </w:r>
          </w:p>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40"/>
        </w:numPr>
      </w:pPr>
      <w:hyperlink r:id="rId22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important.png" id="2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28"/>
    <w:bookmarkStart w:id="235" w:name="embedding-numbas-questions"/>
    <w:p>
      <w:pPr>
        <w:pStyle w:val="Heading1"/>
      </w:pPr>
      <w:r>
        <w:t xml:space="preserve">11. Embedding Numbas Questions</w:t>
      </w:r>
    </w:p>
    <w:p>
      <w:pPr>
        <w:pStyle w:val="FirstParagraph"/>
      </w:pPr>
      <w:hyperlink r:id="rId22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3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41"/>
        </w:numPr>
      </w:pPr>
      <w:r>
        <w:t xml:space="preserve">Find out more about Numbas, including case studies and the latest blog posts, at</w:t>
      </w:r>
      <w:r>
        <w:t xml:space="preserve"> </w:t>
      </w:r>
      <w:hyperlink r:id="rId22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34" w:name="references"/>
    <w:p>
      <w:pPr>
        <w:pStyle w:val="Heading1"/>
      </w:pPr>
      <w:r>
        <w:t xml:space="preserve">References</w:t>
      </w:r>
    </w:p>
    <w:bookmarkStart w:id="233" w:name="refs"/>
    <w:bookmarkStart w:id="23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31">
        <w:r>
          <w:rPr>
            <w:rStyle w:val="Hyperlink"/>
          </w:rPr>
          <w:t xml:space="preserve">https://doi.org/10.1093/comjnl/27.2.97</w:t>
        </w:r>
      </w:hyperlink>
      <w:r>
        <w:t xml:space="preserve">.</w:t>
      </w:r>
    </w:p>
    <w:bookmarkEnd w:id="232"/>
    <w:bookmarkEnd w:id="233"/>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6" Target="media/rId166.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2025-09-03T16:27:25Z</dcterms:created>
  <dcterms:modified xsi:type="dcterms:W3CDTF">2025-09-03T16:27:25Z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