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3CE7" w14:textId="77777777" w:rsidR="00FD7D1C" w:rsidRDefault="00FD7D1C" w:rsidP="00C73A0C">
      <w:pPr>
        <w:pStyle w:val="NormalWeb"/>
        <w:shd w:val="clear" w:color="auto" w:fill="FFFFFF"/>
        <w:spacing w:before="0" w:beforeAutospacing="0" w:after="200" w:afterAutospacing="0"/>
        <w:rPr>
          <w:rFonts w:ascii="Segoe UI" w:hAnsi="Segoe UI" w:cs="Segoe UI"/>
          <w:color w:val="172B4D"/>
          <w:spacing w:val="-1"/>
          <w:sz w:val="21"/>
          <w:szCs w:val="21"/>
        </w:rPr>
      </w:pPr>
      <w:bookmarkStart w:id="0" w:name="_Hlk119666900"/>
    </w:p>
    <w:sdt>
      <w:sdtPr>
        <w:rPr>
          <w:rFonts w:asciiTheme="minorHAnsi" w:eastAsiaTheme="minorHAnsi" w:hAnsiTheme="minorHAnsi" w:cstheme="minorBidi"/>
          <w:color w:val="auto"/>
          <w:sz w:val="22"/>
          <w:szCs w:val="22"/>
        </w:rPr>
        <w:id w:val="300897651"/>
        <w:docPartObj>
          <w:docPartGallery w:val="Table of Contents"/>
          <w:docPartUnique/>
        </w:docPartObj>
      </w:sdtPr>
      <w:sdtEndPr>
        <w:rPr>
          <w:b/>
          <w:bCs/>
          <w:noProof/>
        </w:rPr>
      </w:sdtEndPr>
      <w:sdtContent>
        <w:p w14:paraId="5CE267CF" w14:textId="3D26B1D1" w:rsidR="00472F12" w:rsidRDefault="00472F12" w:rsidP="00C73A0C">
          <w:pPr>
            <w:pStyle w:val="TOCHeading"/>
            <w:spacing w:after="200"/>
          </w:pPr>
          <w:r>
            <w:t>Contents</w:t>
          </w:r>
        </w:p>
        <w:p w14:paraId="78FEDB56" w14:textId="02395096" w:rsidR="00B51600" w:rsidRDefault="00472F1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1732880" w:history="1">
            <w:r w:rsidR="00B51600" w:rsidRPr="000F6F35">
              <w:rPr>
                <w:rStyle w:val="Hyperlink"/>
                <w:noProof/>
              </w:rPr>
              <w:t>1</w:t>
            </w:r>
            <w:r w:rsidR="00B51600">
              <w:rPr>
                <w:rFonts w:eastAsiaTheme="minorEastAsia"/>
                <w:noProof/>
              </w:rPr>
              <w:tab/>
            </w:r>
            <w:r w:rsidR="00B51600" w:rsidRPr="000F6F35">
              <w:rPr>
                <w:rStyle w:val="Hyperlink"/>
                <w:noProof/>
              </w:rPr>
              <w:t>Scope</w:t>
            </w:r>
            <w:r w:rsidR="00B51600">
              <w:rPr>
                <w:noProof/>
                <w:webHidden/>
              </w:rPr>
              <w:tab/>
            </w:r>
            <w:r w:rsidR="00B51600">
              <w:rPr>
                <w:noProof/>
                <w:webHidden/>
              </w:rPr>
              <w:fldChar w:fldCharType="begin"/>
            </w:r>
            <w:r w:rsidR="00B51600">
              <w:rPr>
                <w:noProof/>
                <w:webHidden/>
              </w:rPr>
              <w:instrText xml:space="preserve"> PAGEREF _Toc121732880 \h </w:instrText>
            </w:r>
            <w:r w:rsidR="00B51600">
              <w:rPr>
                <w:noProof/>
                <w:webHidden/>
              </w:rPr>
            </w:r>
            <w:r w:rsidR="00B51600">
              <w:rPr>
                <w:noProof/>
                <w:webHidden/>
              </w:rPr>
              <w:fldChar w:fldCharType="separate"/>
            </w:r>
            <w:r w:rsidR="00B51600">
              <w:rPr>
                <w:noProof/>
                <w:webHidden/>
              </w:rPr>
              <w:t>2</w:t>
            </w:r>
            <w:r w:rsidR="00B51600">
              <w:rPr>
                <w:noProof/>
                <w:webHidden/>
              </w:rPr>
              <w:fldChar w:fldCharType="end"/>
            </w:r>
          </w:hyperlink>
        </w:p>
        <w:p w14:paraId="64315838" w14:textId="65E54969" w:rsidR="00B51600" w:rsidRDefault="007C13AA">
          <w:pPr>
            <w:pStyle w:val="TOC1"/>
            <w:tabs>
              <w:tab w:val="left" w:pos="440"/>
              <w:tab w:val="right" w:leader="dot" w:pos="9350"/>
            </w:tabs>
            <w:rPr>
              <w:rFonts w:eastAsiaTheme="minorEastAsia"/>
              <w:noProof/>
            </w:rPr>
          </w:pPr>
          <w:hyperlink w:anchor="_Toc121732881" w:history="1">
            <w:r w:rsidR="00B51600" w:rsidRPr="000F6F35">
              <w:rPr>
                <w:rStyle w:val="Hyperlink"/>
                <w:noProof/>
              </w:rPr>
              <w:t>2</w:t>
            </w:r>
            <w:r w:rsidR="00B51600">
              <w:rPr>
                <w:rFonts w:eastAsiaTheme="minorEastAsia"/>
                <w:noProof/>
              </w:rPr>
              <w:tab/>
            </w:r>
            <w:r w:rsidR="00B51600" w:rsidRPr="000F6F35">
              <w:rPr>
                <w:rStyle w:val="Hyperlink"/>
                <w:noProof/>
              </w:rPr>
              <w:t>Data Privacy Request Intake Channels</w:t>
            </w:r>
            <w:r w:rsidR="00B51600">
              <w:rPr>
                <w:noProof/>
                <w:webHidden/>
              </w:rPr>
              <w:tab/>
            </w:r>
            <w:r w:rsidR="00B51600">
              <w:rPr>
                <w:noProof/>
                <w:webHidden/>
              </w:rPr>
              <w:fldChar w:fldCharType="begin"/>
            </w:r>
            <w:r w:rsidR="00B51600">
              <w:rPr>
                <w:noProof/>
                <w:webHidden/>
              </w:rPr>
              <w:instrText xml:space="preserve"> PAGEREF _Toc121732881 \h </w:instrText>
            </w:r>
            <w:r w:rsidR="00B51600">
              <w:rPr>
                <w:noProof/>
                <w:webHidden/>
              </w:rPr>
            </w:r>
            <w:r w:rsidR="00B51600">
              <w:rPr>
                <w:noProof/>
                <w:webHidden/>
              </w:rPr>
              <w:fldChar w:fldCharType="separate"/>
            </w:r>
            <w:r w:rsidR="00B51600">
              <w:rPr>
                <w:noProof/>
                <w:webHidden/>
              </w:rPr>
              <w:t>2</w:t>
            </w:r>
            <w:r w:rsidR="00B51600">
              <w:rPr>
                <w:noProof/>
                <w:webHidden/>
              </w:rPr>
              <w:fldChar w:fldCharType="end"/>
            </w:r>
          </w:hyperlink>
        </w:p>
        <w:p w14:paraId="54123E6D" w14:textId="42230CF5" w:rsidR="00B51600" w:rsidRDefault="007C13AA">
          <w:pPr>
            <w:pStyle w:val="TOC2"/>
            <w:tabs>
              <w:tab w:val="left" w:pos="880"/>
              <w:tab w:val="right" w:leader="dot" w:pos="9350"/>
            </w:tabs>
            <w:rPr>
              <w:rFonts w:eastAsiaTheme="minorEastAsia"/>
              <w:noProof/>
            </w:rPr>
          </w:pPr>
          <w:hyperlink w:anchor="_Toc121732882" w:history="1">
            <w:r w:rsidR="00B51600" w:rsidRPr="000F6F35">
              <w:rPr>
                <w:rStyle w:val="Hyperlink"/>
                <w:noProof/>
              </w:rPr>
              <w:t>2.1</w:t>
            </w:r>
            <w:r w:rsidR="00B51600">
              <w:rPr>
                <w:rFonts w:eastAsiaTheme="minorEastAsia"/>
                <w:noProof/>
              </w:rPr>
              <w:tab/>
            </w:r>
            <w:r w:rsidR="00B51600" w:rsidRPr="000F6F35">
              <w:rPr>
                <w:rStyle w:val="Hyperlink"/>
                <w:noProof/>
              </w:rPr>
              <w:t>Web Channels</w:t>
            </w:r>
            <w:r w:rsidR="00B51600">
              <w:rPr>
                <w:noProof/>
                <w:webHidden/>
              </w:rPr>
              <w:tab/>
            </w:r>
            <w:r w:rsidR="00B51600">
              <w:rPr>
                <w:noProof/>
                <w:webHidden/>
              </w:rPr>
              <w:fldChar w:fldCharType="begin"/>
            </w:r>
            <w:r w:rsidR="00B51600">
              <w:rPr>
                <w:noProof/>
                <w:webHidden/>
              </w:rPr>
              <w:instrText xml:space="preserve"> PAGEREF _Toc121732882 \h </w:instrText>
            </w:r>
            <w:r w:rsidR="00B51600">
              <w:rPr>
                <w:noProof/>
                <w:webHidden/>
              </w:rPr>
            </w:r>
            <w:r w:rsidR="00B51600">
              <w:rPr>
                <w:noProof/>
                <w:webHidden/>
              </w:rPr>
              <w:fldChar w:fldCharType="separate"/>
            </w:r>
            <w:r w:rsidR="00B51600">
              <w:rPr>
                <w:noProof/>
                <w:webHidden/>
              </w:rPr>
              <w:t>2</w:t>
            </w:r>
            <w:r w:rsidR="00B51600">
              <w:rPr>
                <w:noProof/>
                <w:webHidden/>
              </w:rPr>
              <w:fldChar w:fldCharType="end"/>
            </w:r>
          </w:hyperlink>
        </w:p>
        <w:p w14:paraId="5AF1AC85" w14:textId="11B2CC5F" w:rsidR="00B51600" w:rsidRDefault="007C13AA">
          <w:pPr>
            <w:pStyle w:val="TOC2"/>
            <w:tabs>
              <w:tab w:val="left" w:pos="880"/>
              <w:tab w:val="right" w:leader="dot" w:pos="9350"/>
            </w:tabs>
            <w:rPr>
              <w:rFonts w:eastAsiaTheme="minorEastAsia"/>
              <w:noProof/>
            </w:rPr>
          </w:pPr>
          <w:hyperlink w:anchor="_Toc121732883" w:history="1">
            <w:r w:rsidR="00B51600" w:rsidRPr="000F6F35">
              <w:rPr>
                <w:rStyle w:val="Hyperlink"/>
                <w:noProof/>
              </w:rPr>
              <w:t>2.2</w:t>
            </w:r>
            <w:r w:rsidR="00B51600">
              <w:rPr>
                <w:rFonts w:eastAsiaTheme="minorEastAsia"/>
                <w:noProof/>
              </w:rPr>
              <w:tab/>
            </w:r>
            <w:r w:rsidR="00B51600" w:rsidRPr="000F6F35">
              <w:rPr>
                <w:rStyle w:val="Hyperlink"/>
                <w:noProof/>
              </w:rPr>
              <w:t>Toll-Free Telephone Numbers</w:t>
            </w:r>
            <w:r w:rsidR="00B51600">
              <w:rPr>
                <w:noProof/>
                <w:webHidden/>
              </w:rPr>
              <w:tab/>
            </w:r>
            <w:r w:rsidR="00B51600">
              <w:rPr>
                <w:noProof/>
                <w:webHidden/>
              </w:rPr>
              <w:fldChar w:fldCharType="begin"/>
            </w:r>
            <w:r w:rsidR="00B51600">
              <w:rPr>
                <w:noProof/>
                <w:webHidden/>
              </w:rPr>
              <w:instrText xml:space="preserve"> PAGEREF _Toc121732883 \h </w:instrText>
            </w:r>
            <w:r w:rsidR="00B51600">
              <w:rPr>
                <w:noProof/>
                <w:webHidden/>
              </w:rPr>
            </w:r>
            <w:r w:rsidR="00B51600">
              <w:rPr>
                <w:noProof/>
                <w:webHidden/>
              </w:rPr>
              <w:fldChar w:fldCharType="separate"/>
            </w:r>
            <w:r w:rsidR="00B51600">
              <w:rPr>
                <w:noProof/>
                <w:webHidden/>
              </w:rPr>
              <w:t>3</w:t>
            </w:r>
            <w:r w:rsidR="00B51600">
              <w:rPr>
                <w:noProof/>
                <w:webHidden/>
              </w:rPr>
              <w:fldChar w:fldCharType="end"/>
            </w:r>
          </w:hyperlink>
        </w:p>
        <w:p w14:paraId="04744AC1" w14:textId="0B87AF65" w:rsidR="00B51600" w:rsidRDefault="007C13AA">
          <w:pPr>
            <w:pStyle w:val="TOC1"/>
            <w:tabs>
              <w:tab w:val="left" w:pos="440"/>
              <w:tab w:val="right" w:leader="dot" w:pos="9350"/>
            </w:tabs>
            <w:rPr>
              <w:rFonts w:eastAsiaTheme="minorEastAsia"/>
              <w:noProof/>
            </w:rPr>
          </w:pPr>
          <w:hyperlink w:anchor="_Toc121732884" w:history="1">
            <w:r w:rsidR="00B51600" w:rsidRPr="000F6F35">
              <w:rPr>
                <w:rStyle w:val="Hyperlink"/>
                <w:noProof/>
              </w:rPr>
              <w:t>3</w:t>
            </w:r>
            <w:r w:rsidR="00B51600">
              <w:rPr>
                <w:rFonts w:eastAsiaTheme="minorEastAsia"/>
                <w:noProof/>
              </w:rPr>
              <w:tab/>
            </w:r>
            <w:r w:rsidR="00B51600" w:rsidRPr="000F6F35">
              <w:rPr>
                <w:rStyle w:val="Hyperlink"/>
                <w:noProof/>
              </w:rPr>
              <w:t>Data Privacy UI Design</w:t>
            </w:r>
            <w:r w:rsidR="00B51600">
              <w:rPr>
                <w:noProof/>
                <w:webHidden/>
              </w:rPr>
              <w:tab/>
            </w:r>
            <w:r w:rsidR="00B51600">
              <w:rPr>
                <w:noProof/>
                <w:webHidden/>
              </w:rPr>
              <w:fldChar w:fldCharType="begin"/>
            </w:r>
            <w:r w:rsidR="00B51600">
              <w:rPr>
                <w:noProof/>
                <w:webHidden/>
              </w:rPr>
              <w:instrText xml:space="preserve"> PAGEREF _Toc121732884 \h </w:instrText>
            </w:r>
            <w:r w:rsidR="00B51600">
              <w:rPr>
                <w:noProof/>
                <w:webHidden/>
              </w:rPr>
            </w:r>
            <w:r w:rsidR="00B51600">
              <w:rPr>
                <w:noProof/>
                <w:webHidden/>
              </w:rPr>
              <w:fldChar w:fldCharType="separate"/>
            </w:r>
            <w:r w:rsidR="00B51600">
              <w:rPr>
                <w:noProof/>
                <w:webHidden/>
              </w:rPr>
              <w:t>3</w:t>
            </w:r>
            <w:r w:rsidR="00B51600">
              <w:rPr>
                <w:noProof/>
                <w:webHidden/>
              </w:rPr>
              <w:fldChar w:fldCharType="end"/>
            </w:r>
          </w:hyperlink>
        </w:p>
        <w:p w14:paraId="7C6478D2" w14:textId="3E6EB0A3" w:rsidR="00B51600" w:rsidRDefault="007C13AA">
          <w:pPr>
            <w:pStyle w:val="TOC2"/>
            <w:tabs>
              <w:tab w:val="left" w:pos="880"/>
              <w:tab w:val="right" w:leader="dot" w:pos="9350"/>
            </w:tabs>
            <w:rPr>
              <w:rFonts w:eastAsiaTheme="minorEastAsia"/>
              <w:noProof/>
            </w:rPr>
          </w:pPr>
          <w:hyperlink w:anchor="_Toc121732885" w:history="1">
            <w:r w:rsidR="00B51600" w:rsidRPr="000F6F35">
              <w:rPr>
                <w:rStyle w:val="Hyperlink"/>
                <w:noProof/>
              </w:rPr>
              <w:t>3.1</w:t>
            </w:r>
            <w:r w:rsidR="00B51600">
              <w:rPr>
                <w:rFonts w:eastAsiaTheme="minorEastAsia"/>
                <w:noProof/>
              </w:rPr>
              <w:tab/>
            </w:r>
            <w:r w:rsidR="00B51600" w:rsidRPr="000F6F35">
              <w:rPr>
                <w:rStyle w:val="Hyperlink"/>
                <w:noProof/>
              </w:rPr>
              <w:t>Design Constraints</w:t>
            </w:r>
            <w:r w:rsidR="00B51600">
              <w:rPr>
                <w:noProof/>
                <w:webHidden/>
              </w:rPr>
              <w:tab/>
            </w:r>
            <w:r w:rsidR="00B51600">
              <w:rPr>
                <w:noProof/>
                <w:webHidden/>
              </w:rPr>
              <w:fldChar w:fldCharType="begin"/>
            </w:r>
            <w:r w:rsidR="00B51600">
              <w:rPr>
                <w:noProof/>
                <w:webHidden/>
              </w:rPr>
              <w:instrText xml:space="preserve"> PAGEREF _Toc121732885 \h </w:instrText>
            </w:r>
            <w:r w:rsidR="00B51600">
              <w:rPr>
                <w:noProof/>
                <w:webHidden/>
              </w:rPr>
            </w:r>
            <w:r w:rsidR="00B51600">
              <w:rPr>
                <w:noProof/>
                <w:webHidden/>
              </w:rPr>
              <w:fldChar w:fldCharType="separate"/>
            </w:r>
            <w:r w:rsidR="00B51600">
              <w:rPr>
                <w:noProof/>
                <w:webHidden/>
              </w:rPr>
              <w:t>3</w:t>
            </w:r>
            <w:r w:rsidR="00B51600">
              <w:rPr>
                <w:noProof/>
                <w:webHidden/>
              </w:rPr>
              <w:fldChar w:fldCharType="end"/>
            </w:r>
          </w:hyperlink>
        </w:p>
        <w:p w14:paraId="357BFEA9" w14:textId="50B70804" w:rsidR="00B51600" w:rsidRDefault="007C13AA">
          <w:pPr>
            <w:pStyle w:val="TOC2"/>
            <w:tabs>
              <w:tab w:val="left" w:pos="880"/>
              <w:tab w:val="right" w:leader="dot" w:pos="9350"/>
            </w:tabs>
            <w:rPr>
              <w:rFonts w:eastAsiaTheme="minorEastAsia"/>
              <w:noProof/>
            </w:rPr>
          </w:pPr>
          <w:hyperlink w:anchor="_Toc121732886" w:history="1">
            <w:r w:rsidR="00B51600" w:rsidRPr="000F6F35">
              <w:rPr>
                <w:rStyle w:val="Hyperlink"/>
                <w:noProof/>
              </w:rPr>
              <w:t>3.2</w:t>
            </w:r>
            <w:r w:rsidR="00B51600">
              <w:rPr>
                <w:rFonts w:eastAsiaTheme="minorEastAsia"/>
                <w:noProof/>
              </w:rPr>
              <w:tab/>
            </w:r>
            <w:r w:rsidR="00B51600" w:rsidRPr="000F6F35">
              <w:rPr>
                <w:rStyle w:val="Hyperlink"/>
                <w:noProof/>
              </w:rPr>
              <w:t>Privacy Application Design</w:t>
            </w:r>
            <w:r w:rsidR="00B51600">
              <w:rPr>
                <w:noProof/>
                <w:webHidden/>
              </w:rPr>
              <w:tab/>
            </w:r>
            <w:r w:rsidR="00B51600">
              <w:rPr>
                <w:noProof/>
                <w:webHidden/>
              </w:rPr>
              <w:fldChar w:fldCharType="begin"/>
            </w:r>
            <w:r w:rsidR="00B51600">
              <w:rPr>
                <w:noProof/>
                <w:webHidden/>
              </w:rPr>
              <w:instrText xml:space="preserve"> PAGEREF _Toc121732886 \h </w:instrText>
            </w:r>
            <w:r w:rsidR="00B51600">
              <w:rPr>
                <w:noProof/>
                <w:webHidden/>
              </w:rPr>
            </w:r>
            <w:r w:rsidR="00B51600">
              <w:rPr>
                <w:noProof/>
                <w:webHidden/>
              </w:rPr>
              <w:fldChar w:fldCharType="separate"/>
            </w:r>
            <w:r w:rsidR="00B51600">
              <w:rPr>
                <w:noProof/>
                <w:webHidden/>
              </w:rPr>
              <w:t>3</w:t>
            </w:r>
            <w:r w:rsidR="00B51600">
              <w:rPr>
                <w:noProof/>
                <w:webHidden/>
              </w:rPr>
              <w:fldChar w:fldCharType="end"/>
            </w:r>
          </w:hyperlink>
        </w:p>
        <w:p w14:paraId="70E5624C" w14:textId="0C9E3906" w:rsidR="00B51600" w:rsidRDefault="007C13AA">
          <w:pPr>
            <w:pStyle w:val="TOC1"/>
            <w:tabs>
              <w:tab w:val="left" w:pos="440"/>
              <w:tab w:val="right" w:leader="dot" w:pos="9350"/>
            </w:tabs>
            <w:rPr>
              <w:rFonts w:eastAsiaTheme="minorEastAsia"/>
              <w:noProof/>
            </w:rPr>
          </w:pPr>
          <w:hyperlink w:anchor="_Toc121732887" w:history="1">
            <w:r w:rsidR="00B51600" w:rsidRPr="000F6F35">
              <w:rPr>
                <w:rStyle w:val="Hyperlink"/>
                <w:noProof/>
              </w:rPr>
              <w:t>4</w:t>
            </w:r>
            <w:r w:rsidR="00B51600">
              <w:rPr>
                <w:rFonts w:eastAsiaTheme="minorEastAsia"/>
                <w:noProof/>
              </w:rPr>
              <w:tab/>
            </w:r>
            <w:r w:rsidR="00B51600" w:rsidRPr="000F6F35">
              <w:rPr>
                <w:rStyle w:val="Hyperlink"/>
                <w:noProof/>
                <w:shd w:val="clear" w:color="auto" w:fill="FFFFFF"/>
              </w:rPr>
              <w:t>Data Privacy Backend Processing</w:t>
            </w:r>
            <w:r w:rsidR="00B51600">
              <w:rPr>
                <w:noProof/>
                <w:webHidden/>
              </w:rPr>
              <w:tab/>
            </w:r>
            <w:r w:rsidR="00B51600">
              <w:rPr>
                <w:noProof/>
                <w:webHidden/>
              </w:rPr>
              <w:fldChar w:fldCharType="begin"/>
            </w:r>
            <w:r w:rsidR="00B51600">
              <w:rPr>
                <w:noProof/>
                <w:webHidden/>
              </w:rPr>
              <w:instrText xml:space="preserve"> PAGEREF _Toc121732887 \h </w:instrText>
            </w:r>
            <w:r w:rsidR="00B51600">
              <w:rPr>
                <w:noProof/>
                <w:webHidden/>
              </w:rPr>
            </w:r>
            <w:r w:rsidR="00B51600">
              <w:rPr>
                <w:noProof/>
                <w:webHidden/>
              </w:rPr>
              <w:fldChar w:fldCharType="separate"/>
            </w:r>
            <w:r w:rsidR="00B51600">
              <w:rPr>
                <w:noProof/>
                <w:webHidden/>
              </w:rPr>
              <w:t>4</w:t>
            </w:r>
            <w:r w:rsidR="00B51600">
              <w:rPr>
                <w:noProof/>
                <w:webHidden/>
              </w:rPr>
              <w:fldChar w:fldCharType="end"/>
            </w:r>
          </w:hyperlink>
        </w:p>
        <w:p w14:paraId="2AF8F3B3" w14:textId="1DA9C0A1" w:rsidR="00B51600" w:rsidRDefault="007C13AA">
          <w:pPr>
            <w:pStyle w:val="TOC2"/>
            <w:tabs>
              <w:tab w:val="left" w:pos="880"/>
              <w:tab w:val="right" w:leader="dot" w:pos="9350"/>
            </w:tabs>
            <w:rPr>
              <w:rFonts w:eastAsiaTheme="minorEastAsia"/>
              <w:noProof/>
            </w:rPr>
          </w:pPr>
          <w:hyperlink w:anchor="_Toc121732888" w:history="1">
            <w:r w:rsidR="00B51600" w:rsidRPr="000F6F35">
              <w:rPr>
                <w:rStyle w:val="Hyperlink"/>
                <w:noProof/>
              </w:rPr>
              <w:t>4.1</w:t>
            </w:r>
            <w:r w:rsidR="00B51600">
              <w:rPr>
                <w:rFonts w:eastAsiaTheme="minorEastAsia"/>
                <w:noProof/>
              </w:rPr>
              <w:tab/>
            </w:r>
            <w:r w:rsidR="00B51600" w:rsidRPr="000F6F35">
              <w:rPr>
                <w:rStyle w:val="Hyperlink"/>
                <w:noProof/>
              </w:rPr>
              <w:t>High-Level Design</w:t>
            </w:r>
            <w:r w:rsidR="00B51600">
              <w:rPr>
                <w:noProof/>
                <w:webHidden/>
              </w:rPr>
              <w:tab/>
            </w:r>
            <w:r w:rsidR="00B51600">
              <w:rPr>
                <w:noProof/>
                <w:webHidden/>
              </w:rPr>
              <w:fldChar w:fldCharType="begin"/>
            </w:r>
            <w:r w:rsidR="00B51600">
              <w:rPr>
                <w:noProof/>
                <w:webHidden/>
              </w:rPr>
              <w:instrText xml:space="preserve"> PAGEREF _Toc121732888 \h </w:instrText>
            </w:r>
            <w:r w:rsidR="00B51600">
              <w:rPr>
                <w:noProof/>
                <w:webHidden/>
              </w:rPr>
            </w:r>
            <w:r w:rsidR="00B51600">
              <w:rPr>
                <w:noProof/>
                <w:webHidden/>
              </w:rPr>
              <w:fldChar w:fldCharType="separate"/>
            </w:r>
            <w:r w:rsidR="00B51600">
              <w:rPr>
                <w:noProof/>
                <w:webHidden/>
              </w:rPr>
              <w:t>4</w:t>
            </w:r>
            <w:r w:rsidR="00B51600">
              <w:rPr>
                <w:noProof/>
                <w:webHidden/>
              </w:rPr>
              <w:fldChar w:fldCharType="end"/>
            </w:r>
          </w:hyperlink>
        </w:p>
        <w:p w14:paraId="2BA9D7B2" w14:textId="2FDE9CC2" w:rsidR="00B51600" w:rsidRDefault="007C13AA">
          <w:pPr>
            <w:pStyle w:val="TOC2"/>
            <w:tabs>
              <w:tab w:val="left" w:pos="880"/>
              <w:tab w:val="right" w:leader="dot" w:pos="9350"/>
            </w:tabs>
            <w:rPr>
              <w:rFonts w:eastAsiaTheme="minorEastAsia"/>
              <w:noProof/>
            </w:rPr>
          </w:pPr>
          <w:hyperlink w:anchor="_Toc121732889" w:history="1">
            <w:r w:rsidR="00B51600" w:rsidRPr="000F6F35">
              <w:rPr>
                <w:rStyle w:val="Hyperlink"/>
                <w:noProof/>
              </w:rPr>
              <w:t>4.2</w:t>
            </w:r>
            <w:r w:rsidR="00B51600">
              <w:rPr>
                <w:rFonts w:eastAsiaTheme="minorEastAsia"/>
                <w:noProof/>
              </w:rPr>
              <w:tab/>
            </w:r>
            <w:r w:rsidR="00B51600" w:rsidRPr="000F6F35">
              <w:rPr>
                <w:rStyle w:val="Hyperlink"/>
                <w:noProof/>
                <w:shd w:val="clear" w:color="auto" w:fill="FFFFFF"/>
              </w:rPr>
              <w:t>Background Information</w:t>
            </w:r>
            <w:r w:rsidR="00B51600">
              <w:rPr>
                <w:noProof/>
                <w:webHidden/>
              </w:rPr>
              <w:tab/>
            </w:r>
            <w:r w:rsidR="00B51600">
              <w:rPr>
                <w:noProof/>
                <w:webHidden/>
              </w:rPr>
              <w:fldChar w:fldCharType="begin"/>
            </w:r>
            <w:r w:rsidR="00B51600">
              <w:rPr>
                <w:noProof/>
                <w:webHidden/>
              </w:rPr>
              <w:instrText xml:space="preserve"> PAGEREF _Toc121732889 \h </w:instrText>
            </w:r>
            <w:r w:rsidR="00B51600">
              <w:rPr>
                <w:noProof/>
                <w:webHidden/>
              </w:rPr>
            </w:r>
            <w:r w:rsidR="00B51600">
              <w:rPr>
                <w:noProof/>
                <w:webHidden/>
              </w:rPr>
              <w:fldChar w:fldCharType="separate"/>
            </w:r>
            <w:r w:rsidR="00B51600">
              <w:rPr>
                <w:noProof/>
                <w:webHidden/>
              </w:rPr>
              <w:t>4</w:t>
            </w:r>
            <w:r w:rsidR="00B51600">
              <w:rPr>
                <w:noProof/>
                <w:webHidden/>
              </w:rPr>
              <w:fldChar w:fldCharType="end"/>
            </w:r>
          </w:hyperlink>
        </w:p>
        <w:p w14:paraId="2DC48DF3" w14:textId="085E8EED" w:rsidR="00B51600" w:rsidRDefault="007C13AA">
          <w:pPr>
            <w:pStyle w:val="TOC2"/>
            <w:tabs>
              <w:tab w:val="left" w:pos="880"/>
              <w:tab w:val="right" w:leader="dot" w:pos="9350"/>
            </w:tabs>
            <w:rPr>
              <w:rFonts w:eastAsiaTheme="minorEastAsia"/>
              <w:noProof/>
            </w:rPr>
          </w:pPr>
          <w:hyperlink w:anchor="_Toc121732890" w:history="1">
            <w:r w:rsidR="00B51600" w:rsidRPr="000F6F35">
              <w:rPr>
                <w:rStyle w:val="Hyperlink"/>
                <w:noProof/>
              </w:rPr>
              <w:t>4.3</w:t>
            </w:r>
            <w:r w:rsidR="00B51600">
              <w:rPr>
                <w:rFonts w:eastAsiaTheme="minorEastAsia"/>
                <w:noProof/>
              </w:rPr>
              <w:tab/>
            </w:r>
            <w:r w:rsidR="00B51600" w:rsidRPr="000F6F35">
              <w:rPr>
                <w:rStyle w:val="Hyperlink"/>
                <w:noProof/>
                <w:shd w:val="clear" w:color="auto" w:fill="FFFFFF"/>
              </w:rPr>
              <w:t>OneTrust Workflow Interactions</w:t>
            </w:r>
            <w:r w:rsidR="00B51600">
              <w:rPr>
                <w:noProof/>
                <w:webHidden/>
              </w:rPr>
              <w:tab/>
            </w:r>
            <w:r w:rsidR="00B51600">
              <w:rPr>
                <w:noProof/>
                <w:webHidden/>
              </w:rPr>
              <w:fldChar w:fldCharType="begin"/>
            </w:r>
            <w:r w:rsidR="00B51600">
              <w:rPr>
                <w:noProof/>
                <w:webHidden/>
              </w:rPr>
              <w:instrText xml:space="preserve"> PAGEREF _Toc121732890 \h </w:instrText>
            </w:r>
            <w:r w:rsidR="00B51600">
              <w:rPr>
                <w:noProof/>
                <w:webHidden/>
              </w:rPr>
            </w:r>
            <w:r w:rsidR="00B51600">
              <w:rPr>
                <w:noProof/>
                <w:webHidden/>
              </w:rPr>
              <w:fldChar w:fldCharType="separate"/>
            </w:r>
            <w:r w:rsidR="00B51600">
              <w:rPr>
                <w:noProof/>
                <w:webHidden/>
              </w:rPr>
              <w:t>5</w:t>
            </w:r>
            <w:r w:rsidR="00B51600">
              <w:rPr>
                <w:noProof/>
                <w:webHidden/>
              </w:rPr>
              <w:fldChar w:fldCharType="end"/>
            </w:r>
          </w:hyperlink>
        </w:p>
        <w:p w14:paraId="68866549" w14:textId="36DAE3FF" w:rsidR="00B51600" w:rsidRDefault="007C13AA">
          <w:pPr>
            <w:pStyle w:val="TOC2"/>
            <w:tabs>
              <w:tab w:val="left" w:pos="880"/>
              <w:tab w:val="right" w:leader="dot" w:pos="9350"/>
            </w:tabs>
            <w:rPr>
              <w:rFonts w:eastAsiaTheme="minorEastAsia"/>
              <w:noProof/>
            </w:rPr>
          </w:pPr>
          <w:hyperlink w:anchor="_Toc121732891" w:history="1">
            <w:r w:rsidR="00B51600" w:rsidRPr="000F6F35">
              <w:rPr>
                <w:rStyle w:val="Hyperlink"/>
                <w:noProof/>
              </w:rPr>
              <w:t>4.4</w:t>
            </w:r>
            <w:r w:rsidR="00B51600">
              <w:rPr>
                <w:rFonts w:eastAsiaTheme="minorEastAsia"/>
                <w:noProof/>
              </w:rPr>
              <w:tab/>
            </w:r>
            <w:r w:rsidR="00B51600" w:rsidRPr="000F6F35">
              <w:rPr>
                <w:rStyle w:val="Hyperlink"/>
                <w:noProof/>
              </w:rPr>
              <w:t>Fulfillment Orchestrator</w:t>
            </w:r>
            <w:r w:rsidR="00B51600">
              <w:rPr>
                <w:noProof/>
                <w:webHidden/>
              </w:rPr>
              <w:tab/>
            </w:r>
            <w:r w:rsidR="00B51600">
              <w:rPr>
                <w:noProof/>
                <w:webHidden/>
              </w:rPr>
              <w:fldChar w:fldCharType="begin"/>
            </w:r>
            <w:r w:rsidR="00B51600">
              <w:rPr>
                <w:noProof/>
                <w:webHidden/>
              </w:rPr>
              <w:instrText xml:space="preserve"> PAGEREF _Toc121732891 \h </w:instrText>
            </w:r>
            <w:r w:rsidR="00B51600">
              <w:rPr>
                <w:noProof/>
                <w:webHidden/>
              </w:rPr>
            </w:r>
            <w:r w:rsidR="00B51600">
              <w:rPr>
                <w:noProof/>
                <w:webHidden/>
              </w:rPr>
              <w:fldChar w:fldCharType="separate"/>
            </w:r>
            <w:r w:rsidR="00B51600">
              <w:rPr>
                <w:noProof/>
                <w:webHidden/>
              </w:rPr>
              <w:t>6</w:t>
            </w:r>
            <w:r w:rsidR="00B51600">
              <w:rPr>
                <w:noProof/>
                <w:webHidden/>
              </w:rPr>
              <w:fldChar w:fldCharType="end"/>
            </w:r>
          </w:hyperlink>
        </w:p>
        <w:p w14:paraId="06E8A2B3" w14:textId="1E431B79" w:rsidR="00B51600" w:rsidRDefault="007C13AA">
          <w:pPr>
            <w:pStyle w:val="TOC1"/>
            <w:tabs>
              <w:tab w:val="left" w:pos="440"/>
              <w:tab w:val="right" w:leader="dot" w:pos="9350"/>
            </w:tabs>
            <w:rPr>
              <w:rFonts w:eastAsiaTheme="minorEastAsia"/>
              <w:noProof/>
            </w:rPr>
          </w:pPr>
          <w:hyperlink w:anchor="_Toc121732892" w:history="1">
            <w:r w:rsidR="00B51600" w:rsidRPr="000F6F35">
              <w:rPr>
                <w:rStyle w:val="Hyperlink"/>
                <w:noProof/>
              </w:rPr>
              <w:t>5</w:t>
            </w:r>
            <w:r w:rsidR="00B51600">
              <w:rPr>
                <w:rFonts w:eastAsiaTheme="minorEastAsia"/>
                <w:noProof/>
              </w:rPr>
              <w:tab/>
            </w:r>
            <w:r w:rsidR="00B51600" w:rsidRPr="000F6F35">
              <w:rPr>
                <w:rStyle w:val="Hyperlink"/>
                <w:noProof/>
              </w:rPr>
              <w:t>References:</w:t>
            </w:r>
            <w:r w:rsidR="00B51600">
              <w:rPr>
                <w:noProof/>
                <w:webHidden/>
              </w:rPr>
              <w:tab/>
            </w:r>
            <w:r w:rsidR="00B51600">
              <w:rPr>
                <w:noProof/>
                <w:webHidden/>
              </w:rPr>
              <w:fldChar w:fldCharType="begin"/>
            </w:r>
            <w:r w:rsidR="00B51600">
              <w:rPr>
                <w:noProof/>
                <w:webHidden/>
              </w:rPr>
              <w:instrText xml:space="preserve"> PAGEREF _Toc121732892 \h </w:instrText>
            </w:r>
            <w:r w:rsidR="00B51600">
              <w:rPr>
                <w:noProof/>
                <w:webHidden/>
              </w:rPr>
            </w:r>
            <w:r w:rsidR="00B51600">
              <w:rPr>
                <w:noProof/>
                <w:webHidden/>
              </w:rPr>
              <w:fldChar w:fldCharType="separate"/>
            </w:r>
            <w:r w:rsidR="00B51600">
              <w:rPr>
                <w:noProof/>
                <w:webHidden/>
              </w:rPr>
              <w:t>7</w:t>
            </w:r>
            <w:r w:rsidR="00B51600">
              <w:rPr>
                <w:noProof/>
                <w:webHidden/>
              </w:rPr>
              <w:fldChar w:fldCharType="end"/>
            </w:r>
          </w:hyperlink>
        </w:p>
        <w:p w14:paraId="25B66633" w14:textId="41BFC1B5" w:rsidR="00B51600" w:rsidRDefault="007C13AA">
          <w:pPr>
            <w:pStyle w:val="TOC1"/>
            <w:tabs>
              <w:tab w:val="left" w:pos="440"/>
              <w:tab w:val="right" w:leader="dot" w:pos="9350"/>
            </w:tabs>
            <w:rPr>
              <w:rFonts w:eastAsiaTheme="minorEastAsia"/>
              <w:noProof/>
            </w:rPr>
          </w:pPr>
          <w:hyperlink w:anchor="_Toc121732893" w:history="1">
            <w:r w:rsidR="00B51600" w:rsidRPr="000F6F35">
              <w:rPr>
                <w:rStyle w:val="Hyperlink"/>
                <w:noProof/>
              </w:rPr>
              <w:t>6</w:t>
            </w:r>
            <w:r w:rsidR="00B51600">
              <w:rPr>
                <w:rFonts w:eastAsiaTheme="minorEastAsia"/>
                <w:noProof/>
              </w:rPr>
              <w:tab/>
            </w:r>
            <w:r w:rsidR="00B51600" w:rsidRPr="000F6F35">
              <w:rPr>
                <w:rStyle w:val="Hyperlink"/>
                <w:noProof/>
              </w:rPr>
              <w:t>Glossary</w:t>
            </w:r>
            <w:r w:rsidR="00B51600">
              <w:rPr>
                <w:noProof/>
                <w:webHidden/>
              </w:rPr>
              <w:tab/>
            </w:r>
            <w:r w:rsidR="00B51600">
              <w:rPr>
                <w:noProof/>
                <w:webHidden/>
              </w:rPr>
              <w:fldChar w:fldCharType="begin"/>
            </w:r>
            <w:r w:rsidR="00B51600">
              <w:rPr>
                <w:noProof/>
                <w:webHidden/>
              </w:rPr>
              <w:instrText xml:space="preserve"> PAGEREF _Toc121732893 \h </w:instrText>
            </w:r>
            <w:r w:rsidR="00B51600">
              <w:rPr>
                <w:noProof/>
                <w:webHidden/>
              </w:rPr>
            </w:r>
            <w:r w:rsidR="00B51600">
              <w:rPr>
                <w:noProof/>
                <w:webHidden/>
              </w:rPr>
              <w:fldChar w:fldCharType="separate"/>
            </w:r>
            <w:r w:rsidR="00B51600">
              <w:rPr>
                <w:noProof/>
                <w:webHidden/>
              </w:rPr>
              <w:t>8</w:t>
            </w:r>
            <w:r w:rsidR="00B51600">
              <w:rPr>
                <w:noProof/>
                <w:webHidden/>
              </w:rPr>
              <w:fldChar w:fldCharType="end"/>
            </w:r>
          </w:hyperlink>
        </w:p>
        <w:p w14:paraId="50442241" w14:textId="617B7CB4" w:rsidR="00472F12" w:rsidRDefault="00472F12" w:rsidP="00C73A0C">
          <w:r>
            <w:rPr>
              <w:b/>
              <w:bCs/>
              <w:noProof/>
            </w:rPr>
            <w:fldChar w:fldCharType="end"/>
          </w:r>
        </w:p>
      </w:sdtContent>
    </w:sdt>
    <w:p w14:paraId="17421A07" w14:textId="0CE2805B" w:rsidR="00472F12" w:rsidRDefault="00472F12" w:rsidP="00C73A0C">
      <w:pPr>
        <w:rPr>
          <w:rFonts w:asciiTheme="majorHAnsi" w:eastAsiaTheme="majorEastAsia" w:hAnsiTheme="majorHAnsi" w:cstheme="majorBidi"/>
          <w:color w:val="365F91" w:themeColor="accent1" w:themeShade="BF"/>
          <w:sz w:val="32"/>
          <w:szCs w:val="32"/>
        </w:rPr>
      </w:pPr>
      <w:r>
        <w:br w:type="page"/>
      </w:r>
    </w:p>
    <w:p w14:paraId="03D5E096" w14:textId="38405678" w:rsidR="00BA21E6" w:rsidRDefault="00BA21E6" w:rsidP="005B654A">
      <w:pPr>
        <w:pStyle w:val="Heading1"/>
        <w:spacing w:after="120"/>
      </w:pPr>
      <w:bookmarkStart w:id="1" w:name="_Ref121422907"/>
      <w:bookmarkStart w:id="2" w:name="_Toc121732880"/>
      <w:r>
        <w:lastRenderedPageBreak/>
        <w:t>Scope</w:t>
      </w:r>
      <w:bookmarkEnd w:id="1"/>
      <w:bookmarkEnd w:id="2"/>
    </w:p>
    <w:p w14:paraId="2CB76DAE" w14:textId="7A921626" w:rsidR="004D53F3" w:rsidRDefault="00BA21E6" w:rsidP="005B654A">
      <w:pPr>
        <w:spacing w:after="120"/>
      </w:pPr>
      <w:r>
        <w:t xml:space="preserve">The </w:t>
      </w:r>
      <w:r w:rsidR="006E31D9">
        <w:t xml:space="preserve">scope of this </w:t>
      </w:r>
      <w:r w:rsidR="004D53F3">
        <w:t>California Privacy Rights Act (CPRA) implementation covers the consumers’ Right to Know (RTK), Right to Correct (RTC), Right to Delete (RTD), and Right to Appeal (RTA) for VPP, KINTO, Employees, Dealers, and Vendors.</w:t>
      </w:r>
    </w:p>
    <w:p w14:paraId="2125BACD" w14:textId="06A99814" w:rsidR="00645AC9" w:rsidRDefault="005208CE" w:rsidP="005B654A">
      <w:pPr>
        <w:pStyle w:val="Heading1"/>
        <w:spacing w:after="120"/>
      </w:pPr>
      <w:bookmarkStart w:id="3" w:name="_Toc121732881"/>
      <w:r>
        <w:t>Data Privacy Request Intake Channels</w:t>
      </w:r>
      <w:bookmarkEnd w:id="3"/>
    </w:p>
    <w:p w14:paraId="155C6756" w14:textId="1B618149" w:rsidR="00645AC9" w:rsidRPr="00645AC9" w:rsidRDefault="00645AC9" w:rsidP="005B654A">
      <w:pPr>
        <w:pStyle w:val="Heading2"/>
        <w:spacing w:after="120"/>
      </w:pPr>
      <w:bookmarkStart w:id="4" w:name="_Toc121732882"/>
      <w:r>
        <w:t>Web Channels</w:t>
      </w:r>
      <w:bookmarkEnd w:id="4"/>
    </w:p>
    <w:p w14:paraId="24FB99EF" w14:textId="7ED2C79B" w:rsidR="005208CE" w:rsidRPr="005208CE" w:rsidRDefault="005208CE" w:rsidP="005B654A">
      <w:pPr>
        <w:spacing w:after="120"/>
      </w:pPr>
      <w:r>
        <w:fldChar w:fldCharType="begin"/>
      </w:r>
      <w:r>
        <w:instrText xml:space="preserve"> REF _Ref121401132 \h </w:instrText>
      </w:r>
      <w:r>
        <w:fldChar w:fldCharType="separate"/>
      </w:r>
      <w:r w:rsidR="00725672">
        <w:t xml:space="preserve">Figure </w:t>
      </w:r>
      <w:r w:rsidR="00725672">
        <w:rPr>
          <w:noProof/>
        </w:rPr>
        <w:t>1</w:t>
      </w:r>
      <w:r>
        <w:fldChar w:fldCharType="end"/>
      </w:r>
      <w:r>
        <w:t xml:space="preserve"> depicts the Web channels that consumers can use to submit their </w:t>
      </w:r>
      <w:r w:rsidR="00645AC9">
        <w:t>Data P</w:t>
      </w:r>
      <w:r>
        <w:t xml:space="preserve">rivacy </w:t>
      </w:r>
      <w:r w:rsidR="00645AC9">
        <w:t>R</w:t>
      </w:r>
      <w:r>
        <w:t>equests</w:t>
      </w:r>
      <w:r w:rsidR="00645AC9">
        <w:t xml:space="preserve"> (DPR)</w:t>
      </w:r>
      <w:r>
        <w:t>.</w:t>
      </w:r>
    </w:p>
    <w:p w14:paraId="2D17B50B" w14:textId="45E8F87E" w:rsidR="00AA75A6" w:rsidRDefault="005B654A" w:rsidP="005B654A">
      <w:pPr>
        <w:spacing w:after="120"/>
      </w:pPr>
      <w:r>
        <w:rPr>
          <w:noProof/>
        </w:rPr>
        <w:drawing>
          <wp:inline distT="0" distB="0" distL="0" distR="0" wp14:anchorId="1591E4A0" wp14:editId="72F7A5A3">
            <wp:extent cx="5943600" cy="4417060"/>
            <wp:effectExtent l="0" t="0" r="0" b="254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14:paraId="717193C7" w14:textId="415C4ED8" w:rsidR="00AA75A6" w:rsidRDefault="00AA75A6" w:rsidP="005B654A">
      <w:pPr>
        <w:pStyle w:val="Caption"/>
        <w:spacing w:after="120"/>
        <w:jc w:val="center"/>
      </w:pPr>
      <w:bookmarkStart w:id="5" w:name="_Ref121401132"/>
      <w:r>
        <w:t xml:space="preserve">Figure </w:t>
      </w:r>
      <w:fldSimple w:instr=" SEQ Figure \* ARABIC ">
        <w:r w:rsidR="004D059B">
          <w:rPr>
            <w:noProof/>
          </w:rPr>
          <w:t>1</w:t>
        </w:r>
      </w:fldSimple>
      <w:bookmarkEnd w:id="5"/>
      <w:r>
        <w:t>: Web Channels for Submitting Data Privacy Request</w:t>
      </w:r>
    </w:p>
    <w:p w14:paraId="1C0433C7" w14:textId="10BE7E40" w:rsidR="00F472BC" w:rsidRDefault="0072666A" w:rsidP="005B654A">
      <w:pPr>
        <w:spacing w:after="120"/>
      </w:pPr>
      <w:r>
        <w:t>Toyota Motor Insurance Services (TMIS)</w:t>
      </w:r>
      <w:r w:rsidR="00645AC9">
        <w:t xml:space="preserve">, Mazda Protection Plan (MPP), and Continuous Customer Care (CCC) </w:t>
      </w:r>
      <w:r>
        <w:t>consumers can submit the DPR</w:t>
      </w:r>
      <w:r w:rsidR="00645AC9">
        <w:t>s</w:t>
      </w:r>
      <w:r>
        <w:t xml:space="preserve"> following </w:t>
      </w:r>
      <w:r w:rsidRPr="00645AC9">
        <w:rPr>
          <w:rFonts w:ascii="Courier New" w:hAnsi="Courier New" w:cs="Courier New"/>
          <w:color w:val="3333FF"/>
          <w:sz w:val="20"/>
          <w:szCs w:val="20"/>
        </w:rPr>
        <w:t>&lt;Data Privacy Request&gt;</w:t>
      </w:r>
      <w:r>
        <w:t xml:space="preserve"> link</w:t>
      </w:r>
      <w:r w:rsidR="00645AC9">
        <w:t xml:space="preserve"> from their respective </w:t>
      </w:r>
      <w:r w:rsidR="00D34B2A">
        <w:t xml:space="preserve">financial </w:t>
      </w:r>
      <w:r w:rsidR="00645AC9">
        <w:t xml:space="preserve">websites. </w:t>
      </w:r>
      <w:r w:rsidR="00D34B2A">
        <w:t xml:space="preserve">The link renders </w:t>
      </w:r>
      <w:r w:rsidR="00C8745F">
        <w:t xml:space="preserve">the </w:t>
      </w:r>
      <w:r w:rsidR="00C8745F" w:rsidRPr="00C8745F">
        <w:t>PrivacyApp</w:t>
      </w:r>
      <w:r w:rsidR="00C8745F">
        <w:t xml:space="preserve"> response that includes the Web Form for submitting the DPR</w:t>
      </w:r>
      <w:r w:rsidR="005401C9">
        <w:t>. The complete</w:t>
      </w:r>
      <w:r w:rsidR="007C1D1C">
        <w:t>d</w:t>
      </w:r>
      <w:r w:rsidR="005401C9">
        <w:t xml:space="preserve"> forms are </w:t>
      </w:r>
      <w:r w:rsidR="007C1D1C">
        <w:t>submitted</w:t>
      </w:r>
      <w:r w:rsidR="005401C9">
        <w:t xml:space="preserve"> to the OneTrust Data Fulfillment Service (DFS) for fulfillment.</w:t>
      </w:r>
    </w:p>
    <w:p w14:paraId="70B6FC17" w14:textId="061F96D1" w:rsidR="007C1D1C" w:rsidRDefault="007C1D1C" w:rsidP="005B654A">
      <w:pPr>
        <w:spacing w:after="120"/>
      </w:pPr>
      <w:r>
        <w:t xml:space="preserve">The </w:t>
      </w:r>
      <w:r w:rsidR="005401C9">
        <w:t xml:space="preserve">Kinto consumers submit the DPRs via </w:t>
      </w:r>
      <w:r>
        <w:t xml:space="preserve">the </w:t>
      </w:r>
      <w:r w:rsidR="005401C9">
        <w:t xml:space="preserve">CCPA website. </w:t>
      </w:r>
      <w:r>
        <w:t xml:space="preserve">The requests are forwarded to Zendesk service for manual fulfillment by the Privacy Compliance team. At the same time, the team </w:t>
      </w:r>
      <w:r w:rsidR="002E6700">
        <w:t xml:space="preserve">manually </w:t>
      </w:r>
      <w:r w:rsidR="002E6700">
        <w:lastRenderedPageBreak/>
        <w:t>creates corresponding requests in OneTrust (</w:t>
      </w:r>
      <w:r>
        <w:t>utiliz</w:t>
      </w:r>
      <w:r w:rsidR="002E6700">
        <w:t xml:space="preserve">ing </w:t>
      </w:r>
      <w:r>
        <w:t>the Kinto OneTrust Web Form</w:t>
      </w:r>
      <w:r w:rsidR="002E6700">
        <w:t>)</w:t>
      </w:r>
      <w:r>
        <w:t xml:space="preserve"> for tracking and reporting purposes. </w:t>
      </w:r>
    </w:p>
    <w:p w14:paraId="6E6B4714" w14:textId="27F2FBFF" w:rsidR="00BA21E6" w:rsidRDefault="00472F12" w:rsidP="005B654A">
      <w:pPr>
        <w:pStyle w:val="Heading2"/>
        <w:spacing w:after="120"/>
      </w:pPr>
      <w:bookmarkStart w:id="6" w:name="_Toc121732883"/>
      <w:r>
        <w:t>Toll-Free Telephone Numbers</w:t>
      </w:r>
      <w:bookmarkEnd w:id="6"/>
    </w:p>
    <w:p w14:paraId="25D1C08D" w14:textId="05A38D92" w:rsidR="00472F12" w:rsidRPr="00472F12" w:rsidRDefault="00472F12" w:rsidP="005B654A">
      <w:pPr>
        <w:spacing w:after="120"/>
      </w:pPr>
      <w:r>
        <w:t xml:space="preserve">The CPRA implementation offers two toll-free telephone numbers in support of DPRs, one for TMIS, MPP, and CCC consumers and another for Kinto consumers (see </w:t>
      </w:r>
      <w:r>
        <w:fldChar w:fldCharType="begin"/>
      </w:r>
      <w:r>
        <w:instrText xml:space="preserve"> REF _Ref121407721 \h </w:instrText>
      </w:r>
      <w:r>
        <w:fldChar w:fldCharType="separate"/>
      </w:r>
      <w:r w:rsidR="00725672">
        <w:t xml:space="preserve">Figure </w:t>
      </w:r>
      <w:r w:rsidR="00725672">
        <w:rPr>
          <w:noProof/>
        </w:rPr>
        <w:t>2</w:t>
      </w:r>
      <w:r>
        <w:fldChar w:fldCharType="end"/>
      </w:r>
      <w:r>
        <w:t>).</w:t>
      </w:r>
    </w:p>
    <w:p w14:paraId="308012D8" w14:textId="2AC47436" w:rsidR="00472F12" w:rsidRDefault="00472F12" w:rsidP="005B654A">
      <w:pPr>
        <w:pStyle w:val="NormalWeb"/>
        <w:shd w:val="clear" w:color="auto" w:fill="FFFFFF"/>
        <w:spacing w:before="0" w:beforeAutospacing="0" w:after="120" w:afterAutospacing="0"/>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14:anchorId="4DAB01E6" wp14:editId="581AEDCF">
            <wp:extent cx="3575613" cy="840875"/>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0952" cy="846834"/>
                    </a:xfrm>
                    <a:prstGeom prst="rect">
                      <a:avLst/>
                    </a:prstGeom>
                  </pic:spPr>
                </pic:pic>
              </a:graphicData>
            </a:graphic>
          </wp:inline>
        </w:drawing>
      </w:r>
    </w:p>
    <w:p w14:paraId="017780A6" w14:textId="11BF0C1B" w:rsidR="00472F12" w:rsidRDefault="00472F12" w:rsidP="005B654A">
      <w:pPr>
        <w:pStyle w:val="Caption"/>
        <w:spacing w:after="120"/>
        <w:jc w:val="center"/>
      </w:pPr>
      <w:bookmarkStart w:id="7" w:name="_Ref121407721"/>
      <w:r>
        <w:t xml:space="preserve">Figure </w:t>
      </w:r>
      <w:fldSimple w:instr=" SEQ Figure \* ARABIC ">
        <w:r w:rsidR="004D059B">
          <w:rPr>
            <w:noProof/>
          </w:rPr>
          <w:t>2</w:t>
        </w:r>
      </w:fldSimple>
      <w:bookmarkEnd w:id="7"/>
      <w:r>
        <w:t>: Telephony Channels</w:t>
      </w:r>
    </w:p>
    <w:p w14:paraId="4A0E0EE7" w14:textId="4653B7A3" w:rsidR="00472F12" w:rsidRDefault="00472F12" w:rsidP="005B654A">
      <w:pPr>
        <w:spacing w:after="120"/>
      </w:pPr>
      <w:r>
        <w:t>In both cases, the requests are fulfilled manually by the Privacy Compliance team using the appropriate OneTrust Web Form.</w:t>
      </w:r>
    </w:p>
    <w:p w14:paraId="78B38956" w14:textId="3B5584DE" w:rsidR="00835662" w:rsidRDefault="00246B43" w:rsidP="005B654A">
      <w:pPr>
        <w:pStyle w:val="Heading1"/>
        <w:spacing w:after="120"/>
      </w:pPr>
      <w:bookmarkStart w:id="8" w:name="_Toc121732884"/>
      <w:r>
        <w:t xml:space="preserve">Data Privacy UI </w:t>
      </w:r>
      <w:r w:rsidR="00472F12">
        <w:t>Design</w:t>
      </w:r>
      <w:bookmarkEnd w:id="8"/>
      <w:r w:rsidR="00472F12">
        <w:t xml:space="preserve"> </w:t>
      </w:r>
    </w:p>
    <w:p w14:paraId="14B8CCC6" w14:textId="7C4C51ED" w:rsidR="00472F12" w:rsidRDefault="00835662" w:rsidP="005B654A">
      <w:pPr>
        <w:pStyle w:val="Heading2"/>
        <w:spacing w:after="120"/>
      </w:pPr>
      <w:bookmarkStart w:id="9" w:name="_Toc121732885"/>
      <w:r>
        <w:t xml:space="preserve">Design </w:t>
      </w:r>
      <w:r w:rsidR="00472F12">
        <w:t>Constraints</w:t>
      </w:r>
      <w:bookmarkEnd w:id="9"/>
    </w:p>
    <w:p w14:paraId="320E8953" w14:textId="10FC8E8E" w:rsidR="00481DAA" w:rsidRDefault="00481DAA" w:rsidP="00E43BE4">
      <w:pPr>
        <w:spacing w:line="240" w:lineRule="auto"/>
      </w:pPr>
      <w:r>
        <w:t>The following design constraints are imposed on PrivacyApp:</w:t>
      </w:r>
    </w:p>
    <w:p w14:paraId="3F5A7130" w14:textId="02048C6E" w:rsidR="00481DAA" w:rsidRPr="0037129E" w:rsidRDefault="00E472A4" w:rsidP="00E43BE4">
      <w:pPr>
        <w:pStyle w:val="ListParagraph"/>
        <w:numPr>
          <w:ilvl w:val="0"/>
          <w:numId w:val="7"/>
        </w:numPr>
        <w:spacing w:line="240" w:lineRule="auto"/>
        <w:rPr>
          <w:rFonts w:cstheme="minorHAnsi"/>
          <w:color w:val="000000"/>
          <w:shd w:val="clear" w:color="auto" w:fill="FFFFFF"/>
        </w:rPr>
      </w:pPr>
      <w:bookmarkStart w:id="10" w:name="_Ref121422855"/>
      <w:r>
        <w:t xml:space="preserve">Support for </w:t>
      </w:r>
      <w:r w:rsidR="00481DAA">
        <w:t xml:space="preserve">One </w:t>
      </w:r>
      <w:r>
        <w:t>E</w:t>
      </w:r>
      <w:r w:rsidR="00481DAA">
        <w:t xml:space="preserve">nd </w:t>
      </w:r>
      <w:r>
        <w:t>P</w:t>
      </w:r>
      <w:r w:rsidR="00481DAA">
        <w:t xml:space="preserve">oint – </w:t>
      </w:r>
      <w:r>
        <w:t>M</w:t>
      </w:r>
      <w:r w:rsidR="00481DAA">
        <w:t xml:space="preserve">ultiple </w:t>
      </w:r>
      <w:r>
        <w:t>B</w:t>
      </w:r>
      <w:r w:rsidR="00481DAA">
        <w:t>rands/</w:t>
      </w:r>
      <w:r>
        <w:t>T</w:t>
      </w:r>
      <w:r w:rsidR="00481DAA">
        <w:t>enants (TMIS, MPP, CCC, additional future brands)</w:t>
      </w:r>
      <w:r>
        <w:t xml:space="preserve"> pattern,</w:t>
      </w:r>
      <w:bookmarkEnd w:id="10"/>
    </w:p>
    <w:p w14:paraId="22A17573" w14:textId="50481934" w:rsidR="0037129E" w:rsidRPr="0037129E" w:rsidRDefault="00E472A4" w:rsidP="00E43BE4">
      <w:pPr>
        <w:pStyle w:val="ListParagraph"/>
        <w:numPr>
          <w:ilvl w:val="0"/>
          <w:numId w:val="7"/>
        </w:numPr>
        <w:spacing w:line="240" w:lineRule="auto"/>
        <w:rPr>
          <w:rFonts w:cstheme="minorHAnsi"/>
          <w:color w:val="000000"/>
          <w:shd w:val="clear" w:color="auto" w:fill="FFFFFF"/>
        </w:rPr>
      </w:pPr>
      <w:bookmarkStart w:id="11" w:name="_Ref121422960"/>
      <w:r>
        <w:t xml:space="preserve">Ability to do </w:t>
      </w:r>
      <w:r w:rsidR="00835662">
        <w:t xml:space="preserve">a </w:t>
      </w:r>
      <w:r>
        <w:t>dynamic</w:t>
      </w:r>
      <w:r w:rsidR="0037129E">
        <w:t xml:space="preserve"> rendering of the privacy function from UIWidget </w:t>
      </w:r>
      <w:r>
        <w:t>at runtime,</w:t>
      </w:r>
      <w:bookmarkEnd w:id="11"/>
    </w:p>
    <w:p w14:paraId="0D1F1E62" w14:textId="0808247E" w:rsidR="0037129E" w:rsidRPr="0037129E" w:rsidRDefault="00E472A4" w:rsidP="00E43BE4">
      <w:pPr>
        <w:pStyle w:val="ListParagraph"/>
        <w:numPr>
          <w:ilvl w:val="0"/>
          <w:numId w:val="7"/>
        </w:numPr>
        <w:spacing w:line="240" w:lineRule="auto"/>
        <w:rPr>
          <w:rFonts w:cstheme="minorHAnsi"/>
          <w:color w:val="000000"/>
          <w:shd w:val="clear" w:color="auto" w:fill="FFFFFF"/>
        </w:rPr>
      </w:pPr>
      <w:r>
        <w:t>Ability to do d</w:t>
      </w:r>
      <w:r w:rsidR="0037129E">
        <w:t xml:space="preserve">ynamic </w:t>
      </w:r>
      <w:r>
        <w:t>fetching of UIWidget operational data.</w:t>
      </w:r>
    </w:p>
    <w:p w14:paraId="2B6C85B3" w14:textId="77777777" w:rsidR="00F4643F" w:rsidRDefault="00F4643F" w:rsidP="00E43BE4">
      <w:pPr>
        <w:pStyle w:val="Heading2"/>
        <w:spacing w:after="200"/>
      </w:pPr>
      <w:bookmarkStart w:id="12" w:name="_Toc121732886"/>
      <w:r>
        <w:t>Privacy Application Design</w:t>
      </w:r>
      <w:bookmarkEnd w:id="12"/>
    </w:p>
    <w:p w14:paraId="3A3E4A55" w14:textId="1C2938D2" w:rsidR="00472F12" w:rsidRDefault="00F4643F" w:rsidP="00E43BE4">
      <w:r>
        <w:t xml:space="preserve">The Privacy Application components are shown in </w:t>
      </w:r>
      <w:r>
        <w:fldChar w:fldCharType="begin"/>
      </w:r>
      <w:r>
        <w:instrText xml:space="preserve"> REF _Ref121420664 \h </w:instrText>
      </w:r>
      <w:r>
        <w:fldChar w:fldCharType="separate"/>
      </w:r>
      <w:r w:rsidR="00725672">
        <w:t xml:space="preserve">Figure </w:t>
      </w:r>
      <w:r w:rsidR="00725672">
        <w:rPr>
          <w:noProof/>
        </w:rPr>
        <w:t>3</w:t>
      </w:r>
      <w:r>
        <w:fldChar w:fldCharType="end"/>
      </w:r>
      <w:r>
        <w:t>.</w:t>
      </w:r>
    </w:p>
    <w:p w14:paraId="5EA94AD7" w14:textId="75EE8E82" w:rsidR="00E472A4" w:rsidRDefault="00A64821" w:rsidP="00E43BE4">
      <w:r>
        <w:rPr>
          <w:noProof/>
        </w:rPr>
        <w:drawing>
          <wp:inline distT="0" distB="0" distL="0" distR="0" wp14:anchorId="28275595" wp14:editId="374C5FDC">
            <wp:extent cx="5943600" cy="21450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5030"/>
                    </a:xfrm>
                    <a:prstGeom prst="rect">
                      <a:avLst/>
                    </a:prstGeom>
                  </pic:spPr>
                </pic:pic>
              </a:graphicData>
            </a:graphic>
          </wp:inline>
        </w:drawing>
      </w:r>
    </w:p>
    <w:p w14:paraId="3BAEA928" w14:textId="6C2E84B9" w:rsidR="00F4643F" w:rsidRDefault="00F4643F" w:rsidP="00E43BE4">
      <w:pPr>
        <w:pStyle w:val="Caption"/>
        <w:jc w:val="center"/>
      </w:pPr>
      <w:bookmarkStart w:id="13" w:name="_Ref121420664"/>
      <w:r>
        <w:t xml:space="preserve">Figure </w:t>
      </w:r>
      <w:fldSimple w:instr=" SEQ Figure \* ARABIC ">
        <w:r w:rsidR="004D059B">
          <w:rPr>
            <w:noProof/>
          </w:rPr>
          <w:t>3</w:t>
        </w:r>
      </w:fldSimple>
      <w:bookmarkEnd w:id="13"/>
      <w:r>
        <w:t>: Privacy Application Components</w:t>
      </w:r>
    </w:p>
    <w:p w14:paraId="586B06CA" w14:textId="7E53D35D" w:rsidR="002E3AF9" w:rsidRDefault="00F4643F" w:rsidP="00E43BE4">
      <w:r>
        <w:t xml:space="preserve">The Application </w:t>
      </w:r>
      <w:r w:rsidR="002E3AF9">
        <w:t>is composed of two main components:</w:t>
      </w:r>
    </w:p>
    <w:p w14:paraId="1B5B2512" w14:textId="3B5F2164" w:rsidR="002E3AF9" w:rsidRPr="002E3AF9" w:rsidRDefault="002E3AF9" w:rsidP="00E43BE4">
      <w:pPr>
        <w:pStyle w:val="ListParagraph"/>
        <w:numPr>
          <w:ilvl w:val="0"/>
          <w:numId w:val="11"/>
        </w:numPr>
        <w:spacing w:line="240" w:lineRule="auto"/>
        <w:rPr>
          <w:rFonts w:cstheme="minorHAnsi"/>
          <w:color w:val="000000"/>
          <w:shd w:val="clear" w:color="auto" w:fill="FFFFFF"/>
        </w:rPr>
      </w:pPr>
      <w:r>
        <w:lastRenderedPageBreak/>
        <w:t>Host Page HTML document with additional tags as follows:</w:t>
      </w:r>
    </w:p>
    <w:p w14:paraId="313083C5" w14:textId="554555BF" w:rsidR="00F4643F" w:rsidRPr="002E3AF9" w:rsidRDefault="002E3AF9" w:rsidP="00E43BE4">
      <w:pPr>
        <w:pStyle w:val="ListParagraph"/>
        <w:numPr>
          <w:ilvl w:val="1"/>
          <w:numId w:val="11"/>
        </w:numPr>
        <w:spacing w:line="240" w:lineRule="auto"/>
        <w:rPr>
          <w:rFonts w:cstheme="minorHAnsi"/>
          <w:color w:val="000000"/>
          <w:shd w:val="clear" w:color="auto" w:fill="FFFFFF"/>
        </w:rPr>
      </w:pPr>
      <w:r>
        <w:t xml:space="preserve">DOM Container </w:t>
      </w:r>
      <w:r w:rsidRPr="002E3AF9">
        <w:rPr>
          <w:rFonts w:ascii="Courier New" w:hAnsi="Courier New" w:cs="Courier New"/>
          <w:color w:val="3333FF"/>
          <w:sz w:val="20"/>
          <w:szCs w:val="20"/>
        </w:rPr>
        <w:t>&lt;div&gt;</w:t>
      </w:r>
      <w:r>
        <w:t xml:space="preserve"> tag with </w:t>
      </w:r>
      <w:r w:rsidR="00E86200">
        <w:t xml:space="preserve">a </w:t>
      </w:r>
      <w:r>
        <w:t xml:space="preserve">unique </w:t>
      </w:r>
      <w:r w:rsidRPr="002E3AF9">
        <w:rPr>
          <w:rFonts w:ascii="Courier New" w:hAnsi="Courier New" w:cs="Courier New"/>
          <w:color w:val="3333FF"/>
          <w:sz w:val="20"/>
          <w:szCs w:val="20"/>
        </w:rPr>
        <w:t>id</w:t>
      </w:r>
      <w:r>
        <w:t xml:space="preserve"> to mark the spot where we want to include the React UIWidget content,</w:t>
      </w:r>
    </w:p>
    <w:p w14:paraId="7692CC8C" w14:textId="1CC31055" w:rsidR="002E3AF9" w:rsidRPr="002E3AF9" w:rsidRDefault="002E3AF9" w:rsidP="00E43BE4">
      <w:pPr>
        <w:pStyle w:val="ListParagraph"/>
        <w:numPr>
          <w:ilvl w:val="1"/>
          <w:numId w:val="11"/>
        </w:numPr>
        <w:spacing w:line="240" w:lineRule="auto"/>
        <w:rPr>
          <w:rFonts w:cstheme="minorHAnsi"/>
          <w:color w:val="000000"/>
          <w:shd w:val="clear" w:color="auto" w:fill="FFFFFF"/>
        </w:rPr>
      </w:pPr>
      <w:r w:rsidRPr="002E3AF9">
        <w:rPr>
          <w:rFonts w:ascii="Courier New" w:hAnsi="Courier New" w:cs="Courier New"/>
          <w:color w:val="3333FF"/>
          <w:sz w:val="20"/>
          <w:szCs w:val="20"/>
        </w:rPr>
        <w:t>&lt;script&gt;</w:t>
      </w:r>
      <w:r>
        <w:t xml:space="preserve"> tags to load the React UIWidget.</w:t>
      </w:r>
    </w:p>
    <w:p w14:paraId="6412C22E" w14:textId="2A7F9CB9" w:rsidR="002E3AF9" w:rsidRPr="00C73A0C" w:rsidRDefault="002E3AF9" w:rsidP="00E43BE4">
      <w:pPr>
        <w:pStyle w:val="ListParagraph"/>
        <w:numPr>
          <w:ilvl w:val="0"/>
          <w:numId w:val="11"/>
        </w:numPr>
        <w:spacing w:line="240" w:lineRule="auto"/>
        <w:rPr>
          <w:rFonts w:cstheme="minorHAnsi"/>
          <w:color w:val="000000"/>
          <w:shd w:val="clear" w:color="auto" w:fill="FFFFFF"/>
        </w:rPr>
      </w:pPr>
      <w:r>
        <w:rPr>
          <w:rFonts w:cstheme="minorHAnsi"/>
          <w:color w:val="000000"/>
          <w:shd w:val="clear" w:color="auto" w:fill="FFFFFF"/>
        </w:rPr>
        <w:t>Brand/Tenant specific React UIWidget that supports the core privacy functionality (Privacy Web Form in this instance).</w:t>
      </w:r>
    </w:p>
    <w:p w14:paraId="504303CA" w14:textId="6FDA39AE" w:rsidR="00C73A0C" w:rsidRDefault="002E3AF9" w:rsidP="00E43BE4">
      <w:pPr>
        <w:spacing w:line="240" w:lineRule="auto"/>
        <w:rPr>
          <w:rFonts w:cstheme="minorHAnsi"/>
          <w:color w:val="000000"/>
          <w:shd w:val="clear" w:color="auto" w:fill="FFFFFF"/>
        </w:rPr>
      </w:pPr>
      <w:r>
        <w:rPr>
          <w:rFonts w:cstheme="minorHAnsi"/>
          <w:color w:val="000000"/>
          <w:shd w:val="clear" w:color="auto" w:fill="FFFFFF"/>
        </w:rPr>
        <w:t>Access to the Bran</w:t>
      </w:r>
      <w:r w:rsidR="00C73A0C">
        <w:rPr>
          <w:rFonts w:cstheme="minorHAnsi"/>
          <w:color w:val="000000"/>
          <w:shd w:val="clear" w:color="auto" w:fill="FFFFFF"/>
        </w:rPr>
        <w:t>d</w:t>
      </w:r>
      <w:r>
        <w:rPr>
          <w:rFonts w:cstheme="minorHAnsi"/>
          <w:color w:val="000000"/>
          <w:shd w:val="clear" w:color="auto" w:fill="FFFFFF"/>
        </w:rPr>
        <w:t xml:space="preserve">/Tenant specific UIWidgets cannot be direct – consider constraints </w:t>
      </w:r>
      <w:r w:rsidR="00C73A0C">
        <w:rPr>
          <w:rFonts w:cstheme="minorHAnsi"/>
          <w:color w:val="000000"/>
          <w:shd w:val="clear" w:color="auto" w:fill="FFFFFF"/>
        </w:rPr>
        <w:fldChar w:fldCharType="begin"/>
      </w:r>
      <w:r w:rsidR="00C73A0C">
        <w:rPr>
          <w:rFonts w:cstheme="minorHAnsi"/>
          <w:color w:val="000000"/>
          <w:shd w:val="clear" w:color="auto" w:fill="FFFFFF"/>
        </w:rPr>
        <w:instrText xml:space="preserve"> REF _Ref121422855 \r \h </w:instrText>
      </w:r>
      <w:r w:rsidR="00C73A0C">
        <w:rPr>
          <w:rFonts w:cstheme="minorHAnsi"/>
          <w:color w:val="000000"/>
          <w:shd w:val="clear" w:color="auto" w:fill="FFFFFF"/>
        </w:rPr>
      </w:r>
      <w:r w:rsidR="00C73A0C">
        <w:rPr>
          <w:rFonts w:cstheme="minorHAnsi"/>
          <w:color w:val="000000"/>
          <w:shd w:val="clear" w:color="auto" w:fill="FFFFFF"/>
        </w:rPr>
        <w:fldChar w:fldCharType="separate"/>
      </w:r>
      <w:r w:rsidR="00725672">
        <w:rPr>
          <w:rFonts w:cstheme="minorHAnsi"/>
          <w:color w:val="000000"/>
          <w:shd w:val="clear" w:color="auto" w:fill="FFFFFF"/>
        </w:rPr>
        <w:t>1</w:t>
      </w:r>
      <w:r w:rsidR="00C73A0C">
        <w:rPr>
          <w:rFonts w:cstheme="minorHAnsi"/>
          <w:color w:val="000000"/>
          <w:shd w:val="clear" w:color="auto" w:fill="FFFFFF"/>
        </w:rPr>
        <w:fldChar w:fldCharType="end"/>
      </w:r>
      <w:r w:rsidR="00C73A0C">
        <w:rPr>
          <w:rFonts w:cstheme="minorHAnsi"/>
          <w:color w:val="000000"/>
          <w:shd w:val="clear" w:color="auto" w:fill="FFFFFF"/>
        </w:rPr>
        <w:t xml:space="preserve"> and </w:t>
      </w:r>
      <w:r w:rsidR="00C73A0C">
        <w:rPr>
          <w:rFonts w:cstheme="minorHAnsi"/>
          <w:color w:val="000000"/>
          <w:shd w:val="clear" w:color="auto" w:fill="FFFFFF"/>
        </w:rPr>
        <w:fldChar w:fldCharType="begin"/>
      </w:r>
      <w:r w:rsidR="00C73A0C">
        <w:rPr>
          <w:rFonts w:cstheme="minorHAnsi"/>
          <w:color w:val="000000"/>
          <w:shd w:val="clear" w:color="auto" w:fill="FFFFFF"/>
        </w:rPr>
        <w:instrText xml:space="preserve"> REF _Ref121422960 \r \h </w:instrText>
      </w:r>
      <w:r w:rsidR="00C73A0C">
        <w:rPr>
          <w:rFonts w:cstheme="minorHAnsi"/>
          <w:color w:val="000000"/>
          <w:shd w:val="clear" w:color="auto" w:fill="FFFFFF"/>
        </w:rPr>
      </w:r>
      <w:r w:rsidR="00C73A0C">
        <w:rPr>
          <w:rFonts w:cstheme="minorHAnsi"/>
          <w:color w:val="000000"/>
          <w:shd w:val="clear" w:color="auto" w:fill="FFFFFF"/>
        </w:rPr>
        <w:fldChar w:fldCharType="separate"/>
      </w:r>
      <w:r w:rsidR="00725672">
        <w:rPr>
          <w:rFonts w:cstheme="minorHAnsi"/>
          <w:color w:val="000000"/>
          <w:shd w:val="clear" w:color="auto" w:fill="FFFFFF"/>
        </w:rPr>
        <w:t>2</w:t>
      </w:r>
      <w:r w:rsidR="00C73A0C">
        <w:rPr>
          <w:rFonts w:cstheme="minorHAnsi"/>
          <w:color w:val="000000"/>
          <w:shd w:val="clear" w:color="auto" w:fill="FFFFFF"/>
        </w:rPr>
        <w:fldChar w:fldCharType="end"/>
      </w:r>
      <w:r w:rsidR="00C73A0C">
        <w:rPr>
          <w:rFonts w:cstheme="minorHAnsi"/>
          <w:color w:val="000000"/>
          <w:shd w:val="clear" w:color="auto" w:fill="FFFFFF"/>
        </w:rPr>
        <w:t xml:space="preserve">. </w:t>
      </w:r>
    </w:p>
    <w:p w14:paraId="294D764F" w14:textId="41F0DF4E" w:rsidR="00C73A0C" w:rsidRDefault="00C73A0C" w:rsidP="00E43BE4">
      <w:pPr>
        <w:spacing w:line="240" w:lineRule="auto"/>
        <w:rPr>
          <w:rFonts w:cstheme="minorHAnsi"/>
          <w:color w:val="000000"/>
          <w:shd w:val="clear" w:color="auto" w:fill="FFFFFF"/>
        </w:rPr>
      </w:pPr>
      <w:r>
        <w:rPr>
          <w:rFonts w:cstheme="minorHAnsi"/>
          <w:color w:val="000000"/>
          <w:shd w:val="clear" w:color="auto" w:fill="FFFFFF"/>
        </w:rPr>
        <w:t xml:space="preserve">To address the constraints, we introduced a Load Balancer which in addition to its load balancing functions injects the Brand/Tenant ID in the HTTP Request Header based on the Host Page Brand. </w:t>
      </w:r>
    </w:p>
    <w:p w14:paraId="0450B9E8" w14:textId="6788A38A" w:rsidR="00E472A4" w:rsidRDefault="00C73A0C" w:rsidP="00E43BE4">
      <w:pPr>
        <w:spacing w:line="240" w:lineRule="auto"/>
        <w:rPr>
          <w:rFonts w:cstheme="minorHAnsi"/>
          <w:color w:val="000000"/>
          <w:shd w:val="clear" w:color="auto" w:fill="FFFFFF"/>
        </w:rPr>
      </w:pPr>
      <w:r>
        <w:rPr>
          <w:rFonts w:cstheme="minorHAnsi"/>
          <w:color w:val="000000"/>
          <w:shd w:val="clear" w:color="auto" w:fill="FFFFFF"/>
        </w:rPr>
        <w:t xml:space="preserve">The requests are forwarded to the API Gateway which in addition to its typical functions uses the Tenant ID </w:t>
      </w:r>
      <w:r w:rsidR="00A407B4">
        <w:rPr>
          <w:rFonts w:cstheme="minorHAnsi"/>
          <w:color w:val="000000"/>
          <w:shd w:val="clear" w:color="auto" w:fill="FFFFFF"/>
        </w:rPr>
        <w:t>data</w:t>
      </w:r>
      <w:r>
        <w:rPr>
          <w:rFonts w:cstheme="minorHAnsi"/>
          <w:color w:val="000000"/>
          <w:shd w:val="clear" w:color="auto" w:fill="FFFFFF"/>
        </w:rPr>
        <w:t xml:space="preserve"> from the HTTP Header to reverse-proxy the service request to the Tenant-specific UIWidget.</w:t>
      </w:r>
    </w:p>
    <w:p w14:paraId="12629837" w14:textId="6A669CF2" w:rsidR="00246B43" w:rsidRDefault="00246B43" w:rsidP="00E43BE4">
      <w:pPr>
        <w:spacing w:line="240" w:lineRule="auto"/>
        <w:rPr>
          <w:rFonts w:cstheme="minorHAnsi"/>
          <w:color w:val="000000"/>
          <w:shd w:val="clear" w:color="auto" w:fill="FFFFFF"/>
        </w:rPr>
      </w:pPr>
      <w:r>
        <w:rPr>
          <w:rFonts w:cstheme="minorHAnsi"/>
          <w:color w:val="000000"/>
          <w:shd w:val="clear" w:color="auto" w:fill="FFFFFF"/>
        </w:rPr>
        <w:t>The PrivacyApp design is further elaborated in Reference [</w:t>
      </w:r>
      <w:r>
        <w:rPr>
          <w:rFonts w:cstheme="minorHAnsi"/>
          <w:color w:val="000000"/>
          <w:shd w:val="clear" w:color="auto" w:fill="FFFFFF"/>
        </w:rPr>
        <w:fldChar w:fldCharType="begin"/>
      </w:r>
      <w:r>
        <w:rPr>
          <w:rFonts w:cstheme="minorHAnsi"/>
          <w:color w:val="000000"/>
          <w:shd w:val="clear" w:color="auto" w:fill="FFFFFF"/>
        </w:rPr>
        <w:instrText xml:space="preserve"> REF _Ref121424744 \r \h </w:instrText>
      </w:r>
      <w:r>
        <w:rPr>
          <w:rFonts w:cstheme="minorHAnsi"/>
          <w:color w:val="000000"/>
          <w:shd w:val="clear" w:color="auto" w:fill="FFFFFF"/>
        </w:rPr>
      </w:r>
      <w:r>
        <w:rPr>
          <w:rFonts w:cstheme="minorHAnsi"/>
          <w:color w:val="000000"/>
          <w:shd w:val="clear" w:color="auto" w:fill="FFFFFF"/>
        </w:rPr>
        <w:fldChar w:fldCharType="separate"/>
      </w:r>
      <w:r w:rsidR="00725672">
        <w:rPr>
          <w:rFonts w:cstheme="minorHAnsi"/>
          <w:color w:val="000000"/>
          <w:shd w:val="clear" w:color="auto" w:fill="FFFFFF"/>
        </w:rPr>
        <w:t>2</w:t>
      </w:r>
      <w:r>
        <w:rPr>
          <w:rFonts w:cstheme="minorHAnsi"/>
          <w:color w:val="000000"/>
          <w:shd w:val="clear" w:color="auto" w:fill="FFFFFF"/>
        </w:rPr>
        <w:fldChar w:fldCharType="end"/>
      </w:r>
      <w:r>
        <w:rPr>
          <w:rFonts w:cstheme="minorHAnsi"/>
          <w:color w:val="000000"/>
          <w:shd w:val="clear" w:color="auto" w:fill="FFFFFF"/>
        </w:rPr>
        <w:t>].</w:t>
      </w:r>
    </w:p>
    <w:p w14:paraId="7D9FE613" w14:textId="1FA680DC" w:rsidR="0070419D" w:rsidRDefault="009D2248" w:rsidP="00E43BE4">
      <w:pPr>
        <w:pStyle w:val="Heading1"/>
        <w:spacing w:before="120" w:after="200" w:line="240" w:lineRule="auto"/>
        <w:rPr>
          <w:shd w:val="clear" w:color="auto" w:fill="FFFFFF"/>
        </w:rPr>
      </w:pPr>
      <w:bookmarkStart w:id="14" w:name="_Toc121732887"/>
      <w:r>
        <w:rPr>
          <w:shd w:val="clear" w:color="auto" w:fill="FFFFFF"/>
        </w:rPr>
        <w:t>Data Privacy</w:t>
      </w:r>
      <w:r w:rsidR="0068500D">
        <w:rPr>
          <w:shd w:val="clear" w:color="auto" w:fill="FFFFFF"/>
        </w:rPr>
        <w:t xml:space="preserve"> Backend Processing</w:t>
      </w:r>
      <w:bookmarkEnd w:id="14"/>
    </w:p>
    <w:p w14:paraId="6567DDDD" w14:textId="4329F1B1" w:rsidR="0068500D" w:rsidRDefault="009D2248" w:rsidP="00E43BE4">
      <w:pPr>
        <w:pStyle w:val="Heading2"/>
        <w:spacing w:after="200" w:line="240" w:lineRule="auto"/>
      </w:pPr>
      <w:bookmarkStart w:id="15" w:name="_Toc121732888"/>
      <w:r>
        <w:t>High-Level Design</w:t>
      </w:r>
      <w:bookmarkEnd w:id="15"/>
    </w:p>
    <w:p w14:paraId="3B29F036" w14:textId="062EA2D0" w:rsidR="00E267A1" w:rsidRDefault="00965164" w:rsidP="00E43BE4">
      <w:pPr>
        <w:spacing w:line="240" w:lineRule="auto"/>
      </w:pPr>
      <w:r>
        <w:fldChar w:fldCharType="begin"/>
      </w:r>
      <w:r>
        <w:instrText xml:space="preserve"> REF _Ref121582699 \h </w:instrText>
      </w:r>
      <w:r>
        <w:fldChar w:fldCharType="separate"/>
      </w:r>
      <w:r>
        <w:t xml:space="preserve">Figure </w:t>
      </w:r>
      <w:r>
        <w:rPr>
          <w:noProof/>
        </w:rPr>
        <w:t>4</w:t>
      </w:r>
      <w:r>
        <w:fldChar w:fldCharType="end"/>
      </w:r>
      <w:r>
        <w:t xml:space="preserve"> </w:t>
      </w:r>
      <w:r w:rsidR="00B631E9">
        <w:t xml:space="preserve">shows a high-level design of the CPRA backend processing. </w:t>
      </w:r>
    </w:p>
    <w:p w14:paraId="5FB4B609" w14:textId="03FC699F" w:rsidR="0068500D" w:rsidRDefault="008E7297" w:rsidP="00E43BE4">
      <w:pPr>
        <w:spacing w:line="240" w:lineRule="auto"/>
        <w:rPr>
          <w:rFonts w:cstheme="minorHAnsi"/>
          <w:color w:val="000000"/>
          <w:shd w:val="clear" w:color="auto" w:fill="FFFFFF"/>
        </w:rPr>
      </w:pPr>
      <w:r>
        <w:rPr>
          <w:rFonts w:cstheme="minorHAnsi"/>
          <w:noProof/>
          <w:color w:val="000000"/>
          <w:shd w:val="clear" w:color="auto" w:fill="FFFFFF"/>
        </w:rPr>
        <w:drawing>
          <wp:inline distT="0" distB="0" distL="0" distR="0" wp14:anchorId="056C9BD6" wp14:editId="7045F190">
            <wp:extent cx="5943600" cy="4270375"/>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630C658A" w14:textId="7A300A0D" w:rsidR="009D2248" w:rsidRDefault="009D2248" w:rsidP="00E43BE4">
      <w:pPr>
        <w:pStyle w:val="Caption"/>
        <w:jc w:val="center"/>
        <w:rPr>
          <w:rFonts w:cstheme="minorHAnsi"/>
          <w:color w:val="000000"/>
          <w:shd w:val="clear" w:color="auto" w:fill="FFFFFF"/>
        </w:rPr>
      </w:pPr>
      <w:bookmarkStart w:id="16" w:name="_Ref121582699"/>
      <w:r>
        <w:t xml:space="preserve">Figure </w:t>
      </w:r>
      <w:fldSimple w:instr=" SEQ Figure \* ARABIC ">
        <w:r w:rsidR="004D059B">
          <w:rPr>
            <w:noProof/>
          </w:rPr>
          <w:t>4</w:t>
        </w:r>
      </w:fldSimple>
      <w:bookmarkEnd w:id="16"/>
      <w:r>
        <w:t>: CPRA Backend</w:t>
      </w:r>
      <w:r w:rsidR="00B631E9">
        <w:t xml:space="preserve"> Processing - </w:t>
      </w:r>
      <w:r>
        <w:t>High-Level Design</w:t>
      </w:r>
    </w:p>
    <w:p w14:paraId="6F3108F4" w14:textId="77777777" w:rsidR="00A407B4" w:rsidRDefault="00A407B4" w:rsidP="00A407B4">
      <w:pPr>
        <w:pStyle w:val="Heading2"/>
        <w:rPr>
          <w:shd w:val="clear" w:color="auto" w:fill="FFFFFF"/>
        </w:rPr>
      </w:pPr>
      <w:bookmarkStart w:id="17" w:name="_Toc121732889"/>
      <w:r>
        <w:rPr>
          <w:shd w:val="clear" w:color="auto" w:fill="FFFFFF"/>
        </w:rPr>
        <w:lastRenderedPageBreak/>
        <w:t>Background Information</w:t>
      </w:r>
      <w:bookmarkEnd w:id="17"/>
    </w:p>
    <w:p w14:paraId="7585EDBE" w14:textId="697957FA" w:rsidR="0072090F" w:rsidRDefault="0072090F" w:rsidP="00E43BE4">
      <w:pPr>
        <w:rPr>
          <w:shd w:val="clear" w:color="auto" w:fill="FFFFFF"/>
        </w:rPr>
      </w:pPr>
      <w:r>
        <w:rPr>
          <w:shd w:val="clear" w:color="auto" w:fill="FFFFFF"/>
        </w:rPr>
        <w:t>Several comments are in order:</w:t>
      </w:r>
    </w:p>
    <w:p w14:paraId="0AE8A7B3" w14:textId="016DD4AA" w:rsidR="008D435D" w:rsidRDefault="0072090F" w:rsidP="008D435D">
      <w:pPr>
        <w:pStyle w:val="ListParagraph"/>
        <w:numPr>
          <w:ilvl w:val="0"/>
          <w:numId w:val="14"/>
        </w:numPr>
        <w:rPr>
          <w:shd w:val="clear" w:color="auto" w:fill="FFFFFF"/>
        </w:rPr>
      </w:pPr>
      <w:r>
        <w:rPr>
          <w:shd w:val="clear" w:color="auto" w:fill="FFFFFF"/>
        </w:rPr>
        <w:t>All Toyota VPP</w:t>
      </w:r>
      <w:r w:rsidR="008E7297">
        <w:rPr>
          <w:shd w:val="clear" w:color="auto" w:fill="FFFFFF"/>
        </w:rPr>
        <w:t xml:space="preserve"> insurance agreements (for Toyota as well as non-Toyota vehicles)</w:t>
      </w:r>
      <w:r>
        <w:rPr>
          <w:shd w:val="clear" w:color="auto" w:fill="FFFFFF"/>
        </w:rPr>
        <w:t xml:space="preserve"> are managed </w:t>
      </w:r>
      <w:r w:rsidR="00171CB6">
        <w:rPr>
          <w:shd w:val="clear" w:color="auto" w:fill="FFFFFF"/>
        </w:rPr>
        <w:t>using</w:t>
      </w:r>
      <w:r>
        <w:rPr>
          <w:shd w:val="clear" w:color="auto" w:fill="FFFFFF"/>
        </w:rPr>
        <w:t xml:space="preserve"> Insurance Host</w:t>
      </w:r>
      <w:r w:rsidR="00171CB6">
        <w:rPr>
          <w:shd w:val="clear" w:color="auto" w:fill="FFFFFF"/>
        </w:rPr>
        <w:t xml:space="preserve"> (IH),</w:t>
      </w:r>
    </w:p>
    <w:p w14:paraId="4BFFDCE9" w14:textId="1062EAB4" w:rsidR="008D435D" w:rsidRPr="008D435D" w:rsidRDefault="008D435D" w:rsidP="008D435D">
      <w:pPr>
        <w:pStyle w:val="ListParagraph"/>
        <w:numPr>
          <w:ilvl w:val="0"/>
          <w:numId w:val="14"/>
        </w:numPr>
        <w:rPr>
          <w:shd w:val="clear" w:color="auto" w:fill="FFFFFF"/>
        </w:rPr>
      </w:pPr>
      <w:r>
        <w:rPr>
          <w:shd w:val="clear" w:color="auto" w:fill="FFFFFF"/>
        </w:rPr>
        <w:t>MPP insurance services are sold via</w:t>
      </w:r>
      <w:r w:rsidR="00965164">
        <w:rPr>
          <w:shd w:val="clear" w:color="auto" w:fill="FFFFFF"/>
        </w:rPr>
        <w:t xml:space="preserve"> StoneEagle,</w:t>
      </w:r>
      <w:r>
        <w:rPr>
          <w:shd w:val="clear" w:color="auto" w:fill="FFFFFF"/>
        </w:rPr>
        <w:t xml:space="preserve"> </w:t>
      </w:r>
      <w:r w:rsidR="00965164">
        <w:rPr>
          <w:shd w:val="clear" w:color="auto" w:fill="FFFFFF"/>
        </w:rPr>
        <w:t xml:space="preserve">a </w:t>
      </w:r>
      <w:r>
        <w:rPr>
          <w:shd w:val="clear" w:color="auto" w:fill="FFFFFF"/>
        </w:rPr>
        <w:t xml:space="preserve">third-party </w:t>
      </w:r>
      <w:r w:rsidR="00965164">
        <w:rPr>
          <w:shd w:val="clear" w:color="auto" w:fill="FFFFFF"/>
        </w:rPr>
        <w:t>vendor</w:t>
      </w:r>
      <w:r w:rsidR="008E7297">
        <w:rPr>
          <w:shd w:val="clear" w:color="auto" w:fill="FFFFFF"/>
        </w:rPr>
        <w:t>,</w:t>
      </w:r>
    </w:p>
    <w:p w14:paraId="0648D923" w14:textId="3A242350" w:rsidR="00965164" w:rsidRPr="00965164" w:rsidRDefault="008E7297" w:rsidP="0072090F">
      <w:pPr>
        <w:pStyle w:val="ListParagraph"/>
        <w:numPr>
          <w:ilvl w:val="0"/>
          <w:numId w:val="14"/>
        </w:numPr>
        <w:spacing w:line="240" w:lineRule="auto"/>
        <w:rPr>
          <w:rFonts w:cstheme="minorHAnsi"/>
          <w:color w:val="000000"/>
          <w:shd w:val="clear" w:color="auto" w:fill="FFFFFF"/>
        </w:rPr>
      </w:pPr>
      <w:r>
        <w:t>The Product Ids in the scope</w:t>
      </w:r>
      <w:r w:rsidR="003802F7">
        <w:t xml:space="preserve"> of this implementation</w:t>
      </w:r>
      <w:r w:rsidR="00965164">
        <w:t>:</w:t>
      </w:r>
    </w:p>
    <w:p w14:paraId="7923F8E5" w14:textId="72565986" w:rsidR="00FA7500" w:rsidRPr="00FA7500" w:rsidRDefault="00965164" w:rsidP="00FA7500">
      <w:pPr>
        <w:pStyle w:val="ListParagraph"/>
        <w:numPr>
          <w:ilvl w:val="1"/>
          <w:numId w:val="14"/>
        </w:numPr>
        <w:spacing w:line="240" w:lineRule="auto"/>
        <w:rPr>
          <w:rFonts w:cstheme="minorHAnsi"/>
          <w:color w:val="000000"/>
          <w:shd w:val="clear" w:color="auto" w:fill="FFFFFF"/>
        </w:rPr>
      </w:pPr>
      <w:r w:rsidRPr="00FA7500">
        <w:rPr>
          <w:b/>
          <w:bCs/>
        </w:rPr>
        <w:t>TMIS</w:t>
      </w:r>
      <w:r>
        <w:t xml:space="preserve"> – Toyota and Lexus</w:t>
      </w:r>
      <w:r w:rsidR="008E7297">
        <w:t xml:space="preserve"> </w:t>
      </w:r>
      <w:r>
        <w:t>insurance products offered to Toyota and Lexus customers</w:t>
      </w:r>
      <w:r w:rsidR="00FA7500">
        <w:t xml:space="preserve"> as well as to CCC customers that own non-Toyota vehicle,</w:t>
      </w:r>
    </w:p>
    <w:p w14:paraId="56659EE1" w14:textId="18791778" w:rsidR="00965164" w:rsidRPr="00965164" w:rsidRDefault="00965164" w:rsidP="00965164">
      <w:pPr>
        <w:pStyle w:val="ListParagraph"/>
        <w:numPr>
          <w:ilvl w:val="1"/>
          <w:numId w:val="14"/>
        </w:numPr>
        <w:spacing w:line="240" w:lineRule="auto"/>
        <w:rPr>
          <w:rFonts w:cstheme="minorHAnsi"/>
          <w:color w:val="000000"/>
          <w:shd w:val="clear" w:color="auto" w:fill="FFFFFF"/>
        </w:rPr>
      </w:pPr>
      <w:r w:rsidRPr="00FA7500">
        <w:rPr>
          <w:b/>
          <w:bCs/>
        </w:rPr>
        <w:t>MPP</w:t>
      </w:r>
      <w:r>
        <w:t xml:space="preserve"> – Mazda</w:t>
      </w:r>
      <w:r w:rsidR="008E7297">
        <w:t xml:space="preserve"> </w:t>
      </w:r>
      <w:r>
        <w:t>insurance products offered to Mazda customers</w:t>
      </w:r>
      <w:r w:rsidR="008E7297">
        <w:t>,</w:t>
      </w:r>
    </w:p>
    <w:p w14:paraId="78B9C7C4" w14:textId="650C7D66" w:rsidR="008E7297" w:rsidRPr="003802F7" w:rsidRDefault="00965164" w:rsidP="00965164">
      <w:pPr>
        <w:pStyle w:val="ListParagraph"/>
        <w:numPr>
          <w:ilvl w:val="1"/>
          <w:numId w:val="14"/>
        </w:numPr>
        <w:spacing w:line="240" w:lineRule="auto"/>
        <w:rPr>
          <w:rFonts w:cstheme="minorHAnsi"/>
          <w:color w:val="000000"/>
          <w:shd w:val="clear" w:color="auto" w:fill="FFFFFF"/>
        </w:rPr>
      </w:pPr>
      <w:r w:rsidRPr="00FA7500">
        <w:rPr>
          <w:b/>
          <w:bCs/>
        </w:rPr>
        <w:t>TMCC</w:t>
      </w:r>
      <w:r>
        <w:t xml:space="preserve"> – Toyota credit products offered to </w:t>
      </w:r>
      <w:r w:rsidR="008E7297">
        <w:t>Dealers, Employees, and Vendors.</w:t>
      </w:r>
    </w:p>
    <w:p w14:paraId="2B33A466" w14:textId="4FD376D8" w:rsidR="003802F7" w:rsidRDefault="003802F7" w:rsidP="003802F7">
      <w:pPr>
        <w:pStyle w:val="ListParagraph"/>
        <w:numPr>
          <w:ilvl w:val="0"/>
          <w:numId w:val="14"/>
        </w:numPr>
        <w:spacing w:line="240" w:lineRule="auto"/>
        <w:rPr>
          <w:rFonts w:cstheme="minorHAnsi"/>
          <w:color w:val="000000"/>
          <w:shd w:val="clear" w:color="auto" w:fill="FFFFFF"/>
        </w:rPr>
      </w:pPr>
      <w:r>
        <w:rPr>
          <w:rFonts w:cstheme="minorHAnsi"/>
          <w:color w:val="000000"/>
          <w:shd w:val="clear" w:color="auto" w:fill="FFFFFF"/>
        </w:rPr>
        <w:t>Repositories that support the products in the scope of this implementation:</w:t>
      </w:r>
    </w:p>
    <w:p w14:paraId="24BCC8F5" w14:textId="03F8F1B1" w:rsidR="00FA7500" w:rsidRDefault="003802F7" w:rsidP="003802F7">
      <w:pPr>
        <w:pStyle w:val="ListParagraph"/>
        <w:numPr>
          <w:ilvl w:val="1"/>
          <w:numId w:val="14"/>
        </w:numPr>
        <w:spacing w:line="240" w:lineRule="auto"/>
        <w:rPr>
          <w:rFonts w:cstheme="minorHAnsi"/>
          <w:color w:val="000000"/>
          <w:shd w:val="clear" w:color="auto" w:fill="FFFFFF"/>
        </w:rPr>
      </w:pPr>
      <w:r w:rsidRPr="00FA7500">
        <w:rPr>
          <w:rFonts w:cstheme="minorHAnsi"/>
          <w:b/>
          <w:bCs/>
          <w:color w:val="000000"/>
          <w:shd w:val="clear" w:color="auto" w:fill="FFFFFF"/>
        </w:rPr>
        <w:t>IH</w:t>
      </w:r>
      <w:r>
        <w:rPr>
          <w:rFonts w:cstheme="minorHAnsi"/>
          <w:color w:val="000000"/>
          <w:shd w:val="clear" w:color="auto" w:fill="FFFFFF"/>
        </w:rPr>
        <w:t xml:space="preserve"> </w:t>
      </w:r>
      <w:r w:rsidR="00490CBF">
        <w:rPr>
          <w:rFonts w:cstheme="minorHAnsi"/>
          <w:color w:val="000000"/>
          <w:shd w:val="clear" w:color="auto" w:fill="FFFFFF"/>
        </w:rPr>
        <w:t xml:space="preserve">– </w:t>
      </w:r>
      <w:r w:rsidR="00FA7500">
        <w:rPr>
          <w:rFonts w:cstheme="minorHAnsi"/>
          <w:color w:val="000000"/>
          <w:shd w:val="clear" w:color="auto" w:fill="FFFFFF"/>
        </w:rPr>
        <w:t xml:space="preserve">supports all </w:t>
      </w:r>
      <w:r w:rsidR="00490CBF">
        <w:rPr>
          <w:rFonts w:cstheme="minorHAnsi"/>
          <w:color w:val="000000"/>
          <w:shd w:val="clear" w:color="auto" w:fill="FFFFFF"/>
        </w:rPr>
        <w:t xml:space="preserve">TMIS </w:t>
      </w:r>
      <w:r w:rsidR="00FA7500">
        <w:rPr>
          <w:rFonts w:cstheme="minorHAnsi"/>
          <w:color w:val="000000"/>
          <w:shd w:val="clear" w:color="auto" w:fill="FFFFFF"/>
        </w:rPr>
        <w:t>insurance agreements for Toyota, Lexus, and CCC customers,</w:t>
      </w:r>
    </w:p>
    <w:p w14:paraId="4CB56870" w14:textId="6965A25D" w:rsidR="00FA7500" w:rsidRDefault="00FA7500" w:rsidP="003802F7">
      <w:pPr>
        <w:pStyle w:val="ListParagraph"/>
        <w:numPr>
          <w:ilvl w:val="1"/>
          <w:numId w:val="14"/>
        </w:numPr>
        <w:spacing w:line="240" w:lineRule="auto"/>
        <w:rPr>
          <w:rFonts w:cstheme="minorHAnsi"/>
          <w:color w:val="000000"/>
          <w:shd w:val="clear" w:color="auto" w:fill="FFFFFF"/>
        </w:rPr>
      </w:pPr>
      <w:r w:rsidRPr="00FA7500">
        <w:rPr>
          <w:rFonts w:cstheme="minorHAnsi"/>
          <w:b/>
          <w:bCs/>
          <w:color w:val="000000"/>
          <w:shd w:val="clear" w:color="auto" w:fill="FFFFFF"/>
        </w:rPr>
        <w:t>UCM</w:t>
      </w:r>
      <w:r>
        <w:rPr>
          <w:rFonts w:cstheme="minorHAnsi"/>
          <w:color w:val="000000"/>
          <w:shd w:val="clear" w:color="auto" w:fill="FFFFFF"/>
        </w:rPr>
        <w:t xml:space="preserve"> – legacy customer </w:t>
      </w:r>
      <w:r w:rsidR="00A407B4">
        <w:rPr>
          <w:rFonts w:cstheme="minorHAnsi"/>
          <w:color w:val="000000"/>
          <w:shd w:val="clear" w:color="auto" w:fill="FFFFFF"/>
        </w:rPr>
        <w:t>data</w:t>
      </w:r>
      <w:r>
        <w:rPr>
          <w:rFonts w:cstheme="minorHAnsi"/>
          <w:color w:val="000000"/>
          <w:shd w:val="clear" w:color="auto" w:fill="FFFFFF"/>
        </w:rPr>
        <w:t xml:space="preserve"> repository for TMIS (Toyota, Lexus, and CCC) customers,</w:t>
      </w:r>
    </w:p>
    <w:p w14:paraId="142B3968" w14:textId="33AF57DE" w:rsidR="00FA7500" w:rsidRDefault="00FA7500" w:rsidP="003802F7">
      <w:pPr>
        <w:pStyle w:val="ListParagraph"/>
        <w:numPr>
          <w:ilvl w:val="1"/>
          <w:numId w:val="14"/>
        </w:numPr>
        <w:spacing w:line="240" w:lineRule="auto"/>
        <w:rPr>
          <w:rFonts w:cstheme="minorHAnsi"/>
          <w:color w:val="000000"/>
          <w:shd w:val="clear" w:color="auto" w:fill="FFFFFF"/>
        </w:rPr>
      </w:pPr>
      <w:r w:rsidRPr="00FA7500">
        <w:rPr>
          <w:rFonts w:cstheme="minorHAnsi"/>
          <w:b/>
          <w:bCs/>
          <w:color w:val="000000"/>
          <w:shd w:val="clear" w:color="auto" w:fill="FFFFFF"/>
        </w:rPr>
        <w:t>UPM</w:t>
      </w:r>
      <w:r>
        <w:rPr>
          <w:rFonts w:cstheme="minorHAnsi"/>
          <w:color w:val="000000"/>
          <w:shd w:val="clear" w:color="auto" w:fill="FFFFFF"/>
        </w:rPr>
        <w:t xml:space="preserve"> – master customer </w:t>
      </w:r>
      <w:r w:rsidR="00A407B4">
        <w:rPr>
          <w:rFonts w:cstheme="minorHAnsi"/>
          <w:color w:val="000000"/>
          <w:shd w:val="clear" w:color="auto" w:fill="FFFFFF"/>
        </w:rPr>
        <w:t>data</w:t>
      </w:r>
      <w:r>
        <w:rPr>
          <w:rFonts w:cstheme="minorHAnsi"/>
          <w:color w:val="000000"/>
          <w:shd w:val="clear" w:color="auto" w:fill="FFFFFF"/>
        </w:rPr>
        <w:t xml:space="preserve"> repository for TMIS and MPP customers,</w:t>
      </w:r>
    </w:p>
    <w:p w14:paraId="7E831DA6" w14:textId="24C447F2" w:rsidR="003802F7" w:rsidRDefault="00FA7500" w:rsidP="003802F7">
      <w:pPr>
        <w:pStyle w:val="ListParagraph"/>
        <w:numPr>
          <w:ilvl w:val="1"/>
          <w:numId w:val="14"/>
        </w:numPr>
        <w:spacing w:line="240" w:lineRule="auto"/>
        <w:rPr>
          <w:rFonts w:cstheme="minorHAnsi"/>
          <w:color w:val="000000"/>
          <w:shd w:val="clear" w:color="auto" w:fill="FFFFFF"/>
        </w:rPr>
      </w:pPr>
      <w:r w:rsidRPr="00FA7500">
        <w:rPr>
          <w:rFonts w:cstheme="minorHAnsi"/>
          <w:b/>
          <w:bCs/>
          <w:color w:val="000000"/>
          <w:shd w:val="clear" w:color="auto" w:fill="FFFFFF"/>
        </w:rPr>
        <w:t>StoneEagle</w:t>
      </w:r>
      <w:r>
        <w:rPr>
          <w:rFonts w:cstheme="minorHAnsi"/>
          <w:color w:val="000000"/>
          <w:shd w:val="clear" w:color="auto" w:fill="FFFFFF"/>
        </w:rPr>
        <w:t>: supports MPP insurance agreements for Mazda customers,</w:t>
      </w:r>
    </w:p>
    <w:p w14:paraId="59262E1B" w14:textId="16A6F62D" w:rsidR="00171CB6" w:rsidRDefault="00FA7500" w:rsidP="00FA7500">
      <w:pPr>
        <w:pStyle w:val="ListParagraph"/>
        <w:numPr>
          <w:ilvl w:val="1"/>
          <w:numId w:val="14"/>
        </w:numPr>
        <w:spacing w:line="240" w:lineRule="auto"/>
        <w:rPr>
          <w:shd w:val="clear" w:color="auto" w:fill="FFFFFF"/>
        </w:rPr>
      </w:pPr>
      <w:r w:rsidRPr="00FA7500">
        <w:rPr>
          <w:rFonts w:cstheme="minorHAnsi"/>
          <w:b/>
          <w:bCs/>
          <w:color w:val="000000"/>
          <w:shd w:val="clear" w:color="auto" w:fill="FFFFFF"/>
        </w:rPr>
        <w:t>TM</w:t>
      </w:r>
      <w:r w:rsidRPr="00FA7500">
        <w:rPr>
          <w:b/>
          <w:bCs/>
          <w:shd w:val="clear" w:color="auto" w:fill="FFFFFF"/>
        </w:rPr>
        <w:t>CC Repos</w:t>
      </w:r>
      <w:r>
        <w:rPr>
          <w:shd w:val="clear" w:color="auto" w:fill="FFFFFF"/>
        </w:rPr>
        <w:t>: support TMCC credit agreements for Dealers, Employees, and Vendors.</w:t>
      </w:r>
    </w:p>
    <w:p w14:paraId="0FCEBE08" w14:textId="0DD5F66C" w:rsidR="00FA7500" w:rsidRPr="00FA7500" w:rsidRDefault="00A407B4" w:rsidP="00FA7500">
      <w:pPr>
        <w:pStyle w:val="ListParagraph"/>
        <w:numPr>
          <w:ilvl w:val="0"/>
          <w:numId w:val="14"/>
        </w:numPr>
        <w:spacing w:line="240" w:lineRule="auto"/>
        <w:rPr>
          <w:shd w:val="clear" w:color="auto" w:fill="FFFFFF"/>
        </w:rPr>
      </w:pPr>
      <w:r>
        <w:rPr>
          <w:rFonts w:cstheme="minorHAnsi"/>
          <w:color w:val="000000"/>
          <w:shd w:val="clear" w:color="auto" w:fill="FFFFFF"/>
        </w:rPr>
        <w:t>Existing d</w:t>
      </w:r>
      <w:r w:rsidR="00FA7500" w:rsidRPr="00FA7500">
        <w:rPr>
          <w:rFonts w:cstheme="minorHAnsi"/>
          <w:color w:val="000000"/>
          <w:shd w:val="clear" w:color="auto" w:fill="FFFFFF"/>
        </w:rPr>
        <w:t xml:space="preserve">ata </w:t>
      </w:r>
      <w:r w:rsidR="00FA7500">
        <w:rPr>
          <w:rFonts w:cstheme="minorHAnsi"/>
          <w:color w:val="000000"/>
          <w:shd w:val="clear" w:color="auto" w:fill="FFFFFF"/>
        </w:rPr>
        <w:t>synchronization processes:</w:t>
      </w:r>
    </w:p>
    <w:p w14:paraId="06B91B65" w14:textId="0820E908" w:rsidR="00FA7500" w:rsidRDefault="00FA7500" w:rsidP="00FA7500">
      <w:pPr>
        <w:pStyle w:val="ListParagraph"/>
        <w:numPr>
          <w:ilvl w:val="1"/>
          <w:numId w:val="14"/>
        </w:numPr>
        <w:spacing w:line="240" w:lineRule="auto"/>
        <w:rPr>
          <w:shd w:val="clear" w:color="auto" w:fill="FFFFFF"/>
        </w:rPr>
      </w:pPr>
      <w:r w:rsidRPr="00FA7500">
        <w:rPr>
          <w:b/>
          <w:bCs/>
          <w:shd w:val="clear" w:color="auto" w:fill="FFFFFF"/>
        </w:rPr>
        <w:t>IH to UCM</w:t>
      </w:r>
      <w:r>
        <w:rPr>
          <w:shd w:val="clear" w:color="auto" w:fill="FFFFFF"/>
        </w:rPr>
        <w:t xml:space="preserve"> – </w:t>
      </w:r>
      <w:r w:rsidRPr="00FA7500">
        <w:rPr>
          <w:b/>
          <w:bCs/>
          <w:i/>
          <w:iCs/>
          <w:shd w:val="clear" w:color="auto" w:fill="FFFFFF"/>
        </w:rPr>
        <w:t>bidirectional</w:t>
      </w:r>
      <w:r>
        <w:rPr>
          <w:shd w:val="clear" w:color="auto" w:fill="FFFFFF"/>
        </w:rPr>
        <w:t xml:space="preserve"> daily synchronization </w:t>
      </w:r>
      <w:r w:rsidR="00A407B4">
        <w:rPr>
          <w:shd w:val="clear" w:color="auto" w:fill="FFFFFF"/>
        </w:rPr>
        <w:t xml:space="preserve">of TMIS and CCC customer data </w:t>
      </w:r>
      <w:r>
        <w:rPr>
          <w:shd w:val="clear" w:color="auto" w:fill="FFFFFF"/>
        </w:rPr>
        <w:t xml:space="preserve">based on Tibco Processes (File Adapter, and XML to COM </w:t>
      </w:r>
      <w:r w:rsidR="00A407B4">
        <w:rPr>
          <w:shd w:val="clear" w:color="auto" w:fill="FFFFFF"/>
        </w:rPr>
        <w:t>&amp;</w:t>
      </w:r>
      <w:r>
        <w:rPr>
          <w:shd w:val="clear" w:color="auto" w:fill="FFFFFF"/>
        </w:rPr>
        <w:t xml:space="preserve"> COM to UCM transformers),</w:t>
      </w:r>
    </w:p>
    <w:p w14:paraId="763AB6FE" w14:textId="75038630" w:rsidR="00A407B4" w:rsidRPr="005A5E8C" w:rsidRDefault="00FA7500" w:rsidP="005A5E8C">
      <w:pPr>
        <w:pStyle w:val="ListParagraph"/>
        <w:numPr>
          <w:ilvl w:val="1"/>
          <w:numId w:val="14"/>
        </w:numPr>
        <w:spacing w:line="240" w:lineRule="auto"/>
        <w:rPr>
          <w:shd w:val="clear" w:color="auto" w:fill="FFFFFF"/>
        </w:rPr>
      </w:pPr>
      <w:r w:rsidRPr="00FA7500">
        <w:rPr>
          <w:b/>
          <w:bCs/>
          <w:shd w:val="clear" w:color="auto" w:fill="FFFFFF"/>
        </w:rPr>
        <w:t>StoneEagle to UPM</w:t>
      </w:r>
      <w:r>
        <w:rPr>
          <w:shd w:val="clear" w:color="auto" w:fill="FFFFFF"/>
        </w:rPr>
        <w:t xml:space="preserve">: </w:t>
      </w:r>
      <w:r w:rsidRPr="00A407B4">
        <w:rPr>
          <w:b/>
          <w:bCs/>
          <w:i/>
          <w:iCs/>
          <w:shd w:val="clear" w:color="auto" w:fill="FFFFFF"/>
        </w:rPr>
        <w:t>unidirectional</w:t>
      </w:r>
      <w:r>
        <w:rPr>
          <w:shd w:val="clear" w:color="auto" w:fill="FFFFFF"/>
        </w:rPr>
        <w:t xml:space="preserve"> </w:t>
      </w:r>
      <w:r w:rsidR="00A407B4">
        <w:rPr>
          <w:shd w:val="clear" w:color="auto" w:fill="FFFFFF"/>
        </w:rPr>
        <w:t>daily synchronization of the full MPP data set, leaving a possibility of overwriting the UPM data changed during a day with stale StoneEagle data during the nightly updates – the design needs to prevent overwriting.</w:t>
      </w:r>
    </w:p>
    <w:p w14:paraId="1772A0E2" w14:textId="77777777" w:rsidR="005A5E8C" w:rsidRDefault="005A5E8C" w:rsidP="005A5E8C">
      <w:pPr>
        <w:pStyle w:val="Heading2"/>
        <w:spacing w:after="200"/>
        <w:rPr>
          <w:shd w:val="clear" w:color="auto" w:fill="FFFFFF"/>
        </w:rPr>
      </w:pPr>
      <w:bookmarkStart w:id="18" w:name="_Toc121732890"/>
      <w:r>
        <w:rPr>
          <w:shd w:val="clear" w:color="auto" w:fill="FFFFFF"/>
        </w:rPr>
        <w:t>OneTrust Workflow Interactions</w:t>
      </w:r>
      <w:bookmarkEnd w:id="18"/>
    </w:p>
    <w:p w14:paraId="6E94FE89" w14:textId="62DD2B19" w:rsidR="005A5E8C" w:rsidRDefault="005A5E8C" w:rsidP="005A5E8C">
      <w:r>
        <w:t xml:space="preserve">The following notes are relevant to the interactions documented in </w:t>
      </w:r>
      <w:r w:rsidR="00611EB0">
        <w:fldChar w:fldCharType="begin"/>
      </w:r>
      <w:r w:rsidR="00611EB0">
        <w:instrText xml:space="preserve"> REF _Ref121730528 \h </w:instrText>
      </w:r>
      <w:r w:rsidR="00611EB0">
        <w:fldChar w:fldCharType="separate"/>
      </w:r>
      <w:r w:rsidR="00611EB0">
        <w:t xml:space="preserve">Figure </w:t>
      </w:r>
      <w:r w:rsidR="00611EB0">
        <w:rPr>
          <w:noProof/>
        </w:rPr>
        <w:t>5</w:t>
      </w:r>
      <w:r w:rsidR="00611EB0">
        <w:fldChar w:fldCharType="end"/>
      </w:r>
      <w:r w:rsidR="00611EB0">
        <w:t>:</w:t>
      </w:r>
    </w:p>
    <w:p w14:paraId="64F5B372" w14:textId="4322E003" w:rsidR="005A5E8C" w:rsidRDefault="005A5E8C" w:rsidP="00611EB0">
      <w:pPr>
        <w:pStyle w:val="ListParagraph"/>
        <w:numPr>
          <w:ilvl w:val="0"/>
          <w:numId w:val="18"/>
        </w:numPr>
        <w:spacing w:after="0"/>
      </w:pPr>
      <w:r w:rsidRPr="00611EB0">
        <w:rPr>
          <w:b/>
          <w:bCs/>
        </w:rPr>
        <w:t>Org</w:t>
      </w:r>
      <w:r w:rsidR="00611EB0" w:rsidRPr="00611EB0">
        <w:rPr>
          <w:b/>
          <w:bCs/>
        </w:rPr>
        <w:t>s</w:t>
      </w:r>
      <w:r w:rsidR="00611EB0">
        <w:t>:</w:t>
      </w:r>
      <w:r>
        <w:t xml:space="preserve"> Toyota Motor Insurance Services, Mazda Protection Products, Continuous Customer Care</w:t>
      </w:r>
      <w:r w:rsidR="00611EB0">
        <w:t>.</w:t>
      </w:r>
    </w:p>
    <w:p w14:paraId="40F208FC" w14:textId="2BF8A763" w:rsidR="005A5E8C" w:rsidRDefault="005A5E8C" w:rsidP="00611EB0">
      <w:pPr>
        <w:pStyle w:val="ListParagraph"/>
        <w:numPr>
          <w:ilvl w:val="0"/>
          <w:numId w:val="18"/>
        </w:numPr>
        <w:spacing w:after="0"/>
      </w:pPr>
      <w:r w:rsidRPr="00611EB0">
        <w:rPr>
          <w:b/>
          <w:bCs/>
        </w:rPr>
        <w:t>Tenant ID</w:t>
      </w:r>
      <w:r>
        <w:t>: T001 (TMIS, CCC); T002 (MFS)</w:t>
      </w:r>
      <w:r w:rsidR="00611EB0">
        <w:t>.</w:t>
      </w:r>
    </w:p>
    <w:p w14:paraId="204F8CF5" w14:textId="7D3A41B3" w:rsidR="005A5E8C" w:rsidRDefault="005A5E8C" w:rsidP="00611EB0">
      <w:pPr>
        <w:pStyle w:val="ListParagraph"/>
        <w:numPr>
          <w:ilvl w:val="0"/>
          <w:numId w:val="18"/>
        </w:numPr>
        <w:spacing w:after="0"/>
      </w:pPr>
      <w:r w:rsidRPr="00611EB0">
        <w:rPr>
          <w:b/>
          <w:bCs/>
        </w:rPr>
        <w:t>Form Delivery Channel</w:t>
      </w:r>
      <w:r w:rsidR="00611EB0" w:rsidRPr="00611EB0">
        <w:rPr>
          <w:b/>
          <w:bCs/>
        </w:rPr>
        <w:t>s</w:t>
      </w:r>
      <w:r w:rsidR="00611EB0">
        <w:t>:</w:t>
      </w:r>
      <w:r>
        <w:t xml:space="preserve">  (email, print central)</w:t>
      </w:r>
      <w:r w:rsidR="00611EB0">
        <w:t>.</w:t>
      </w:r>
    </w:p>
    <w:p w14:paraId="26DF4B94" w14:textId="3EF76DD5" w:rsidR="005A5E8C" w:rsidRDefault="005A5E8C" w:rsidP="00611EB0">
      <w:pPr>
        <w:pStyle w:val="ListParagraph"/>
        <w:numPr>
          <w:ilvl w:val="0"/>
          <w:numId w:val="18"/>
        </w:numPr>
        <w:spacing w:after="0"/>
      </w:pPr>
      <w:r w:rsidRPr="00611EB0">
        <w:rPr>
          <w:b/>
          <w:bCs/>
        </w:rPr>
        <w:t>Request Type</w:t>
      </w:r>
      <w:r w:rsidR="00611EB0">
        <w:t>:</w:t>
      </w:r>
      <w:r>
        <w:t xml:space="preserve"> disclosure, delete</w:t>
      </w:r>
      <w:r w:rsidR="00611EB0">
        <w:t>.</w:t>
      </w:r>
    </w:p>
    <w:p w14:paraId="5F63258F" w14:textId="353D5D52" w:rsidR="005A5E8C" w:rsidRDefault="005A5E8C" w:rsidP="00611EB0">
      <w:pPr>
        <w:pStyle w:val="ListParagraph"/>
        <w:numPr>
          <w:ilvl w:val="0"/>
          <w:numId w:val="18"/>
        </w:numPr>
        <w:spacing w:after="0"/>
      </w:pPr>
      <w:r w:rsidRPr="00611EB0">
        <w:rPr>
          <w:b/>
          <w:bCs/>
        </w:rPr>
        <w:t>Activity #</w:t>
      </w:r>
      <w:r w:rsidR="00611EB0">
        <w:t>:</w:t>
      </w:r>
      <w:r>
        <w:t xml:space="preserve"> disclosure, delete</w:t>
      </w:r>
      <w:r w:rsidR="00611EB0">
        <w:t>.</w:t>
      </w:r>
    </w:p>
    <w:p w14:paraId="79A4D303" w14:textId="0E31DD92" w:rsidR="005A5E8C" w:rsidRDefault="005A5E8C" w:rsidP="00611EB0">
      <w:pPr>
        <w:pStyle w:val="ListParagraph"/>
        <w:numPr>
          <w:ilvl w:val="0"/>
          <w:numId w:val="18"/>
        </w:numPr>
        <w:spacing w:after="0"/>
      </w:pPr>
      <w:r w:rsidRPr="00611EB0">
        <w:rPr>
          <w:b/>
          <w:bCs/>
        </w:rPr>
        <w:t>Privacy Request Type</w:t>
      </w:r>
      <w:r>
        <w:t>: RTKnow, RTCorrect</w:t>
      </w:r>
      <w:r w:rsidR="00611EB0">
        <w:t>.</w:t>
      </w:r>
    </w:p>
    <w:p w14:paraId="09918B36" w14:textId="42B871CD" w:rsidR="005A5E8C" w:rsidRDefault="005A5E8C" w:rsidP="00611EB0">
      <w:pPr>
        <w:pStyle w:val="ListParagraph"/>
        <w:numPr>
          <w:ilvl w:val="0"/>
          <w:numId w:val="18"/>
        </w:numPr>
        <w:spacing w:after="0"/>
      </w:pPr>
      <w:r w:rsidRPr="00611EB0">
        <w:rPr>
          <w:b/>
          <w:bCs/>
        </w:rPr>
        <w:t>Search Criteria (for RTK, RTC)</w:t>
      </w:r>
      <w:r>
        <w:t>: for TMIS &amp; CCC: One of (Application No, Agreement No), VIN No.</w:t>
      </w:r>
      <w:r w:rsidR="00611EB0">
        <w:t xml:space="preserve">, </w:t>
      </w:r>
      <w:r>
        <w:t>for MPP: VIN No (last 8 digits)</w:t>
      </w:r>
      <w:r w:rsidR="00611EB0">
        <w:t>.</w:t>
      </w:r>
    </w:p>
    <w:p w14:paraId="5E7C2EA3" w14:textId="77777777" w:rsidR="00611EB0" w:rsidRDefault="005A5E8C" w:rsidP="005A5E8C">
      <w:pPr>
        <w:pStyle w:val="ListParagraph"/>
        <w:numPr>
          <w:ilvl w:val="0"/>
          <w:numId w:val="18"/>
        </w:numPr>
        <w:spacing w:after="0"/>
      </w:pPr>
      <w:r w:rsidRPr="00611EB0">
        <w:rPr>
          <w:b/>
          <w:bCs/>
        </w:rPr>
        <w:t>Corrections (RTC only)</w:t>
      </w:r>
      <w:r>
        <w:t xml:space="preserve">: Name, Address, </w:t>
      </w:r>
      <w:r w:rsidR="00611EB0">
        <w:t>Phone</w:t>
      </w:r>
      <w:r>
        <w:t xml:space="preserve"> #</w:t>
      </w:r>
      <w:r w:rsidR="00611EB0">
        <w:t>.</w:t>
      </w:r>
    </w:p>
    <w:p w14:paraId="19EBFDF0" w14:textId="23C1D7B0" w:rsidR="005A5E8C" w:rsidRDefault="005A5E8C" w:rsidP="005A5E8C">
      <w:pPr>
        <w:pStyle w:val="ListParagraph"/>
        <w:numPr>
          <w:ilvl w:val="0"/>
          <w:numId w:val="18"/>
        </w:numPr>
        <w:spacing w:after="0"/>
      </w:pPr>
      <w:r w:rsidRPr="00611EB0">
        <w:rPr>
          <w:b/>
          <w:bCs/>
        </w:rPr>
        <w:t>Customer Ack Form ID (Added by Adobe</w:t>
      </w:r>
      <w:r>
        <w:t>): (TMIS, MPP, CCC)</w:t>
      </w:r>
    </w:p>
    <w:p w14:paraId="225DEA09" w14:textId="58F78325" w:rsidR="005A5E8C" w:rsidRDefault="00611EB0" w:rsidP="005A5E8C">
      <w:r>
        <w:rPr>
          <w:noProof/>
        </w:rPr>
        <w:lastRenderedPageBreak/>
        <w:drawing>
          <wp:inline distT="0" distB="0" distL="0" distR="0" wp14:anchorId="761FE447" wp14:editId="6D330298">
            <wp:extent cx="5943600" cy="5826125"/>
            <wp:effectExtent l="0" t="0" r="0" b="3175"/>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826125"/>
                    </a:xfrm>
                    <a:prstGeom prst="rect">
                      <a:avLst/>
                    </a:prstGeom>
                  </pic:spPr>
                </pic:pic>
              </a:graphicData>
            </a:graphic>
          </wp:inline>
        </w:drawing>
      </w:r>
    </w:p>
    <w:p w14:paraId="2A6EFB15" w14:textId="70BEF0A2" w:rsidR="00611EB0" w:rsidRDefault="00611EB0" w:rsidP="00611EB0">
      <w:pPr>
        <w:pStyle w:val="Caption"/>
        <w:jc w:val="center"/>
      </w:pPr>
      <w:bookmarkStart w:id="19" w:name="_Ref121730528"/>
      <w:r>
        <w:t xml:space="preserve">Figure </w:t>
      </w:r>
      <w:fldSimple w:instr=" SEQ Figure \* ARABIC ">
        <w:r w:rsidR="004D059B">
          <w:rPr>
            <w:noProof/>
          </w:rPr>
          <w:t>5</w:t>
        </w:r>
      </w:fldSimple>
      <w:bookmarkEnd w:id="19"/>
      <w:r>
        <w:t>: OneTrust Interaction Diagram</w:t>
      </w:r>
    </w:p>
    <w:p w14:paraId="68773900" w14:textId="61524B40" w:rsidR="00611EB0" w:rsidRDefault="00611EB0" w:rsidP="004D059B">
      <w:pPr>
        <w:pStyle w:val="Heading2"/>
      </w:pPr>
      <w:bookmarkStart w:id="20" w:name="_Toc121732891"/>
      <w:r>
        <w:t>Fulfillment Orchestrator</w:t>
      </w:r>
      <w:bookmarkEnd w:id="20"/>
    </w:p>
    <w:p w14:paraId="2D1DD016" w14:textId="35212250" w:rsidR="004D059B" w:rsidRPr="004D059B" w:rsidRDefault="004D059B" w:rsidP="004D059B">
      <w:r>
        <w:fldChar w:fldCharType="begin"/>
      </w:r>
      <w:r>
        <w:instrText xml:space="preserve"> REF _Ref121732456 \h </w:instrText>
      </w:r>
      <w:r>
        <w:fldChar w:fldCharType="separate"/>
      </w:r>
      <w:r>
        <w:t xml:space="preserve">Figure </w:t>
      </w:r>
      <w:r>
        <w:rPr>
          <w:noProof/>
        </w:rPr>
        <w:t>6</w:t>
      </w:r>
      <w:r>
        <w:fldChar w:fldCharType="end"/>
      </w:r>
      <w:r>
        <w:t xml:space="preserve"> shows the main components involved in automated fulfillment of the privacy requests. The automated fulfillment is available for TMIS insurance consumers.</w:t>
      </w:r>
    </w:p>
    <w:p w14:paraId="030920E8" w14:textId="6BC49CCE" w:rsidR="004D059B" w:rsidRDefault="004D059B" w:rsidP="004D059B">
      <w:r>
        <w:rPr>
          <w:noProof/>
        </w:rPr>
        <w:lastRenderedPageBreak/>
        <w:drawing>
          <wp:inline distT="0" distB="0" distL="0" distR="0" wp14:anchorId="689EBE7B" wp14:editId="0B76A2DA">
            <wp:extent cx="5943600" cy="6936105"/>
            <wp:effectExtent l="0" t="0" r="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936105"/>
                    </a:xfrm>
                    <a:prstGeom prst="rect">
                      <a:avLst/>
                    </a:prstGeom>
                  </pic:spPr>
                </pic:pic>
              </a:graphicData>
            </a:graphic>
          </wp:inline>
        </w:drawing>
      </w:r>
    </w:p>
    <w:p w14:paraId="70C0693E" w14:textId="102D1BA4" w:rsidR="004D059B" w:rsidRPr="004D059B" w:rsidRDefault="004D059B" w:rsidP="004D059B">
      <w:pPr>
        <w:pStyle w:val="Caption"/>
        <w:jc w:val="center"/>
      </w:pPr>
      <w:bookmarkStart w:id="21" w:name="_Ref121732456"/>
      <w:r>
        <w:t xml:space="preserve">Figure </w:t>
      </w:r>
      <w:fldSimple w:instr=" SEQ Figure \* ARABIC ">
        <w:r>
          <w:rPr>
            <w:noProof/>
          </w:rPr>
          <w:t>6</w:t>
        </w:r>
      </w:fldSimple>
      <w:bookmarkEnd w:id="21"/>
      <w:r>
        <w:t>: Data Fulfillment Orchestrator- Components Interactions</w:t>
      </w:r>
    </w:p>
    <w:p w14:paraId="37B2976C" w14:textId="4145AC4E" w:rsidR="00472F12" w:rsidRPr="00472F12" w:rsidRDefault="00BA21E6" w:rsidP="005B654A">
      <w:pPr>
        <w:pStyle w:val="Heading1"/>
        <w:spacing w:after="120"/>
      </w:pPr>
      <w:bookmarkStart w:id="22" w:name="_Toc121732892"/>
      <w:r>
        <w:t>References:</w:t>
      </w:r>
      <w:bookmarkEnd w:id="22"/>
    </w:p>
    <w:p w14:paraId="229B4376" w14:textId="77777777" w:rsidR="00BA21E6" w:rsidRPr="00BA21E6" w:rsidRDefault="00BA21E6" w:rsidP="005B654A">
      <w:pPr>
        <w:pStyle w:val="ListParagraph"/>
        <w:numPr>
          <w:ilvl w:val="0"/>
          <w:numId w:val="13"/>
        </w:numPr>
        <w:spacing w:after="120" w:line="240" w:lineRule="auto"/>
        <w:rPr>
          <w:rStyle w:val="Hyperlink"/>
          <w:rFonts w:cstheme="minorHAnsi"/>
          <w:color w:val="000000"/>
          <w:u w:val="none"/>
          <w:shd w:val="clear" w:color="auto" w:fill="FFFFFF"/>
        </w:rPr>
      </w:pPr>
      <w:r>
        <w:t xml:space="preserve">Privacy Plus Design: </w:t>
      </w:r>
      <w:hyperlink r:id="rId14" w:history="1">
        <w:r w:rsidRPr="00BA21E6">
          <w:rPr>
            <w:rStyle w:val="Hyperlink"/>
            <w:rFonts w:cstheme="minorHAnsi"/>
            <w:shd w:val="clear" w:color="auto" w:fill="FFFFFF"/>
          </w:rPr>
          <w:t>https://github.tfs.toyota.com/harpo/privacy-plus.design</w:t>
        </w:r>
      </w:hyperlink>
    </w:p>
    <w:p w14:paraId="42655297" w14:textId="20A9868B" w:rsidR="00BA21E6" w:rsidRPr="00BA21E6" w:rsidRDefault="00BA21E6" w:rsidP="005B654A">
      <w:pPr>
        <w:pStyle w:val="ListParagraph"/>
        <w:numPr>
          <w:ilvl w:val="0"/>
          <w:numId w:val="13"/>
        </w:numPr>
        <w:spacing w:after="120" w:line="240" w:lineRule="auto"/>
        <w:rPr>
          <w:rFonts w:cstheme="minorHAnsi"/>
          <w:color w:val="000000"/>
          <w:shd w:val="clear" w:color="auto" w:fill="FFFFFF"/>
        </w:rPr>
      </w:pPr>
      <w:bookmarkStart w:id="23" w:name="_Ref121424744"/>
      <w:r>
        <w:t xml:space="preserve">Privacy UI Integration: </w:t>
      </w:r>
      <w:hyperlink r:id="rId15" w:history="1">
        <w:r w:rsidRPr="00BA21E6">
          <w:rPr>
            <w:rStyle w:val="Hyperlink"/>
            <w:rFonts w:cstheme="minorHAnsi"/>
            <w:shd w:val="clear" w:color="auto" w:fill="FFFFFF"/>
          </w:rPr>
          <w:t>https://github.tfs.toyota.com/harpo/privacy.ui-integration</w:t>
        </w:r>
      </w:hyperlink>
      <w:bookmarkEnd w:id="23"/>
    </w:p>
    <w:p w14:paraId="0997CAE0" w14:textId="3DEA1021" w:rsidR="00BA21E6" w:rsidRDefault="00BA21E6" w:rsidP="005B654A">
      <w:pPr>
        <w:pStyle w:val="ListParagraph"/>
        <w:numPr>
          <w:ilvl w:val="0"/>
          <w:numId w:val="13"/>
        </w:numPr>
        <w:spacing w:after="120"/>
      </w:pPr>
      <w:r>
        <w:lastRenderedPageBreak/>
        <w:t xml:space="preserve">DFS CDAR Service: </w:t>
      </w:r>
      <w:hyperlink r:id="rId16" w:history="1">
        <w:r w:rsidRPr="00BA21E6">
          <w:rPr>
            <w:rStyle w:val="Hyperlink"/>
          </w:rPr>
          <w:t>https://github.tfs.toyota.com/harpo/dfs.cdar-service</w:t>
        </w:r>
      </w:hyperlink>
    </w:p>
    <w:p w14:paraId="57798C9E" w14:textId="516E9240" w:rsidR="00BA21E6" w:rsidRDefault="00BA21E6" w:rsidP="005B654A">
      <w:pPr>
        <w:pStyle w:val="ListParagraph"/>
        <w:numPr>
          <w:ilvl w:val="0"/>
          <w:numId w:val="13"/>
        </w:numPr>
        <w:spacing w:after="120"/>
      </w:pPr>
      <w:r>
        <w:t>Data Fulfillment Service</w:t>
      </w:r>
      <w:r w:rsidR="006E31D9">
        <w:t xml:space="preserve">: </w:t>
      </w:r>
      <w:hyperlink r:id="rId17" w:history="1">
        <w:r w:rsidR="006E31D9" w:rsidRPr="006E31D9">
          <w:rPr>
            <w:rStyle w:val="Hyperlink"/>
          </w:rPr>
          <w:t>https://github.tfs.toyota.com/harpo/project.data-fulfillment-service</w:t>
        </w:r>
      </w:hyperlink>
    </w:p>
    <w:p w14:paraId="19ED794B" w14:textId="123F291A" w:rsidR="006E31D9" w:rsidRPr="00BA21E6" w:rsidRDefault="006E31D9" w:rsidP="005B654A">
      <w:pPr>
        <w:pStyle w:val="ListParagraph"/>
        <w:numPr>
          <w:ilvl w:val="0"/>
          <w:numId w:val="13"/>
        </w:numPr>
        <w:spacing w:after="120"/>
      </w:pPr>
      <w:r>
        <w:t xml:space="preserve">CCPA Design Artifacts: </w:t>
      </w:r>
      <w:hyperlink r:id="rId18" w:history="1">
        <w:r w:rsidRPr="006E31D9">
          <w:rPr>
            <w:rStyle w:val="Hyperlink"/>
          </w:rPr>
          <w:t>https://github.tfs.toyota.com/harpo/CCPA_Design_Artifacts</w:t>
        </w:r>
      </w:hyperlink>
    </w:p>
    <w:p w14:paraId="251608B1" w14:textId="77777777" w:rsidR="00171CB6" w:rsidRDefault="00171CB6" w:rsidP="005B654A">
      <w:pPr>
        <w:spacing w:after="120"/>
      </w:pPr>
    </w:p>
    <w:p w14:paraId="25793C71" w14:textId="71F413E2" w:rsidR="00171CB6" w:rsidRDefault="00EB1679" w:rsidP="00EB1679">
      <w:pPr>
        <w:pStyle w:val="Heading1"/>
      </w:pPr>
      <w:bookmarkStart w:id="24" w:name="_Toc121732893"/>
      <w:r>
        <w:t>Glossary</w:t>
      </w:r>
      <w:bookmarkEnd w:id="24"/>
    </w:p>
    <w:p w14:paraId="345BCE76" w14:textId="6838B7B2" w:rsidR="00EB1679" w:rsidRDefault="00EB1679" w:rsidP="00EB1679">
      <w:pPr>
        <w:pStyle w:val="ListParagraph"/>
        <w:numPr>
          <w:ilvl w:val="0"/>
          <w:numId w:val="16"/>
        </w:numPr>
      </w:pPr>
      <w:r w:rsidRPr="00EB1679">
        <w:rPr>
          <w:b/>
          <w:bCs/>
        </w:rPr>
        <w:t>CCPA</w:t>
      </w:r>
      <w:r w:rsidRPr="00EB1679">
        <w:t> : California Consumer Privacy Act</w:t>
      </w:r>
    </w:p>
    <w:p w14:paraId="62EC1834" w14:textId="1495AB1E" w:rsidR="00FA7500" w:rsidRPr="00EB1679" w:rsidRDefault="00FA7500" w:rsidP="00EB1679">
      <w:pPr>
        <w:pStyle w:val="ListParagraph"/>
        <w:numPr>
          <w:ilvl w:val="0"/>
          <w:numId w:val="16"/>
        </w:numPr>
      </w:pPr>
      <w:r>
        <w:rPr>
          <w:b/>
          <w:bCs/>
        </w:rPr>
        <w:t>CCC</w:t>
      </w:r>
      <w:r w:rsidRPr="00FA7500">
        <w:t>:</w:t>
      </w:r>
      <w:r>
        <w:t xml:space="preserve"> Continuous Customer Care</w:t>
      </w:r>
    </w:p>
    <w:p w14:paraId="410C666D" w14:textId="77777777" w:rsidR="00EB1679" w:rsidRPr="00EB1679" w:rsidRDefault="00EB1679" w:rsidP="00EB1679">
      <w:pPr>
        <w:pStyle w:val="ListParagraph"/>
        <w:numPr>
          <w:ilvl w:val="0"/>
          <w:numId w:val="16"/>
        </w:numPr>
      </w:pPr>
      <w:r w:rsidRPr="00EB1679">
        <w:rPr>
          <w:b/>
          <w:bCs/>
        </w:rPr>
        <w:t>CDAR</w:t>
      </w:r>
      <w:r w:rsidRPr="00EB1679">
        <w:t> : Customer/Consumer Data Access Request (part of DFS)</w:t>
      </w:r>
    </w:p>
    <w:p w14:paraId="13C22A1C" w14:textId="77777777" w:rsidR="00EB1679" w:rsidRPr="00EB1679" w:rsidRDefault="00EB1679" w:rsidP="00EB1679">
      <w:pPr>
        <w:pStyle w:val="ListParagraph"/>
        <w:numPr>
          <w:ilvl w:val="0"/>
          <w:numId w:val="16"/>
        </w:numPr>
      </w:pPr>
      <w:r w:rsidRPr="00EB1679">
        <w:rPr>
          <w:b/>
          <w:bCs/>
        </w:rPr>
        <w:t>CDPA</w:t>
      </w:r>
      <w:r w:rsidRPr="00EB1679">
        <w:t> : Virginia’s Consumer Data Protection Act</w:t>
      </w:r>
    </w:p>
    <w:p w14:paraId="1AD624BA" w14:textId="77777777" w:rsidR="00EB1679" w:rsidRPr="00EB1679" w:rsidRDefault="00EB1679" w:rsidP="00EB1679">
      <w:pPr>
        <w:pStyle w:val="ListParagraph"/>
        <w:numPr>
          <w:ilvl w:val="0"/>
          <w:numId w:val="16"/>
        </w:numPr>
      </w:pPr>
      <w:r w:rsidRPr="00EB1679">
        <w:rPr>
          <w:b/>
          <w:bCs/>
        </w:rPr>
        <w:t>CPA</w:t>
      </w:r>
      <w:r w:rsidRPr="00EB1679">
        <w:t> : Colorado Privacy Act</w:t>
      </w:r>
    </w:p>
    <w:p w14:paraId="244BC206" w14:textId="77777777" w:rsidR="00EB1679" w:rsidRPr="00EB1679" w:rsidRDefault="00EB1679" w:rsidP="00EB1679">
      <w:pPr>
        <w:pStyle w:val="ListParagraph"/>
        <w:numPr>
          <w:ilvl w:val="0"/>
          <w:numId w:val="16"/>
        </w:numPr>
      </w:pPr>
      <w:r w:rsidRPr="00EB1679">
        <w:rPr>
          <w:b/>
          <w:bCs/>
        </w:rPr>
        <w:t>CPRA</w:t>
      </w:r>
      <w:r w:rsidRPr="00EB1679">
        <w:t> : California Privacy Rights Act</w:t>
      </w:r>
    </w:p>
    <w:p w14:paraId="095F1A7A" w14:textId="77777777" w:rsidR="00EB1679" w:rsidRPr="00EB1679" w:rsidRDefault="00EB1679" w:rsidP="00EB1679">
      <w:pPr>
        <w:pStyle w:val="ListParagraph"/>
        <w:numPr>
          <w:ilvl w:val="0"/>
          <w:numId w:val="16"/>
        </w:numPr>
      </w:pPr>
      <w:r w:rsidRPr="00EB1679">
        <w:rPr>
          <w:b/>
          <w:bCs/>
        </w:rPr>
        <w:t>DFS</w:t>
      </w:r>
      <w:r w:rsidRPr="00EB1679">
        <w:t> : Data Fulfillment Service</w:t>
      </w:r>
    </w:p>
    <w:p w14:paraId="208779F0" w14:textId="77777777" w:rsidR="00EB1679" w:rsidRPr="00EB1679" w:rsidRDefault="00EB1679" w:rsidP="00EB1679">
      <w:pPr>
        <w:pStyle w:val="ListParagraph"/>
        <w:numPr>
          <w:ilvl w:val="0"/>
          <w:numId w:val="16"/>
        </w:numPr>
      </w:pPr>
      <w:r w:rsidRPr="00EB1679">
        <w:rPr>
          <w:b/>
          <w:bCs/>
        </w:rPr>
        <w:t>DPO</w:t>
      </w:r>
      <w:r w:rsidRPr="00EB1679">
        <w:t> : Data Provider Orchestrator</w:t>
      </w:r>
    </w:p>
    <w:p w14:paraId="085DA7D6" w14:textId="77777777" w:rsidR="00EB1679" w:rsidRPr="00EB1679" w:rsidRDefault="00EB1679" w:rsidP="00EB1679">
      <w:pPr>
        <w:pStyle w:val="ListParagraph"/>
        <w:numPr>
          <w:ilvl w:val="0"/>
          <w:numId w:val="16"/>
        </w:numPr>
      </w:pPr>
      <w:r w:rsidRPr="00EB1679">
        <w:rPr>
          <w:b/>
          <w:bCs/>
        </w:rPr>
        <w:t>DPR</w:t>
      </w:r>
      <w:r w:rsidRPr="00EB1679">
        <w:t> : Data Privacy Request</w:t>
      </w:r>
    </w:p>
    <w:p w14:paraId="0BFC6056" w14:textId="77777777" w:rsidR="00EB1679" w:rsidRPr="00EB1679" w:rsidRDefault="00EB1679" w:rsidP="00EB1679">
      <w:pPr>
        <w:pStyle w:val="ListParagraph"/>
        <w:numPr>
          <w:ilvl w:val="0"/>
          <w:numId w:val="16"/>
        </w:numPr>
      </w:pPr>
      <w:r w:rsidRPr="00EB1679">
        <w:rPr>
          <w:b/>
          <w:bCs/>
        </w:rPr>
        <w:t>DSAR</w:t>
      </w:r>
      <w:r w:rsidRPr="00EB1679">
        <w:t> : Data Subject Access Requests (part of OneTrust)</w:t>
      </w:r>
    </w:p>
    <w:p w14:paraId="6C08816E" w14:textId="7D3F357D" w:rsidR="00EB1679" w:rsidRDefault="00EB1679" w:rsidP="00EB1679">
      <w:pPr>
        <w:pStyle w:val="ListParagraph"/>
        <w:numPr>
          <w:ilvl w:val="0"/>
          <w:numId w:val="16"/>
        </w:numPr>
      </w:pPr>
      <w:r w:rsidRPr="00EB1679">
        <w:rPr>
          <w:b/>
          <w:bCs/>
        </w:rPr>
        <w:t>DSR</w:t>
      </w:r>
      <w:r w:rsidRPr="00EB1679">
        <w:t> : Data Subject Requests (part of OneTrust)</w:t>
      </w:r>
    </w:p>
    <w:p w14:paraId="7CF3EB87" w14:textId="5BD71846" w:rsidR="00EB1679" w:rsidRDefault="00EB1679" w:rsidP="00EB1679">
      <w:pPr>
        <w:pStyle w:val="ListParagraph"/>
        <w:numPr>
          <w:ilvl w:val="0"/>
          <w:numId w:val="16"/>
        </w:numPr>
      </w:pPr>
      <w:r>
        <w:rPr>
          <w:b/>
          <w:bCs/>
        </w:rPr>
        <w:t>IH</w:t>
      </w:r>
      <w:r w:rsidRPr="00EB1679">
        <w:t>:</w:t>
      </w:r>
      <w:r>
        <w:t xml:space="preserve"> Insurance Host</w:t>
      </w:r>
    </w:p>
    <w:p w14:paraId="65CB14A9" w14:textId="198E55C5" w:rsidR="00EB1679" w:rsidRPr="00EB1679" w:rsidRDefault="00EB1679" w:rsidP="00EB1679">
      <w:pPr>
        <w:pStyle w:val="ListParagraph"/>
        <w:numPr>
          <w:ilvl w:val="0"/>
          <w:numId w:val="16"/>
        </w:numPr>
      </w:pPr>
      <w:r>
        <w:rPr>
          <w:b/>
          <w:bCs/>
        </w:rPr>
        <w:t>JMS</w:t>
      </w:r>
      <w:r w:rsidRPr="00EB1679">
        <w:t>:</w:t>
      </w:r>
      <w:r>
        <w:t xml:space="preserve"> Java Message Service</w:t>
      </w:r>
    </w:p>
    <w:p w14:paraId="3A957636" w14:textId="63DA7943" w:rsidR="00EB1679" w:rsidRDefault="00EB1679" w:rsidP="00EB1679">
      <w:pPr>
        <w:pStyle w:val="ListParagraph"/>
        <w:numPr>
          <w:ilvl w:val="0"/>
          <w:numId w:val="16"/>
        </w:numPr>
      </w:pPr>
      <w:r w:rsidRPr="00EB1679">
        <w:rPr>
          <w:b/>
          <w:bCs/>
        </w:rPr>
        <w:t>PI</w:t>
      </w:r>
      <w:r w:rsidRPr="00EB1679">
        <w:t> : Personal Information</w:t>
      </w:r>
    </w:p>
    <w:p w14:paraId="4F6AE41E" w14:textId="1EB796F0" w:rsidR="00EB1679" w:rsidRPr="00EB1679" w:rsidRDefault="00EB1679" w:rsidP="00EB1679">
      <w:pPr>
        <w:pStyle w:val="ListParagraph"/>
        <w:numPr>
          <w:ilvl w:val="0"/>
          <w:numId w:val="16"/>
        </w:numPr>
      </w:pPr>
      <w:r>
        <w:rPr>
          <w:b/>
          <w:bCs/>
        </w:rPr>
        <w:t>RTA</w:t>
      </w:r>
      <w:r w:rsidRPr="00EB1679">
        <w:t>:</w:t>
      </w:r>
      <w:r>
        <w:t xml:space="preserve"> Right to </w:t>
      </w:r>
      <w:r w:rsidR="00965164">
        <w:t>Appeal</w:t>
      </w:r>
    </w:p>
    <w:p w14:paraId="2CBCC1C9" w14:textId="6E332168" w:rsidR="00EB1679" w:rsidRPr="00EB1679" w:rsidRDefault="00EB1679" w:rsidP="00EB1679">
      <w:pPr>
        <w:pStyle w:val="ListParagraph"/>
        <w:numPr>
          <w:ilvl w:val="0"/>
          <w:numId w:val="16"/>
        </w:numPr>
      </w:pPr>
      <w:r w:rsidRPr="00EB1679">
        <w:rPr>
          <w:b/>
          <w:bCs/>
        </w:rPr>
        <w:t>RTC</w:t>
      </w:r>
      <w:r w:rsidRPr="00EB1679">
        <w:t> : Right to Correct</w:t>
      </w:r>
    </w:p>
    <w:p w14:paraId="6062FA0F" w14:textId="77777777" w:rsidR="00EB1679" w:rsidRPr="00EB1679" w:rsidRDefault="00EB1679" w:rsidP="00EB1679">
      <w:pPr>
        <w:pStyle w:val="ListParagraph"/>
        <w:numPr>
          <w:ilvl w:val="0"/>
          <w:numId w:val="16"/>
        </w:numPr>
      </w:pPr>
      <w:r w:rsidRPr="00EB1679">
        <w:rPr>
          <w:b/>
          <w:bCs/>
        </w:rPr>
        <w:t>RTD</w:t>
      </w:r>
      <w:r w:rsidRPr="00EB1679">
        <w:t> : Right to Delete</w:t>
      </w:r>
    </w:p>
    <w:p w14:paraId="501FFA93" w14:textId="65DBDCBC" w:rsidR="00EB1679" w:rsidRDefault="00EB1679" w:rsidP="00EB1679">
      <w:pPr>
        <w:pStyle w:val="ListParagraph"/>
        <w:numPr>
          <w:ilvl w:val="0"/>
          <w:numId w:val="16"/>
        </w:numPr>
      </w:pPr>
      <w:r w:rsidRPr="00EB1679">
        <w:rPr>
          <w:b/>
          <w:bCs/>
        </w:rPr>
        <w:t>RTK</w:t>
      </w:r>
      <w:r w:rsidRPr="00EB1679">
        <w:t> : Right to Know</w:t>
      </w:r>
    </w:p>
    <w:p w14:paraId="4D98E2BC" w14:textId="77777777" w:rsidR="00EB1679" w:rsidRPr="00EB1679" w:rsidRDefault="00EB1679" w:rsidP="00EB1679">
      <w:pPr>
        <w:pStyle w:val="ListParagraph"/>
        <w:numPr>
          <w:ilvl w:val="0"/>
          <w:numId w:val="16"/>
        </w:numPr>
      </w:pPr>
      <w:r>
        <w:rPr>
          <w:b/>
          <w:bCs/>
        </w:rPr>
        <w:t>TMCC</w:t>
      </w:r>
      <w:r w:rsidRPr="00EB1679">
        <w:t>:</w:t>
      </w:r>
      <w:r>
        <w:t xml:space="preserve"> Toyota Motor Credit Corporation</w:t>
      </w:r>
    </w:p>
    <w:p w14:paraId="3EAFF954" w14:textId="379E21D5" w:rsidR="00EB1679" w:rsidRDefault="00EB1679" w:rsidP="00EB1679">
      <w:pPr>
        <w:pStyle w:val="ListParagraph"/>
        <w:numPr>
          <w:ilvl w:val="0"/>
          <w:numId w:val="16"/>
        </w:numPr>
      </w:pPr>
      <w:r>
        <w:rPr>
          <w:b/>
          <w:bCs/>
        </w:rPr>
        <w:t>TMIS</w:t>
      </w:r>
      <w:r w:rsidRPr="00EB1679">
        <w:t>:</w:t>
      </w:r>
      <w:r>
        <w:t xml:space="preserve"> Toyota Motor Insurance Services</w:t>
      </w:r>
    </w:p>
    <w:p w14:paraId="75DCAD2B" w14:textId="77777777" w:rsidR="00EB1679" w:rsidRPr="00EB1679" w:rsidRDefault="00EB1679" w:rsidP="00EB1679">
      <w:pPr>
        <w:pStyle w:val="ListParagraph"/>
        <w:numPr>
          <w:ilvl w:val="0"/>
          <w:numId w:val="16"/>
        </w:numPr>
      </w:pPr>
      <w:r w:rsidRPr="00EB1679">
        <w:rPr>
          <w:b/>
          <w:bCs/>
        </w:rPr>
        <w:t>UCM</w:t>
      </w:r>
      <w:r w:rsidRPr="00EB1679">
        <w:t> : Universal Customer Master</w:t>
      </w:r>
    </w:p>
    <w:p w14:paraId="2DEC4DAC" w14:textId="77777777" w:rsidR="00EB1679" w:rsidRPr="00EB1679" w:rsidRDefault="00EB1679" w:rsidP="00EB1679">
      <w:pPr>
        <w:pStyle w:val="ListParagraph"/>
        <w:numPr>
          <w:ilvl w:val="0"/>
          <w:numId w:val="16"/>
        </w:numPr>
      </w:pPr>
      <w:r w:rsidRPr="00EB1679">
        <w:rPr>
          <w:b/>
          <w:bCs/>
        </w:rPr>
        <w:t>UPM</w:t>
      </w:r>
      <w:r w:rsidRPr="00EB1679">
        <w:t> : Universal Party Master</w:t>
      </w:r>
    </w:p>
    <w:p w14:paraId="5D6C8D7C" w14:textId="77777777" w:rsidR="00EB1679" w:rsidRPr="00EB1679" w:rsidRDefault="00EB1679" w:rsidP="00EB1679">
      <w:pPr>
        <w:pStyle w:val="ListParagraph"/>
        <w:numPr>
          <w:ilvl w:val="0"/>
          <w:numId w:val="16"/>
        </w:numPr>
      </w:pPr>
      <w:r w:rsidRPr="00EB1679">
        <w:rPr>
          <w:b/>
          <w:bCs/>
        </w:rPr>
        <w:t>VCPA</w:t>
      </w:r>
      <w:r w:rsidRPr="00EB1679">
        <w:t> : Virginia Consumer Protection Act</w:t>
      </w:r>
    </w:p>
    <w:p w14:paraId="287CAB42" w14:textId="77777777" w:rsidR="00EB1679" w:rsidRPr="00EB1679" w:rsidRDefault="00EB1679" w:rsidP="00EB1679">
      <w:pPr>
        <w:pStyle w:val="ListParagraph"/>
        <w:numPr>
          <w:ilvl w:val="0"/>
          <w:numId w:val="16"/>
        </w:numPr>
      </w:pPr>
      <w:r w:rsidRPr="00EB1679">
        <w:rPr>
          <w:b/>
          <w:bCs/>
        </w:rPr>
        <w:t>VPP</w:t>
      </w:r>
      <w:r w:rsidRPr="00EB1679">
        <w:t> : Voluntary Protection Program</w:t>
      </w:r>
    </w:p>
    <w:bookmarkEnd w:id="0"/>
    <w:p w14:paraId="6B8F2D43" w14:textId="77777777" w:rsidR="00120FF4" w:rsidRDefault="00120FF4" w:rsidP="00C73A0C"/>
    <w:sectPr w:rsidR="00120F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2CAD2" w14:textId="77777777" w:rsidR="007C13AA" w:rsidRDefault="007C13AA" w:rsidP="008F3079">
      <w:pPr>
        <w:spacing w:after="0" w:line="240" w:lineRule="auto"/>
      </w:pPr>
      <w:r>
        <w:separator/>
      </w:r>
    </w:p>
  </w:endnote>
  <w:endnote w:type="continuationSeparator" w:id="0">
    <w:p w14:paraId="56AA33F6" w14:textId="77777777" w:rsidR="007C13AA" w:rsidRDefault="007C13AA" w:rsidP="008F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277F" w14:textId="624E998A" w:rsidR="008F3079" w:rsidRDefault="008F3079">
    <w:pPr>
      <w:pStyle w:val="Footer"/>
    </w:pPr>
    <w:r>
      <w:rPr>
        <w:noProof/>
      </w:rPr>
      <mc:AlternateContent>
        <mc:Choice Requires="wps">
          <w:drawing>
            <wp:anchor distT="0" distB="0" distL="114300" distR="114300" simplePos="0" relativeHeight="251659264" behindDoc="0" locked="0" layoutInCell="0" allowOverlap="1" wp14:anchorId="7C6539D1" wp14:editId="202245A0">
              <wp:simplePos x="0" y="0"/>
              <wp:positionH relativeFrom="page">
                <wp:posOffset>0</wp:posOffset>
              </wp:positionH>
              <wp:positionV relativeFrom="page">
                <wp:posOffset>9639300</wp:posOffset>
              </wp:positionV>
              <wp:extent cx="7772400" cy="228600"/>
              <wp:effectExtent l="0" t="0" r="0" b="0"/>
              <wp:wrapNone/>
              <wp:docPr id="4" name="MSIPCM52cd422085a5610a7aa5a3f0" descr="{&quot;HashCode&quot;:17523086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537416" w14:textId="67C39FCF" w:rsidR="008F3079" w:rsidRPr="008F3079" w:rsidRDefault="008F3079" w:rsidP="008F3079">
                          <w:pPr>
                            <w:spacing w:after="0"/>
                            <w:jc w:val="center"/>
                            <w:rPr>
                              <w:rFonts w:ascii="MS UI Gothic" w:hAnsi="MS UI Gothic"/>
                              <w:color w:val="000000"/>
                              <w:sz w:val="20"/>
                            </w:rPr>
                          </w:pPr>
                          <w:r w:rsidRPr="008F3079">
                            <w:rPr>
                              <w:rFonts w:ascii="MS UI Gothic" w:hAnsi="MS UI Gothic"/>
                              <w:color w:val="000000"/>
                              <w:sz w:val="20"/>
                            </w:rPr>
                            <w:t xml:space="preserve">•• PROTECTED </w:t>
                          </w:r>
                          <w:r w:rsidRPr="008F3079">
                            <w:rPr>
                              <w:rFonts w:ascii="MS Gothic" w:eastAsia="MS Gothic" w:hAnsi="MS Gothic" w:cs="MS Gothic" w:hint="eastAsia"/>
                              <w:color w:val="000000"/>
                              <w:sz w:val="20"/>
                            </w:rPr>
                            <w:t>関係者外秘</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C6539D1" id="_x0000_t202" coordsize="21600,21600" o:spt="202" path="m,l,21600r21600,l21600,xe">
              <v:stroke joinstyle="miter"/>
              <v:path gradientshapeok="t" o:connecttype="rect"/>
            </v:shapetype>
            <v:shape id="MSIPCM52cd422085a5610a7aa5a3f0" o:spid="_x0000_s1026" type="#_x0000_t202" alt="{&quot;HashCode&quot;:1752308631,&quot;Height&quot;:792.0,&quot;Width&quot;:612.0,&quot;Placement&quot;:&quot;Footer&quot;,&quot;Index&quot;:&quot;Primary&quot;,&quot;Section&quot;:1,&quot;Top&quot;:0.0,&quot;Left&quot;:0.0}" style="position:absolute;margin-left:0;margin-top:759pt;width:612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" o:allowincell="f" filled="f" stroked="f" strokeweight=".5pt">
              <v:textbox inset=",0,,0">
                <w:txbxContent>
                  <w:p w14:paraId="37537416" w14:textId="67C39FCF" w:rsidR="008F3079" w:rsidRPr="008F3079" w:rsidRDefault="008F3079" w:rsidP="008F3079">
                    <w:pPr>
                      <w:spacing w:after="0"/>
                      <w:jc w:val="center"/>
                      <w:rPr>
                        <w:rFonts w:ascii="MS UI Gothic" w:hAnsi="MS UI Gothic"/>
                        <w:color w:val="000000"/>
                        <w:sz w:val="20"/>
                      </w:rPr>
                    </w:pPr>
                    <w:r w:rsidRPr="008F3079">
                      <w:rPr>
                        <w:rFonts w:ascii="MS UI Gothic" w:hAnsi="MS UI Gothic"/>
                        <w:color w:val="000000"/>
                        <w:sz w:val="20"/>
                      </w:rPr>
                      <w:t xml:space="preserve">•• PROTECTED </w:t>
                    </w:r>
                    <w:r w:rsidRPr="008F3079">
                      <w:rPr>
                        <w:rFonts w:ascii="MS Gothic" w:eastAsia="MS Gothic" w:hAnsi="MS Gothic" w:cs="MS Gothic" w:hint="eastAsia"/>
                        <w:color w:val="000000"/>
                        <w:sz w:val="20"/>
                      </w:rPr>
                      <w:t>関係者外秘</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E3C0" w14:textId="77777777" w:rsidR="007C13AA" w:rsidRDefault="007C13AA" w:rsidP="008F3079">
      <w:pPr>
        <w:spacing w:after="0" w:line="240" w:lineRule="auto"/>
      </w:pPr>
      <w:r>
        <w:separator/>
      </w:r>
    </w:p>
  </w:footnote>
  <w:footnote w:type="continuationSeparator" w:id="0">
    <w:p w14:paraId="1E00FF7A" w14:textId="77777777" w:rsidR="007C13AA" w:rsidRDefault="007C13AA" w:rsidP="008F3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029"/>
    <w:multiLevelType w:val="hybridMultilevel"/>
    <w:tmpl w:val="2E0A8242"/>
    <w:lvl w:ilvl="0" w:tplc="FA6EE10E">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B64BA"/>
    <w:multiLevelType w:val="hybridMultilevel"/>
    <w:tmpl w:val="DD00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D6E89"/>
    <w:multiLevelType w:val="multilevel"/>
    <w:tmpl w:val="97EC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42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D35F6E"/>
    <w:multiLevelType w:val="multilevel"/>
    <w:tmpl w:val="994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36CD0"/>
    <w:multiLevelType w:val="multilevel"/>
    <w:tmpl w:val="4E5EE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F3366"/>
    <w:multiLevelType w:val="hybridMultilevel"/>
    <w:tmpl w:val="3D8E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644"/>
    <w:multiLevelType w:val="hybridMultilevel"/>
    <w:tmpl w:val="574ECC72"/>
    <w:lvl w:ilvl="0" w:tplc="E9E4947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36B1A"/>
    <w:multiLevelType w:val="multilevel"/>
    <w:tmpl w:val="4082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C55ED"/>
    <w:multiLevelType w:val="multilevel"/>
    <w:tmpl w:val="3E88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52122"/>
    <w:multiLevelType w:val="hybridMultilevel"/>
    <w:tmpl w:val="9970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A328E4"/>
    <w:multiLevelType w:val="hybridMultilevel"/>
    <w:tmpl w:val="BAC4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F3D2A"/>
    <w:multiLevelType w:val="hybridMultilevel"/>
    <w:tmpl w:val="7B583C80"/>
    <w:lvl w:ilvl="0" w:tplc="FA6EE10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A7FCF"/>
    <w:multiLevelType w:val="hybridMultilevel"/>
    <w:tmpl w:val="574ECC72"/>
    <w:lvl w:ilvl="0" w:tplc="FFFFFFFF">
      <w:start w:val="1"/>
      <w:numFmt w:val="decimal"/>
      <w:lvlText w:val="%1."/>
      <w:lvlJc w:val="left"/>
      <w:pPr>
        <w:ind w:left="720" w:hanging="360"/>
      </w:pPr>
      <w:rPr>
        <w:rFonts w:hint="default"/>
        <w:b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2E5ED7"/>
    <w:multiLevelType w:val="multilevel"/>
    <w:tmpl w:val="57C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06788"/>
    <w:multiLevelType w:val="hybridMultilevel"/>
    <w:tmpl w:val="4472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3268E"/>
    <w:multiLevelType w:val="multilevel"/>
    <w:tmpl w:val="84AA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75648D"/>
    <w:multiLevelType w:val="hybridMultilevel"/>
    <w:tmpl w:val="A6F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
  </w:num>
  <w:num w:numId="5">
    <w:abstractNumId w:val="15"/>
  </w:num>
  <w:num w:numId="6">
    <w:abstractNumId w:val="2"/>
  </w:num>
  <w:num w:numId="7">
    <w:abstractNumId w:val="7"/>
  </w:num>
  <w:num w:numId="8">
    <w:abstractNumId w:val="3"/>
  </w:num>
  <w:num w:numId="9">
    <w:abstractNumId w:val="5"/>
  </w:num>
  <w:num w:numId="10">
    <w:abstractNumId w:val="17"/>
  </w:num>
  <w:num w:numId="11">
    <w:abstractNumId w:val="13"/>
  </w:num>
  <w:num w:numId="12">
    <w:abstractNumId w:val="10"/>
  </w:num>
  <w:num w:numId="13">
    <w:abstractNumId w:val="12"/>
  </w:num>
  <w:num w:numId="14">
    <w:abstractNumId w:val="0"/>
  </w:num>
  <w:num w:numId="15">
    <w:abstractNumId w:val="14"/>
  </w:num>
  <w:num w:numId="16">
    <w:abstractNumId w:val="6"/>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0A"/>
    <w:rsid w:val="00010EC7"/>
    <w:rsid w:val="00027573"/>
    <w:rsid w:val="00120FF4"/>
    <w:rsid w:val="00125E1B"/>
    <w:rsid w:val="00171CB6"/>
    <w:rsid w:val="001E2D92"/>
    <w:rsid w:val="00246B43"/>
    <w:rsid w:val="002D213B"/>
    <w:rsid w:val="002E3AF9"/>
    <w:rsid w:val="002E6700"/>
    <w:rsid w:val="0032023D"/>
    <w:rsid w:val="0037129E"/>
    <w:rsid w:val="003802F7"/>
    <w:rsid w:val="00387188"/>
    <w:rsid w:val="00397B48"/>
    <w:rsid w:val="003D3CF9"/>
    <w:rsid w:val="003E4C0A"/>
    <w:rsid w:val="0042699D"/>
    <w:rsid w:val="00430973"/>
    <w:rsid w:val="00472F12"/>
    <w:rsid w:val="00481DAA"/>
    <w:rsid w:val="00490CBF"/>
    <w:rsid w:val="004A6DEB"/>
    <w:rsid w:val="004D059B"/>
    <w:rsid w:val="004D235F"/>
    <w:rsid w:val="004D53F3"/>
    <w:rsid w:val="004E1B2A"/>
    <w:rsid w:val="004F6EE6"/>
    <w:rsid w:val="005208CE"/>
    <w:rsid w:val="00521C91"/>
    <w:rsid w:val="005401C9"/>
    <w:rsid w:val="005A5E8C"/>
    <w:rsid w:val="005B654A"/>
    <w:rsid w:val="00611EB0"/>
    <w:rsid w:val="00645AC9"/>
    <w:rsid w:val="00664A76"/>
    <w:rsid w:val="0067398D"/>
    <w:rsid w:val="0068500D"/>
    <w:rsid w:val="006A69F3"/>
    <w:rsid w:val="006E31D9"/>
    <w:rsid w:val="0070419D"/>
    <w:rsid w:val="0072090F"/>
    <w:rsid w:val="00725672"/>
    <w:rsid w:val="0072666A"/>
    <w:rsid w:val="00782D41"/>
    <w:rsid w:val="00794648"/>
    <w:rsid w:val="007C13AA"/>
    <w:rsid w:val="007C1D1C"/>
    <w:rsid w:val="007C6256"/>
    <w:rsid w:val="00835662"/>
    <w:rsid w:val="00836695"/>
    <w:rsid w:val="008D435D"/>
    <w:rsid w:val="008E7297"/>
    <w:rsid w:val="008F3079"/>
    <w:rsid w:val="00965164"/>
    <w:rsid w:val="009D2248"/>
    <w:rsid w:val="009F374B"/>
    <w:rsid w:val="00A407B4"/>
    <w:rsid w:val="00A64821"/>
    <w:rsid w:val="00AA0FDB"/>
    <w:rsid w:val="00AA75A6"/>
    <w:rsid w:val="00AC7183"/>
    <w:rsid w:val="00B34810"/>
    <w:rsid w:val="00B51600"/>
    <w:rsid w:val="00B631E9"/>
    <w:rsid w:val="00BA16C7"/>
    <w:rsid w:val="00BA21E6"/>
    <w:rsid w:val="00BD5E60"/>
    <w:rsid w:val="00C220AA"/>
    <w:rsid w:val="00C43413"/>
    <w:rsid w:val="00C4698B"/>
    <w:rsid w:val="00C67406"/>
    <w:rsid w:val="00C73A0C"/>
    <w:rsid w:val="00C8745F"/>
    <w:rsid w:val="00D34B2A"/>
    <w:rsid w:val="00D44C3E"/>
    <w:rsid w:val="00DE70EB"/>
    <w:rsid w:val="00E267A1"/>
    <w:rsid w:val="00E43BE4"/>
    <w:rsid w:val="00E44E2F"/>
    <w:rsid w:val="00E472A4"/>
    <w:rsid w:val="00E86200"/>
    <w:rsid w:val="00EB0A09"/>
    <w:rsid w:val="00EB1679"/>
    <w:rsid w:val="00EF724F"/>
    <w:rsid w:val="00F4643F"/>
    <w:rsid w:val="00F472BC"/>
    <w:rsid w:val="00F50E88"/>
    <w:rsid w:val="00F9073C"/>
    <w:rsid w:val="00F92738"/>
    <w:rsid w:val="00FA7500"/>
    <w:rsid w:val="00FC4898"/>
    <w:rsid w:val="00FD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B8B03"/>
  <w15:chartTrackingRefBased/>
  <w15:docId w15:val="{2188B00D-CC8A-4A28-8DAA-53018F1A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1E6"/>
    <w:pPr>
      <w:keepNext/>
      <w:keepLines/>
      <w:numPr>
        <w:numId w:val="8"/>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D1C"/>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72F12"/>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2F12"/>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72F12"/>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72F12"/>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2F12"/>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72F1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2F1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C0A"/>
    <w:rPr>
      <w:b/>
      <w:bCs/>
    </w:rPr>
  </w:style>
  <w:style w:type="character" w:customStyle="1" w:styleId="fabric-text-color-mark">
    <w:name w:val="fabric-text-color-mark"/>
    <w:basedOn w:val="DefaultParagraphFont"/>
    <w:rsid w:val="003E4C0A"/>
  </w:style>
  <w:style w:type="paragraph" w:styleId="Header">
    <w:name w:val="header"/>
    <w:basedOn w:val="Normal"/>
    <w:link w:val="HeaderChar"/>
    <w:uiPriority w:val="99"/>
    <w:unhideWhenUsed/>
    <w:rsid w:val="008F3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079"/>
  </w:style>
  <w:style w:type="paragraph" w:styleId="Footer">
    <w:name w:val="footer"/>
    <w:basedOn w:val="Normal"/>
    <w:link w:val="FooterChar"/>
    <w:uiPriority w:val="99"/>
    <w:unhideWhenUsed/>
    <w:rsid w:val="008F3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079"/>
  </w:style>
  <w:style w:type="character" w:styleId="Hyperlink">
    <w:name w:val="Hyperlink"/>
    <w:basedOn w:val="DefaultParagraphFont"/>
    <w:uiPriority w:val="99"/>
    <w:unhideWhenUsed/>
    <w:rsid w:val="00FD7D1C"/>
    <w:rPr>
      <w:color w:val="0000FF" w:themeColor="hyperlink"/>
      <w:u w:val="single"/>
    </w:rPr>
  </w:style>
  <w:style w:type="character" w:styleId="UnresolvedMention">
    <w:name w:val="Unresolved Mention"/>
    <w:basedOn w:val="DefaultParagraphFont"/>
    <w:uiPriority w:val="99"/>
    <w:semiHidden/>
    <w:unhideWhenUsed/>
    <w:rsid w:val="00FD7D1C"/>
    <w:rPr>
      <w:color w:val="605E5C"/>
      <w:shd w:val="clear" w:color="auto" w:fill="E1DFDD"/>
    </w:rPr>
  </w:style>
  <w:style w:type="character" w:styleId="FollowedHyperlink">
    <w:name w:val="FollowedHyperlink"/>
    <w:basedOn w:val="DefaultParagraphFont"/>
    <w:uiPriority w:val="99"/>
    <w:semiHidden/>
    <w:unhideWhenUsed/>
    <w:rsid w:val="00FD7D1C"/>
    <w:rPr>
      <w:color w:val="800080" w:themeColor="followedHyperlink"/>
      <w:u w:val="single"/>
    </w:rPr>
  </w:style>
  <w:style w:type="character" w:customStyle="1" w:styleId="Heading2Char">
    <w:name w:val="Heading 2 Char"/>
    <w:basedOn w:val="DefaultParagraphFont"/>
    <w:link w:val="Heading2"/>
    <w:uiPriority w:val="9"/>
    <w:rsid w:val="00FD7D1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220AA"/>
    <w:pPr>
      <w:ind w:left="720"/>
      <w:contextualSpacing/>
    </w:pPr>
  </w:style>
  <w:style w:type="paragraph" w:styleId="Caption">
    <w:name w:val="caption"/>
    <w:basedOn w:val="Normal"/>
    <w:next w:val="Normal"/>
    <w:uiPriority w:val="35"/>
    <w:unhideWhenUsed/>
    <w:qFormat/>
    <w:rsid w:val="00AA75A6"/>
    <w:pPr>
      <w:spacing w:line="240" w:lineRule="auto"/>
    </w:pPr>
    <w:rPr>
      <w:i/>
      <w:iCs/>
      <w:color w:val="1F497D" w:themeColor="text2"/>
      <w:sz w:val="18"/>
      <w:szCs w:val="18"/>
    </w:rPr>
  </w:style>
  <w:style w:type="character" w:styleId="Emphasis">
    <w:name w:val="Emphasis"/>
    <w:basedOn w:val="DefaultParagraphFont"/>
    <w:uiPriority w:val="20"/>
    <w:qFormat/>
    <w:rsid w:val="00BA21E6"/>
    <w:rPr>
      <w:i/>
      <w:iCs/>
    </w:rPr>
  </w:style>
  <w:style w:type="character" w:customStyle="1" w:styleId="Heading1Char">
    <w:name w:val="Heading 1 Char"/>
    <w:basedOn w:val="DefaultParagraphFont"/>
    <w:link w:val="Heading1"/>
    <w:uiPriority w:val="9"/>
    <w:rsid w:val="00BA21E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2F1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72F1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72F1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72F1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72F1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72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2F1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72F12"/>
    <w:pPr>
      <w:numPr>
        <w:numId w:val="0"/>
      </w:numPr>
      <w:spacing w:line="259" w:lineRule="auto"/>
      <w:outlineLvl w:val="9"/>
    </w:pPr>
  </w:style>
  <w:style w:type="paragraph" w:styleId="TOC1">
    <w:name w:val="toc 1"/>
    <w:basedOn w:val="Normal"/>
    <w:next w:val="Normal"/>
    <w:autoRedefine/>
    <w:uiPriority w:val="39"/>
    <w:unhideWhenUsed/>
    <w:rsid w:val="00472F12"/>
    <w:pPr>
      <w:spacing w:after="100"/>
    </w:pPr>
  </w:style>
  <w:style w:type="paragraph" w:styleId="TOC2">
    <w:name w:val="toc 2"/>
    <w:basedOn w:val="Normal"/>
    <w:next w:val="Normal"/>
    <w:autoRedefine/>
    <w:uiPriority w:val="39"/>
    <w:unhideWhenUsed/>
    <w:rsid w:val="00472F12"/>
    <w:pPr>
      <w:spacing w:after="100"/>
      <w:ind w:left="220"/>
    </w:pPr>
  </w:style>
  <w:style w:type="character" w:styleId="HTMLCode">
    <w:name w:val="HTML Code"/>
    <w:basedOn w:val="DefaultParagraphFont"/>
    <w:uiPriority w:val="99"/>
    <w:semiHidden/>
    <w:unhideWhenUsed/>
    <w:rsid w:val="00E472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9125">
      <w:bodyDiv w:val="1"/>
      <w:marLeft w:val="0"/>
      <w:marRight w:val="0"/>
      <w:marTop w:val="0"/>
      <w:marBottom w:val="0"/>
      <w:divBdr>
        <w:top w:val="none" w:sz="0" w:space="0" w:color="auto"/>
        <w:left w:val="none" w:sz="0" w:space="0" w:color="auto"/>
        <w:bottom w:val="none" w:sz="0" w:space="0" w:color="auto"/>
        <w:right w:val="none" w:sz="0" w:space="0" w:color="auto"/>
      </w:divBdr>
    </w:div>
    <w:div w:id="559095485">
      <w:bodyDiv w:val="1"/>
      <w:marLeft w:val="0"/>
      <w:marRight w:val="0"/>
      <w:marTop w:val="0"/>
      <w:marBottom w:val="0"/>
      <w:divBdr>
        <w:top w:val="none" w:sz="0" w:space="0" w:color="auto"/>
        <w:left w:val="none" w:sz="0" w:space="0" w:color="auto"/>
        <w:bottom w:val="none" w:sz="0" w:space="0" w:color="auto"/>
        <w:right w:val="none" w:sz="0" w:space="0" w:color="auto"/>
      </w:divBdr>
    </w:div>
    <w:div w:id="752161693">
      <w:bodyDiv w:val="1"/>
      <w:marLeft w:val="0"/>
      <w:marRight w:val="0"/>
      <w:marTop w:val="0"/>
      <w:marBottom w:val="0"/>
      <w:divBdr>
        <w:top w:val="none" w:sz="0" w:space="0" w:color="auto"/>
        <w:left w:val="none" w:sz="0" w:space="0" w:color="auto"/>
        <w:bottom w:val="none" w:sz="0" w:space="0" w:color="auto"/>
        <w:right w:val="none" w:sz="0" w:space="0" w:color="auto"/>
      </w:divBdr>
    </w:div>
    <w:div w:id="1057893122">
      <w:bodyDiv w:val="1"/>
      <w:marLeft w:val="0"/>
      <w:marRight w:val="0"/>
      <w:marTop w:val="0"/>
      <w:marBottom w:val="0"/>
      <w:divBdr>
        <w:top w:val="none" w:sz="0" w:space="0" w:color="auto"/>
        <w:left w:val="none" w:sz="0" w:space="0" w:color="auto"/>
        <w:bottom w:val="none" w:sz="0" w:space="0" w:color="auto"/>
        <w:right w:val="none" w:sz="0" w:space="0" w:color="auto"/>
      </w:divBdr>
    </w:div>
    <w:div w:id="1766536268">
      <w:bodyDiv w:val="1"/>
      <w:marLeft w:val="0"/>
      <w:marRight w:val="0"/>
      <w:marTop w:val="0"/>
      <w:marBottom w:val="0"/>
      <w:divBdr>
        <w:top w:val="none" w:sz="0" w:space="0" w:color="auto"/>
        <w:left w:val="none" w:sz="0" w:space="0" w:color="auto"/>
        <w:bottom w:val="none" w:sz="0" w:space="0" w:color="auto"/>
        <w:right w:val="none" w:sz="0" w:space="0" w:color="auto"/>
      </w:divBdr>
    </w:div>
    <w:div w:id="19238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tfs.toyota.com/harpo/CCPA_Design_Artifac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tfs.toyota.com/harpo/project.data-fulfillment-service" TargetMode="External"/><Relationship Id="rId2" Type="http://schemas.openxmlformats.org/officeDocument/2006/relationships/numbering" Target="numbering.xml"/><Relationship Id="rId16" Type="http://schemas.openxmlformats.org/officeDocument/2006/relationships/hyperlink" Target="https://github.tfs.toyota.com/harpo/dfs.cdar-serv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tfs.toyota.com/harpo/privacy.ui-integrat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tfs.toyota.com/harpo/privacy-plus.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9B6C4-5590-4BAF-A5F8-A69A1CF3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6702</TotalTime>
  <Pages>8</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Slobodan Sipcic</dc:creator>
  <cp:keywords/>
  <dc:description/>
  <cp:lastModifiedBy>Slobodan Sipcic</cp:lastModifiedBy>
  <cp:revision>11</cp:revision>
  <cp:lastPrinted>2022-12-09T04:23:00Z</cp:lastPrinted>
  <dcterms:created xsi:type="dcterms:W3CDTF">2022-12-08T16:06:00Z</dcterms:created>
  <dcterms:modified xsi:type="dcterms:W3CDTF">2022-12-19T15:27:00Z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a0b5dac8-70ca-4a2f-bc92-2d23829dbea2</vt:lpwstr>
  </property>
  <property fmtid="{D5CDD505-2E9C-101B-9397-08002B2CF9AE}" pid="3" name="MSIP_Label_a652e5e4-5b63-4e83-a876-9e13e9e73d82_Enabled">
    <vt:lpwstr>true</vt:lpwstr>
  </property>
  <property fmtid="{D5CDD505-2E9C-101B-9397-08002B2CF9AE}" pid="4" name="MSIP_Label_a652e5e4-5b63-4e83-a876-9e13e9e73d82_SetDate">
    <vt:lpwstr>2022-12-19T15:27:13Z</vt:lpwstr>
  </property>
  <property fmtid="{D5CDD505-2E9C-101B-9397-08002B2CF9AE}" pid="5" name="MSIP_Label_a652e5e4-5b63-4e83-a876-9e13e9e73d82_Method">
    <vt:lpwstr>Standard</vt:lpwstr>
  </property>
  <property fmtid="{D5CDD505-2E9C-101B-9397-08002B2CF9AE}" pid="6" name="MSIP_Label_a652e5e4-5b63-4e83-a876-9e13e9e73d82_Name">
    <vt:lpwstr>MFS - Protected 関係者外秘</vt:lpwstr>
  </property>
  <property fmtid="{D5CDD505-2E9C-101B-9397-08002B2CF9AE}" pid="7" name="MSIP_Label_a652e5e4-5b63-4e83-a876-9e13e9e73d82_SiteId">
    <vt:lpwstr>8c642d1d-d709-47b0-ab10-080af10798fb</vt:lpwstr>
  </property>
  <property fmtid="{D5CDD505-2E9C-101B-9397-08002B2CF9AE}" pid="8" name="MSIP_Label_a652e5e4-5b63-4e83-a876-9e13e9e73d82_ActionId">
    <vt:lpwstr>50903c24-916a-41f7-988a-bd737f4a555f</vt:lpwstr>
  </property>
  <property fmtid="{D5CDD505-2E9C-101B-9397-08002B2CF9AE}" pid="9" name="MSIP_Label_a652e5e4-5b63-4e83-a876-9e13e9e73d82_ContentBits">
    <vt:lpwstr>2</vt:lpwstr>
  </property>
</Properties>
</file>