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Study Hub Dashboard Architecture and User Guide</w:t>
      </w:r>
    </w:p>
    <w:p>
      <w:pPr>
        <w:spacing w:after="200"/>
      </w:pPr>
      <w:r>
        <w:rPr>
          <w:color w:val="555555"/>
          <w:sz w:val="24"/>
        </w:rPr>
        <w:t>For reviewing, using, and explaining the MANCOSA PGDBM study dashboard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D6C58A"/>
              <w:left w:val="single" w:sz="6" w:space="0" w:color="D6C58A"/>
              <w:bottom w:val="single" w:sz="6" w:space="0" w:color="D6C58A"/>
              <w:right w:val="single" w:sz="6" w:space="0" w:color="D6C58A"/>
            </w:tcBorders>
            <w:shd w:fill="FBF7EC"/>
          </w:tcPr>
          <w:p>
            <w:pPr>
              <w:spacing w:after="60"/>
            </w:pPr>
            <w:r>
              <w:rPr>
                <w:b/>
                <w:color w:val="0B2545"/>
                <w:sz w:val="22"/>
              </w:rPr>
              <w:t>Purpose</w:t>
            </w:r>
          </w:p>
          <w:p>
            <w:pPr>
              <w:spacing w:after="0"/>
            </w:pPr>
            <w:r>
              <w:rPr>
                <w:sz w:val="21"/>
              </w:rPr>
              <w:t>This guide explains how the dashboard is organised, how each subject module works, where the data lives, and how a learner or reviewer should use the app to check accuracy and usability.</w:t>
            </w:r>
          </w:p>
        </w:tc>
      </w:tr>
    </w:tbl>
    <w:p/>
    <w:p>
      <w:pPr>
        <w:pStyle w:val="Heading1"/>
        <w:keepNext/>
      </w:pPr>
      <w:r>
        <w:t>1. Dashboard at a Glance</w:t>
      </w:r>
    </w:p>
    <w:tbl>
      <w:tblPr>
        <w:tblW w:type="dxa" w:w="9360"/>
        <w:jc w:val="left"/>
        <w:tblLayout w:type="fixed"/>
        <w:tblLook w:firstColumn="1" w:firstRow="1" w:lastColumn="0" w:lastRow="0" w:noHBand="0" w:noVBand="1" w:val="04A0"/>
        <w:tblInd w:w="120" w:type="dxa"/>
      </w:tblPr>
      <w:tblGrid>
        <w:gridCol w:w="1800"/>
        <w:gridCol w:w="4560"/>
        <w:gridCol w:w="3000"/>
      </w:tblGrid>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Area</w:t>
            </w:r>
          </w:p>
        </w:tc>
        <w:tc>
          <w:tcPr>
            <w:tcW w:type="dxa" w:w="45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What it does</w:t>
            </w:r>
          </w:p>
        </w:tc>
        <w:tc>
          <w:tcPr>
            <w:tcW w:type="dxa" w:w="30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Primary user action</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Home dashboard</w:t>
            </w:r>
          </w:p>
        </w:tc>
        <w:tc>
          <w:tcPr>
            <w:tcW w:type="dxa" w:w="45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Entry point for the study companion and quick links into modules and global tools.</w:t>
            </w:r>
          </w:p>
        </w:tc>
        <w:tc>
          <w:tcPr>
            <w:tcW w:type="dxa" w:w="30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Start at Home, then choose a subject or global reference tool.</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layout</w:t>
            </w:r>
          </w:p>
        </w:tc>
        <w:tc>
          <w:tcPr>
            <w:tcW w:type="dxa" w:w="45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One navigation shell with global links, subject cards, and module tool links.</w:t>
            </w:r>
          </w:p>
        </w:tc>
        <w:tc>
          <w:tcPr>
            <w:tcW w:type="dxa" w:w="30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Use the left navigation on desktop or menu button on mobile.</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 module</w:t>
            </w:r>
          </w:p>
        </w:tc>
        <w:tc>
          <w:tcPr>
            <w:tcW w:type="dxa" w:w="45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Dedicated OB experience with OB-specific data, hubs, theories, cases, past papers and writing tools.</w:t>
            </w:r>
          </w:p>
        </w:tc>
        <w:tc>
          <w:tcPr>
            <w:tcW w:type="dxa" w:w="30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Use OB pages for behavioural theory, case analysis, and paragraph practice.</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IKM, OM, MM modules</w:t>
            </w:r>
          </w:p>
        </w:tc>
        <w:tc>
          <w:tcPr>
            <w:tcW w:type="dxa" w:w="45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module layout using common pages for units, theories, cases, past papers and writing tools.</w:t>
            </w:r>
          </w:p>
        </w:tc>
        <w:tc>
          <w:tcPr>
            <w:tcW w:type="dxa" w:w="30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Use the same workflow across modules: units -&gt; theories/concepts -&gt; cases -&gt; exam answer.</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calculation layer</w:t>
            </w:r>
          </w:p>
        </w:tc>
        <w:tc>
          <w:tcPr>
            <w:tcW w:type="dxa" w:w="45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Operations Management has additional formulas, calculators, worked examples, classifier and mistake-log tools.</w:t>
            </w:r>
          </w:p>
        </w:tc>
        <w:tc>
          <w:tcPr>
            <w:tcW w:type="dxa" w:w="30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Use formulas and calculators before writing interpretation paragraphs.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D6C58A"/>
              <w:left w:val="single" w:sz="6" w:space="0" w:color="D6C58A"/>
              <w:bottom w:val="single" w:sz="6" w:space="0" w:color="D6C58A"/>
              <w:right w:val="single" w:sz="6" w:space="0" w:color="D6C58A"/>
            </w:tcBorders>
            <w:shd w:fill="FBF7EC"/>
          </w:tcPr>
          <w:p>
            <w:pPr>
              <w:spacing w:after="60"/>
            </w:pPr>
            <w:r>
              <w:rPr>
                <w:b/>
                <w:color w:val="0B2545"/>
                <w:sz w:val="22"/>
              </w:rPr>
              <w:t>Architecture principle</w:t>
            </w:r>
          </w:p>
          <w:p>
            <w:pPr>
              <w:spacing w:after="0"/>
            </w:pPr>
            <w:r>
              <w:rPr>
                <w:sz w:val="21"/>
              </w:rPr>
              <w:t>The dashboard is organised around one clean routing system. OB, IKM, OM and MM are modules inside the same overall layout. OB has dedicated pages because its source content is richer and separately structured; IKM, OM and MM use shared module pages.</w:t>
            </w:r>
          </w:p>
        </w:tc>
      </w:tr>
    </w:tbl>
    <w:p/>
    <w:p>
      <w:pPr>
        <w:pStyle w:val="Heading1"/>
        <w:keepNext/>
      </w:pPr>
      <w:r>
        <w:t>2. Application Architecture</w:t>
      </w:r>
    </w:p>
    <w:p>
      <w:r>
        <w:t>The app is a Vite/React dashboard with React Router for navigation. The main application file defines global routes, OB-specific routes, and shared module routes for IKM, OM and MM. The layout component provides the common header, side navigation, mobile menu and content outlet.</w:t>
      </w:r>
    </w:p>
    <w:tbl>
      <w:tblPr>
        <w:tblW w:type="dxa" w:w="9360"/>
        <w:jc w:val="left"/>
        <w:tblLayout w:type="fixed"/>
        <w:tblLook w:firstColumn="1" w:firstRow="1" w:lastColumn="0" w:lastRow="0" w:noHBand="0" w:noVBand="1" w:val="04A0"/>
        <w:tblInd w:w="120" w:type="dxa"/>
      </w:tblPr>
      <w:tblGrid>
        <w:gridCol w:w="1800"/>
        <w:gridCol w:w="2880"/>
        <w:gridCol w:w="4680"/>
      </w:tblGrid>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Layer</w:t>
            </w:r>
          </w:p>
        </w:tc>
        <w:tc>
          <w:tcPr>
            <w:tcW w:type="dxa" w:w="28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Key files</w:t>
            </w:r>
          </w:p>
        </w:tc>
        <w:tc>
          <w:tcPr>
            <w:tcW w:type="dxa" w:w="46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Responsibility</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Routing</w:t>
            </w:r>
          </w:p>
        </w:tc>
        <w:tc>
          <w:tcPr>
            <w:tcW w:type="dxa" w:w="28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src/App.tsx</w:t>
            </w:r>
          </w:p>
        </w:tc>
        <w:tc>
          <w:tcPr>
            <w:tcW w:type="dxa" w:w="46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Defines Home, global pages, OB routes, shared module routes, calculator routes, formula routes and fallback 404.</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Layout shell</w:t>
            </w:r>
          </w:p>
        </w:tc>
        <w:tc>
          <w:tcPr>
            <w:tcW w:type="dxa" w:w="28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src/components/Layout.tsx</w:t>
            </w:r>
          </w:p>
        </w:tc>
        <w:tc>
          <w:tcPr>
            <w:tcW w:type="dxa" w:w="46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Provides the shared header, subject navigation, module tool links and page outlet.</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Reusable UI</w:t>
            </w:r>
          </w:p>
        </w:tc>
        <w:tc>
          <w:tcPr>
            <w:tcW w:type="dxa" w:w="28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src/components/ui.tsx</w:t>
            </w:r>
          </w:p>
        </w:tc>
        <w:tc>
          <w:tcPr>
            <w:tcW w:type="dxa" w:w="46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Provides PageHeading, Card, Badge, LinkCard, Input, Select and list components used across pages.</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module pages</w:t>
            </w:r>
          </w:p>
        </w:tc>
        <w:tc>
          <w:tcPr>
            <w:tcW w:type="dxa" w:w="28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src/pages/*.tsx</w:t>
            </w:r>
          </w:p>
        </w:tc>
        <w:tc>
          <w:tcPr>
            <w:tcW w:type="dxa" w:w="46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Units, theories, cases, past papers, formulas, calculators, answer builder and references for IKM, OM and MM.</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 pages</w:t>
            </w:r>
          </w:p>
        </w:tc>
        <w:tc>
          <w:tcPr>
            <w:tcW w:type="dxa" w:w="28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src/ob/pages/*.tsx</w:t>
            </w:r>
          </w:p>
        </w:tc>
        <w:tc>
          <w:tcPr>
            <w:tcW w:type="dxa" w:w="46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Dedicated OB pages for OB units, theories, hubs, case analysis, past papers and writing support.</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Data sources</w:t>
            </w:r>
          </w:p>
        </w:tc>
        <w:tc>
          <w:tcPr>
            <w:tcW w:type="dxa" w:w="28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 and src/ob/data/*</w:t>
            </w:r>
          </w:p>
        </w:tc>
        <w:tc>
          <w:tcPr>
            <w:tcW w:type="dxa" w:w="46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Structured module content, theories, cases, references, past papers, OM formulas/calculators and OB data.</w:t>
            </w:r>
          </w:p>
        </w:tc>
      </w:tr>
    </w:tbl>
    <w:p/>
    <w:p>
      <w:pPr>
        <w:pStyle w:val="Heading1"/>
        <w:keepNext/>
      </w:pPr>
      <w:r>
        <w:t>3. Route Map</w:t>
      </w:r>
    </w:p>
    <w:p>
      <w:r>
        <w:t>The visible URL tells you which module and tool you are using. The route pattern is mostly /module/tool, with detail pages adding an ID after the tool name.</w:t>
      </w:r>
    </w:p>
    <w:tbl>
      <w:tblPr>
        <w:tblW w:type="dxa" w:w="9360"/>
        <w:jc w:val="left"/>
        <w:tblLayout w:type="fixed"/>
        <w:tblLook w:firstColumn="1" w:firstRow="1" w:lastColumn="0" w:lastRow="0" w:noHBand="0" w:noVBand="1" w:val="04A0"/>
        <w:tblInd w:w="120" w:type="dxa"/>
      </w:tblPr>
      <w:tblGrid>
        <w:gridCol w:w="2600"/>
        <w:gridCol w:w="3980"/>
        <w:gridCol w:w="2780"/>
      </w:tblGrid>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Route pattern</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Meaning</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Example</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Home dashboard</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/command-words</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Global command-word guide</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/command-words</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/references</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Global references page</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/references</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 home for IKM, OM or MM</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/:moduleId/units</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 explorer</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/ikm/units</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/:moduleId/units/:unitId</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Single unit detail</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/mm/units/mm-1</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/:moduleId/theories</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Theory explorer</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/om/theories</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/:moduleId/cases</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Case practice and analysis</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/ikm/cases</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/:moduleId/past-papers</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Past paper intelligence</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/mm/past-papers</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/:moduleId/exam-builder</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Answer-building tool</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/om/exam-builder</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/:moduleId/paragraph-bank</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Reusable paragraph templates</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/ikm/paragraph-bank</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/om/formulas and /om/formula-library</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formula dashboards</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/om/formula-library</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/om/calculators/:formulaId</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formula calculator detail</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/om/calculators/eoq</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/om/applied-calculations/:formulaId</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worked example detail or missing-example notice</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/om/applied-calculations/eoq</w:t>
            </w:r>
          </w:p>
        </w:tc>
      </w:tr>
      <w:tr>
        <w:tc>
          <w:tcPr>
            <w:tcW w:type="dxa" w:w="26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w:t>
            </w:r>
          </w:p>
        </w:tc>
        <w:tc>
          <w:tcPr>
            <w:tcW w:type="dxa" w:w="39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OB-specific pages</w:t>
            </w:r>
          </w:p>
        </w:tc>
        <w:tc>
          <w:tcPr>
            <w:tcW w:type="dxa" w:w="278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/ob/theories, /ob/past-papers, /ob/motivation</w:t>
            </w:r>
          </w:p>
        </w:tc>
      </w:tr>
    </w:tbl>
    <w:p/>
    <w:p>
      <w:pPr>
        <w:pStyle w:val="Heading1"/>
        <w:keepNext/>
      </w:pPr>
      <w:r>
        <w:t>4. Module-by-Module Architecture</w:t>
      </w:r>
    </w:p>
    <w:tbl>
      <w:tblPr>
        <w:tblW w:type="dxa" w:w="9360"/>
        <w:jc w:val="left"/>
        <w:tblLayout w:type="fixed"/>
        <w:tblLook w:firstColumn="1" w:firstRow="1" w:lastColumn="0" w:lastRow="0" w:noHBand="0" w:noVBand="1" w:val="04A0"/>
        <w:tblInd w:w="120" w:type="dxa"/>
      </w:tblPr>
      <w:tblGrid>
        <w:gridCol w:w="1500"/>
        <w:gridCol w:w="3150"/>
        <w:gridCol w:w="2340"/>
        <w:gridCol w:w="2370"/>
      </w:tblGrid>
      <w:tr>
        <w:tc>
          <w:tcPr>
            <w:tcW w:type="dxa" w:w="15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Module</w:t>
            </w:r>
          </w:p>
        </w:tc>
        <w:tc>
          <w:tcPr>
            <w:tcW w:type="dxa" w:w="31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Main content</w:t>
            </w:r>
          </w:p>
        </w:tc>
        <w:tc>
          <w:tcPr>
            <w:tcW w:type="dxa" w:w="23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Special tools</w:t>
            </w:r>
          </w:p>
        </w:tc>
        <w:tc>
          <w:tcPr>
            <w:tcW w:type="dxa" w:w="237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Data source pattern</w:t>
            </w:r>
          </w:p>
        </w:tc>
      </w:tr>
      <w:tr>
        <w:tc>
          <w:tcPr>
            <w:tcW w:type="dxa" w:w="15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 - Organisational Behaviour</w:t>
            </w:r>
          </w:p>
        </w:tc>
        <w:tc>
          <w:tcPr>
            <w:tcW w:type="dxa" w:w="31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12 units, dedicated theory cards, OB hubs, case analyser, past papers, paragraph bank and checklist.</w:t>
            </w:r>
          </w:p>
        </w:tc>
        <w:tc>
          <w:tcPr>
            <w:tcW w:type="dxa" w:w="23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Motivation, leadership, culture/change, conflict/power/politics, stress/wellbeing hub routes.</w:t>
            </w:r>
          </w:p>
        </w:tc>
        <w:tc>
          <w:tcPr>
            <w:tcW w:type="dxa" w:w="237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src/ob/data/index.ts and src/ob/data/workedSolutions.ts drive OB-specific pages.</w:t>
            </w:r>
          </w:p>
        </w:tc>
      </w:tr>
      <w:tr>
        <w:tc>
          <w:tcPr>
            <w:tcW w:type="dxa" w:w="15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IKM - Information and Knowledge Management</w:t>
            </w:r>
          </w:p>
        </w:tc>
        <w:tc>
          <w:tcPr>
            <w:tcW w:type="dxa" w:w="31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10 units and shared theory/case/past-paper workflows.</w:t>
            </w:r>
          </w:p>
        </w:tc>
        <w:tc>
          <w:tcPr>
            <w:tcW w:type="dxa" w:w="23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tools: exam builder, paragraph bank, checklist, calculator/formula links where available.</w:t>
            </w:r>
          </w:p>
        </w:tc>
        <w:tc>
          <w:tcPr>
            <w:tcW w:type="dxa" w:w="237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src/data/ikmUnits.ts plus shared src/data/theorie.ts, cases.ts, pastPapers/ikm.ts.</w:t>
            </w:r>
          </w:p>
        </w:tc>
      </w:tr>
      <w:tr>
        <w:tc>
          <w:tcPr>
            <w:tcW w:type="dxa" w:w="15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 Operations Management</w:t>
            </w:r>
          </w:p>
        </w:tc>
        <w:tc>
          <w:tcPr>
            <w:tcW w:type="dxa" w:w="31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12 units, 13 OM formula cards, 19 calculator entries, 8 worked examples and OM case data.</w:t>
            </w:r>
          </w:p>
        </w:tc>
        <w:tc>
          <w:tcPr>
            <w:tcW w:type="dxa" w:w="23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Formula dashboard, formula library, calculator hub, applied calculations, question classifier and mistake log.</w:t>
            </w:r>
          </w:p>
        </w:tc>
        <w:tc>
          <w:tcPr>
            <w:tcW w:type="dxa" w:w="237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src/data/omUnits.ts plus src/data/modules/om/formulas.ts, calculators.ts, cases.ts, workedExamples.ts.</w:t>
            </w:r>
          </w:p>
        </w:tc>
      </w:tr>
      <w:tr>
        <w:tc>
          <w:tcPr>
            <w:tcW w:type="dxa" w:w="15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MM - Marketing Management</w:t>
            </w:r>
          </w:p>
        </w:tc>
        <w:tc>
          <w:tcPr>
            <w:tcW w:type="dxa" w:w="31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17 units and shared theory/case/past-paper workflows.</w:t>
            </w:r>
          </w:p>
        </w:tc>
        <w:tc>
          <w:tcPr>
            <w:tcW w:type="dxa" w:w="23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tools: unit explorer, theory explorer, cases, past papers, exam builder and paragraph bank.</w:t>
            </w:r>
          </w:p>
        </w:tc>
        <w:tc>
          <w:tcPr>
            <w:tcW w:type="dxa" w:w="237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src/data/mmUnits.ts plus shared src/data/theorie.ts, cases.ts, pastPapers/mm.ts.</w:t>
            </w:r>
          </w:p>
        </w:tc>
      </w:tr>
    </w:tbl>
    <w:p/>
    <w:p>
      <w:pPr>
        <w:pStyle w:val="Heading1"/>
        <w:keepNext/>
      </w:pPr>
      <w:r>
        <w:t>5. Data Arrangement and Source-of-Truth Rules</w:t>
      </w:r>
    </w:p>
    <w:p>
      <w:r>
        <w:t>The app is data-driven. Page components mostly read structured arrays from the data files and render cards, lists, detail pages and links from those records.</w:t>
      </w:r>
    </w:p>
    <w:tbl>
      <w:tblPr>
        <w:tblW w:type="dxa" w:w="9360"/>
        <w:jc w:val="left"/>
        <w:tblLayout w:type="fixed"/>
        <w:tblLook w:firstColumn="1" w:firstRow="1" w:lastColumn="0" w:lastRow="0" w:noHBand="0" w:noVBand="1" w:val="04A0"/>
        <w:tblInd w:w="120" w:type="dxa"/>
      </w:tblPr>
      <w:tblGrid>
        <w:gridCol w:w="1800"/>
        <w:gridCol w:w="3300"/>
        <w:gridCol w:w="4260"/>
      </w:tblGrid>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Data area</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Files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How it is used</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 registry</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src/data/index.ts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Defines OB, IKM, OM and MM module IDs, labels, names, descriptions and unit/theory lookup helpers.</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src/data/ikmUnits.ts, omUnits.ts, mmUnits.ts; src/ob/data/index.ts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Feeds module unit pages and unit detail pages. Each unit should connect outcomes, concepts and study focus.</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Theories/concepts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src/data/theorie.ts; src/ob/data/index.ts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Feeds theory explorers and detail pages. OB has separate detailed theory cards; IKM/OM/MM use shared theory data.</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Cases and exam topics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src/data/cases.ts; src/data/modules/om/cases.ts; OB data</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Supports case pages, diagnostic prompts and links from formulas/theories into application practice.</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Past papers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src/data/pastPapers/*.ts and OB past-paper data</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Provides question patterns, command words and exam intelligence for each subject.</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formulas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src/data/modules/om/formulas.ts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Source for OM formula cards, variables, plain meanings, common mistakes, related formulas and paths.</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calculators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src/data/modules/om/calculators.ts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Single source for calculator IDs, formulas, variables and calculation logic used by the Calculator Hub.</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worked examples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src/data/modules/om/workedExamples.ts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Source for applied calculation examples. Missing examples are shown clearly instead of producing a broken page.</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References</w:t>
            </w:r>
          </w:p>
        </w:tc>
        <w:tc>
          <w:tcPr>
            <w:tcW w:type="dxa" w:w="3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src/data/references.ts</w:t>
            </w:r>
          </w:p>
        </w:tc>
        <w:tc>
          <w:tcPr>
            <w:tcW w:type="dxa" w:w="42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Supports the global references page and citation guidance.</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D6C58A"/>
              <w:left w:val="single" w:sz="6" w:space="0" w:color="D6C58A"/>
              <w:bottom w:val="single" w:sz="6" w:space="0" w:color="D6C58A"/>
              <w:right w:val="single" w:sz="6" w:space="0" w:color="D6C58A"/>
            </w:tcBorders>
            <w:shd w:fill="FBF7EC"/>
          </w:tcPr>
          <w:p>
            <w:pPr>
              <w:spacing w:after="60"/>
            </w:pPr>
            <w:r>
              <w:rPr>
                <w:b/>
                <w:color w:val="0B2545"/>
                <w:sz w:val="22"/>
              </w:rPr>
              <w:t>Accuracy rule</w:t>
            </w:r>
          </w:p>
          <w:p>
            <w:pPr>
              <w:spacing w:after="0"/>
            </w:pPr>
            <w:r>
              <w:rPr>
                <w:sz w:val="21"/>
              </w:rPr>
              <w:t>Do not add facts just to fill a page. If a source is not accessible or a worked example has not been verified, the dashboard should label the gap and guide the learner to the available formula, calculator, unit or source material.</w:t>
            </w:r>
          </w:p>
        </w:tc>
      </w:tr>
    </w:tbl>
    <w:p/>
    <w:p>
      <w:pPr>
        <w:pStyle w:val="Heading1"/>
        <w:keepNext/>
      </w:pPr>
      <w:r>
        <w:t>6. How to Use the Dashboard as a Learner</w:t>
      </w:r>
    </w:p>
    <w:p>
      <w:r>
        <w:t>Use the dashboard as a study workflow, not just a library. Start broad, then narrow into application and answer writing.</w:t>
      </w:r>
    </w:p>
    <w:p>
      <w:pPr>
        <w:pStyle w:val="ListNumber"/>
      </w:pPr>
      <w:r>
        <w:t>Choose the subject from the top navigation or left menu: OB, IKM, OM or MM.</w:t>
      </w:r>
    </w:p>
    <w:p>
      <w:pPr>
        <w:pStyle w:val="ListNumber"/>
      </w:pPr>
      <w:r>
        <w:t>Open Units first to understand the official module structure and learning outcomes.</w:t>
      </w:r>
    </w:p>
    <w:p>
      <w:pPr>
        <w:pStyle w:val="ListNumber"/>
      </w:pPr>
      <w:r>
        <w:t>Move to Theories or Concepts to understand the frameworks connected to that unit.</w:t>
      </w:r>
    </w:p>
    <w:p>
      <w:pPr>
        <w:pStyle w:val="ListNumber"/>
      </w:pPr>
      <w:r>
        <w:t>Use Cases and Past Papers to practise applying theory to exam-style scenarios.</w:t>
      </w:r>
    </w:p>
    <w:p>
      <w:pPr>
        <w:pStyle w:val="ListNumber"/>
      </w:pPr>
      <w:r>
        <w:t>Use the Exam Builder and Paragraph Bank to convert knowledge into structured postgraduate answers.</w:t>
      </w:r>
    </w:p>
    <w:p>
      <w:pPr>
        <w:pStyle w:val="ListNumber"/>
      </w:pPr>
      <w:r>
        <w:t>For OM questions with numbers, use Formula Library and Calculator Hub before writing the interpretation.</w:t>
      </w:r>
    </w:p>
    <w:p>
      <w:pPr>
        <w:pStyle w:val="ListNumber"/>
      </w:pPr>
      <w:r>
        <w:t>Use Command Words to match your answer style to verbs such as analyse, evaluate, discuss or recommend.</w:t>
      </w:r>
    </w:p>
    <w:p>
      <w:pPr>
        <w:pStyle w:val="ListNumber"/>
      </w:pPr>
      <w:r>
        <w:t>Finish with Checklist or Mistake Log to identify gaps before submitting or revising.</w:t>
      </w:r>
    </w:p>
    <w:p>
      <w:pPr>
        <w:pStyle w:val="Heading1"/>
        <w:keepNext/>
      </w:pPr>
      <w:r>
        <w:t>7. Recommended Study Workflows by Module</w:t>
      </w:r>
    </w:p>
    <w:tbl>
      <w:tblPr>
        <w:tblW w:type="dxa" w:w="9360"/>
        <w:jc w:val="left"/>
        <w:tblLayout w:type="fixed"/>
        <w:tblLook w:firstColumn="1" w:firstRow="1" w:lastColumn="0" w:lastRow="0" w:noHBand="0" w:noVBand="1" w:val="04A0"/>
        <w:tblInd w:w="120" w:type="dxa"/>
      </w:tblPr>
      <w:tblGrid>
        <w:gridCol w:w="1100"/>
        <w:gridCol w:w="4550"/>
        <w:gridCol w:w="3710"/>
      </w:tblGrid>
      <w:tr>
        <w:tc>
          <w:tcPr>
            <w:tcW w:type="dxa" w:w="11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Module</w:t>
            </w:r>
          </w:p>
        </w:tc>
        <w:tc>
          <w:tcPr>
            <w:tcW w:type="dxa" w:w="45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Best workflow</w:t>
            </w:r>
          </w:p>
        </w:tc>
        <w:tc>
          <w:tcPr>
            <w:tcW w:type="dxa" w:w="371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What to check</w:t>
            </w:r>
          </w:p>
        </w:tc>
      </w:tr>
      <w:tr>
        <w:tc>
          <w:tcPr>
            <w:tcW w:type="dxa" w:w="11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w:t>
            </w:r>
          </w:p>
        </w:tc>
        <w:tc>
          <w:tcPr>
            <w:tcW w:type="dxa" w:w="45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Units -&gt; hub/theory pages -&gt; case analyser -&gt; paragraph bank -&gt; past paper question.</w:t>
            </w:r>
          </w:p>
        </w:tc>
        <w:tc>
          <w:tcPr>
            <w:tcW w:type="dxa" w:w="371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Check that theory names, assumptions, limitations and examples match OB source material.</w:t>
            </w:r>
          </w:p>
        </w:tc>
      </w:tr>
      <w:tr>
        <w:tc>
          <w:tcPr>
            <w:tcW w:type="dxa" w:w="11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IKM</w:t>
            </w:r>
          </w:p>
        </w:tc>
        <w:tc>
          <w:tcPr>
            <w:tcW w:type="dxa" w:w="45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Units -&gt; theories -&gt; cases -&gt; exam builder -&gt; references.</w:t>
            </w:r>
          </w:p>
        </w:tc>
        <w:tc>
          <w:tcPr>
            <w:tcW w:type="dxa" w:w="371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Check that information governance, KM, records and AI ethics claims are source-aligned.</w:t>
            </w:r>
          </w:p>
        </w:tc>
      </w:tr>
      <w:tr>
        <w:tc>
          <w:tcPr>
            <w:tcW w:type="dxa" w:w="11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w:t>
            </w:r>
          </w:p>
        </w:tc>
        <w:tc>
          <w:tcPr>
            <w:tcW w:type="dxa" w:w="45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Units -&gt; formulas/theories -&gt; calculator -&gt; applied calculation -&gt; case or exam builder.</w:t>
            </w:r>
          </w:p>
        </w:tc>
        <w:tc>
          <w:tcPr>
            <w:tcW w:type="dxa" w:w="371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Check formula IDs, units, formula wording, calculation steps and business interpretation.</w:t>
            </w:r>
          </w:p>
        </w:tc>
      </w:tr>
      <w:tr>
        <w:tc>
          <w:tcPr>
            <w:tcW w:type="dxa" w:w="11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MM</w:t>
            </w:r>
          </w:p>
        </w:tc>
        <w:tc>
          <w:tcPr>
            <w:tcW w:type="dxa" w:w="455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Units -&gt; theories -&gt; cases -&gt; paragraph bank -&gt; past paper patterns.</w:t>
            </w:r>
          </w:p>
        </w:tc>
        <w:tc>
          <w:tcPr>
            <w:tcW w:type="dxa" w:w="371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Check marketing frameworks, STP/marketing mix links, digital marketing and customer-value examples.</w:t>
            </w:r>
          </w:p>
        </w:tc>
      </w:tr>
    </w:tbl>
    <w:p/>
    <w:p>
      <w:pPr>
        <w:pStyle w:val="Heading1"/>
        <w:keepNext/>
      </w:pPr>
      <w:r>
        <w:t>8. OM Formula and Calculator System</w:t>
      </w:r>
    </w:p>
    <w:p>
      <w:r>
        <w:t>Operations Management has the most specialised calculation layer. The formula detail pages and calculator hub now use one shared calculator source so formula IDs such as eoq, rop, simple-moving-average and total-inventory-cost resolve consistently.</w:t>
      </w:r>
    </w:p>
    <w:tbl>
      <w:tblPr>
        <w:tblW w:type="dxa" w:w="9360"/>
        <w:jc w:val="left"/>
        <w:tblLayout w:type="fixed"/>
        <w:tblLook w:firstColumn="1" w:firstRow="1" w:lastColumn="0" w:lastRow="0" w:noHBand="0" w:noVBand="1" w:val="04A0"/>
        <w:tblInd w:w="120" w:type="dxa"/>
      </w:tblPr>
      <w:tblGrid>
        <w:gridCol w:w="1900"/>
        <w:gridCol w:w="4300"/>
        <w:gridCol w:w="3160"/>
      </w:tblGrid>
      <w:tr>
        <w:tc>
          <w:tcPr>
            <w:tcW w:type="dxa" w:w="19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Component</w:t>
            </w:r>
          </w:p>
        </w:tc>
        <w:tc>
          <w:tcPr>
            <w:tcW w:type="dxa" w:w="4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Purpose</w:t>
            </w:r>
          </w:p>
        </w:tc>
        <w:tc>
          <w:tcPr>
            <w:tcW w:type="dxa" w:w="31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Examples</w:t>
            </w:r>
          </w:p>
        </w:tc>
      </w:tr>
      <w:tr>
        <w:tc>
          <w:tcPr>
            <w:tcW w:type="dxa" w:w="19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Formula Library</w:t>
            </w:r>
          </w:p>
        </w:tc>
        <w:tc>
          <w:tcPr>
            <w:tcW w:type="dxa" w:w="4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Browse formula cards, variables, meanings, common mistakes and links.</w:t>
            </w:r>
          </w:p>
        </w:tc>
        <w:tc>
          <w:tcPr>
            <w:tcW w:type="dxa" w:w="31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EOQ, ROP, MAD, utilisation, efficiency, Little’s Law.</w:t>
            </w:r>
          </w:p>
        </w:tc>
      </w:tr>
      <w:tr>
        <w:tc>
          <w:tcPr>
            <w:tcW w:type="dxa" w:w="19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Calculator Hub</w:t>
            </w:r>
          </w:p>
        </w:tc>
        <w:tc>
          <w:tcPr>
            <w:tcW w:type="dxa" w:w="4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Select a formula, choose the variable to solve for, enter known values and calculate.</w:t>
            </w:r>
          </w:p>
        </w:tc>
        <w:tc>
          <w:tcPr>
            <w:tcW w:type="dxa" w:w="31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EOQ, annual holding cost, annual ordering cost, simple moving average.</w:t>
            </w:r>
          </w:p>
        </w:tc>
      </w:tr>
      <w:tr>
        <w:tc>
          <w:tcPr>
            <w:tcW w:type="dxa" w:w="19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Applied Calculations</w:t>
            </w:r>
          </w:p>
        </w:tc>
        <w:tc>
          <w:tcPr>
            <w:tcW w:type="dxa" w:w="4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Step-by-step worked examples where verified examples exist.</w:t>
            </w:r>
          </w:p>
        </w:tc>
        <w:tc>
          <w:tcPr>
            <w:tcW w:type="dxa" w:w="31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EOQ, ROP, MAD, productivity, utilisation, efficiency, weighted moving average, total inventory cost.</w:t>
            </w:r>
          </w:p>
        </w:tc>
      </w:tr>
      <w:tr>
        <w:tc>
          <w:tcPr>
            <w:tcW w:type="dxa" w:w="19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Missing example fallback</w:t>
            </w:r>
          </w:p>
        </w:tc>
        <w:tc>
          <w:tcPr>
            <w:tcW w:type="dxa" w:w="4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Shows a clear notice when the formula exists but no verified worked solution has been added.</w:t>
            </w:r>
          </w:p>
        </w:tc>
        <w:tc>
          <w:tcPr>
            <w:tcW w:type="dxa" w:w="31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Exponential smoothing, Little’s Law and other formula cards awaiting examples.</w:t>
            </w:r>
          </w:p>
        </w:tc>
      </w:tr>
      <w:tr>
        <w:tc>
          <w:tcPr>
            <w:tcW w:type="dxa" w:w="19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Question Classifier</w:t>
            </w:r>
          </w:p>
        </w:tc>
        <w:tc>
          <w:tcPr>
            <w:tcW w:type="dxa" w:w="43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Helps interpret an OM question and link it to unit, formula and answer structure.</w:t>
            </w:r>
          </w:p>
        </w:tc>
        <w:tc>
          <w:tcPr>
            <w:tcW w:type="dxa" w:w="316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Forecasting, inventory, productivity, capacity.</w:t>
            </w:r>
          </w:p>
        </w:tc>
      </w:tr>
    </w:tbl>
    <w:p/>
    <w:p>
      <w:pPr>
        <w:pStyle w:val="Heading1"/>
        <w:keepNext/>
      </w:pPr>
      <w:r>
        <w:t>9. Guide for a Classmate Reviewing Accuracy and Usability</w:t>
      </w:r>
    </w:p>
    <w:p>
      <w:r>
        <w:t>A reviewer should not only click around; they should test whether the dashboard helps them study and whether the content is trustworthy.</w:t>
      </w:r>
    </w:p>
    <w:p>
      <w:pPr>
        <w:pStyle w:val="ListBullet"/>
      </w:pPr>
      <w:r>
        <w:t>Pick one module and check whether the Units page matches the official module guide order.</w:t>
      </w:r>
    </w:p>
    <w:p>
      <w:pPr>
        <w:pStyle w:val="ListBullet"/>
      </w:pPr>
      <w:r>
        <w:t>Open three theory/detail pages and confirm the definitions, strengths, limitations and examples are accurate.</w:t>
      </w:r>
    </w:p>
    <w:p>
      <w:pPr>
        <w:pStyle w:val="ListBullet"/>
      </w:pPr>
      <w:r>
        <w:t>For OM, test at least five calculators: EOQ, ROP, simple moving average, total inventory cost and Little’s Law queue.</w:t>
      </w:r>
    </w:p>
    <w:p>
      <w:pPr>
        <w:pStyle w:val="ListBullet"/>
      </w:pPr>
      <w:r>
        <w:t>Click formula -&gt; calculator -&gt; worked example -&gt; back links and confirm there are no blank pages or misleading fallbacks.</w:t>
      </w:r>
    </w:p>
    <w:p>
      <w:pPr>
        <w:pStyle w:val="ListBullet"/>
      </w:pPr>
      <w:r>
        <w:t>Use one past paper question and see whether the dashboard points to the right unit, theory, command word and answer structure.</w:t>
      </w:r>
    </w:p>
    <w:p>
      <w:pPr>
        <w:pStyle w:val="ListBullet"/>
      </w:pPr>
      <w:r>
        <w:t>Check whether paragraph templates help write in a postgraduate style rather than memorising bullet points.</w:t>
      </w:r>
    </w:p>
    <w:p>
      <w:pPr>
        <w:pStyle w:val="ListBullet"/>
      </w:pPr>
      <w:r>
        <w:t>Record any missing source, questionable claim, confusing route, or page that is too long or difficult to scan.</w:t>
      </w:r>
    </w:p>
    <w:p>
      <w:pPr>
        <w:pStyle w:val="Heading1"/>
        <w:keepNext/>
      </w:pPr>
      <w:r>
        <w:t>10. Maintenance and Update Guide</w:t>
      </w:r>
    </w:p>
    <w:tbl>
      <w:tblPr>
        <w:tblW w:type="dxa" w:w="9360"/>
        <w:jc w:val="left"/>
        <w:tblLayout w:type="fixed"/>
        <w:tblLook w:firstColumn="1" w:firstRow="1" w:lastColumn="0" w:lastRow="0" w:noHBand="0" w:noVBand="1" w:val="04A0"/>
        <w:tblInd w:w="120" w:type="dxa"/>
      </w:tblPr>
      <w:tblGrid>
        <w:gridCol w:w="1800"/>
        <w:gridCol w:w="3720"/>
        <w:gridCol w:w="3840"/>
      </w:tblGrid>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Update type</w:t>
            </w:r>
          </w:p>
        </w:tc>
        <w:tc>
          <w:tcPr>
            <w:tcW w:type="dxa" w:w="37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Where to update</w:t>
            </w:r>
          </w:p>
        </w:tc>
        <w:tc>
          <w:tcPr>
            <w:tcW w:type="dxa" w:w="38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What to verify after updating</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Add or correct a unit</w:t>
            </w:r>
          </w:p>
        </w:tc>
        <w:tc>
          <w:tcPr>
            <w:tcW w:type="dxa" w:w="37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 unit data file or OB data file.</w:t>
            </w:r>
          </w:p>
        </w:tc>
        <w:tc>
          <w:tcPr>
            <w:tcW w:type="dxa" w:w="38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 list, unit detail page, linked theories and module home counts.</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Add a theory or concept</w:t>
            </w:r>
          </w:p>
        </w:tc>
        <w:tc>
          <w:tcPr>
            <w:tcW w:type="dxa" w:w="37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theory data or OB theory data.</w:t>
            </w:r>
          </w:p>
        </w:tc>
        <w:tc>
          <w:tcPr>
            <w:tcW w:type="dxa" w:w="38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Theory explorer, detail route, related unit links and case triggers.</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Add OM formula</w:t>
            </w:r>
          </w:p>
        </w:tc>
        <w:tc>
          <w:tcPr>
            <w:tcW w:type="dxa" w:w="37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formulas data and calculator data if it needs calculation support.</w:t>
            </w:r>
          </w:p>
        </w:tc>
        <w:tc>
          <w:tcPr>
            <w:tcW w:type="dxa" w:w="38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Formula library, detail page, calculator route and related formulas.</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Add OM worked example</w:t>
            </w:r>
          </w:p>
        </w:tc>
        <w:tc>
          <w:tcPr>
            <w:tcW w:type="dxa" w:w="37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 workedExamples data.</w:t>
            </w:r>
          </w:p>
        </w:tc>
        <w:tc>
          <w:tcPr>
            <w:tcW w:type="dxa" w:w="38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Applied calculations list and /om/applied-calculations/:formulaId route.</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Add past paper content</w:t>
            </w:r>
          </w:p>
        </w:tc>
        <w:tc>
          <w:tcPr>
            <w:tcW w:type="dxa" w:w="37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Subject past-paper data file.</w:t>
            </w:r>
          </w:p>
        </w:tc>
        <w:tc>
          <w:tcPr>
            <w:tcW w:type="dxa" w:w="38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Past papers list, paper detail page and command-word guidance.</w:t>
            </w:r>
          </w:p>
        </w:tc>
      </w:tr>
      <w:tr>
        <w:tc>
          <w:tcPr>
            <w:tcW w:type="dxa" w:w="180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Fix navigation</w:t>
            </w:r>
          </w:p>
        </w:tc>
        <w:tc>
          <w:tcPr>
            <w:tcW w:type="dxa" w:w="37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App routes and Layout moduleTools.</w:t>
            </w:r>
          </w:p>
        </w:tc>
        <w:tc>
          <w:tcPr>
            <w:tcW w:type="dxa" w:w="38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Desktop links, mobile menu links and detail-page back links.</w:t>
            </w:r>
          </w:p>
        </w:tc>
      </w:tr>
    </w:tbl>
    <w:p/>
    <w:p>
      <w:pPr>
        <w:pStyle w:val="Heading1"/>
        <w:keepNext/>
      </w:pPr>
      <w:r>
        <w:t>11. Known Gaps and Recommendations</w:t>
      </w:r>
    </w:p>
    <w:p>
      <w:pPr>
        <w:pStyle w:val="ListBullet"/>
      </w:pPr>
      <w:r>
        <w:t>Some OM formula cards have calculators but still need verified worked examples before they should be treated as complete exam practice pages.</w:t>
      </w:r>
    </w:p>
    <w:p>
      <w:pPr>
        <w:pStyle w:val="ListBullet"/>
      </w:pPr>
      <w:r>
        <w:t>Supplemental calculators such as MSE, MAPE, forecast error and inventory turnover are useful tools, but should eventually receive full formula-detail cards if they remain prominent.</w:t>
      </w:r>
    </w:p>
    <w:p>
      <w:pPr>
        <w:pStyle w:val="ListBullet"/>
      </w:pPr>
      <w:r>
        <w:t>Shared module pages work well for IKM, OM and MM, but module-specific custom pages may be useful later if a subject develops richer data like OB.</w:t>
      </w:r>
    </w:p>
    <w:p>
      <w:pPr>
        <w:pStyle w:val="ListBullet"/>
      </w:pPr>
      <w:r>
        <w:t>Any future content imported from PDFs should be tagged with source status: verified, inferred, or requires verification.</w:t>
      </w:r>
    </w:p>
    <w:p>
      <w:pPr>
        <w:pStyle w:val="ListBullet"/>
      </w:pPr>
      <w:r>
        <w:t>Before public sharing, run a click-through test on all module navigation and the top five learner workflows.</w:t>
      </w:r>
    </w:p>
    <w:p>
      <w:pPr>
        <w:pStyle w:val="Heading1"/>
        <w:keepNext/>
      </w:pPr>
      <w:r>
        <w:t>12. Quick Start for a New User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D6C58A"/>
              <w:left w:val="single" w:sz="6" w:space="0" w:color="D6C58A"/>
              <w:bottom w:val="single" w:sz="6" w:space="0" w:color="D6C58A"/>
              <w:right w:val="single" w:sz="6" w:space="0" w:color="D6C58A"/>
            </w:tcBorders>
            <w:shd w:fill="FBF7EC"/>
          </w:tcPr>
          <w:p>
            <w:pPr>
              <w:spacing w:after="60"/>
            </w:pPr>
            <w:r>
              <w:rPr>
                <w:b/>
                <w:color w:val="0B2545"/>
                <w:sz w:val="22"/>
              </w:rPr>
              <w:t>Five-minute orientation</w:t>
            </w:r>
          </w:p>
          <w:p>
            <w:pPr>
              <w:spacing w:after="0"/>
            </w:pPr>
            <w:r>
              <w:rPr>
                <w:sz w:val="21"/>
              </w:rPr>
              <w:t>Start at Home. Choose your module. Open Units to see the syllabus map. Open Theories or Formula Library for the study content. Practise with Cases or Past Papers. Use Exam Builder and Paragraph Bank to turn the study content into an exam-ready answer.</w:t>
            </w:r>
          </w:p>
        </w:tc>
      </w:tr>
    </w:tbl>
    <w:p/>
    <w:p>
      <w:pPr>
        <w:pStyle w:val="Heading1"/>
        <w:keepNext/>
      </w:pPr>
      <w:r>
        <w:t>Appendix A: Main File Map</w:t>
      </w:r>
    </w:p>
    <w:tbl>
      <w:tblPr>
        <w:tblW w:type="dxa" w:w="9360"/>
        <w:jc w:val="left"/>
        <w:tblLayout w:type="fixed"/>
        <w:tblLook w:firstColumn="1" w:firstRow="1" w:lastColumn="0" w:lastRow="0" w:noHBand="0" w:noVBand="1" w:val="04A0"/>
        <w:tblInd w:w="120" w:type="dxa"/>
      </w:tblPr>
      <w:tblGrid>
        <w:gridCol w:w="3540"/>
        <w:gridCol w:w="5820"/>
      </w:tblGrid>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Path</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shd w:fill="E8EEF5"/>
          </w:tcPr>
          <w:p>
            <w:pPr>
              <w:spacing w:after="40" w:line="276" w:lineRule="auto"/>
            </w:pPr>
            <w:r>
              <w:rPr>
                <w:rFonts w:ascii="Calibri" w:hAnsi="Calibri"/>
                <w:b/>
                <w:color w:val="0B2545"/>
                <w:sz w:val="20"/>
              </w:rPr>
              <w:t>Plain-English role</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src/App.tsx</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Route registry for the full dashboard.</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src/components/Layout.tsx</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dashboard shell and navigation.</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src/components/ui.tsx</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Reusable visual components.</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src/pages</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pages used by IKM, OM and MM.</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src/ob/pages</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Dedicated OB pages.</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src/data/index.ts</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Module registry and helper functions.</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src/data/ikmUnits.ts, omUnits.ts, mmUnits.ts</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Unit records for IKM, OM and MM.</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src/data/theorie.ts</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Shared theory records for IKM, OM and MM.</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src/data/modules/om</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OM-specific formulas, calculators, cases and worked examples.</w:t>
            </w:r>
          </w:p>
        </w:tc>
      </w:tr>
      <w:tr>
        <w:tc>
          <w:tcPr>
            <w:tcW w:type="dxa" w:w="354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src/ob/data</w:t>
            </w:r>
          </w:p>
        </w:tc>
        <w:tc>
          <w:tcPr>
            <w:tcW w:type="dxa" w:w="5820"/>
            <w:vAlign w:val="center"/>
            <w:tcMar>
              <w:top w:w="80" w:type="dxa"/>
              <w:start w:w="120" w:type="dxa"/>
              <w:bottom w:w="80" w:type="dxa"/>
              <w:end w:w="120" w:type="dxa"/>
            </w:tcMar>
            <w:tcBorders>
              <w:top w:val="single" w:sz="6" w:space="0" w:color="B8C6D8"/>
              <w:left w:val="single" w:sz="6" w:space="0" w:color="B8C6D8"/>
              <w:bottom w:val="single" w:sz="6" w:space="0" w:color="B8C6D8"/>
              <w:right w:val="single" w:sz="6" w:space="0" w:color="B8C6D8"/>
            </w:tcBorders>
          </w:tcPr>
          <w:p>
            <w:pPr>
              <w:spacing w:after="40" w:line="276" w:lineRule="auto"/>
            </w:pPr>
            <w:r>
              <w:rPr>
                <w:rFonts w:ascii="Calibri" w:hAnsi="Calibri"/>
                <w:sz w:val="20"/>
              </w:rPr>
              <w:t>OB-specific unit, theory, case and worked-solution content.</w:t>
            </w:r>
          </w:p>
        </w:tc>
      </w:tr>
    </w:tbl>
    <w:p/>
    <w:p>
      <w:pPr>
        <w:jc w:val="center"/>
      </w:pPr>
      <w:r>
        <w:rPr>
          <w:color w:val="555555"/>
          <w:sz w:val="18"/>
        </w:rPr>
        <w:t>Document generated for project review on 18 June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Use module guide content as the source of truth; verify any study interpretation against official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MANCOSA PGDBM Study Hub | Dashboard Architecture and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Hub Dashboard Architecture and User Guide</dc:title>
  <dc:subject>MANCOSA PGDBM dashboard architecture and user guide</dc:subject>
  <dc:creator>Codex</dc:creator>
  <cp:keywords/>
  <dc:description>Generated from the local dashboard source files.</dc:description>
  <cp:lastModifiedBy/>
  <cp:revision>1</cp:revision>
  <dcterms:created xsi:type="dcterms:W3CDTF">2013-12-23T23:15:00Z</dcterms:created>
  <dcterms:modified xsi:type="dcterms:W3CDTF">2013-12-23T23:15:00Z</dcterms:modified>
  <cp:category/>
</cp:coreProperties>
</file>