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B1D6E"/>
          <w:sz w:val="24"/>
          <w:szCs w:val="24"/>
        </w:rPr>
        <w:t xml:space="preserve">MANCOSA Study Hub</w:t>
      </w:r>
    </w:p>
    <w:p>
      <w:pPr>
        <w:spacing w:after="60"/>
      </w:pPr>
      <w:r>
        <w:rPr>
          <w:b/>
          <w:bCs/>
          <w:color w:val="1A1033"/>
          <w:sz w:val="52"/>
          <w:szCs w:val="52"/>
        </w:rPr>
        <w:t xml:space="preserve">Quick Start Guide</w:t>
      </w:r>
    </w:p>
    <w:p>
      <w:pPr>
        <w:pBdr>
          <w:bottom w:val="single" w:color="7A5E12" w:sz="10" w:space="6"/>
        </w:pBdr>
        <w:spacing w:after="60"/>
      </w:pPr>
      <w:r>
        <w:rPr>
          <w:color w:val="555555"/>
          <w:sz w:val="22"/>
          <w:szCs w:val="22"/>
        </w:rPr>
        <w:t xml:space="preserve">A simple, illustrated guide to finding your way around the portal. No tech skills needed.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Updated June 2026</w:t>
      </w:r>
      <w:r>
        <w:rPr>
          <w:color w:val="555555"/>
          <w:sz w:val="18"/>
          <w:szCs w:val="18"/>
        </w:rPr>
        <w:t xml:space="preserve">  •  Covers all four subjects: OB, IKM, OM and MM.</w:t>
      </w:r>
    </w:p>
    <w:p>
      <w:pPr>
        <w:pStyle w:val="Heading2"/>
      </w:pPr>
      <w:r>
        <w:t xml:space="preserve">What is this?</w:t>
      </w:r>
    </w:p>
    <w:p>
      <w:pPr>
        <w:spacing w:after="120"/>
      </w:pPr>
      <w:r>
        <w:t xml:space="preserve">An online study portal for four subjects — </w:t>
      </w:r>
      <w:r>
        <w:rPr>
          <w:b/>
          <w:bCs/>
        </w:rPr>
        <w:t xml:space="preserve">Organisational Behaviour (OB), Information &amp; Knowledge Management (IKM), Operations Management (OM) and Marketing Management (MM)</w:t>
      </w:r>
      <w:r>
        <w:t xml:space="preserve">. For each subject you get teaching </w:t>
      </w:r>
      <w:r>
        <w:rPr>
          <w:b/>
          <w:bCs/>
        </w:rPr>
        <w:t xml:space="preserve">notes for every unit</w:t>
      </w:r>
      <w:r>
        <w:t xml:space="preserve">, theory cards, worked past-paper answers, cases and exam tools — all in one place.</w:t>
      </w:r>
    </w:p>
    <w:p>
      <w:pPr>
        <w:pStyle w:val="Heading2"/>
      </w:pPr>
      <w:r>
        <w:t xml:space="preserve">1. Finding your way around</w:t>
      </w:r>
    </w:p>
    <w:p>
      <w:pPr>
        <w:spacing w:after="120"/>
      </w:pPr>
      <w:r>
        <w:t xml:space="preserve">Everything starts from the </w:t>
      </w:r>
      <w:r>
        <w:rPr>
          <w:b/>
          <w:bCs/>
        </w:rPr>
        <w:t xml:space="preserve">menu on the left of the screen</w:t>
      </w:r>
      <w:r>
        <w:t xml:space="preserve">. At the top are general links (like </w:t>
      </w:r>
      <w:r>
        <w:rPr>
          <w:b/>
          <w:bCs/>
        </w:rPr>
        <w:t xml:space="preserve">Home</w:t>
      </w:r>
      <w:r>
        <w:t xml:space="preserve">). Below that, under </w:t>
      </w:r>
      <w:r>
        <w:rPr>
          <w:b/>
          <w:bCs/>
        </w:rPr>
        <w:t xml:space="preserve">Subjects</w:t>
      </w:r>
      <w:r>
        <w:t xml:space="preserve">, are the four subjects — click one to open it. Each subject opens its own set of tools (Units, Theories, Cases, Past Papers and more).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 </w:t>
      </w:r>
      <w:r>
        <w:rPr>
          <w:b/>
          <w:bCs/>
        </w:rPr>
        <w:t xml:space="preserve">subject</w:t>
      </w:r>
      <w:r>
        <w:t xml:space="preserve"> to open its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Home</w:t>
      </w:r>
      <w:r>
        <w:t xml:space="preserve"> (top of the menu) any time you feel lost.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5715000" cy="6057900"/>
            <wp:effectExtent t="0" r="0" b="0" l="0"/>
            <wp:docPr id="1" name="home.png" descr="The home page. The Subjects menu is the purple bar on the left — it stays there on every page." title="The home page. The Subjects menu is the purple bar on the left — it stays there on every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The home page. The Subjects menu is the purple bar on the left — it stays there on every page.</w:t>
      </w:r>
    </w:p>
    <w:p>
      <w:pPr>
        <w:spacing w:after="120"/>
      </w:pPr>
      <w:r>
        <w:rPr>
          <w:b/>
          <w:bCs/>
        </w:rPr>
        <w:t xml:space="preserve">On a phone</w:t>
      </w:r>
      <w:r>
        <w:t xml:space="preserve">: the left menu is hidden to save space. Tap the </w:t>
      </w:r>
      <w:r>
        <w:rPr>
          <w:b/>
          <w:bCs/>
        </w:rPr>
        <w:t xml:space="preserve">menu icon (☰)</w:t>
      </w:r>
      <w:r>
        <w:t xml:space="preserve"> in the top corner to open it, then tap a subject.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2238375" cy="6505575"/>
            <wp:effectExtent t="0" r="0" b="0" l="0"/>
            <wp:docPr id="1" name="mobile-home.png" descr="On a phone, tap the ☰ icon (top-left) to open the Subjects menu." title="On a phone, tap the ☰ icon (top-left) to open the Subjects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On a phone, tap the ☰ icon (top-left) to open the Subjects menu.</w:t>
      </w:r>
    </w:p>
    <w:p>
      <w:pPr>
        <w:pStyle w:val="Heading2"/>
        <w:pageBreakBefore/>
      </w:pPr>
      <w:r>
        <w:t xml:space="preserve">2. The five things you'll use most</w:t>
      </w:r>
    </w:p>
    <w:p>
      <w:pPr>
        <w:spacing w:after="80" w:before="60"/>
      </w:pPr>
      <w:r>
        <w:rPr>
          <w:b/>
          <w:bCs/>
          <w:color w:val="3B1D6E"/>
          <w:sz w:val="24"/>
          <w:szCs w:val="24"/>
        </w:rPr>
        <w:t xml:space="preserve">a) Units — start here for any topic</w:t>
      </w:r>
    </w:p>
    <w:p>
      <w:pPr>
        <w:spacing w:after="120"/>
      </w:pPr>
      <w:r>
        <w:t xml:space="preserve">Click a subject → </w:t>
      </w:r>
      <w:r>
        <w:rPr>
          <w:b/>
          <w:bCs/>
        </w:rPr>
        <w:t xml:space="preserve">Units</w:t>
      </w:r>
      <w:r>
        <w:t xml:space="preserve"> → pick a unit. </w:t>
      </w:r>
      <w:r>
        <w:rPr>
          <w:b/>
          <w:bCs/>
        </w:rPr>
        <w:t xml:space="preserve">Every unit in all four subjects</w:t>
      </w:r>
      <w:r>
        <w:t xml:space="preserve"> now opens with a plain-language </w:t>
      </w:r>
      <w:r>
        <w:rPr>
          <w:b/>
          <w:bCs/>
        </w:rPr>
        <w:t xml:space="preserve">“Unit notes (start here)”</w:t>
      </w:r>
      <w:r>
        <w:t xml:space="preserve"> box. This is the most important new feature — you can understand the whole unit from this box before opening anything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Introduces the unit and why it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Explains each key idea simply, with an everyday example.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</w:t>
      </w:r>
      <w:r>
        <w:rPr>
          <w:b/>
          <w:bCs/>
        </w:rPr>
        <w:t xml:space="preserve">how it links to the theories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Gives a table mapping each </w:t>
      </w:r>
      <w:r>
        <w:rPr>
          <w:b/>
          <w:bCs/>
        </w:rPr>
        <w:t xml:space="preserve">learning outcome → module content → theory</w:t>
      </w:r>
      <w:r>
        <w:t xml:space="preserve"> to use.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5715000" cy="5800725"/>
            <wp:effectExtent t="0" r="0" b="0" l="0"/>
            <wp:docPr id="1" name="units-list.png" descr="Step 1: open a subject and click Units to see the list of units." title="Step 1: open a subject and click Units to see the list of uni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Step 1: open a subject and click Units to see the list of units.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5715000" cy="6753225"/>
            <wp:effectExtent t="0" r="0" b="0" l="0"/>
            <wp:docPr id="1" name="ob-unit-notes.png" descr="Step 2: open a unit. It now leads with the “Unit notes (start here)” box — introduction, key ideas with examples, theory links, and (further down the same box) an outcome → content → theory table." title="Step 2: open a unit. It now leads with the “Unit notes (start here)” box — introduction, key ideas with examples, theory links, and (further down the same box) an outcome → content → theory 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Step 2: open a unit. It now leads with the “Unit notes (start here)” box — introduction, key ideas with examples, theory links, and (further down the same box) an outcome → content → theory table.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5715000" cy="6496050"/>
            <wp:effectExtent t="0" r="0" b="0" l="0"/>
            <wp:docPr id="1" name="ikm-unit-notes.png" descr="The same “start here” notes now appear in every subject — here in Information &amp; Knowledge Management." title="The same “start here” notes now appear in every subject — here in Information &amp; Knowledge Manage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The same “start here” notes now appear in every subject — here in Information &amp; Knowledge Management.</w:t>
      </w:r>
    </w:p>
    <w:p>
      <w:pPr>
        <w:spacing w:after="80" w:before="120"/>
      </w:pPr>
      <w:r>
        <w:rPr>
          <w:b/>
          <w:bCs/>
          <w:color w:val="3B1D6E"/>
          <w:sz w:val="24"/>
          <w:szCs w:val="24"/>
        </w:rPr>
        <w:t xml:space="preserve">b) Theories — the frameworks and models</w:t>
      </w:r>
    </w:p>
    <w:p>
      <w:pPr>
        <w:spacing w:after="120"/>
      </w:pPr>
      <w:r>
        <w:t xml:space="preserve">Click a subject → </w:t>
      </w:r>
      <w:r>
        <w:rPr>
          <w:b/>
          <w:bCs/>
        </w:rPr>
        <w:t xml:space="preserve">Theories</w:t>
      </w:r>
      <w:r>
        <w:t xml:space="preserve"> → click any card. Each card explains the theory simply, with a real example, a South African example, and the mistakes to avoid.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5715000" cy="5972175"/>
            <wp:effectExtent t="0" r="0" b="0" l="0"/>
            <wp:docPr id="1" name="theory-card.png" descr="A theory card: a plain definition, what it is for, worked and South African examples, and common mistakes." title="A theory card: a plain definition, what it is for, worked and South African examples, and common mistak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A theory card: a plain definition, what it is for, worked and South African examples, and common mistakes.</w:t>
      </w:r>
    </w:p>
    <w:p>
      <w:pPr>
        <w:spacing w:after="80" w:before="120"/>
      </w:pPr>
      <w:r>
        <w:rPr>
          <w:b/>
          <w:bCs/>
          <w:color w:val="3B1D6E"/>
          <w:sz w:val="24"/>
          <w:szCs w:val="24"/>
        </w:rPr>
        <w:t xml:space="preserve">c) Past Papers — real exam questions with model answers</w:t>
      </w:r>
    </w:p>
    <w:p>
      <w:pPr>
        <w:spacing w:after="120"/>
      </w:pPr>
      <w:r>
        <w:t xml:space="preserve">Click a subject → </w:t>
      </w:r>
      <w:r>
        <w:rPr>
          <w:b/>
          <w:bCs/>
        </w:rPr>
        <w:t xml:space="preserve">Past Papers</w:t>
      </w:r>
      <w:r>
        <w:t xml:space="preserve"> → pick a question, then read the </w:t>
      </w:r>
      <w:r>
        <w:rPr>
          <w:b/>
          <w:bCs/>
        </w:rPr>
        <w:t xml:space="preserve">Worked answer</w:t>
      </w:r>
      <w:r>
        <w:t xml:space="preserve"> to see a full, structured answer you can learn from.</w:t>
      </w:r>
    </w:p>
    <w:p>
      <w:pPr>
        <w:pBdr>
          <w:top w:val="single" w:color="D9D2EC" w:sz="4" w:space="6"/>
          <w:bottom w:val="single" w:color="D9D2EC" w:sz="4" w:space="6"/>
          <w:left w:val="single" w:color="D9D2EC" w:sz="4" w:space="6"/>
          <w:right w:val="single" w:color="D9D2EC" w:sz="4" w:space="6"/>
        </w:pBdr>
        <w:spacing w:after="40" w:before="160"/>
        <w:jc w:val="center"/>
      </w:pPr>
      <w:r>
        <w:drawing>
          <wp:inline distT="0" distB="0" distL="0" distR="0">
            <wp:extent cx="5715000" cy="6496050"/>
            <wp:effectExtent t="0" r="0" b="0" l="0"/>
            <wp:docPr id="1" name="past-paper.png" descr="A past-paper page: each question shows an answer plan, the marking words, and a full worked answer." title="A past-paper page: each question shows an answer plan, the marking words, and a full worked ans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A past-paper page: each question shows an answer plan, the marking words, and a full worked answer.</w:t>
      </w:r>
    </w:p>
    <w:p>
      <w:pPr>
        <w:spacing w:after="80" w:before="120"/>
      </w:pPr>
      <w:r>
        <w:rPr>
          <w:b/>
          <w:bCs/>
          <w:color w:val="3B1D6E"/>
          <w:sz w:val="24"/>
          <w:szCs w:val="24"/>
        </w:rPr>
        <w:t xml:space="preserve">d) Cases</w:t>
      </w:r>
    </w:p>
    <w:p>
      <w:pPr>
        <w:spacing w:after="120"/>
      </w:pPr>
      <w:r>
        <w:t xml:space="preserve">Practise applying what you've learned to a scenario, step by step.</w:t>
      </w:r>
    </w:p>
    <w:p>
      <w:pPr>
        <w:spacing w:after="80" w:before="60"/>
      </w:pPr>
      <w:r>
        <w:rPr>
          <w:b/>
          <w:bCs/>
          <w:color w:val="3B1D6E"/>
          <w:sz w:val="24"/>
          <w:szCs w:val="24"/>
        </w:rPr>
        <w:t xml:space="preserve">e) Exam tools (mainly OM)</w:t>
      </w:r>
    </w:p>
    <w:p>
      <w:pPr>
        <w:spacing w:after="120"/>
      </w:pPr>
      <w:r>
        <w:t xml:space="preserve">Formula cards, calculators and an answer builder to help you write proper exam answers.</w:t>
      </w:r>
    </w:p>
    <w:p>
      <w:pPr>
        <w:pStyle w:val="Heading2"/>
        <w:pageBreakBefore/>
      </w:pPr>
      <w:r>
        <w:t xml:space="preserve">3. How to actually study with it</w:t>
      </w:r>
    </w:p>
    <w:p>
      <w:pPr>
        <w:spacing w:after="120"/>
      </w:pPr>
      <w:r>
        <w:t xml:space="preserve">A simple routine that works for any topic: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your subject from the left menu.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b/>
          <w:bCs/>
        </w:rPr>
        <w:t xml:space="preserve">Units</w:t>
      </w:r>
      <w:r>
        <w:t xml:space="preserve"> and read the </w:t>
      </w:r>
      <w:r>
        <w:rPr>
          <w:b/>
          <w:bCs/>
        </w:rPr>
        <w:t xml:space="preserve">“Unit notes (start here)”</w:t>
      </w:r>
      <w:r>
        <w:t xml:space="preserve"> box for your topic.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into the </w:t>
      </w:r>
      <w:r>
        <w:rPr>
          <w:b/>
          <w:bCs/>
        </w:rPr>
        <w:t xml:space="preserve">Theories</w:t>
      </w:r>
      <w:r>
        <w:t xml:space="preserve"> linked in the unit to go deeper.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</w:t>
      </w:r>
      <w:r>
        <w:rPr>
          <w:b/>
          <w:bCs/>
        </w:rPr>
        <w:t xml:space="preserve">Past Papers</w:t>
      </w:r>
      <w:r>
        <w:t xml:space="preserve">, try a question yourself first, then check the </w:t>
      </w:r>
      <w:r>
        <w:rPr>
          <w:b/>
          <w:bCs/>
        </w:rPr>
        <w:t xml:space="preserve">Worked answer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Compare your answer to the model: structure, examples and references.</w:t>
      </w:r>
    </w:p>
    <w:p>
      <w:pPr>
        <w:pStyle w:val="Heading2"/>
      </w:pPr>
      <w:r>
        <w:t xml:space="preserve">4. Quick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Coloured / underlined text is clickable</w:t>
      </w:r>
      <w:r>
        <w:t xml:space="preserve"> — it takes you somewhere useful.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</w:t>
      </w:r>
      <w:r>
        <w:rPr>
          <w:b/>
          <w:bCs/>
        </w:rPr>
        <w:t xml:space="preserve">“← Back”</w:t>
      </w:r>
      <w:r>
        <w:t xml:space="preserve"> links or </w:t>
      </w:r>
      <w:r>
        <w:rPr>
          <w:b/>
          <w:bCs/>
        </w:rPr>
        <w:t xml:space="preserve">Home</w:t>
      </w:r>
      <w:r>
        <w:t xml:space="preserve"> if you get lost.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</w:t>
      </w:r>
      <w:r>
        <w:rPr>
          <w:b/>
          <w:bCs/>
        </w:rPr>
        <w:t xml:space="preserve">Unit notes</w:t>
      </w:r>
      <w:r>
        <w:t xml:space="preserve"> when a topic is new; use </w:t>
      </w:r>
      <w:r>
        <w:rPr>
          <w:b/>
          <w:bCs/>
        </w:rPr>
        <w:t xml:space="preserve">Past Papers</w:t>
      </w:r>
      <w:r>
        <w:t xml:space="preserve"> when revising.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don't have to read everything — jump straight to the unit or question you need.</w:t>
      </w:r>
    </w:p>
    <w:p>
      <w:pPr>
        <w:spacing w:before="160"/>
      </w:pPr>
      <w:r>
        <w:rPr>
          <w:i/>
          <w:iCs/>
          <w:color w:val="555555"/>
        </w:rPr>
        <w:t xml:space="preserve">That's it. Open a subject, read a unit's notes, try a past paper — you'll get the hang of it quickly.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MANCOSA Study Hub —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033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9D2EC" w:sz="4" w:space="4"/>
      </w:pBdr>
      <w:spacing w:after="120" w:before="240"/>
      <w:outlineLvl w:val="1"/>
    </w:pPr>
    <w:rPr>
      <w:rFonts w:ascii="Arial" w:cs="Arial" w:eastAsia="Arial" w:hAnsi="Arial"/>
      <w:b/>
      <w:bCs/>
      <w:color w:val="3B1D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00381981f73ef8efa7ed570b984c2f498c716f.png"/><Relationship Id="rId10" Type="http://schemas.openxmlformats.org/officeDocument/2006/relationships/image" Target="media/0c853e5dec120d48722fb78556d1269572e5d074.png"/><Relationship Id="rId11" Type="http://schemas.openxmlformats.org/officeDocument/2006/relationships/image" Target="media/499f50b7f24788ef78f2c6e0604c32548bbf208d.png"/><Relationship Id="rId12" Type="http://schemas.openxmlformats.org/officeDocument/2006/relationships/image" Target="media/8f924ba256c89da15cdd3a479c8dcb2adb6ddfbb.png"/><Relationship Id="rId13" Type="http://schemas.openxmlformats.org/officeDocument/2006/relationships/image" Target="media/5c1bec273905760fd09923411cf4ca7fcc7e4858.png"/><Relationship Id="rId14" Type="http://schemas.openxmlformats.org/officeDocument/2006/relationships/image" Target="media/c7670128580365f6a59a6f971ef644bd8cfbb8c7.png"/><Relationship Id="rId15" Type="http://schemas.openxmlformats.org/officeDocument/2006/relationships/image" Target="media/d3030e03313113e06cc0f8dd9ce81199a5c4eef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2026-06-20T15:21:43.261Z</dcterms:created>
  <dcterms:modified xsi:type="dcterms:W3CDTF">2026-06-20T15:21:43.265Z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