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DCC12" w14:textId="4C0DFEE0" w:rsidR="6EE625EE" w:rsidRPr="00867305" w:rsidRDefault="004346FE" w:rsidP="00BF43E1">
      <w:pPr>
        <w:spacing w:before="240" w:line="480" w:lineRule="auto"/>
        <w:jc w:val="center"/>
        <w:rPr>
          <w:rFonts w:ascii="Times New Roman" w:eastAsia="Times New Roman" w:hAnsi="Times New Roman" w:cs="Times New Roman"/>
          <w:sz w:val="72"/>
          <w:szCs w:val="72"/>
        </w:rPr>
      </w:pPr>
      <w:r w:rsidRPr="00867305">
        <w:rPr>
          <w:rFonts w:ascii="Times New Roman" w:eastAsia="Times New Roman" w:hAnsi="Times New Roman" w:cs="Times New Roman"/>
          <w:sz w:val="72"/>
          <w:szCs w:val="72"/>
        </w:rPr>
        <w:t>Accounting Project</w:t>
      </w:r>
    </w:p>
    <w:p w14:paraId="13EED7D4" w14:textId="5DADA139" w:rsidR="004346FE" w:rsidRPr="00867305" w:rsidRDefault="000A315E" w:rsidP="00327F68">
      <w:pPr>
        <w:spacing w:line="480" w:lineRule="auto"/>
        <w:jc w:val="center"/>
        <w:rPr>
          <w:rFonts w:ascii="Times New Roman" w:eastAsia="Times New Roman" w:hAnsi="Times New Roman" w:cs="Times New Roman"/>
          <w:sz w:val="36"/>
          <w:szCs w:val="36"/>
        </w:rPr>
      </w:pPr>
      <w:r w:rsidRPr="00867305">
        <w:rPr>
          <w:rFonts w:ascii="Times New Roman" w:eastAsia="Times New Roman" w:hAnsi="Times New Roman" w:cs="Times New Roman"/>
          <w:sz w:val="36"/>
          <w:szCs w:val="36"/>
        </w:rPr>
        <w:t xml:space="preserve">Financial Reporting </w:t>
      </w:r>
      <w:r w:rsidR="00E5385F" w:rsidRPr="00867305">
        <w:rPr>
          <w:rFonts w:ascii="Times New Roman" w:eastAsia="Times New Roman" w:hAnsi="Times New Roman" w:cs="Times New Roman"/>
          <w:sz w:val="36"/>
          <w:szCs w:val="36"/>
        </w:rPr>
        <w:t>Write-Up</w:t>
      </w:r>
    </w:p>
    <w:p w14:paraId="1D514C00" w14:textId="54CE2D2C" w:rsidR="6EE625EE" w:rsidRPr="00867305" w:rsidRDefault="00EF3772" w:rsidP="00327F68">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b/>
          <w:bCs/>
          <w:sz w:val="32"/>
          <w:szCs w:val="32"/>
          <w:u w:val="single"/>
        </w:rPr>
        <w:t>Company:</w:t>
      </w:r>
      <w:r w:rsidRPr="00867305">
        <w:rPr>
          <w:rFonts w:ascii="Times New Roman" w:eastAsia="Times New Roman" w:hAnsi="Times New Roman" w:cs="Times New Roman"/>
          <w:sz w:val="32"/>
          <w:szCs w:val="32"/>
        </w:rPr>
        <w:t xml:space="preserve"> Coc</w:t>
      </w:r>
      <w:r w:rsidR="4B3845F4" w:rsidRPr="00867305">
        <w:rPr>
          <w:rFonts w:ascii="Times New Roman" w:eastAsia="Times New Roman" w:hAnsi="Times New Roman" w:cs="Times New Roman"/>
          <w:sz w:val="32"/>
          <w:szCs w:val="32"/>
        </w:rPr>
        <w:t>a</w:t>
      </w:r>
      <w:r w:rsidRPr="00867305">
        <w:rPr>
          <w:rFonts w:ascii="Times New Roman" w:eastAsia="Times New Roman" w:hAnsi="Times New Roman" w:cs="Times New Roman"/>
          <w:sz w:val="32"/>
          <w:szCs w:val="32"/>
        </w:rPr>
        <w:t>-Cola</w:t>
      </w:r>
      <w:r w:rsidR="00300791" w:rsidRPr="00867305">
        <w:rPr>
          <w:rFonts w:ascii="Times New Roman" w:eastAsia="Times New Roman" w:hAnsi="Times New Roman" w:cs="Times New Roman"/>
          <w:sz w:val="32"/>
          <w:szCs w:val="32"/>
        </w:rPr>
        <w:t xml:space="preserve"> Company</w:t>
      </w:r>
      <w:r w:rsidR="00AE7505" w:rsidRPr="00867305">
        <w:rPr>
          <w:rFonts w:ascii="Times New Roman" w:eastAsia="Times New Roman" w:hAnsi="Times New Roman" w:cs="Times New Roman"/>
          <w:sz w:val="32"/>
          <w:szCs w:val="32"/>
        </w:rPr>
        <w:t xml:space="preserve"> </w:t>
      </w:r>
      <w:r w:rsidR="00AE7505" w:rsidRPr="00867305">
        <w:rPr>
          <w:rFonts w:ascii="Times New Roman" w:eastAsia="Times New Roman" w:hAnsi="Times New Roman" w:cs="Times New Roman"/>
          <w:b/>
          <w:bCs/>
          <w:i/>
          <w:iCs/>
          <w:sz w:val="22"/>
          <w:szCs w:val="22"/>
        </w:rPr>
        <w:t>(KO)</w:t>
      </w:r>
    </w:p>
    <w:p w14:paraId="1230B7AE" w14:textId="7D63FCD0" w:rsidR="00300791" w:rsidRPr="00867305" w:rsidRDefault="00300791" w:rsidP="00327F68">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b/>
          <w:bCs/>
          <w:sz w:val="32"/>
          <w:szCs w:val="32"/>
          <w:u w:val="single"/>
        </w:rPr>
        <w:t>Year of Annual Report/10k:</w:t>
      </w:r>
      <w:r w:rsidRPr="00867305">
        <w:rPr>
          <w:rFonts w:ascii="Times New Roman" w:eastAsia="Times New Roman" w:hAnsi="Times New Roman" w:cs="Times New Roman"/>
          <w:sz w:val="32"/>
          <w:szCs w:val="32"/>
        </w:rPr>
        <w:t xml:space="preserve"> 2024</w:t>
      </w:r>
    </w:p>
    <w:p w14:paraId="6C5605CD" w14:textId="77777777" w:rsidR="007158A8" w:rsidRPr="00867305" w:rsidRDefault="007158A8" w:rsidP="00327F68">
      <w:pPr>
        <w:spacing w:line="480" w:lineRule="auto"/>
        <w:jc w:val="center"/>
        <w:rPr>
          <w:rFonts w:ascii="Times New Roman" w:eastAsia="Times New Roman" w:hAnsi="Times New Roman" w:cs="Times New Roman"/>
          <w:sz w:val="32"/>
          <w:szCs w:val="32"/>
        </w:rPr>
      </w:pPr>
    </w:p>
    <w:p w14:paraId="778D276B" w14:textId="1CD1AEFC" w:rsidR="00EF3772" w:rsidRPr="00867305" w:rsidRDefault="009625E8" w:rsidP="00AE1357">
      <w:pPr>
        <w:spacing w:line="480" w:lineRule="auto"/>
        <w:jc w:val="center"/>
        <w:rPr>
          <w:rFonts w:ascii="Times New Roman" w:eastAsia="Times New Roman" w:hAnsi="Times New Roman" w:cs="Times New Roman"/>
          <w:sz w:val="32"/>
          <w:szCs w:val="32"/>
        </w:rPr>
      </w:pPr>
      <w:r w:rsidRPr="00867305">
        <w:rPr>
          <w:rFonts w:ascii="Times New Roman" w:eastAsia="Times New Roman" w:hAnsi="Times New Roman" w:cs="Times New Roman"/>
          <w:sz w:val="32"/>
          <w:szCs w:val="32"/>
        </w:rPr>
        <w:t>Shaan Iqbal</w:t>
      </w:r>
      <w:r w:rsidR="00EF3772" w:rsidRPr="00867305">
        <w:rPr>
          <w:rFonts w:ascii="Times New Roman" w:eastAsia="Times New Roman" w:hAnsi="Times New Roman" w:cs="Times New Roman"/>
          <w:sz w:val="32"/>
          <w:szCs w:val="32"/>
        </w:rPr>
        <w:br/>
      </w:r>
    </w:p>
    <w:p w14:paraId="43566C63" w14:textId="77777777" w:rsidR="004A55D9" w:rsidRDefault="004A55D9" w:rsidP="00192D54">
      <w:pPr>
        <w:spacing w:after="0" w:line="480" w:lineRule="auto"/>
        <w:outlineLvl w:val="1"/>
        <w:rPr>
          <w:rFonts w:ascii="Times New Roman" w:eastAsia="Times New Roman" w:hAnsi="Times New Roman" w:cs="Times New Roman"/>
          <w:b/>
          <w:bCs/>
          <w:color w:val="4F81BD"/>
          <w:kern w:val="0"/>
          <w:sz w:val="26"/>
          <w:szCs w:val="26"/>
          <w14:ligatures w14:val="none"/>
        </w:rPr>
      </w:pPr>
    </w:p>
    <w:p w14:paraId="32EFBDBA" w14:textId="77777777" w:rsidR="00AE1357" w:rsidRDefault="00AE1357">
      <w:pPr>
        <w:rPr>
          <w:rFonts w:ascii="Times New Roman" w:eastAsia="Times New Roman" w:hAnsi="Times New Roman" w:cs="Times New Roman"/>
          <w:b/>
          <w:bCs/>
          <w:color w:val="4F81BD"/>
          <w:kern w:val="0"/>
          <w:sz w:val="26"/>
          <w:szCs w:val="26"/>
          <w14:ligatures w14:val="none"/>
        </w:rPr>
      </w:pPr>
      <w:r>
        <w:rPr>
          <w:rFonts w:ascii="Times New Roman" w:eastAsia="Times New Roman" w:hAnsi="Times New Roman" w:cs="Times New Roman"/>
          <w:b/>
          <w:bCs/>
          <w:color w:val="4F81BD"/>
          <w:kern w:val="0"/>
          <w:sz w:val="26"/>
          <w:szCs w:val="26"/>
          <w14:ligatures w14:val="none"/>
        </w:rPr>
        <w:br w:type="page"/>
      </w:r>
    </w:p>
    <w:p w14:paraId="5B5E7145" w14:textId="77777777" w:rsidR="008D5B54" w:rsidRDefault="008D5B54" w:rsidP="00192D54">
      <w:pPr>
        <w:spacing w:after="0" w:line="480" w:lineRule="auto"/>
        <w:outlineLvl w:val="1"/>
        <w:rPr>
          <w:rFonts w:ascii="Times New Roman" w:eastAsia="Times New Roman" w:hAnsi="Times New Roman" w:cs="Times New Roman"/>
          <w:b/>
          <w:bCs/>
          <w:color w:val="4F81BD"/>
          <w:kern w:val="0"/>
          <w:sz w:val="26"/>
          <w:szCs w:val="26"/>
          <w14:ligatures w14:val="none"/>
        </w:rPr>
      </w:pPr>
    </w:p>
    <w:p w14:paraId="5DA63A7A" w14:textId="24BC0026" w:rsidR="002D41F3" w:rsidRPr="00867305" w:rsidRDefault="002D41F3" w:rsidP="00192D54">
      <w:pPr>
        <w:spacing w:after="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1. Company Background</w:t>
      </w:r>
    </w:p>
    <w:p w14:paraId="5863D51D" w14:textId="677DFC09" w:rsidR="002D41F3" w:rsidRPr="00867305" w:rsidRDefault="002D41F3" w:rsidP="00192D54">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The Coca-Cola Company</w:t>
      </w:r>
      <w:r w:rsidR="333CD279" w:rsidRPr="00867305">
        <w:rPr>
          <w:rFonts w:ascii="Times New Roman" w:eastAsia="Times New Roman" w:hAnsi="Times New Roman" w:cs="Times New Roman"/>
          <w:color w:val="000000"/>
          <w:kern w:val="0"/>
          <w14:ligatures w14:val="none"/>
        </w:rPr>
        <w:t>, “KO” on the NYSE,</w:t>
      </w:r>
      <w:r w:rsidRPr="00867305">
        <w:rPr>
          <w:rFonts w:ascii="Times New Roman" w:eastAsia="Times New Roman" w:hAnsi="Times New Roman" w:cs="Times New Roman"/>
          <w:color w:val="000000"/>
          <w:kern w:val="0"/>
          <w14:ligatures w14:val="none"/>
        </w:rPr>
        <w:t xml:space="preserve"> is a total beverage enterprise with a global presence, offering a wide variety of drinks including soft drinks, hydration beverages, juices, plant-based drinks, teas, coffees, and energy drinks.</w:t>
      </w:r>
    </w:p>
    <w:p w14:paraId="21F29216" w14:textId="77777777" w:rsidR="002D41F3" w:rsidRPr="00867305" w:rsidRDefault="002D41F3" w:rsidP="00192D54">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The Coca-Cola Company’s major operations include the production, marketing, and distribution of nonalcoholic beverages. The company owns and licenses more than 500 brands. Coca-Cola primarily focuses on brand development and production, while relying on a global network of bottling partners to manufacture, package, and deliver the finished products to retailers and consumers. Additionally, the company invests heavily in advertising and brand promotion to maintain its global market presence.</w:t>
      </w:r>
    </w:p>
    <w:p w14:paraId="231B308D" w14:textId="1BD020E8" w:rsidR="007D2A4C" w:rsidRPr="00867305" w:rsidRDefault="002D41F3" w:rsidP="006A3E2A">
      <w:pPr>
        <w:spacing w:after="20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The company operates on a calendar fiscal year, ending December 31. As of December 31, 2024, the closing stock price was $62.26. During the fiscal year, Coca-Cola's stock peaked at $73.53 on September 3, 2024, before declining slightly in November. </w:t>
      </w:r>
      <w:r w:rsidR="08740EEB" w:rsidRPr="00867305">
        <w:rPr>
          <w:rFonts w:ascii="Times New Roman" w:eastAsia="Times New Roman" w:hAnsi="Times New Roman" w:cs="Times New Roman"/>
          <w:color w:val="000000"/>
          <w:kern w:val="0"/>
          <w14:ligatures w14:val="none"/>
        </w:rPr>
        <w:t xml:space="preserve">The stock </w:t>
      </w:r>
      <w:r w:rsidR="06B4E26E" w:rsidRPr="00867305">
        <w:rPr>
          <w:rFonts w:ascii="Times New Roman" w:eastAsia="Times New Roman" w:hAnsi="Times New Roman" w:cs="Times New Roman"/>
          <w:color w:val="000000"/>
          <w:kern w:val="0"/>
          <w14:ligatures w14:val="none"/>
        </w:rPr>
        <w:t>reached</w:t>
      </w:r>
      <w:r w:rsidR="08740EEB" w:rsidRPr="00867305">
        <w:rPr>
          <w:rFonts w:ascii="Times New Roman" w:eastAsia="Times New Roman" w:hAnsi="Times New Roman" w:cs="Times New Roman"/>
          <w:color w:val="000000"/>
          <w:kern w:val="0"/>
          <w14:ligatures w14:val="none"/>
        </w:rPr>
        <w:t xml:space="preserve"> its</w:t>
      </w:r>
      <w:r w:rsidR="72D9ECA6" w:rsidRPr="00867305">
        <w:rPr>
          <w:rFonts w:ascii="Times New Roman" w:eastAsia="Times New Roman" w:hAnsi="Times New Roman" w:cs="Times New Roman"/>
          <w:color w:val="000000"/>
          <w:kern w:val="0"/>
          <w14:ligatures w14:val="none"/>
        </w:rPr>
        <w:t xml:space="preserve"> </w:t>
      </w:r>
      <w:r w:rsidR="08740EEB" w:rsidRPr="00867305">
        <w:rPr>
          <w:rFonts w:ascii="Times New Roman" w:eastAsia="Times New Roman" w:hAnsi="Times New Roman" w:cs="Times New Roman"/>
          <w:color w:val="000000"/>
          <w:kern w:val="0"/>
          <w14:ligatures w14:val="none"/>
        </w:rPr>
        <w:t xml:space="preserve">lowest point of $57.93 on </w:t>
      </w:r>
      <w:r w:rsidR="638B71AC" w:rsidRPr="00867305">
        <w:rPr>
          <w:rFonts w:ascii="Times New Roman" w:eastAsia="Times New Roman" w:hAnsi="Times New Roman" w:cs="Times New Roman"/>
          <w:color w:val="000000"/>
          <w:kern w:val="0"/>
          <w14:ligatures w14:val="none"/>
        </w:rPr>
        <w:t xml:space="preserve">April 15, 2024. </w:t>
      </w:r>
      <w:r w:rsidRPr="00867305">
        <w:rPr>
          <w:rFonts w:ascii="Times New Roman" w:eastAsia="Times New Roman" w:hAnsi="Times New Roman" w:cs="Times New Roman"/>
          <w:color w:val="000000"/>
          <w:kern w:val="0"/>
          <w14:ligatures w14:val="none"/>
        </w:rPr>
        <w:t>Despite some fluctuations, Coca-Cola’s stock price demonstrated an overall slightly upward trend throughout the year.</w:t>
      </w:r>
      <w:r w:rsidR="02E6AA33" w:rsidRPr="00867305">
        <w:rPr>
          <w:rFonts w:ascii="Times New Roman" w:eastAsia="Times New Roman" w:hAnsi="Times New Roman" w:cs="Times New Roman"/>
          <w:color w:val="000000"/>
          <w:kern w:val="0"/>
          <w14:ligatures w14:val="none"/>
        </w:rPr>
        <w:t xml:space="preserve"> Coca-Cola follows GAAP standards</w:t>
      </w:r>
      <w:r w:rsidR="07E530B2" w:rsidRPr="00867305">
        <w:rPr>
          <w:rFonts w:ascii="Times New Roman" w:eastAsia="Times New Roman" w:hAnsi="Times New Roman" w:cs="Times New Roman"/>
          <w:color w:val="000000"/>
          <w:kern w:val="0"/>
          <w14:ligatures w14:val="none"/>
        </w:rPr>
        <w:t>, the standard practice for US-based companies.</w:t>
      </w:r>
    </w:p>
    <w:p w14:paraId="47A7D3A4" w14:textId="77777777" w:rsidR="007D2A4C" w:rsidRPr="00867305" w:rsidRDefault="007D2A4C" w:rsidP="00192D54">
      <w:pPr>
        <w:spacing w:after="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2. Understanding the Annual Report and 10-K</w:t>
      </w:r>
    </w:p>
    <w:p w14:paraId="0C6F24D4" w14:textId="77777777" w:rsidR="007D2A4C" w:rsidRPr="00867305" w:rsidRDefault="007D2A4C" w:rsidP="00192D54">
      <w:pPr>
        <w:spacing w:after="0"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Net Income and Growth Rate</w:t>
      </w:r>
    </w:p>
    <w:p w14:paraId="1EE4A239" w14:textId="35571D55" w:rsidR="007D2A4C" w:rsidRDefault="007D2A4C" w:rsidP="006A3E2A">
      <w:pPr>
        <w:spacing w:after="200" w:line="480" w:lineRule="auto"/>
        <w:ind w:firstLine="36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w:t>
      </w:r>
      <w:r w:rsidR="00A00643">
        <w:rPr>
          <w:rFonts w:ascii="Times New Roman" w:eastAsia="Times New Roman" w:hAnsi="Times New Roman" w:cs="Times New Roman"/>
          <w:color w:val="000000"/>
          <w:kern w:val="0"/>
          <w14:ligatures w14:val="none"/>
        </w:rPr>
        <w:t>’s</w:t>
      </w:r>
      <w:r w:rsidRPr="00867305">
        <w:rPr>
          <w:rFonts w:ascii="Times New Roman" w:eastAsia="Times New Roman" w:hAnsi="Times New Roman" w:cs="Times New Roman"/>
          <w:color w:val="000000"/>
          <w:kern w:val="0"/>
          <w14:ligatures w14:val="none"/>
        </w:rPr>
        <w:t xml:space="preserve"> reported net income of $10.65 billion in 2024, slightly down from $10.70 billion in 2023, though significantly higher than $9.57 billion in 2022. The annual net income growth rates for the last </w:t>
      </w:r>
      <w:r w:rsidR="003C21EF">
        <w:rPr>
          <w:rFonts w:ascii="Times New Roman" w:eastAsia="Times New Roman" w:hAnsi="Times New Roman" w:cs="Times New Roman"/>
          <w:color w:val="000000"/>
          <w:kern w:val="0"/>
          <w14:ligatures w14:val="none"/>
        </w:rPr>
        <w:t>four</w:t>
      </w:r>
      <w:r w:rsidRPr="00867305">
        <w:rPr>
          <w:rFonts w:ascii="Times New Roman" w:eastAsia="Times New Roman" w:hAnsi="Times New Roman" w:cs="Times New Roman"/>
          <w:color w:val="000000"/>
          <w:kern w:val="0"/>
          <w14:ligatures w14:val="none"/>
        </w:rPr>
        <w:t xml:space="preserve"> years are as follows:</w:t>
      </w:r>
    </w:p>
    <w:p w14:paraId="60B18BE1" w14:textId="6C772839" w:rsidR="005D22FB" w:rsidRPr="008720F0" w:rsidRDefault="00AF1F41" w:rsidP="008720F0">
      <w:pPr>
        <w:spacing w:after="200" w:line="480" w:lineRule="auto"/>
        <w:rPr>
          <w:rFonts w:ascii="Times New Roman" w:eastAsia="Times New Roman" w:hAnsi="Times New Roman" w:cs="Times New Roman"/>
          <w:kern w:val="0"/>
          <w14:ligatures w14:val="none"/>
        </w:rPr>
      </w:pPr>
      <w:r>
        <w:rPr>
          <w:noProof/>
        </w:rPr>
        <w:lastRenderedPageBreak/>
        <w:drawing>
          <wp:anchor distT="0" distB="0" distL="114300" distR="114300" simplePos="0" relativeHeight="251658240" behindDoc="1" locked="0" layoutInCell="1" allowOverlap="1" wp14:anchorId="7EDBFD48" wp14:editId="0746EF26">
            <wp:simplePos x="0" y="0"/>
            <wp:positionH relativeFrom="column">
              <wp:posOffset>1681480</wp:posOffset>
            </wp:positionH>
            <wp:positionV relativeFrom="paragraph">
              <wp:posOffset>322885</wp:posOffset>
            </wp:positionV>
            <wp:extent cx="4572000" cy="2508885"/>
            <wp:effectExtent l="0" t="0" r="12700" b="18415"/>
            <wp:wrapNone/>
            <wp:docPr id="1348218799" name="Chart 1">
              <a:extLst xmlns:a="http://schemas.openxmlformats.org/drawingml/2006/main">
                <a:ext uri="{FF2B5EF4-FFF2-40B4-BE49-F238E27FC236}">
                  <a16:creationId xmlns:a16="http://schemas.microsoft.com/office/drawing/2014/main" id="{FDCE6419-B4FC-3543-0EAF-05F02FDA0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4BE124D" w14:textId="0F989ACB" w:rsidR="004F4301" w:rsidRDefault="004F4301"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2021: </w:t>
      </w:r>
      <w:r w:rsidR="00FE6378">
        <w:rPr>
          <w:rFonts w:ascii="Times New Roman" w:eastAsia="Times New Roman" w:hAnsi="Times New Roman" w:cs="Times New Roman"/>
          <w:color w:val="000000"/>
          <w:kern w:val="0"/>
          <w14:ligatures w14:val="none"/>
        </w:rPr>
        <w:t>26.2</w:t>
      </w:r>
      <w:r w:rsidR="005D22FB">
        <w:rPr>
          <w:rFonts w:ascii="Times New Roman" w:eastAsia="Times New Roman" w:hAnsi="Times New Roman" w:cs="Times New Roman"/>
          <w:color w:val="000000"/>
          <w:kern w:val="0"/>
          <w14:ligatures w14:val="none"/>
        </w:rPr>
        <w:t>1%</w:t>
      </w:r>
    </w:p>
    <w:p w14:paraId="443029F1" w14:textId="672D1938" w:rsidR="007D2A4C" w:rsidRPr="00867305" w:rsidRDefault="007D2A4C"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2022: -2.00%</w:t>
      </w:r>
    </w:p>
    <w:p w14:paraId="06C5D61A" w14:textId="4BC7C24B" w:rsidR="007D2A4C" w:rsidRPr="00867305" w:rsidRDefault="007D2A4C" w:rsidP="00192D54">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2023: 12.00%</w:t>
      </w:r>
    </w:p>
    <w:p w14:paraId="6EB344DC" w14:textId="25D5CDF8" w:rsidR="007D2A4C" w:rsidRPr="004F4301" w:rsidRDefault="007D2A4C" w:rsidP="00192D54">
      <w:pPr>
        <w:numPr>
          <w:ilvl w:val="0"/>
          <w:numId w:val="2"/>
        </w:numPr>
        <w:spacing w:after="200" w:line="480" w:lineRule="auto"/>
        <w:textAlignment w:val="baseline"/>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2024: -1.00%</w:t>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begin"/>
      </w:r>
      <w:r w:rsidR="00EB21D8" w:rsidRPr="004F4301">
        <w:rPr>
          <w:rFonts w:ascii="Times New Roman" w:eastAsia="Times New Roman" w:hAnsi="Times New Roman" w:cs="Times New Roman"/>
          <w:color w:val="000000"/>
          <w:kern w:val="0"/>
          <w:sz w:val="22"/>
          <w:szCs w:val="22"/>
          <w:bdr w:val="none" w:sz="0" w:space="0" w:color="auto" w:frame="1"/>
          <w14:ligatures w14:val="none"/>
        </w:rPr>
        <w:instrText xml:space="preserve"> INCLUDEPICTURE "https://lh7-rt.googleusercontent.com/docsz/AD_4nXfRGHHJGZlEWV4REnJyeTmyYqZP9idTRPk7zMNPiQkmZWr5JyS9xmcYBD9HMoyzoHZWSrrGsIo2WLyWQ1cIAVoJb_sddM_JGl2I2mIWRG8zRixiOxNmKskIR8uq7nbXWKtdw8o6_T5ZUMjkMHQiMw?key=5ngjZ-9S4Of2Iq_X8f2ZDHfl" \* MERGEFORMATINET </w:instrText>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separate"/>
      </w:r>
      <w:r w:rsidR="00EB21D8" w:rsidRPr="004F4301">
        <w:rPr>
          <w:rFonts w:ascii="Times New Roman" w:eastAsia="Times New Roman" w:hAnsi="Times New Roman" w:cs="Times New Roman"/>
          <w:color w:val="000000"/>
          <w:kern w:val="0"/>
          <w:sz w:val="22"/>
          <w:szCs w:val="22"/>
          <w:bdr w:val="none" w:sz="0" w:space="0" w:color="auto" w:frame="1"/>
          <w14:ligatures w14:val="none"/>
        </w:rPr>
        <w:fldChar w:fldCharType="end"/>
      </w:r>
    </w:p>
    <w:p w14:paraId="3D1C59B7" w14:textId="16DF714F" w:rsidR="004F4301" w:rsidRDefault="004F4301" w:rsidP="00192D54">
      <w:pPr>
        <w:spacing w:after="200" w:line="480" w:lineRule="auto"/>
        <w:rPr>
          <w:rFonts w:ascii="Times New Roman" w:eastAsia="Times New Roman" w:hAnsi="Times New Roman" w:cs="Times New Roman"/>
          <w:color w:val="000000"/>
          <w:kern w:val="0"/>
          <w14:ligatures w14:val="none"/>
        </w:rPr>
      </w:pPr>
    </w:p>
    <w:p w14:paraId="56BE6D82" w14:textId="77777777" w:rsidR="00C65459" w:rsidRDefault="00730D1D" w:rsidP="00730D1D">
      <w:pPr>
        <w:spacing w:after="200" w:line="480" w:lineRule="auto"/>
        <w:ind w:left="1440" w:firstLine="720"/>
        <w:rPr>
          <w:rFonts w:ascii="Times New Roman" w:eastAsia="Times New Roman" w:hAnsi="Times New Roman" w:cs="Times New Roman"/>
          <w:b/>
          <w:bCs/>
          <w:i/>
          <w:iCs/>
          <w:color w:val="000000"/>
          <w:kern w:val="0"/>
          <w14:ligatures w14:val="none"/>
        </w:rPr>
      </w:pPr>
      <w:r w:rsidRPr="00473A79">
        <w:rPr>
          <w:rFonts w:ascii="Times New Roman" w:eastAsia="Times New Roman" w:hAnsi="Times New Roman" w:cs="Times New Roman"/>
          <w:b/>
          <w:bCs/>
          <w:i/>
          <w:iCs/>
          <w:color w:val="000000"/>
          <w:kern w:val="0"/>
          <w14:ligatures w14:val="none"/>
        </w:rPr>
        <w:t xml:space="preserve">        </w:t>
      </w:r>
    </w:p>
    <w:p w14:paraId="43B66338" w14:textId="4872CDCA" w:rsidR="004F4301" w:rsidRPr="000D5B37" w:rsidRDefault="00E9786B" w:rsidP="00E9786B">
      <w:pPr>
        <w:spacing w:after="200" w:line="480" w:lineRule="auto"/>
        <w:ind w:left="2160"/>
        <w:rPr>
          <w:rFonts w:ascii="Times New Roman" w:eastAsia="Times New Roman" w:hAnsi="Times New Roman" w:cs="Times New Roman"/>
          <w:b/>
          <w:bCs/>
          <w:i/>
          <w:iCs/>
          <w:color w:val="000000"/>
          <w:kern w:val="0"/>
          <w:u w:val="single"/>
          <w14:ligatures w14:val="none"/>
        </w:rPr>
      </w:pPr>
      <w:r>
        <w:rPr>
          <w:rFonts w:ascii="Times New Roman" w:eastAsia="Times New Roman" w:hAnsi="Times New Roman" w:cs="Times New Roman"/>
          <w:b/>
          <w:bCs/>
          <w:i/>
          <w:iCs/>
          <w:color w:val="000000"/>
          <w:kern w:val="0"/>
          <w14:ligatures w14:val="none"/>
        </w:rPr>
        <w:t xml:space="preserve">        </w:t>
      </w:r>
      <w:r w:rsidR="00730D1D" w:rsidRPr="00473A79">
        <w:rPr>
          <w:rFonts w:ascii="Times New Roman" w:eastAsia="Times New Roman" w:hAnsi="Times New Roman" w:cs="Times New Roman"/>
          <w:b/>
          <w:bCs/>
          <w:i/>
          <w:iCs/>
          <w:color w:val="000000"/>
          <w:kern w:val="0"/>
          <w14:ligatures w14:val="none"/>
        </w:rPr>
        <w:t xml:space="preserve"> </w:t>
      </w:r>
      <w:r w:rsidR="00F80AD5" w:rsidRPr="000D5B37">
        <w:rPr>
          <w:rFonts w:ascii="Times New Roman" w:eastAsia="Times New Roman" w:hAnsi="Times New Roman" w:cs="Times New Roman"/>
          <w:b/>
          <w:bCs/>
          <w:i/>
          <w:iCs/>
          <w:color w:val="000000"/>
          <w:kern w:val="0"/>
          <w:u w:val="single"/>
          <w14:ligatures w14:val="none"/>
        </w:rPr>
        <w:t>See Appendix B for more information</w:t>
      </w:r>
    </w:p>
    <w:p w14:paraId="3545AD4A" w14:textId="09263C8D" w:rsidR="007D2A4C" w:rsidRPr="00867305" w:rsidRDefault="007D2A4C" w:rsidP="00192D54">
      <w:pPr>
        <w:spacing w:after="200" w:line="480" w:lineRule="auto"/>
        <w:ind w:firstLine="360"/>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While the most recent year saw a minor decline in net income, the trend over the last few years shows strong recovery and growth since 2022.</w:t>
      </w:r>
    </w:p>
    <w:p w14:paraId="2420444D" w14:textId="2521635E" w:rsidR="00F24E8A" w:rsidRPr="00CA3849" w:rsidRDefault="00B96EAB" w:rsidP="00CA3849">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Gross Margin Trends</w:t>
      </w:r>
    </w:p>
    <w:tbl>
      <w:tblPr>
        <w:tblStyle w:val="TableGrid"/>
        <w:tblpPr w:leftFromText="180" w:rightFromText="180" w:vertAnchor="text" w:horzAnchor="margin" w:tblpXSpec="center" w:tblpY="343"/>
        <w:tblW w:w="9850" w:type="dxa"/>
        <w:tblLook w:val="04A0" w:firstRow="1" w:lastRow="0" w:firstColumn="1" w:lastColumn="0" w:noHBand="0" w:noVBand="1"/>
      </w:tblPr>
      <w:tblGrid>
        <w:gridCol w:w="1970"/>
        <w:gridCol w:w="1970"/>
        <w:gridCol w:w="1970"/>
        <w:gridCol w:w="1970"/>
        <w:gridCol w:w="1970"/>
      </w:tblGrid>
      <w:tr w:rsidR="005A0C47" w:rsidRPr="00867305" w14:paraId="3CD8E168" w14:textId="77777777" w:rsidTr="00E95BC7">
        <w:trPr>
          <w:trHeight w:val="570"/>
        </w:trPr>
        <w:tc>
          <w:tcPr>
            <w:tcW w:w="1970" w:type="dxa"/>
            <w:vAlign w:val="center"/>
          </w:tcPr>
          <w:p w14:paraId="5D9C1061" w14:textId="0C28C58F"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Fiscal Year</w:t>
            </w:r>
          </w:p>
        </w:tc>
        <w:tc>
          <w:tcPr>
            <w:tcW w:w="1970" w:type="dxa"/>
            <w:vAlign w:val="center"/>
          </w:tcPr>
          <w:p w14:paraId="472D3493" w14:textId="28DDD462"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Net Operating</w:t>
            </w:r>
            <w:r w:rsidR="00E95BC7" w:rsidRPr="00867305">
              <w:rPr>
                <w:rFonts w:ascii="Times New Roman" w:eastAsia="Times New Roman" w:hAnsi="Times New Roman" w:cs="Times New Roman"/>
              </w:rPr>
              <w:t xml:space="preserve"> </w:t>
            </w:r>
            <w:r w:rsidRPr="00867305">
              <w:rPr>
                <w:rFonts w:ascii="Times New Roman" w:eastAsia="Times New Roman" w:hAnsi="Times New Roman" w:cs="Times New Roman"/>
              </w:rPr>
              <w:t>Revenue</w:t>
            </w:r>
          </w:p>
        </w:tc>
        <w:tc>
          <w:tcPr>
            <w:tcW w:w="1970" w:type="dxa"/>
            <w:vAlign w:val="center"/>
          </w:tcPr>
          <w:p w14:paraId="2C46D55A"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Cost of Goods Sold</w:t>
            </w:r>
          </w:p>
        </w:tc>
        <w:tc>
          <w:tcPr>
            <w:tcW w:w="1970" w:type="dxa"/>
            <w:vAlign w:val="center"/>
          </w:tcPr>
          <w:p w14:paraId="3473B164" w14:textId="37F8FB94"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Gross Profit</w:t>
            </w:r>
          </w:p>
        </w:tc>
        <w:tc>
          <w:tcPr>
            <w:tcW w:w="1970" w:type="dxa"/>
            <w:vAlign w:val="center"/>
          </w:tcPr>
          <w:p w14:paraId="55691F0C"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Gross Margin %</w:t>
            </w:r>
          </w:p>
        </w:tc>
      </w:tr>
      <w:tr w:rsidR="005A0C47" w:rsidRPr="00867305" w14:paraId="258C2E2A" w14:textId="77777777" w:rsidTr="00E95BC7">
        <w:trPr>
          <w:trHeight w:val="570"/>
        </w:trPr>
        <w:tc>
          <w:tcPr>
            <w:tcW w:w="1970" w:type="dxa"/>
            <w:vAlign w:val="center"/>
          </w:tcPr>
          <w:p w14:paraId="674C28A6"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2022</w:t>
            </w:r>
          </w:p>
        </w:tc>
        <w:tc>
          <w:tcPr>
            <w:tcW w:w="1970" w:type="dxa"/>
            <w:vAlign w:val="center"/>
          </w:tcPr>
          <w:p w14:paraId="6FC04849" w14:textId="7F382FEF"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$43,004</w:t>
            </w:r>
          </w:p>
        </w:tc>
        <w:tc>
          <w:tcPr>
            <w:tcW w:w="1970" w:type="dxa"/>
            <w:vAlign w:val="center"/>
          </w:tcPr>
          <w:p w14:paraId="3EA20C82" w14:textId="1EA27F81"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$18,000</w:t>
            </w:r>
          </w:p>
        </w:tc>
        <w:tc>
          <w:tcPr>
            <w:tcW w:w="1970" w:type="dxa"/>
            <w:vAlign w:val="center"/>
          </w:tcPr>
          <w:p w14:paraId="69C6B7F5" w14:textId="79CD1D12" w:rsidR="005A0C47" w:rsidRPr="00867305" w:rsidRDefault="00A1571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$25,004</w:t>
            </w:r>
          </w:p>
        </w:tc>
        <w:tc>
          <w:tcPr>
            <w:tcW w:w="1970" w:type="dxa"/>
            <w:vAlign w:val="center"/>
          </w:tcPr>
          <w:p w14:paraId="078C1EF4"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58.143%</w:t>
            </w:r>
          </w:p>
        </w:tc>
      </w:tr>
      <w:tr w:rsidR="005A0C47" w:rsidRPr="00867305" w14:paraId="78B20D83" w14:textId="77777777" w:rsidTr="00E95BC7">
        <w:trPr>
          <w:trHeight w:val="570"/>
        </w:trPr>
        <w:tc>
          <w:tcPr>
            <w:tcW w:w="1970" w:type="dxa"/>
            <w:vAlign w:val="center"/>
          </w:tcPr>
          <w:p w14:paraId="0DD3CB97"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2023</w:t>
            </w:r>
          </w:p>
        </w:tc>
        <w:tc>
          <w:tcPr>
            <w:tcW w:w="1970" w:type="dxa"/>
            <w:vAlign w:val="center"/>
          </w:tcPr>
          <w:p w14:paraId="11361A87" w14:textId="3638A78D"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$45,574</w:t>
            </w:r>
          </w:p>
        </w:tc>
        <w:tc>
          <w:tcPr>
            <w:tcW w:w="1970" w:type="dxa"/>
            <w:vAlign w:val="center"/>
          </w:tcPr>
          <w:p w14:paraId="63A46922" w14:textId="265A1E4F"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$18,520</w:t>
            </w:r>
          </w:p>
        </w:tc>
        <w:tc>
          <w:tcPr>
            <w:tcW w:w="1970" w:type="dxa"/>
            <w:vAlign w:val="center"/>
          </w:tcPr>
          <w:p w14:paraId="3562311E" w14:textId="0EF54CFA" w:rsidR="005A0C47" w:rsidRPr="00867305" w:rsidRDefault="009C0A3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$27,054</w:t>
            </w:r>
          </w:p>
        </w:tc>
        <w:tc>
          <w:tcPr>
            <w:tcW w:w="1970" w:type="dxa"/>
            <w:vAlign w:val="center"/>
          </w:tcPr>
          <w:p w14:paraId="130317BB"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59.363%</w:t>
            </w:r>
          </w:p>
        </w:tc>
      </w:tr>
      <w:tr w:rsidR="005A0C47" w:rsidRPr="00867305" w14:paraId="3E25F707" w14:textId="77777777" w:rsidTr="00E95BC7">
        <w:trPr>
          <w:trHeight w:val="570"/>
        </w:trPr>
        <w:tc>
          <w:tcPr>
            <w:tcW w:w="1970" w:type="dxa"/>
            <w:vAlign w:val="center"/>
          </w:tcPr>
          <w:p w14:paraId="61BD5DB6" w14:textId="77777777" w:rsidR="005A0C47" w:rsidRPr="00867305" w:rsidRDefault="005A0C47" w:rsidP="00192D54">
            <w:pPr>
              <w:spacing w:line="480" w:lineRule="auto"/>
              <w:jc w:val="center"/>
              <w:rPr>
                <w:rFonts w:ascii="Times New Roman" w:eastAsia="Times New Roman" w:hAnsi="Times New Roman" w:cs="Times New Roman"/>
                <w:u w:val="single"/>
              </w:rPr>
            </w:pPr>
            <w:r w:rsidRPr="00867305">
              <w:rPr>
                <w:rFonts w:ascii="Times New Roman" w:eastAsia="Times New Roman" w:hAnsi="Times New Roman" w:cs="Times New Roman"/>
                <w:u w:val="single"/>
              </w:rPr>
              <w:t>2024</w:t>
            </w:r>
          </w:p>
        </w:tc>
        <w:tc>
          <w:tcPr>
            <w:tcW w:w="1970" w:type="dxa"/>
            <w:vAlign w:val="center"/>
          </w:tcPr>
          <w:p w14:paraId="38C10A86" w14:textId="0EACB638"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$47,061</w:t>
            </w:r>
          </w:p>
        </w:tc>
        <w:tc>
          <w:tcPr>
            <w:tcW w:w="1970" w:type="dxa"/>
            <w:vAlign w:val="center"/>
          </w:tcPr>
          <w:p w14:paraId="60BD96BC" w14:textId="48021F01"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$18,324</w:t>
            </w:r>
          </w:p>
        </w:tc>
        <w:tc>
          <w:tcPr>
            <w:tcW w:w="1970" w:type="dxa"/>
            <w:vAlign w:val="center"/>
          </w:tcPr>
          <w:p w14:paraId="644CA541" w14:textId="6C923CA9" w:rsidR="005A0C47" w:rsidRPr="00867305" w:rsidRDefault="009C0A38"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w:t>
            </w:r>
            <w:r w:rsidR="0078237A" w:rsidRPr="00867305">
              <w:rPr>
                <w:rFonts w:ascii="Times New Roman" w:eastAsia="Times New Roman" w:hAnsi="Times New Roman" w:cs="Times New Roman"/>
              </w:rPr>
              <w:t>28,737</w:t>
            </w:r>
          </w:p>
        </w:tc>
        <w:tc>
          <w:tcPr>
            <w:tcW w:w="1970" w:type="dxa"/>
            <w:vAlign w:val="center"/>
          </w:tcPr>
          <w:p w14:paraId="6B6C8B39" w14:textId="77777777" w:rsidR="005A0C47" w:rsidRPr="00867305" w:rsidRDefault="005A0C47" w:rsidP="00192D54">
            <w:pPr>
              <w:spacing w:line="480" w:lineRule="auto"/>
              <w:jc w:val="center"/>
              <w:rPr>
                <w:rFonts w:ascii="Times New Roman" w:eastAsia="Times New Roman" w:hAnsi="Times New Roman" w:cs="Times New Roman"/>
              </w:rPr>
            </w:pPr>
            <w:r w:rsidRPr="00867305">
              <w:rPr>
                <w:rFonts w:ascii="Times New Roman" w:eastAsia="Times New Roman" w:hAnsi="Times New Roman" w:cs="Times New Roman"/>
              </w:rPr>
              <w:t>61.063%</w:t>
            </w:r>
          </w:p>
        </w:tc>
      </w:tr>
    </w:tbl>
    <w:p w14:paraId="3EDED01B" w14:textId="240806F9" w:rsidR="003F6D12" w:rsidRDefault="00094703" w:rsidP="003F6D12">
      <w:pPr>
        <w:spacing w:line="480" w:lineRule="auto"/>
        <w:rPr>
          <w:rFonts w:ascii="Times New Roman" w:eastAsia="Times New Roman" w:hAnsi="Times New Roman" w:cs="Times New Roman"/>
          <w:i/>
        </w:rPr>
      </w:pPr>
      <w:r>
        <w:rPr>
          <w:noProof/>
        </w:rPr>
        <w:lastRenderedPageBreak/>
        <w:drawing>
          <wp:inline distT="0" distB="0" distL="0" distR="0" wp14:anchorId="743B8A2B" wp14:editId="343986EA">
            <wp:extent cx="5943600" cy="3218180"/>
            <wp:effectExtent l="0" t="0" r="12700" b="7620"/>
            <wp:docPr id="2028661172" name="Chart 1">
              <a:extLst xmlns:a="http://schemas.openxmlformats.org/drawingml/2006/main">
                <a:ext uri="{FF2B5EF4-FFF2-40B4-BE49-F238E27FC236}">
                  <a16:creationId xmlns:a16="http://schemas.microsoft.com/office/drawing/2014/main" id="{53CC0752-7B8A-FB4C-FAC3-93C361F27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43FE66" w14:textId="314B1F1C" w:rsidR="003F6D12" w:rsidRPr="000D5B37" w:rsidRDefault="00D13136" w:rsidP="003F6D12">
      <w:pPr>
        <w:spacing w:line="480" w:lineRule="auto"/>
        <w:rPr>
          <w:rFonts w:ascii="Times New Roman" w:eastAsia="Times New Roman" w:hAnsi="Times New Roman" w:cs="Times New Roman"/>
          <w:b/>
          <w:bCs/>
          <w:i/>
        </w:rPr>
      </w:pPr>
      <w:r>
        <w:rPr>
          <w:rFonts w:ascii="Times New Roman" w:eastAsia="Times New Roman" w:hAnsi="Times New Roman" w:cs="Times New Roman"/>
          <w:b/>
          <w:bCs/>
          <w:i/>
          <w:u w:val="single"/>
        </w:rPr>
        <w:t xml:space="preserve">See </w:t>
      </w:r>
      <w:r w:rsidR="000D5B37" w:rsidRPr="000D5B37">
        <w:rPr>
          <w:rFonts w:ascii="Times New Roman" w:eastAsia="Times New Roman" w:hAnsi="Times New Roman" w:cs="Times New Roman"/>
          <w:b/>
          <w:bCs/>
          <w:i/>
          <w:u w:val="single"/>
        </w:rPr>
        <w:t>Appendix C: Table and Bar Chart - Gross Margin Analysis (Coca-Cola Co.)</w:t>
      </w:r>
    </w:p>
    <w:p w14:paraId="652E14AF" w14:textId="7CEFE6E5" w:rsidR="00C36EBF" w:rsidRPr="00867305" w:rsidRDefault="00C36EBF"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kern w:val="0"/>
          <w14:ligatures w14:val="none"/>
        </w:rPr>
        <w:t>Based on the last three years, the gross margin percentage is seen with an upward trend in the gross margin, increasing from 58.143% (2022) to 61.063% (2024).</w:t>
      </w:r>
    </w:p>
    <w:p w14:paraId="576ABF88" w14:textId="387CBB49" w:rsidR="00C31CBC" w:rsidRDefault="00C36EBF"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kern w:val="0"/>
          <w14:ligatures w14:val="none"/>
        </w:rPr>
        <w:t xml:space="preserve">The improvement in </w:t>
      </w:r>
      <w:r w:rsidR="3F629307" w:rsidRPr="11430125">
        <w:rPr>
          <w:rFonts w:ascii="Times New Roman" w:eastAsia="Times New Roman" w:hAnsi="Times New Roman" w:cs="Times New Roman"/>
        </w:rPr>
        <w:t>gross margin</w:t>
      </w:r>
      <w:r w:rsidRPr="00867305">
        <w:rPr>
          <w:rFonts w:ascii="Times New Roman" w:eastAsia="Times New Roman" w:hAnsi="Times New Roman" w:cs="Times New Roman"/>
          <w:kern w:val="0"/>
          <w14:ligatures w14:val="none"/>
        </w:rPr>
        <w:t xml:space="preserve"> percentage was due to this </w:t>
      </w:r>
      <w:r w:rsidR="50C01AC9" w:rsidRPr="11430125">
        <w:rPr>
          <w:rFonts w:ascii="Times New Roman" w:eastAsia="Times New Roman" w:hAnsi="Times New Roman" w:cs="Times New Roman"/>
        </w:rPr>
        <w:t>increase, which</w:t>
      </w:r>
      <w:r w:rsidRPr="00867305">
        <w:rPr>
          <w:rFonts w:ascii="Times New Roman" w:eastAsia="Times New Roman" w:hAnsi="Times New Roman" w:cs="Times New Roman"/>
          <w:kern w:val="0"/>
          <w14:ligatures w14:val="none"/>
        </w:rPr>
        <w:t xml:space="preserve"> was primarily due to the impact of favorable pricing initiatives and the refranchising of our bottling operations in the Philippines, </w:t>
      </w:r>
      <w:r w:rsidR="110E58C6" w:rsidRPr="11430125">
        <w:rPr>
          <w:rFonts w:ascii="Times New Roman" w:eastAsia="Times New Roman" w:hAnsi="Times New Roman" w:cs="Times New Roman"/>
        </w:rPr>
        <w:t>Bangladesh,</w:t>
      </w:r>
      <w:r w:rsidRPr="00867305">
        <w:rPr>
          <w:rFonts w:ascii="Times New Roman" w:eastAsia="Times New Roman" w:hAnsi="Times New Roman" w:cs="Times New Roman"/>
          <w:kern w:val="0"/>
          <w14:ligatures w14:val="none"/>
        </w:rPr>
        <w:t xml:space="preserve"> and certain territories in India, partially offset by the unfavorable impact of foreign currency exchange rate fluctuations and higher commodity costs. (The Coca-Cola Company, 2025) (information found on page 47 of 10K)</w:t>
      </w:r>
    </w:p>
    <w:p w14:paraId="3FC082D0" w14:textId="77777777" w:rsidR="003F6D12" w:rsidRPr="00DE127F" w:rsidRDefault="003F6D12" w:rsidP="0016308A">
      <w:pPr>
        <w:spacing w:after="0" w:line="480" w:lineRule="auto"/>
        <w:rPr>
          <w:rFonts w:ascii="Times New Roman" w:eastAsia="Times New Roman" w:hAnsi="Times New Roman" w:cs="Times New Roman"/>
          <w:kern w:val="0"/>
          <w14:ligatures w14:val="none"/>
        </w:rPr>
      </w:pPr>
    </w:p>
    <w:p w14:paraId="56E60B0F" w14:textId="741B53CC" w:rsidR="00163998" w:rsidRPr="00867305" w:rsidRDefault="00163998"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Stockholders’ Equity</w:t>
      </w:r>
    </w:p>
    <w:p w14:paraId="6A307C4D" w14:textId="0DBA0F2D" w:rsidR="00192D54" w:rsidRDefault="3AFBFAB5"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The total equity of Coca-Cola</w:t>
      </w:r>
      <w:r w:rsidR="24E16028" w:rsidRPr="00867305">
        <w:rPr>
          <w:rFonts w:ascii="Times New Roman" w:eastAsia="Times New Roman" w:hAnsi="Times New Roman" w:cs="Times New Roman"/>
        </w:rPr>
        <w:t xml:space="preserve"> from 2023 to 2024 decreased 4.03%, down from 27,</w:t>
      </w:r>
      <w:r w:rsidR="2F89761A" w:rsidRPr="00867305">
        <w:rPr>
          <w:rFonts w:ascii="Times New Roman" w:eastAsia="Times New Roman" w:hAnsi="Times New Roman" w:cs="Times New Roman"/>
        </w:rPr>
        <w:t xml:space="preserve">280 </w:t>
      </w:r>
      <w:r w:rsidR="68B9DAD4" w:rsidRPr="00867305">
        <w:rPr>
          <w:rFonts w:ascii="Times New Roman" w:eastAsia="Times New Roman" w:hAnsi="Times New Roman" w:cs="Times New Roman"/>
        </w:rPr>
        <w:t xml:space="preserve">million </w:t>
      </w:r>
      <w:r w:rsidR="2F89761A" w:rsidRPr="00867305">
        <w:rPr>
          <w:rFonts w:ascii="Times New Roman" w:eastAsia="Times New Roman" w:hAnsi="Times New Roman" w:cs="Times New Roman"/>
        </w:rPr>
        <w:t>to 26,372</w:t>
      </w:r>
      <w:r w:rsidR="139CF8FE" w:rsidRPr="00867305">
        <w:rPr>
          <w:rFonts w:ascii="Times New Roman" w:eastAsia="Times New Roman" w:hAnsi="Times New Roman" w:cs="Times New Roman"/>
        </w:rPr>
        <w:t xml:space="preserve"> million</w:t>
      </w:r>
      <w:r w:rsidR="2F89761A" w:rsidRPr="00867305">
        <w:rPr>
          <w:rFonts w:ascii="Times New Roman" w:eastAsia="Times New Roman" w:hAnsi="Times New Roman" w:cs="Times New Roman"/>
        </w:rPr>
        <w:t xml:space="preserve">. </w:t>
      </w:r>
      <w:r w:rsidR="1560F2C9" w:rsidRPr="00867305">
        <w:rPr>
          <w:rFonts w:ascii="Times New Roman" w:eastAsia="Times New Roman" w:hAnsi="Times New Roman" w:cs="Times New Roman"/>
        </w:rPr>
        <w:t xml:space="preserve">Some possible reasons for this slight decrease </w:t>
      </w:r>
      <w:r w:rsidR="16DB920B" w:rsidRPr="7B87529D">
        <w:rPr>
          <w:rFonts w:ascii="Times New Roman" w:eastAsia="Times New Roman" w:hAnsi="Times New Roman" w:cs="Times New Roman"/>
        </w:rPr>
        <w:t>are</w:t>
      </w:r>
      <w:r w:rsidR="1560F2C9" w:rsidRPr="00867305">
        <w:rPr>
          <w:rFonts w:ascii="Times New Roman" w:eastAsia="Times New Roman" w:hAnsi="Times New Roman" w:cs="Times New Roman"/>
        </w:rPr>
        <w:t xml:space="preserve"> a </w:t>
      </w:r>
      <w:r w:rsidR="7E25711E" w:rsidRPr="00867305">
        <w:rPr>
          <w:rFonts w:ascii="Times New Roman" w:eastAsia="Times New Roman" w:hAnsi="Times New Roman" w:cs="Times New Roman"/>
        </w:rPr>
        <w:t>decrease</w:t>
      </w:r>
      <w:r w:rsidR="1560F2C9" w:rsidRPr="00867305">
        <w:rPr>
          <w:rFonts w:ascii="Times New Roman" w:eastAsia="Times New Roman" w:hAnsi="Times New Roman" w:cs="Times New Roman"/>
        </w:rPr>
        <w:t xml:space="preserve"> in the </w:t>
      </w:r>
      <w:r w:rsidR="1560F2C9" w:rsidRPr="00867305">
        <w:rPr>
          <w:rFonts w:ascii="Times New Roman" w:eastAsia="Times New Roman" w:hAnsi="Times New Roman" w:cs="Times New Roman"/>
        </w:rPr>
        <w:lastRenderedPageBreak/>
        <w:t>unit case vo</w:t>
      </w:r>
      <w:r w:rsidR="1508019C" w:rsidRPr="00867305">
        <w:rPr>
          <w:rFonts w:ascii="Times New Roman" w:eastAsia="Times New Roman" w:hAnsi="Times New Roman" w:cs="Times New Roman"/>
        </w:rPr>
        <w:t>lume and refranchising bottling operations</w:t>
      </w:r>
      <w:r w:rsidR="5988F868" w:rsidRPr="241B155D">
        <w:rPr>
          <w:rFonts w:ascii="Times New Roman" w:eastAsia="Times New Roman" w:hAnsi="Times New Roman" w:cs="Times New Roman"/>
        </w:rPr>
        <w:t>,</w:t>
      </w:r>
      <w:r w:rsidR="53A58E9B" w:rsidRPr="00867305">
        <w:rPr>
          <w:rFonts w:ascii="Times New Roman" w:eastAsia="Times New Roman" w:hAnsi="Times New Roman" w:cs="Times New Roman"/>
        </w:rPr>
        <w:t xml:space="preserve"> which can both lead to lower revenue.</w:t>
      </w:r>
      <w:r w:rsidR="2B2A9631" w:rsidRPr="4C301488">
        <w:rPr>
          <w:rFonts w:ascii="Times New Roman" w:eastAsia="Times New Roman" w:hAnsi="Times New Roman" w:cs="Times New Roman"/>
        </w:rPr>
        <w:t xml:space="preserve"> </w:t>
      </w:r>
      <w:r w:rsidR="2B2A9631" w:rsidRPr="73889DCF">
        <w:rPr>
          <w:rFonts w:ascii="Times New Roman" w:eastAsia="Times New Roman" w:hAnsi="Times New Roman" w:cs="Times New Roman"/>
        </w:rPr>
        <w:t xml:space="preserve">Another </w:t>
      </w:r>
      <w:r w:rsidR="2B2A9631" w:rsidRPr="2C151F89">
        <w:rPr>
          <w:rFonts w:ascii="Times New Roman" w:eastAsia="Times New Roman" w:hAnsi="Times New Roman" w:cs="Times New Roman"/>
        </w:rPr>
        <w:t xml:space="preserve">reason for the </w:t>
      </w:r>
      <w:r w:rsidR="2B2A9631" w:rsidRPr="0FF628C3">
        <w:rPr>
          <w:rFonts w:ascii="Times New Roman" w:eastAsia="Times New Roman" w:hAnsi="Times New Roman" w:cs="Times New Roman"/>
        </w:rPr>
        <w:t xml:space="preserve">decrease could be higher </w:t>
      </w:r>
      <w:r w:rsidR="2B2A9631" w:rsidRPr="666E3F6D">
        <w:rPr>
          <w:rFonts w:ascii="Times New Roman" w:eastAsia="Times New Roman" w:hAnsi="Times New Roman" w:cs="Times New Roman"/>
        </w:rPr>
        <w:t>dividends</w:t>
      </w:r>
      <w:r w:rsidR="2B2A9631" w:rsidRPr="5B4644B6">
        <w:rPr>
          <w:rFonts w:ascii="Times New Roman" w:eastAsia="Times New Roman" w:hAnsi="Times New Roman" w:cs="Times New Roman"/>
        </w:rPr>
        <w:t xml:space="preserve"> </w:t>
      </w:r>
      <w:r w:rsidR="2B2A9631" w:rsidRPr="14A74613">
        <w:rPr>
          <w:rFonts w:ascii="Times New Roman" w:eastAsia="Times New Roman" w:hAnsi="Times New Roman" w:cs="Times New Roman"/>
        </w:rPr>
        <w:t xml:space="preserve">paid out </w:t>
      </w:r>
      <w:r w:rsidR="2B2A9631" w:rsidRPr="2542A532">
        <w:rPr>
          <w:rFonts w:ascii="Times New Roman" w:eastAsia="Times New Roman" w:hAnsi="Times New Roman" w:cs="Times New Roman"/>
        </w:rPr>
        <w:t xml:space="preserve">in 2024. </w:t>
      </w:r>
    </w:p>
    <w:p w14:paraId="214649CB" w14:textId="12EEB207" w:rsidR="00B166AF" w:rsidRPr="00867305" w:rsidRDefault="00B166AF"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color w:val="4F81BD"/>
          <w:kern w:val="0"/>
          <w14:ligatures w14:val="none"/>
        </w:rPr>
        <w:t>Operating Cash Flow vs. Net Income</w:t>
      </w:r>
    </w:p>
    <w:p w14:paraId="5F56435F" w14:textId="2989D85F" w:rsidR="00B166AF" w:rsidRPr="00867305" w:rsidRDefault="00B166AF" w:rsidP="00192D54">
      <w:pPr>
        <w:spacing w:after="200" w:line="480" w:lineRule="auto"/>
        <w:ind w:firstLine="720"/>
        <w:rPr>
          <w:rFonts w:ascii="Times New Roman" w:eastAsia="Times New Roman" w:hAnsi="Times New Roman" w:cs="Times New Roman"/>
          <w:color w:val="000000" w:themeColor="text1"/>
          <w:kern w:val="0"/>
          <w14:ligatures w14:val="none"/>
        </w:rPr>
      </w:pPr>
      <w:r w:rsidRPr="00867305">
        <w:rPr>
          <w:rFonts w:ascii="Times New Roman" w:eastAsia="Times New Roman" w:hAnsi="Times New Roman" w:cs="Times New Roman"/>
          <w:color w:val="000000"/>
          <w:kern w:val="0"/>
          <w14:ligatures w14:val="none"/>
        </w:rPr>
        <w:t>In 2024, cash flows from operating activities exceeded net income, indicating strong operational efficiency. This positive discrepancy is often due to non-cash expenses like depreciation and changes in working capital, showing that Coca-Cola is effective at converting its profits into actual cash flow.</w:t>
      </w:r>
    </w:p>
    <w:p w14:paraId="03649CDB" w14:textId="77777777" w:rsidR="008E2952" w:rsidRPr="00867305" w:rsidRDefault="008E2952"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Capital Structure</w:t>
      </w:r>
    </w:p>
    <w:p w14:paraId="5DDA4A74" w14:textId="0F44CFD2" w:rsidR="000A78B3" w:rsidRPr="00867305" w:rsidRDefault="000A78B3" w:rsidP="00192D54">
      <w:pPr>
        <w:spacing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Approximately 42% of </w:t>
      </w:r>
      <w:r w:rsidR="54832E9E" w:rsidRPr="11430125">
        <w:rPr>
          <w:rFonts w:ascii="Times New Roman" w:eastAsia="Times New Roman" w:hAnsi="Times New Roman" w:cs="Times New Roman"/>
          <w:color w:val="000000" w:themeColor="text1"/>
        </w:rPr>
        <w:t>Coca-</w:t>
      </w:r>
      <w:r w:rsidRPr="11430125">
        <w:rPr>
          <w:rFonts w:ascii="Times New Roman" w:eastAsia="Times New Roman" w:hAnsi="Times New Roman" w:cs="Times New Roman"/>
          <w:color w:val="000000" w:themeColor="text1"/>
        </w:rPr>
        <w:t xml:space="preserve">Cola’s total assets come from debt financing. This capital structure could potentially be dangerous for </w:t>
      </w:r>
      <w:r w:rsidR="79977A4B" w:rsidRPr="00867305">
        <w:rPr>
          <w:rFonts w:ascii="Times New Roman" w:eastAsia="Times New Roman" w:hAnsi="Times New Roman" w:cs="Times New Roman"/>
          <w:color w:val="000000"/>
          <w:kern w:val="0"/>
          <w14:ligatures w14:val="none"/>
        </w:rPr>
        <w:t>Coca-</w:t>
      </w:r>
      <w:r w:rsidRPr="00867305">
        <w:rPr>
          <w:rFonts w:ascii="Times New Roman" w:eastAsia="Times New Roman" w:hAnsi="Times New Roman" w:cs="Times New Roman"/>
          <w:color w:val="000000"/>
          <w:kern w:val="0"/>
          <w14:ligatures w14:val="none"/>
        </w:rPr>
        <w:t xml:space="preserve">Cola given their </w:t>
      </w:r>
      <w:r w:rsidRPr="11430125">
        <w:rPr>
          <w:rFonts w:ascii="Times New Roman" w:eastAsia="Times New Roman" w:hAnsi="Times New Roman" w:cs="Times New Roman"/>
          <w:color w:val="000000" w:themeColor="text1"/>
        </w:rPr>
        <w:t>high level</w:t>
      </w:r>
      <w:r w:rsidRPr="00867305">
        <w:rPr>
          <w:rFonts w:ascii="Times New Roman" w:eastAsia="Times New Roman" w:hAnsi="Times New Roman" w:cs="Times New Roman"/>
          <w:color w:val="000000"/>
          <w:kern w:val="0"/>
          <w14:ligatures w14:val="none"/>
        </w:rPr>
        <w:t xml:space="preserve"> of debt leverage and puts increased pressure on cash flows for upcoming years. However, they have a moderate level of financial leverage, and their capital structure relies both on </w:t>
      </w:r>
      <w:r w:rsidR="6AAC47E7" w:rsidRPr="11430125">
        <w:rPr>
          <w:rFonts w:ascii="Times New Roman" w:eastAsia="Times New Roman" w:hAnsi="Times New Roman" w:cs="Times New Roman"/>
          <w:color w:val="000000" w:themeColor="text1"/>
        </w:rPr>
        <w:t>debit</w:t>
      </w:r>
      <w:r w:rsidRPr="11430125">
        <w:rPr>
          <w:rFonts w:ascii="Times New Roman" w:eastAsia="Times New Roman" w:hAnsi="Times New Roman" w:cs="Times New Roman"/>
          <w:color w:val="000000" w:themeColor="text1"/>
        </w:rPr>
        <w:t xml:space="preserve"> and equity financing.</w:t>
      </w:r>
    </w:p>
    <w:p w14:paraId="3722A68A" w14:textId="77777777" w:rsidR="0046418A" w:rsidRPr="00867305" w:rsidRDefault="0046418A"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Auditor's Assurance</w:t>
      </w:r>
    </w:p>
    <w:p w14:paraId="0FB4C280" w14:textId="0D3010FC"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Ernst &amp; Young LLP has served as </w:t>
      </w:r>
      <w:r w:rsidR="67B38912" w:rsidRPr="11430125">
        <w:rPr>
          <w:rFonts w:ascii="Times New Roman" w:eastAsia="Times New Roman" w:hAnsi="Times New Roman" w:cs="Times New Roman"/>
          <w:color w:val="000000" w:themeColor="text1"/>
        </w:rPr>
        <w:t>Coca-Cola’s</w:t>
      </w:r>
      <w:r w:rsidRPr="00867305">
        <w:rPr>
          <w:rFonts w:ascii="Times New Roman" w:eastAsia="Times New Roman" w:hAnsi="Times New Roman" w:cs="Times New Roman"/>
          <w:color w:val="000000"/>
          <w:kern w:val="0"/>
          <w14:ligatures w14:val="none"/>
        </w:rPr>
        <w:t xml:space="preserve"> auditors since 1921. The purpose of the audit was to give an opinion on the company’s financial statements as a public accounting firm in accordance with the PCAOB.</w:t>
      </w:r>
      <w:r w:rsidRPr="11430125">
        <w:rPr>
          <w:rFonts w:ascii="Times New Roman" w:eastAsia="Times New Roman" w:hAnsi="Times New Roman" w:cs="Times New Roman"/>
          <w:color w:val="000000" w:themeColor="text1"/>
        </w:rPr>
        <w:t xml:space="preserve"> </w:t>
      </w:r>
    </w:p>
    <w:p w14:paraId="3387D4DC" w14:textId="7B483C3E" w:rsidR="00327F68" w:rsidRPr="00867305" w:rsidRDefault="00327F68"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As part of the audit, </w:t>
      </w:r>
      <w:r w:rsidR="0046418A" w:rsidRPr="00867305">
        <w:rPr>
          <w:rFonts w:ascii="Times New Roman" w:eastAsia="Times New Roman" w:hAnsi="Times New Roman" w:cs="Times New Roman"/>
          <w:color w:val="000000"/>
          <w:kern w:val="0"/>
          <w14:ligatures w14:val="none"/>
        </w:rPr>
        <w:t xml:space="preserve">Ernst &amp; Young evaluated the accounting principles and the overall presentation of the financial statements. Matters that concerned the auditing firm included accounts or disclosures that are material to the financial statements and involved in challenging </w:t>
      </w:r>
      <w:r w:rsidR="0DA490EB" w:rsidRPr="11430125">
        <w:rPr>
          <w:rFonts w:ascii="Times New Roman" w:eastAsia="Times New Roman" w:hAnsi="Times New Roman" w:cs="Times New Roman"/>
          <w:color w:val="000000" w:themeColor="text1"/>
        </w:rPr>
        <w:t>judgments</w:t>
      </w:r>
      <w:r w:rsidR="0046418A" w:rsidRPr="00867305">
        <w:rPr>
          <w:rFonts w:ascii="Times New Roman" w:eastAsia="Times New Roman" w:hAnsi="Times New Roman" w:cs="Times New Roman"/>
          <w:color w:val="000000"/>
          <w:kern w:val="0"/>
          <w14:ligatures w14:val="none"/>
        </w:rPr>
        <w:t xml:space="preserve">. </w:t>
      </w:r>
    </w:p>
    <w:p w14:paraId="2E15ED02" w14:textId="77777777"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One such matter was the accounting for uncertain tax positions as described in Note 12 and Note 15 within the company’s consolidated financial statements. This matter related to </w:t>
      </w:r>
      <w:r w:rsidRPr="00867305">
        <w:rPr>
          <w:rFonts w:ascii="Times New Roman" w:eastAsia="Times New Roman" w:hAnsi="Times New Roman" w:cs="Times New Roman"/>
          <w:color w:val="000000"/>
          <w:kern w:val="0"/>
          <w14:ligatures w14:val="none"/>
        </w:rPr>
        <w:lastRenderedPageBreak/>
        <w:t xml:space="preserve">income tax dealt with ultimate outcomes, which were uncertain based on a statutory note of deficiency issued by the IRS in 2015. In 2023, the U.S Tax Court sided with the IRS on this issue and issued a supplemental opinion. </w:t>
      </w:r>
    </w:p>
    <w:p w14:paraId="13A97BC4" w14:textId="77777777" w:rsidR="00327F68" w:rsidRPr="00867305" w:rsidRDefault="0046418A" w:rsidP="00192D54">
      <w:pPr>
        <w:spacing w:after="0" w:line="480" w:lineRule="auto"/>
        <w:ind w:firstLine="720"/>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 xml:space="preserve">In 2024, Coca Cola appealed the tax court’s decision to issue an additional federal income tax of $2.7 billion and with interest, $6 billion. As of December 31st, 2024, the decision regarding this appeal is uncertain. </w:t>
      </w:r>
    </w:p>
    <w:p w14:paraId="324DBF29" w14:textId="27AC1542" w:rsidR="1BE60724" w:rsidRPr="00DE127F" w:rsidRDefault="0046418A" w:rsidP="00192D54">
      <w:pPr>
        <w:spacing w:after="0" w:line="480" w:lineRule="auto"/>
        <w:ind w:firstLine="720"/>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Another matter for the purpose of this audit includes an issue of the valuation of trademarks with indefinite lives and goodwill. Auditing the values involved in this issue proved complex due to the significant estimation required to determine the fair value involved with this type of trademark. They were sensitive to serious assumptions dealing with future market and economic conditions.</w:t>
      </w:r>
    </w:p>
    <w:p w14:paraId="74ED2FD2" w14:textId="77777777" w:rsidR="00F53248" w:rsidRPr="00867305" w:rsidRDefault="00F53248" w:rsidP="00192D54">
      <w:pPr>
        <w:spacing w:before="240" w:line="480" w:lineRule="auto"/>
        <w:outlineLvl w:val="1"/>
        <w:rPr>
          <w:rFonts w:ascii="Times New Roman" w:eastAsia="Times New Roman" w:hAnsi="Times New Roman" w:cs="Times New Roman"/>
          <w:b/>
          <w:bCs/>
          <w:kern w:val="0"/>
          <w:sz w:val="36"/>
          <w:szCs w:val="36"/>
          <w14:ligatures w14:val="none"/>
        </w:rPr>
      </w:pPr>
      <w:r w:rsidRPr="00867305">
        <w:rPr>
          <w:rFonts w:ascii="Times New Roman" w:eastAsia="Times New Roman" w:hAnsi="Times New Roman" w:cs="Times New Roman"/>
          <w:b/>
          <w:bCs/>
          <w:color w:val="4F81BD"/>
          <w:kern w:val="0"/>
          <w:sz w:val="26"/>
          <w:szCs w:val="26"/>
          <w14:ligatures w14:val="none"/>
        </w:rPr>
        <w:t>3. Ratio Analysis</w:t>
      </w:r>
    </w:p>
    <w:p w14:paraId="4194C1AE" w14:textId="64FB50FB" w:rsidR="00F92AC0" w:rsidRPr="00867305" w:rsidRDefault="00F53248" w:rsidP="00192D54">
      <w:pPr>
        <w:spacing w:after="200"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Key financial ratios for Coca-Cola compared to PepsiCo:</w:t>
      </w:r>
    </w:p>
    <w:tbl>
      <w:tblPr>
        <w:tblW w:w="0" w:type="auto"/>
        <w:tblCellMar>
          <w:top w:w="15" w:type="dxa"/>
          <w:left w:w="15" w:type="dxa"/>
          <w:bottom w:w="15" w:type="dxa"/>
          <w:right w:w="15" w:type="dxa"/>
        </w:tblCellMar>
        <w:tblLook w:val="04A0" w:firstRow="1" w:lastRow="0" w:firstColumn="1" w:lastColumn="0" w:noHBand="0" w:noVBand="1"/>
      </w:tblPr>
      <w:tblGrid>
        <w:gridCol w:w="4863"/>
        <w:gridCol w:w="2122"/>
        <w:gridCol w:w="2122"/>
      </w:tblGrid>
      <w:tr w:rsidR="00F53248" w:rsidRPr="00867305" w14:paraId="6298125C"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EEF29"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9B9D4"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Coca-Cola</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AF439"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PepsiCo</w:t>
            </w:r>
          </w:p>
        </w:tc>
      </w:tr>
      <w:tr w:rsidR="00F53248" w:rsidRPr="00867305" w14:paraId="25B1D256"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54396" w14:textId="571FDB11"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1. </w:t>
            </w:r>
            <w:r w:rsidR="00F53248" w:rsidRPr="00867305">
              <w:rPr>
                <w:rFonts w:ascii="Times New Roman" w:eastAsia="Times New Roman" w:hAnsi="Times New Roman" w:cs="Times New Roman"/>
                <w:color w:val="000000"/>
                <w:kern w:val="0"/>
                <w14:ligatures w14:val="none"/>
              </w:rPr>
              <w:t>Net Profit Margin</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ECE7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0.23</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3D0E5"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0.1</w:t>
            </w:r>
          </w:p>
        </w:tc>
      </w:tr>
      <w:tr w:rsidR="00F53248" w:rsidRPr="00867305" w14:paraId="1B13DBFD"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EEB5C" w14:textId="021B8AD1"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2. </w:t>
            </w:r>
            <w:r w:rsidR="00F53248" w:rsidRPr="00867305">
              <w:rPr>
                <w:rFonts w:ascii="Times New Roman" w:eastAsia="Times New Roman" w:hAnsi="Times New Roman" w:cs="Times New Roman"/>
                <w:color w:val="000000"/>
                <w:kern w:val="0"/>
                <w14:ligatures w14:val="none"/>
              </w:rPr>
              <w:t>Return on Equity</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7F22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0.38</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191D0"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0.52</w:t>
            </w:r>
          </w:p>
        </w:tc>
      </w:tr>
      <w:tr w:rsidR="00F53248" w:rsidRPr="00867305" w14:paraId="2F434F95"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B4350" w14:textId="697DB298"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3. </w:t>
            </w:r>
            <w:r w:rsidR="00F53248" w:rsidRPr="00867305">
              <w:rPr>
                <w:rFonts w:ascii="Times New Roman" w:eastAsia="Times New Roman" w:hAnsi="Times New Roman" w:cs="Times New Roman"/>
                <w:color w:val="000000"/>
                <w:kern w:val="0"/>
                <w14:ligatures w14:val="none"/>
              </w:rPr>
              <w:t>Earnings per Share</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23C10"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2.47</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71026"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7.0</w:t>
            </w:r>
          </w:p>
        </w:tc>
      </w:tr>
      <w:tr w:rsidR="00F53248" w:rsidRPr="00867305" w14:paraId="642A1112"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0CF6F" w14:textId="20A4520B"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4. </w:t>
            </w:r>
            <w:r w:rsidR="00F53248" w:rsidRPr="00867305">
              <w:rPr>
                <w:rFonts w:ascii="Times New Roman" w:eastAsia="Times New Roman" w:hAnsi="Times New Roman" w:cs="Times New Roman"/>
                <w:color w:val="000000"/>
                <w:kern w:val="0"/>
                <w14:ligatures w14:val="none"/>
              </w:rPr>
              <w:t>Receivables Turnover</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2BA0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13.19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77D2E"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8.89</w:t>
            </w:r>
          </w:p>
        </w:tc>
      </w:tr>
      <w:tr w:rsidR="00F53248" w:rsidRPr="00867305" w14:paraId="084BF11E"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DC4B1" w14:textId="39B217B8"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5. </w:t>
            </w:r>
            <w:r w:rsidR="00F53248" w:rsidRPr="00867305">
              <w:rPr>
                <w:rFonts w:ascii="Times New Roman" w:eastAsia="Times New Roman" w:hAnsi="Times New Roman" w:cs="Times New Roman"/>
                <w:color w:val="000000"/>
                <w:kern w:val="0"/>
                <w14:ligatures w14:val="none"/>
              </w:rPr>
              <w:t>Inventory Turnover</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F9C6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3.88</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F2C8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7.87</w:t>
            </w:r>
          </w:p>
        </w:tc>
      </w:tr>
      <w:tr w:rsidR="00F53248" w:rsidRPr="00867305" w14:paraId="441450C0"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DB69B" w14:textId="7CACDE5F"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6. </w:t>
            </w:r>
            <w:r w:rsidR="00F53248" w:rsidRPr="00867305">
              <w:rPr>
                <w:rFonts w:ascii="Times New Roman" w:eastAsia="Times New Roman" w:hAnsi="Times New Roman" w:cs="Times New Roman"/>
                <w:color w:val="000000"/>
                <w:kern w:val="0"/>
                <w14:ligatures w14:val="none"/>
              </w:rPr>
              <w:t>Current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346AD"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1.03</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B4A0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0.82</w:t>
            </w:r>
          </w:p>
        </w:tc>
      </w:tr>
      <w:tr w:rsidR="00F53248" w:rsidRPr="00867305" w14:paraId="3A21C87B"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BDF9" w14:textId="4200DDF9"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7. </w:t>
            </w:r>
            <w:r w:rsidR="00F53248" w:rsidRPr="00867305">
              <w:rPr>
                <w:rFonts w:ascii="Times New Roman" w:eastAsia="Times New Roman" w:hAnsi="Times New Roman" w:cs="Times New Roman"/>
                <w:color w:val="000000"/>
                <w:kern w:val="0"/>
                <w14:ligatures w14:val="none"/>
              </w:rPr>
              <w:t>Quick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6ECB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0.84</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35071"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0.65</w:t>
            </w:r>
          </w:p>
        </w:tc>
      </w:tr>
      <w:tr w:rsidR="00F53248" w:rsidRPr="00867305" w14:paraId="7721DF06"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4F0D3" w14:textId="2EE9A89B"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8. </w:t>
            </w:r>
            <w:r w:rsidR="00F53248" w:rsidRPr="00867305">
              <w:rPr>
                <w:rFonts w:ascii="Times New Roman" w:eastAsia="Times New Roman" w:hAnsi="Times New Roman" w:cs="Times New Roman"/>
                <w:color w:val="000000"/>
                <w:kern w:val="0"/>
                <w14:ligatures w14:val="none"/>
              </w:rPr>
              <w:t>Debt to Equity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795D5"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2.5</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BFBA7"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4.47</w:t>
            </w:r>
          </w:p>
        </w:tc>
      </w:tr>
      <w:tr w:rsidR="00F53248" w:rsidRPr="00867305" w14:paraId="26665FFC" w14:textId="77777777" w:rsidTr="006D06A4">
        <w:trPr>
          <w:trHeight w:val="529"/>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5F392" w14:textId="45D9BCF6"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lastRenderedPageBreak/>
              <w:t xml:space="preserve">9. </w:t>
            </w:r>
            <w:r w:rsidR="00F53248" w:rsidRPr="00867305">
              <w:rPr>
                <w:rFonts w:ascii="Times New Roman" w:eastAsia="Times New Roman" w:hAnsi="Times New Roman" w:cs="Times New Roman"/>
                <w:color w:val="000000"/>
                <w:kern w:val="0"/>
                <w14:ligatures w14:val="none"/>
              </w:rPr>
              <w:t>Times Interest Earned</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E14C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8.9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F45D2"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14.0</w:t>
            </w:r>
          </w:p>
        </w:tc>
      </w:tr>
      <w:tr w:rsidR="00F53248" w:rsidRPr="00867305" w14:paraId="220A2E25" w14:textId="77777777" w:rsidTr="006D06A4">
        <w:trPr>
          <w:trHeight w:val="540"/>
        </w:trPr>
        <w:tc>
          <w:tcPr>
            <w:tcW w:w="4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D0018" w14:textId="772F269E" w:rsidR="00F53248" w:rsidRPr="00867305" w:rsidRDefault="001C4770"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 xml:space="preserve">10. </w:t>
            </w:r>
            <w:r w:rsidR="00F53248" w:rsidRPr="00867305">
              <w:rPr>
                <w:rFonts w:ascii="Times New Roman" w:eastAsia="Times New Roman" w:hAnsi="Times New Roman" w:cs="Times New Roman"/>
                <w:color w:val="000000"/>
                <w:kern w:val="0"/>
                <w14:ligatures w14:val="none"/>
              </w:rPr>
              <w:t>Price-to-Earnings Ratio</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95F61"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25.19</w:t>
            </w:r>
          </w:p>
        </w:tc>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CCABA" w14:textId="77777777" w:rsidR="00F53248" w:rsidRPr="00867305" w:rsidRDefault="00F53248" w:rsidP="00192D54">
            <w:pPr>
              <w:spacing w:after="0" w:line="480" w:lineRule="auto"/>
              <w:rPr>
                <w:rFonts w:ascii="Times New Roman" w:eastAsia="Times New Roman" w:hAnsi="Times New Roman" w:cs="Times New Roman"/>
                <w:kern w:val="0"/>
                <w14:ligatures w14:val="none"/>
              </w:rPr>
            </w:pPr>
            <w:r w:rsidRPr="00867305">
              <w:rPr>
                <w:rFonts w:ascii="Times New Roman" w:eastAsia="Times New Roman" w:hAnsi="Times New Roman" w:cs="Times New Roman"/>
                <w:color w:val="000000"/>
                <w:kern w:val="0"/>
                <w14:ligatures w14:val="none"/>
              </w:rPr>
              <w:t>21.74</w:t>
            </w:r>
          </w:p>
        </w:tc>
      </w:tr>
    </w:tbl>
    <w:p w14:paraId="7724F636" w14:textId="75DB6067" w:rsidR="00327F68" w:rsidRPr="00625B45" w:rsidRDefault="00625B45" w:rsidP="00192D54">
      <w:pPr>
        <w:rPr>
          <w:rFonts w:ascii="Times New Roman" w:eastAsia="Times New Roman" w:hAnsi="Times New Roman" w:cs="Times New Roman"/>
          <w:b/>
          <w:bCs/>
          <w:i/>
          <w:iCs/>
          <w:u w:val="single"/>
        </w:rPr>
      </w:pPr>
      <w:r>
        <w:rPr>
          <w:rFonts w:ascii="Times New Roman" w:eastAsia="Times New Roman" w:hAnsi="Times New Roman" w:cs="Times New Roman"/>
          <w:b/>
          <w:bCs/>
          <w:i/>
          <w:iCs/>
          <w:u w:val="single"/>
        </w:rPr>
        <w:t>See Appendix D: Key Financial Ratios (Coca-Cola vs. PepsiCo)</w:t>
      </w:r>
    </w:p>
    <w:p w14:paraId="5CB4FB1F" w14:textId="4D145733" w:rsidR="001C02CA" w:rsidRPr="00867305" w:rsidRDefault="002372B8" w:rsidP="00192D54">
      <w:pPr>
        <w:spacing w:line="480" w:lineRule="auto"/>
        <w:rPr>
          <w:rFonts w:ascii="Times New Roman" w:eastAsia="Times New Roman" w:hAnsi="Times New Roman" w:cs="Times New Roman"/>
          <w:b/>
          <w:bCs/>
          <w:color w:val="4F81BD"/>
          <w:kern w:val="0"/>
          <w14:ligatures w14:val="none"/>
        </w:rPr>
      </w:pPr>
      <w:r w:rsidRPr="00867305">
        <w:rPr>
          <w:rFonts w:ascii="Times New Roman" w:eastAsia="Times New Roman" w:hAnsi="Times New Roman" w:cs="Times New Roman"/>
          <w:b/>
          <w:bCs/>
          <w:color w:val="4F81BD"/>
          <w:kern w:val="0"/>
          <w14:ligatures w14:val="none"/>
        </w:rPr>
        <w:t>Profitability</w:t>
      </w:r>
    </w:p>
    <w:p w14:paraId="6E9AEF21" w14:textId="5118AEEF" w:rsidR="001C02CA" w:rsidRPr="00867305" w:rsidRDefault="001C02CA" w:rsidP="00192D54">
      <w:pPr>
        <w:spacing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rPr>
        <w:t>Net Profit Margin:</w:t>
      </w:r>
      <w:r w:rsidRPr="00867305">
        <w:rPr>
          <w:rFonts w:ascii="Times New Roman" w:eastAsia="Times New Roman" w:hAnsi="Times New Roman" w:cs="Times New Roman"/>
          <w:bCs/>
        </w:rPr>
        <w:t xml:space="preserve"> 23% (Coca-Cola) vs. 10% (PepsiCo)</w:t>
      </w:r>
    </w:p>
    <w:p w14:paraId="62C8C8E6" w14:textId="77E7D36E" w:rsidR="76DD7FCB" w:rsidRDefault="76DD7FCB" w:rsidP="04098529">
      <w:pPr>
        <w:spacing w:line="480" w:lineRule="auto"/>
        <w:ind w:firstLine="720"/>
        <w:rPr>
          <w:rFonts w:ascii="Times New Roman" w:eastAsia="Times New Roman" w:hAnsi="Times New Roman" w:cs="Times New Roman"/>
        </w:rPr>
      </w:pPr>
      <w:r w:rsidRPr="04098529">
        <w:rPr>
          <w:rFonts w:ascii="Times New Roman" w:eastAsia="Times New Roman" w:hAnsi="Times New Roman" w:cs="Times New Roman"/>
        </w:rPr>
        <w:t>Net profit margin is the proportion of a company's total sales income left as profit after all costs are subtracted. The figures indicate that Coca-Cola keeps more of its income as profit after all costs in 2024. Operating expenses, interest, and taxes help to further shape final profitability, as we see by also considering the gross profit margin (previously covered) and contrasting it with the net profit margin. While controlled operating expenses help to turn more of that gross profit into net income, Coca-Cola's strong brand power supports a relatively high gross margin. This high margin indicates more pricing power than PepsiCo and better cost control.</w:t>
      </w:r>
    </w:p>
    <w:p w14:paraId="168DE01C" w14:textId="34C2E0F4" w:rsidR="00AA678F" w:rsidRPr="00867305" w:rsidRDefault="00AA678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Return on Equity</w:t>
      </w:r>
      <w:r w:rsidR="000172E7" w:rsidRPr="00867305">
        <w:rPr>
          <w:rFonts w:ascii="Times New Roman" w:eastAsia="Times New Roman" w:hAnsi="Times New Roman" w:cs="Times New Roman"/>
          <w:b/>
        </w:rPr>
        <w:t>:</w:t>
      </w:r>
      <w:r w:rsidRPr="00867305">
        <w:rPr>
          <w:rFonts w:ascii="Times New Roman" w:eastAsia="Times New Roman" w:hAnsi="Times New Roman" w:cs="Times New Roman"/>
          <w:bCs/>
        </w:rPr>
        <w:t xml:space="preserve"> (ROE): 38% (Coca-Cola) vs. 52% (PepsiCo)</w:t>
      </w:r>
    </w:p>
    <w:p w14:paraId="3F94C7BB" w14:textId="512D6929" w:rsidR="00F24E8A" w:rsidRPr="000C6E02" w:rsidRDefault="00964EC6" w:rsidP="000C6E02">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Return on Equity represents how effectively a company is using their shareholders’ equity to generate net income.</w:t>
      </w:r>
      <w:r w:rsidR="00F02344">
        <w:rPr>
          <w:rFonts w:ascii="Times New Roman" w:eastAsia="Times New Roman" w:hAnsi="Times New Roman" w:cs="Times New Roman"/>
          <w:bCs/>
        </w:rPr>
        <w:t xml:space="preserve"> </w:t>
      </w:r>
      <w:r w:rsidR="00AA678F" w:rsidRPr="00867305">
        <w:rPr>
          <w:rFonts w:ascii="Times New Roman" w:eastAsia="Times New Roman" w:hAnsi="Times New Roman" w:cs="Times New Roman"/>
          <w:bCs/>
        </w:rPr>
        <w:t xml:space="preserve">Although Coca-Cola generates strong returns on shareholder equity, PepsiCo outperforms </w:t>
      </w:r>
      <w:r w:rsidR="00C92455" w:rsidRPr="00867305">
        <w:rPr>
          <w:rFonts w:ascii="Times New Roman" w:eastAsia="Times New Roman" w:hAnsi="Times New Roman" w:cs="Times New Roman"/>
          <w:bCs/>
        </w:rPr>
        <w:t>Coca-Cola when it comes to return on equity</w:t>
      </w:r>
      <w:r w:rsidR="00AA678F" w:rsidRPr="00867305">
        <w:rPr>
          <w:rFonts w:ascii="Times New Roman" w:eastAsia="Times New Roman" w:hAnsi="Times New Roman" w:cs="Times New Roman"/>
          <w:bCs/>
        </w:rPr>
        <w:t>. This indicates PepsiCo may be using its equity more efficiently to drive returns.</w:t>
      </w:r>
    </w:p>
    <w:p w14:paraId="43567887" w14:textId="736057E9" w:rsidR="00EA24B9" w:rsidRPr="00867305" w:rsidRDefault="00EA24B9"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Turnover</w:t>
      </w:r>
    </w:p>
    <w:p w14:paraId="164A99B6" w14:textId="77777777" w:rsidR="00693572" w:rsidRPr="00867305" w:rsidRDefault="00693572"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Receivables Turnover:</w:t>
      </w:r>
      <w:r w:rsidRPr="00867305">
        <w:rPr>
          <w:rFonts w:ascii="Times New Roman" w:eastAsia="Times New Roman" w:hAnsi="Times New Roman" w:cs="Times New Roman"/>
          <w:bCs/>
        </w:rPr>
        <w:t xml:space="preserve"> 13.19 (Coca-Cola) vs. 8.89 (PepsiCo)</w:t>
      </w:r>
    </w:p>
    <w:p w14:paraId="157F367E" w14:textId="68248FC9" w:rsidR="00B2155B" w:rsidRPr="00867305" w:rsidRDefault="00693572"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The receivables turnover ratio tells us how efficiently a company can convert its total accounts receivable into cash over a given period.</w:t>
      </w:r>
      <w:r w:rsidR="00F02344">
        <w:rPr>
          <w:rFonts w:ascii="Times New Roman" w:eastAsia="Times New Roman" w:hAnsi="Times New Roman" w:cs="Times New Roman"/>
          <w:bCs/>
        </w:rPr>
        <w:t xml:space="preserve"> </w:t>
      </w:r>
      <w:r w:rsidR="00821649" w:rsidRPr="00867305">
        <w:rPr>
          <w:rFonts w:ascii="Times New Roman" w:eastAsia="Times New Roman" w:hAnsi="Times New Roman" w:cs="Times New Roman"/>
          <w:bCs/>
        </w:rPr>
        <w:t xml:space="preserve">For the year ended in 2024, Coca-Cola’s receivables turnover ratio was 13.19, meaning the company collected their average accounts </w:t>
      </w:r>
      <w:r w:rsidR="00821649" w:rsidRPr="00867305">
        <w:rPr>
          <w:rFonts w:ascii="Times New Roman" w:eastAsia="Times New Roman" w:hAnsi="Times New Roman" w:cs="Times New Roman"/>
          <w:bCs/>
        </w:rPr>
        <w:lastRenderedPageBreak/>
        <w:t xml:space="preserve">receivable about 13.19 times throughout the year. </w:t>
      </w:r>
      <w:r w:rsidRPr="00867305">
        <w:rPr>
          <w:rFonts w:ascii="Times New Roman" w:eastAsia="Times New Roman" w:hAnsi="Times New Roman" w:cs="Times New Roman"/>
          <w:bCs/>
        </w:rPr>
        <w:t xml:space="preserve">Coca-Cola is more efficient at collecting payments from customers, suggesting strong credit </w:t>
      </w:r>
      <w:r w:rsidR="000D598F" w:rsidRPr="00867305">
        <w:rPr>
          <w:rFonts w:ascii="Times New Roman" w:eastAsia="Times New Roman" w:hAnsi="Times New Roman" w:cs="Times New Roman"/>
          <w:bCs/>
        </w:rPr>
        <w:t>management.</w:t>
      </w:r>
    </w:p>
    <w:p w14:paraId="5AADCF0B" w14:textId="77777777" w:rsidR="00833DCD" w:rsidRPr="00867305" w:rsidRDefault="00833DCD"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Inventory Turnover:</w:t>
      </w:r>
      <w:r w:rsidRPr="00867305">
        <w:rPr>
          <w:rFonts w:ascii="Times New Roman" w:eastAsia="Times New Roman" w:hAnsi="Times New Roman" w:cs="Times New Roman"/>
          <w:bCs/>
        </w:rPr>
        <w:t xml:space="preserve"> 3.88 (Coca-Cola) vs. 7.87 (PepsiCo)</w:t>
      </w:r>
    </w:p>
    <w:p w14:paraId="7FFB6497" w14:textId="1DEBEC20" w:rsidR="00B90C12" w:rsidRPr="00867305" w:rsidRDefault="000D598F"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Inventory turnover tells us how many times a company sells and replaces its inventory during a period.</w:t>
      </w:r>
      <w:r w:rsidR="00F02344">
        <w:rPr>
          <w:rFonts w:ascii="Times New Roman" w:eastAsia="Times New Roman" w:hAnsi="Times New Roman" w:cs="Times New Roman"/>
          <w:bCs/>
        </w:rPr>
        <w:t xml:space="preserve"> </w:t>
      </w:r>
      <w:r w:rsidR="00833DCD" w:rsidRPr="00867305">
        <w:rPr>
          <w:rFonts w:ascii="Times New Roman" w:eastAsia="Times New Roman" w:hAnsi="Times New Roman" w:cs="Times New Roman"/>
          <w:bCs/>
        </w:rPr>
        <w:t>An inventory turnover rate of 3.876 means that Coca-Cola sold and replaced its inventory almost 4 times this year.</w:t>
      </w:r>
      <w:r w:rsidR="005475A6" w:rsidRPr="00867305">
        <w:rPr>
          <w:rFonts w:ascii="Times New Roman" w:eastAsia="Times New Roman" w:hAnsi="Times New Roman" w:cs="Times New Roman"/>
          <w:bCs/>
        </w:rPr>
        <w:t xml:space="preserve"> In </w:t>
      </w:r>
      <w:r w:rsidR="00B90C12" w:rsidRPr="00867305">
        <w:rPr>
          <w:rFonts w:ascii="Times New Roman" w:eastAsia="Times New Roman" w:hAnsi="Times New Roman" w:cs="Times New Roman"/>
          <w:bCs/>
        </w:rPr>
        <w:t>fact,</w:t>
      </w:r>
      <w:r w:rsidR="005475A6" w:rsidRPr="00867305">
        <w:rPr>
          <w:rFonts w:ascii="Times New Roman" w:eastAsia="Times New Roman" w:hAnsi="Times New Roman" w:cs="Times New Roman"/>
          <w:bCs/>
        </w:rPr>
        <w:t xml:space="preserve"> </w:t>
      </w:r>
      <w:r w:rsidR="00833DCD" w:rsidRPr="00867305">
        <w:rPr>
          <w:rFonts w:ascii="Times New Roman" w:eastAsia="Times New Roman" w:hAnsi="Times New Roman" w:cs="Times New Roman"/>
          <w:bCs/>
        </w:rPr>
        <w:t xml:space="preserve">PepsiCo moves inventory more than twice as fast as Coca-Cola. </w:t>
      </w:r>
      <w:r w:rsidR="004320B3" w:rsidRPr="00867305">
        <w:rPr>
          <w:rFonts w:ascii="Times New Roman" w:eastAsia="Times New Roman" w:hAnsi="Times New Roman" w:cs="Times New Roman"/>
          <w:bCs/>
        </w:rPr>
        <w:t>This is a below average turnover rate, meaning that the company could possibly have too much product in inventory.</w:t>
      </w:r>
      <w:r w:rsidR="3F2EDD16" w:rsidRPr="160FEADA">
        <w:rPr>
          <w:rFonts w:ascii="Times New Roman" w:eastAsia="Times New Roman" w:hAnsi="Times New Roman" w:cs="Times New Roman"/>
        </w:rPr>
        <w:t xml:space="preserve"> </w:t>
      </w:r>
    </w:p>
    <w:p w14:paraId="1C5D9A3B" w14:textId="5021F75F" w:rsidR="00B90C12" w:rsidRPr="00867305" w:rsidRDefault="00B90C12"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Liquidity</w:t>
      </w:r>
    </w:p>
    <w:p w14:paraId="2A88AE94" w14:textId="77777777" w:rsidR="009939FF" w:rsidRPr="00867305" w:rsidRDefault="009939F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Current Ratio:</w:t>
      </w:r>
      <w:r w:rsidRPr="00867305">
        <w:rPr>
          <w:rFonts w:ascii="Times New Roman" w:eastAsia="Times New Roman" w:hAnsi="Times New Roman" w:cs="Times New Roman"/>
          <w:bCs/>
        </w:rPr>
        <w:t xml:space="preserve"> 1.03 (Coca-Cola) vs. 0.82 (PepsiCo)</w:t>
      </w:r>
    </w:p>
    <w:p w14:paraId="4DED40A3" w14:textId="583F83CE" w:rsidR="00B90C12" w:rsidRPr="00867305" w:rsidRDefault="00D13269"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The current ratio tells us how </w:t>
      </w:r>
      <w:r w:rsidR="00B2482B" w:rsidRPr="00867305">
        <w:rPr>
          <w:rFonts w:ascii="Times New Roman" w:eastAsia="Times New Roman" w:hAnsi="Times New Roman" w:cs="Times New Roman"/>
          <w:bCs/>
        </w:rPr>
        <w:t>well a company can cover their current liabilities with their current assets. A ratio above 1 indicates that a company holds short-term financial stability.</w:t>
      </w:r>
      <w:r w:rsidR="00F02344">
        <w:rPr>
          <w:rFonts w:ascii="Times New Roman" w:eastAsia="Times New Roman" w:hAnsi="Times New Roman" w:cs="Times New Roman"/>
          <w:bCs/>
        </w:rPr>
        <w:t xml:space="preserve"> </w:t>
      </w:r>
      <w:r w:rsidR="009939FF" w:rsidRPr="00867305">
        <w:rPr>
          <w:rFonts w:ascii="Times New Roman" w:eastAsia="Times New Roman" w:hAnsi="Times New Roman" w:cs="Times New Roman"/>
          <w:bCs/>
        </w:rPr>
        <w:t>Coca-Cola just covers its short-term obligations with current assets, indicating minimal liquidity cushion. Still, it performs better than PepsiCo, which falls below the ideal threshold of 1.0.</w:t>
      </w:r>
    </w:p>
    <w:p w14:paraId="43700371" w14:textId="77777777" w:rsidR="001A0E98" w:rsidRPr="00867305" w:rsidRDefault="001A0E98"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Quick Ratio:</w:t>
      </w:r>
      <w:r w:rsidRPr="00867305">
        <w:rPr>
          <w:rFonts w:ascii="Times New Roman" w:eastAsia="Times New Roman" w:hAnsi="Times New Roman" w:cs="Times New Roman"/>
          <w:bCs/>
        </w:rPr>
        <w:t xml:space="preserve"> 0.84 (Coca-Cola) vs. 0.65 (PepsiCo)</w:t>
      </w:r>
    </w:p>
    <w:p w14:paraId="56F62D5D" w14:textId="3C73F7B6" w:rsidR="00C0622F" w:rsidRPr="00867305" w:rsidRDefault="00B2482B"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The quick ratio </w:t>
      </w:r>
      <w:r w:rsidR="002431DE" w:rsidRPr="00867305">
        <w:rPr>
          <w:rFonts w:ascii="Times New Roman" w:eastAsia="Times New Roman" w:hAnsi="Times New Roman" w:cs="Times New Roman"/>
          <w:bCs/>
        </w:rPr>
        <w:t xml:space="preserve">helps determine how well a company can meet its short-term liabilities using its most liquid assets, while excluding inventory. A ratio above 1 indicates that a company </w:t>
      </w:r>
      <w:r w:rsidR="007C11CE" w:rsidRPr="00867305">
        <w:rPr>
          <w:rFonts w:ascii="Times New Roman" w:eastAsia="Times New Roman" w:hAnsi="Times New Roman" w:cs="Times New Roman"/>
          <w:bCs/>
        </w:rPr>
        <w:t>can meet their short-term liabilities based on some of their specific liquid assets.</w:t>
      </w:r>
      <w:r w:rsidR="00F02344">
        <w:rPr>
          <w:rFonts w:ascii="Times New Roman" w:eastAsia="Times New Roman" w:hAnsi="Times New Roman" w:cs="Times New Roman"/>
          <w:bCs/>
        </w:rPr>
        <w:t xml:space="preserve"> </w:t>
      </w:r>
      <w:r w:rsidR="004A6D19" w:rsidRPr="00867305">
        <w:rPr>
          <w:rFonts w:ascii="Times New Roman" w:eastAsia="Times New Roman" w:hAnsi="Times New Roman" w:cs="Times New Roman"/>
          <w:bCs/>
        </w:rPr>
        <w:t xml:space="preserve">With a quick ratio of </w:t>
      </w:r>
      <w:r w:rsidR="00A77E2D" w:rsidRPr="00867305">
        <w:rPr>
          <w:rFonts w:ascii="Times New Roman" w:eastAsia="Times New Roman" w:hAnsi="Times New Roman" w:cs="Times New Roman"/>
          <w:bCs/>
        </w:rPr>
        <w:t xml:space="preserve">0.84, </w:t>
      </w:r>
      <w:r w:rsidR="001A0E98" w:rsidRPr="00867305">
        <w:rPr>
          <w:rFonts w:ascii="Times New Roman" w:eastAsia="Times New Roman" w:hAnsi="Times New Roman" w:cs="Times New Roman"/>
          <w:bCs/>
        </w:rPr>
        <w:t>Excluding inventory, Coca-Cola may still face challenges covering immediate liabilities but is in a stronger short-term liquidity position than PepsiCo</w:t>
      </w:r>
      <w:r w:rsidR="00500CBD" w:rsidRPr="00867305">
        <w:rPr>
          <w:rFonts w:ascii="Times New Roman" w:eastAsia="Times New Roman" w:hAnsi="Times New Roman" w:cs="Times New Roman"/>
          <w:bCs/>
        </w:rPr>
        <w:t xml:space="preserve"> (quick ratio 0.65)</w:t>
      </w:r>
      <w:r w:rsidR="001A0E98" w:rsidRPr="00867305">
        <w:rPr>
          <w:rFonts w:ascii="Times New Roman" w:eastAsia="Times New Roman" w:hAnsi="Times New Roman" w:cs="Times New Roman"/>
          <w:bCs/>
        </w:rPr>
        <w:t>.</w:t>
      </w:r>
    </w:p>
    <w:p w14:paraId="16DE2703" w14:textId="2E2A3B88"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Solvency</w:t>
      </w:r>
    </w:p>
    <w:p w14:paraId="12B97544" w14:textId="77777777"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lastRenderedPageBreak/>
        <w:t>Debt to Equity Ratio:</w:t>
      </w:r>
      <w:r w:rsidRPr="00867305">
        <w:rPr>
          <w:rFonts w:ascii="Times New Roman" w:eastAsia="Times New Roman" w:hAnsi="Times New Roman" w:cs="Times New Roman"/>
          <w:bCs/>
        </w:rPr>
        <w:t xml:space="preserve"> 2.50 (Coca-Cola) vs. 4.47 (PepsiCo)</w:t>
      </w:r>
    </w:p>
    <w:p w14:paraId="4101157B" w14:textId="7575B8A6" w:rsidR="00C0622F" w:rsidRPr="00867305" w:rsidRDefault="00633C49" w:rsidP="00192D54">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The debt-to-equity ratio shows the proportion of debt used to finance assets relative to equity. A higher ratio indicates greater financial leverage and risk</w:t>
      </w:r>
      <w:r w:rsidR="00F02344">
        <w:rPr>
          <w:rFonts w:ascii="Times New Roman" w:eastAsia="Times New Roman" w:hAnsi="Times New Roman" w:cs="Times New Roman"/>
          <w:bCs/>
        </w:rPr>
        <w:t xml:space="preserve">. </w:t>
      </w:r>
      <w:r w:rsidR="000837D0" w:rsidRPr="00867305">
        <w:rPr>
          <w:rFonts w:ascii="Times New Roman" w:eastAsia="Times New Roman" w:hAnsi="Times New Roman" w:cs="Times New Roman"/>
          <w:bCs/>
        </w:rPr>
        <w:t xml:space="preserve">Based on their debt-to-equity ratios, </w:t>
      </w:r>
      <w:r w:rsidR="00C0622F" w:rsidRPr="00867305">
        <w:rPr>
          <w:rFonts w:ascii="Times New Roman" w:eastAsia="Times New Roman" w:hAnsi="Times New Roman" w:cs="Times New Roman"/>
          <w:bCs/>
        </w:rPr>
        <w:t>Coca-Cola uses $2.50 of debt for every $1 of equity, a high leverage ratio</w:t>
      </w:r>
      <w:r w:rsidR="00F34555" w:rsidRPr="00867305">
        <w:rPr>
          <w:rFonts w:ascii="Times New Roman" w:eastAsia="Times New Roman" w:hAnsi="Times New Roman" w:cs="Times New Roman"/>
          <w:bCs/>
        </w:rPr>
        <w:t>,</w:t>
      </w:r>
      <w:r w:rsidR="00C0622F" w:rsidRPr="00867305">
        <w:rPr>
          <w:rFonts w:ascii="Times New Roman" w:eastAsia="Times New Roman" w:hAnsi="Times New Roman" w:cs="Times New Roman"/>
          <w:bCs/>
        </w:rPr>
        <w:t xml:space="preserve"> </w:t>
      </w:r>
      <w:r w:rsidR="00F34555" w:rsidRPr="00867305">
        <w:rPr>
          <w:rFonts w:ascii="Times New Roman" w:eastAsia="Times New Roman" w:hAnsi="Times New Roman" w:cs="Times New Roman"/>
          <w:bCs/>
        </w:rPr>
        <w:t>but PepsiCo relies much more heavily on debt.</w:t>
      </w:r>
    </w:p>
    <w:p w14:paraId="61A1DDFB" w14:textId="77777777"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rPr>
        <w:t>Times Interest Earned (TIE):</w:t>
      </w:r>
      <w:r w:rsidRPr="00867305">
        <w:rPr>
          <w:rFonts w:ascii="Times New Roman" w:eastAsia="Times New Roman" w:hAnsi="Times New Roman" w:cs="Times New Roman"/>
          <w:bCs/>
        </w:rPr>
        <w:t xml:space="preserve"> 8.90 (Coca-Cola) vs. 14.00 (PepsiCo)</w:t>
      </w:r>
    </w:p>
    <w:p w14:paraId="5F9F7588" w14:textId="786AEA0B" w:rsidR="00F24E8A" w:rsidRPr="000C6E02" w:rsidRDefault="004828A6" w:rsidP="000C6E02">
      <w:pPr>
        <w:spacing w:line="480" w:lineRule="auto"/>
        <w:ind w:firstLine="720"/>
        <w:rPr>
          <w:rFonts w:ascii="Times New Roman" w:eastAsia="Times New Roman" w:hAnsi="Times New Roman" w:cs="Times New Roman"/>
          <w:bCs/>
        </w:rPr>
      </w:pPr>
      <w:r w:rsidRPr="00867305">
        <w:rPr>
          <w:rFonts w:ascii="Times New Roman" w:eastAsia="Times New Roman" w:hAnsi="Times New Roman" w:cs="Times New Roman"/>
          <w:bCs/>
        </w:rPr>
        <w:t xml:space="preserve">Times interest earned shows how many times a company can cover its interest expense with its </w:t>
      </w:r>
      <w:r w:rsidR="00C964CA" w:rsidRPr="00867305">
        <w:rPr>
          <w:rFonts w:ascii="Times New Roman" w:eastAsia="Times New Roman" w:hAnsi="Times New Roman" w:cs="Times New Roman"/>
          <w:bCs/>
        </w:rPr>
        <w:t xml:space="preserve">earnings before interest and taxes. </w:t>
      </w:r>
      <w:r w:rsidR="00315201" w:rsidRPr="00867305">
        <w:rPr>
          <w:rFonts w:ascii="Times New Roman" w:eastAsia="Times New Roman" w:hAnsi="Times New Roman" w:cs="Times New Roman"/>
          <w:bCs/>
        </w:rPr>
        <w:t xml:space="preserve">A higher number indicates a company is better at </w:t>
      </w:r>
      <w:r w:rsidR="00680BAB" w:rsidRPr="00867305">
        <w:rPr>
          <w:rFonts w:ascii="Times New Roman" w:eastAsia="Times New Roman" w:hAnsi="Times New Roman" w:cs="Times New Roman"/>
          <w:bCs/>
        </w:rPr>
        <w:t>paying off debts</w:t>
      </w:r>
      <w:r w:rsidR="00F02344">
        <w:rPr>
          <w:rFonts w:ascii="Times New Roman" w:eastAsia="Times New Roman" w:hAnsi="Times New Roman" w:cs="Times New Roman"/>
          <w:bCs/>
        </w:rPr>
        <w:t xml:space="preserve">. </w:t>
      </w:r>
      <w:r w:rsidR="00DE0775" w:rsidRPr="00867305">
        <w:rPr>
          <w:rFonts w:ascii="Times New Roman" w:eastAsia="Times New Roman" w:hAnsi="Times New Roman" w:cs="Times New Roman"/>
          <w:bCs/>
        </w:rPr>
        <w:t>PepsiCo covers its interest payments more comfortably with a times interest earned ratio of 14, while Coca-Cola maintains a ratio</w:t>
      </w:r>
      <w:r w:rsidR="000F6221" w:rsidRPr="00867305">
        <w:rPr>
          <w:rFonts w:ascii="Times New Roman" w:eastAsia="Times New Roman" w:hAnsi="Times New Roman" w:cs="Times New Roman"/>
          <w:bCs/>
        </w:rPr>
        <w:t xml:space="preserve"> of 8.90</w:t>
      </w:r>
      <w:r w:rsidR="00DE0775" w:rsidRPr="00867305">
        <w:rPr>
          <w:rFonts w:ascii="Times New Roman" w:eastAsia="Times New Roman" w:hAnsi="Times New Roman" w:cs="Times New Roman"/>
          <w:bCs/>
        </w:rPr>
        <w:t>, showing it can handle its debt obligations.</w:t>
      </w:r>
      <w:r w:rsidR="0094733D" w:rsidRPr="00867305">
        <w:rPr>
          <w:rFonts w:ascii="Times New Roman" w:hAnsi="Times New Roman" w:cs="Times New Roman"/>
        </w:rPr>
        <w:t xml:space="preserve"> </w:t>
      </w:r>
    </w:p>
    <w:p w14:paraId="5451DF33" w14:textId="179C8B21" w:rsidR="00C0622F" w:rsidRPr="00867305" w:rsidRDefault="00C0622F" w:rsidP="00192D54">
      <w:pPr>
        <w:spacing w:line="480" w:lineRule="auto"/>
        <w:rPr>
          <w:rFonts w:ascii="Times New Roman" w:eastAsia="Times New Roman" w:hAnsi="Times New Roman" w:cs="Times New Roman"/>
          <w:bCs/>
        </w:rPr>
      </w:pPr>
      <w:r w:rsidRPr="00867305">
        <w:rPr>
          <w:rFonts w:ascii="Times New Roman" w:eastAsia="Times New Roman" w:hAnsi="Times New Roman" w:cs="Times New Roman"/>
          <w:b/>
          <w:bCs/>
          <w:color w:val="4F81BD"/>
          <w:kern w:val="0"/>
          <w14:ligatures w14:val="none"/>
        </w:rPr>
        <w:t>Market Ratios</w:t>
      </w:r>
    </w:p>
    <w:p w14:paraId="4A1E4EFD" w14:textId="77777777" w:rsidR="002C3A0D" w:rsidRPr="00867305" w:rsidRDefault="002C3A0D"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rPr>
        <w:t>Earnings Per Share (EPS):</w:t>
      </w:r>
      <w:r w:rsidRPr="00867305">
        <w:rPr>
          <w:rFonts w:ascii="Times New Roman" w:eastAsia="Times New Roman" w:hAnsi="Times New Roman" w:cs="Times New Roman"/>
        </w:rPr>
        <w:t xml:space="preserve"> $2.47 (Coca-Cola) vs. $7.00 (PepsiCo)</w:t>
      </w:r>
    </w:p>
    <w:p w14:paraId="27E2F6DB" w14:textId="3B2C09A4" w:rsidR="001E647F" w:rsidRPr="00867305" w:rsidRDefault="000D528A"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Earnings Per Share (EPS) measures how much profit is allocated to each outstanding share of common stock.</w:t>
      </w:r>
      <w:r w:rsidR="00F02344">
        <w:rPr>
          <w:rFonts w:ascii="Times New Roman" w:eastAsia="Times New Roman" w:hAnsi="Times New Roman" w:cs="Times New Roman"/>
        </w:rPr>
        <w:t xml:space="preserve"> </w:t>
      </w:r>
      <w:r w:rsidR="001E647F" w:rsidRPr="00867305">
        <w:rPr>
          <w:rFonts w:ascii="Times New Roman" w:eastAsia="Times New Roman" w:hAnsi="Times New Roman" w:cs="Times New Roman"/>
        </w:rPr>
        <w:t>PepsiCo generates significantly more earnings per share, which could appeal to income-focused investors.</w:t>
      </w:r>
    </w:p>
    <w:p w14:paraId="2D786C26" w14:textId="5E1FDCC6" w:rsidR="002C3A0D" w:rsidRPr="00867305" w:rsidRDefault="002C3A0D" w:rsidP="00192D54">
      <w:pPr>
        <w:spacing w:line="480" w:lineRule="auto"/>
        <w:rPr>
          <w:rFonts w:ascii="Times New Roman" w:eastAsia="Times New Roman" w:hAnsi="Times New Roman" w:cs="Times New Roman"/>
        </w:rPr>
      </w:pPr>
      <w:r w:rsidRPr="00867305">
        <w:rPr>
          <w:rFonts w:ascii="Times New Roman" w:eastAsia="Times New Roman" w:hAnsi="Times New Roman" w:cs="Times New Roman"/>
          <w:b/>
          <w:bCs/>
        </w:rPr>
        <w:t>Price-to-Earnings (P/E) Ratio:</w:t>
      </w:r>
      <w:r w:rsidRPr="00867305">
        <w:rPr>
          <w:rFonts w:ascii="Times New Roman" w:eastAsia="Times New Roman" w:hAnsi="Times New Roman" w:cs="Times New Roman"/>
        </w:rPr>
        <w:t xml:space="preserve"> 25.19 (Coca-Cola) vs. 21.74 (PepsiCo)</w:t>
      </w:r>
    </w:p>
    <w:p w14:paraId="5940CB2A" w14:textId="29CBCC7D" w:rsidR="00F02344" w:rsidRPr="00DE127F" w:rsidRDefault="00F26A22"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Price-to-Earnings (P/E) Ratio tells us how much investors are willing to pay per dollar of earnings. A higher ratio suggests higher growth expectations.</w:t>
      </w:r>
      <w:r w:rsidR="00F02344">
        <w:rPr>
          <w:rFonts w:ascii="Times New Roman" w:eastAsia="Times New Roman" w:hAnsi="Times New Roman" w:cs="Times New Roman"/>
        </w:rPr>
        <w:t xml:space="preserve"> </w:t>
      </w:r>
      <w:r w:rsidR="002C3A0D" w:rsidRPr="00867305">
        <w:rPr>
          <w:rFonts w:ascii="Times New Roman" w:eastAsia="Times New Roman" w:hAnsi="Times New Roman" w:cs="Times New Roman"/>
        </w:rPr>
        <w:t>Coca-Cola trades at a higher multiple, indicating greater investor confidence or a perceived growth premium despite lower EPS.</w:t>
      </w:r>
    </w:p>
    <w:p w14:paraId="64881DE3" w14:textId="77777777" w:rsidR="00764B64" w:rsidRPr="00DE127F" w:rsidRDefault="00764B64" w:rsidP="00192D54">
      <w:pPr>
        <w:spacing w:after="0" w:line="480" w:lineRule="auto"/>
        <w:outlineLvl w:val="1"/>
        <w:rPr>
          <w:rFonts w:ascii="Times New Roman" w:eastAsia="Times New Roman" w:hAnsi="Times New Roman" w:cs="Times New Roman"/>
          <w:b/>
          <w:bCs/>
          <w:kern w:val="0"/>
          <w:sz w:val="26"/>
          <w:szCs w:val="26"/>
          <w14:ligatures w14:val="none"/>
        </w:rPr>
      </w:pPr>
      <w:r w:rsidRPr="00DE127F">
        <w:rPr>
          <w:rFonts w:ascii="Times New Roman" w:eastAsia="Times New Roman" w:hAnsi="Times New Roman" w:cs="Times New Roman"/>
          <w:b/>
          <w:bCs/>
          <w:color w:val="4F81BD"/>
          <w:kern w:val="0"/>
          <w:sz w:val="26"/>
          <w:szCs w:val="26"/>
          <w14:ligatures w14:val="none"/>
        </w:rPr>
        <w:lastRenderedPageBreak/>
        <w:t>4. Recommendations</w:t>
      </w:r>
    </w:p>
    <w:p w14:paraId="298A317F" w14:textId="2FB28AA3" w:rsidR="6EE625EE" w:rsidRPr="00867305" w:rsidRDefault="00294B28" w:rsidP="00192D54">
      <w:pPr>
        <w:spacing w:after="0" w:line="480" w:lineRule="auto"/>
        <w:outlineLvl w:val="2"/>
        <w:rPr>
          <w:rFonts w:ascii="Times New Roman" w:eastAsia="Times New Roman" w:hAnsi="Times New Roman" w:cs="Times New Roman"/>
          <w:b/>
          <w:kern w:val="0"/>
          <w14:ligatures w14:val="none"/>
        </w:rPr>
      </w:pPr>
      <w:r w:rsidRPr="00867305">
        <w:rPr>
          <w:rFonts w:ascii="Times New Roman" w:eastAsia="Times New Roman" w:hAnsi="Times New Roman" w:cs="Times New Roman"/>
          <w:b/>
          <w:bCs/>
          <w:color w:val="4F81BD"/>
          <w:kern w:val="0"/>
          <w14:ligatures w14:val="none"/>
        </w:rPr>
        <w:t>a. Short-Term Credit Recommendation:</w:t>
      </w:r>
    </w:p>
    <w:p w14:paraId="0A75BD21" w14:textId="77777777" w:rsidR="002059B1" w:rsidRPr="00867305" w:rsidRDefault="002059B1" w:rsidP="00192D54">
      <w:pPr>
        <w:spacing w:line="480" w:lineRule="auto"/>
        <w:ind w:firstLine="720"/>
        <w:rPr>
          <w:rFonts w:ascii="Times New Roman" w:hAnsi="Times New Roman" w:cs="Times New Roman"/>
          <w:color w:val="000000"/>
        </w:rPr>
      </w:pPr>
      <w:r w:rsidRPr="00867305">
        <w:rPr>
          <w:rFonts w:ascii="Times New Roman" w:hAnsi="Times New Roman" w:cs="Times New Roman"/>
          <w:color w:val="000000"/>
        </w:rPr>
        <w:t>Coca-Cola demonstrates stronger short-term liquidity, with a current ratio of 1.03 compared to PepsiCo’s 0.82, suggesting it is better positioned to meet near-term obligations. Coca-Cola also has a higher receivables turnover (13.19 vs. 8.89), reflecting more efficient cash collection. Although both companies have quick ratios below 1, Coca-Cola’s performance provides more reassurance to creditors in the short term.</w:t>
      </w:r>
    </w:p>
    <w:p w14:paraId="0F3EDF14" w14:textId="05DD00D6" w:rsidR="00896213" w:rsidRPr="00867305" w:rsidRDefault="00A21E6A" w:rsidP="00192D54">
      <w:pPr>
        <w:spacing w:after="0" w:line="480" w:lineRule="auto"/>
        <w:rPr>
          <w:rFonts w:ascii="Times New Roman" w:hAnsi="Times New Roman" w:cs="Times New Roman"/>
          <w:b/>
          <w:bCs/>
          <w:color w:val="4F81BD"/>
        </w:rPr>
      </w:pPr>
      <w:r w:rsidRPr="00867305">
        <w:rPr>
          <w:rFonts w:ascii="Times New Roman" w:hAnsi="Times New Roman" w:cs="Times New Roman"/>
          <w:b/>
          <w:bCs/>
          <w:color w:val="4F81BD"/>
        </w:rPr>
        <w:t>b. Long-Term Credit Recommendation</w:t>
      </w:r>
    </w:p>
    <w:p w14:paraId="3C68530A" w14:textId="45C7B8F4" w:rsidR="00F56507" w:rsidRPr="00867305" w:rsidRDefault="00F56507" w:rsidP="00192D54">
      <w:pPr>
        <w:spacing w:after="0" w:line="480" w:lineRule="auto"/>
        <w:ind w:firstLine="720"/>
        <w:outlineLvl w:val="2"/>
        <w:rPr>
          <w:rFonts w:ascii="Times New Roman" w:hAnsi="Times New Roman" w:cs="Times New Roman"/>
        </w:rPr>
      </w:pPr>
      <w:r w:rsidRPr="00867305">
        <w:rPr>
          <w:rFonts w:ascii="Times New Roman" w:hAnsi="Times New Roman" w:cs="Times New Roman"/>
        </w:rPr>
        <w:t>While both companies can cover their interest expenses (TIE: Coca-Cola 8.90x, PepsiCo 14.00x), Coca-Cola has a significantly lower debt-to-equity ratio (2.50 vs. 4.47). PepsiCo’s higher leverage raises long-term risk, even with strong earnings. Coca-Cola’s global diversification, long-standing creditworthiness, and lower relative financial risk make it the comfortable choice for long-term lending</w:t>
      </w:r>
      <w:r w:rsidR="00EC146B" w:rsidRPr="00867305">
        <w:rPr>
          <w:rFonts w:ascii="Times New Roman" w:hAnsi="Times New Roman" w:cs="Times New Roman"/>
        </w:rPr>
        <w:t xml:space="preserve"> with their more conservative debt management</w:t>
      </w:r>
      <w:r w:rsidRPr="00867305">
        <w:rPr>
          <w:rFonts w:ascii="Times New Roman" w:hAnsi="Times New Roman" w:cs="Times New Roman"/>
        </w:rPr>
        <w:t>.</w:t>
      </w:r>
    </w:p>
    <w:p w14:paraId="1474927F" w14:textId="5E068D51" w:rsidR="0020439F" w:rsidRPr="00867305" w:rsidRDefault="0020439F" w:rsidP="00192D54">
      <w:pPr>
        <w:spacing w:after="0" w:line="480" w:lineRule="auto"/>
        <w:outlineLvl w:val="2"/>
        <w:rPr>
          <w:rFonts w:ascii="Times New Roman" w:eastAsia="Times New Roman" w:hAnsi="Times New Roman" w:cs="Times New Roman"/>
          <w:b/>
          <w:bCs/>
          <w:kern w:val="0"/>
          <w14:ligatures w14:val="none"/>
        </w:rPr>
      </w:pPr>
      <w:r w:rsidRPr="00867305">
        <w:rPr>
          <w:rFonts w:ascii="Times New Roman" w:eastAsia="Times New Roman" w:hAnsi="Times New Roman" w:cs="Times New Roman"/>
          <w:b/>
          <w:bCs/>
          <w:color w:val="4F81BD"/>
          <w:kern w:val="0"/>
          <w14:ligatures w14:val="none"/>
        </w:rPr>
        <w:t>c. Investment Recommendation</w:t>
      </w:r>
    </w:p>
    <w:p w14:paraId="7B63FE5E" w14:textId="73635381" w:rsidR="00D00517" w:rsidRDefault="00592634" w:rsidP="00192D54">
      <w:pPr>
        <w:spacing w:line="480" w:lineRule="auto"/>
        <w:ind w:firstLine="720"/>
        <w:rPr>
          <w:rFonts w:ascii="Times New Roman" w:eastAsia="Times New Roman" w:hAnsi="Times New Roman" w:cs="Times New Roman"/>
        </w:rPr>
      </w:pPr>
      <w:r w:rsidRPr="00867305">
        <w:rPr>
          <w:rFonts w:ascii="Times New Roman" w:eastAsia="Times New Roman" w:hAnsi="Times New Roman" w:cs="Times New Roman"/>
        </w:rPr>
        <w:t xml:space="preserve">Coca-Cola’s strong net profit margin (23%), stable earnings, and global brand loyalty make it a compelling long-term investment. Though PepsiCo has a higher EPS ($7.00 vs. $2.47) and better inventory turnover, Coca-Cola’s higher P/E ratio (25.19 vs. 21.74) </w:t>
      </w:r>
      <w:r w:rsidR="001035C5" w:rsidRPr="00867305">
        <w:rPr>
          <w:rFonts w:ascii="Times New Roman" w:eastAsia="Times New Roman" w:hAnsi="Times New Roman" w:cs="Times New Roman"/>
        </w:rPr>
        <w:t>suggests</w:t>
      </w:r>
      <w:r w:rsidRPr="00867305">
        <w:rPr>
          <w:rFonts w:ascii="Times New Roman" w:eastAsia="Times New Roman" w:hAnsi="Times New Roman" w:cs="Times New Roman"/>
        </w:rPr>
        <w:t xml:space="preserve"> greater investor confidence and growth potential.</w:t>
      </w:r>
      <w:r w:rsidR="00B36C04" w:rsidRPr="00867305">
        <w:rPr>
          <w:rFonts w:ascii="Times New Roman" w:eastAsia="Times New Roman" w:hAnsi="Times New Roman" w:cs="Times New Roman"/>
        </w:rPr>
        <w:t xml:space="preserve"> Coca-Cola’s global brand power and earnings stability </w:t>
      </w:r>
      <w:r w:rsidR="001035C5" w:rsidRPr="00867305">
        <w:rPr>
          <w:rFonts w:ascii="Times New Roman" w:eastAsia="Times New Roman" w:hAnsi="Times New Roman" w:cs="Times New Roman"/>
        </w:rPr>
        <w:t xml:space="preserve">also </w:t>
      </w:r>
      <w:r w:rsidR="00B36C04" w:rsidRPr="00867305">
        <w:rPr>
          <w:rFonts w:ascii="Times New Roman" w:eastAsia="Times New Roman" w:hAnsi="Times New Roman" w:cs="Times New Roman"/>
        </w:rPr>
        <w:t xml:space="preserve">support a favorable long-term investment. </w:t>
      </w:r>
      <w:r w:rsidR="0032215C" w:rsidRPr="00867305">
        <w:rPr>
          <w:rFonts w:ascii="Times New Roman" w:eastAsia="Times New Roman" w:hAnsi="Times New Roman" w:cs="Times New Roman"/>
        </w:rPr>
        <w:t>In conclusion, Coca-Cola is the better overall investment for reasons including its profitability, brand stability, and investor confidence, though PepsiCo remains attractive for those prioritizing earnings per share and operational efficiency.</w:t>
      </w:r>
    </w:p>
    <w:p w14:paraId="01EE4756" w14:textId="4FB5A8DF" w:rsidR="00243A8F" w:rsidRDefault="00243A8F" w:rsidP="11430125">
      <w:pPr>
        <w:spacing w:after="0" w:line="480" w:lineRule="auto"/>
        <w:outlineLvl w:val="1"/>
        <w:rPr>
          <w:rFonts w:ascii="Times New Roman" w:eastAsia="Times New Roman" w:hAnsi="Times New Roman" w:cs="Times New Roman"/>
          <w:b/>
          <w:bCs/>
          <w:color w:val="4F81BD"/>
          <w:kern w:val="0"/>
          <w:sz w:val="26"/>
          <w:szCs w:val="26"/>
          <w14:ligatures w14:val="none"/>
        </w:rPr>
      </w:pPr>
    </w:p>
    <w:p w14:paraId="769860B9" w14:textId="1F82907F" w:rsidR="004C55E6" w:rsidRPr="000762B3" w:rsidRDefault="000762B3" w:rsidP="000762B3">
      <w:pPr>
        <w:spacing w:after="0" w:line="480" w:lineRule="auto"/>
        <w:outlineLvl w:val="1"/>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color w:val="4F81BD"/>
          <w:kern w:val="0"/>
          <w:sz w:val="26"/>
          <w:szCs w:val="26"/>
          <w14:ligatures w14:val="none"/>
        </w:rPr>
        <w:t>Appendices</w:t>
      </w:r>
    </w:p>
    <w:p w14:paraId="5402EDBD" w14:textId="77777777" w:rsidR="00111751" w:rsidRPr="00867305" w:rsidRDefault="00111751" w:rsidP="00111751">
      <w:pPr>
        <w:spacing w:after="0" w:line="480" w:lineRule="auto"/>
        <w:rPr>
          <w:rFonts w:ascii="Times New Roman" w:eastAsia="Times New Roman" w:hAnsi="Times New Roman" w:cs="Times New Roman"/>
          <w:color w:val="000000" w:themeColor="text1"/>
        </w:rPr>
      </w:pPr>
      <w:r w:rsidRPr="00867305">
        <w:rPr>
          <w:rFonts w:ascii="Times New Roman" w:eastAsia="Times New Roman" w:hAnsi="Times New Roman" w:cs="Times New Roman"/>
          <w:b/>
          <w:bCs/>
          <w:color w:val="000000" w:themeColor="text1"/>
        </w:rPr>
        <w:lastRenderedPageBreak/>
        <w:t>Appendix A: References</w:t>
      </w:r>
      <w:r w:rsidRPr="00867305">
        <w:rPr>
          <w:rFonts w:ascii="Times New Roman" w:eastAsia="Times New Roman" w:hAnsi="Times New Roman" w:cs="Times New Roman"/>
          <w:color w:val="000000" w:themeColor="text1"/>
        </w:rPr>
        <w:br/>
        <w:t xml:space="preserve">The Coca-Cola Company. </w:t>
      </w:r>
      <w:r w:rsidRPr="00867305">
        <w:rPr>
          <w:rFonts w:ascii="Times New Roman" w:eastAsia="Times New Roman" w:hAnsi="Times New Roman" w:cs="Times New Roman"/>
          <w:i/>
          <w:iCs/>
          <w:color w:val="000000" w:themeColor="text1"/>
        </w:rPr>
        <w:t>Form 10-K Annual Report for the Fiscal Year Ended December 31, 2024</w:t>
      </w:r>
      <w:r w:rsidRPr="00867305">
        <w:rPr>
          <w:rFonts w:ascii="Times New Roman" w:eastAsia="Times New Roman" w:hAnsi="Times New Roman" w:cs="Times New Roman"/>
          <w:color w:val="000000" w:themeColor="text1"/>
        </w:rPr>
        <w:t xml:space="preserve">. U.S. Securities and Exchange Commission, 2025, </w:t>
      </w:r>
      <w:hyperlink r:id="rId13" w:tgtFrame="_new" w:history="1">
        <w:r w:rsidRPr="00867305">
          <w:rPr>
            <w:rStyle w:val="Hyperlink"/>
            <w:rFonts w:ascii="Times New Roman" w:eastAsia="Times New Roman" w:hAnsi="Times New Roman" w:cs="Times New Roman"/>
          </w:rPr>
          <w:t>https://www.sec.gov/Archives/edgar/data/21344/000002134425000011/ko-20241231.htm</w:t>
        </w:r>
      </w:hyperlink>
      <w:r w:rsidRPr="00867305">
        <w:rPr>
          <w:rFonts w:ascii="Times New Roman" w:eastAsia="Times New Roman" w:hAnsi="Times New Roman" w:cs="Times New Roman"/>
          <w:color w:val="000000" w:themeColor="text1"/>
        </w:rPr>
        <w:t>.</w:t>
      </w:r>
    </w:p>
    <w:p w14:paraId="0BAF0296" w14:textId="3D2C4941" w:rsidR="00111751" w:rsidRDefault="00E9792C"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B: </w:t>
      </w:r>
      <w:r w:rsidR="00C26473">
        <w:rPr>
          <w:rFonts w:ascii="Times New Roman" w:eastAsia="Times New Roman" w:hAnsi="Times New Roman" w:cs="Times New Roman"/>
          <w:b/>
          <w:bCs/>
          <w:color w:val="000000" w:themeColor="text1"/>
        </w:rPr>
        <w:t>Net Income Trend</w:t>
      </w:r>
      <w:r w:rsidR="00E77AA3">
        <w:rPr>
          <w:rFonts w:ascii="Times New Roman" w:eastAsia="Times New Roman" w:hAnsi="Times New Roman" w:cs="Times New Roman"/>
          <w:b/>
          <w:bCs/>
          <w:color w:val="000000" w:themeColor="text1"/>
        </w:rPr>
        <w:t xml:space="preserve"> (Coca-Cola Co.)</w:t>
      </w:r>
    </w:p>
    <w:p w14:paraId="05C3EA6E" w14:textId="64E4E726" w:rsidR="00566B8E" w:rsidRPr="008E1706" w:rsidRDefault="008E1706" w:rsidP="00327F68">
      <w:pPr>
        <w:spacing w:after="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bar chart represents Coca-Cola’s net income trend between 2021 and 2024. It clearly shows </w:t>
      </w:r>
      <w:r w:rsidR="00D874C2">
        <w:rPr>
          <w:rFonts w:ascii="Times New Roman" w:eastAsia="Times New Roman" w:hAnsi="Times New Roman" w:cs="Times New Roman"/>
          <w:color w:val="000000" w:themeColor="text1"/>
        </w:rPr>
        <w:t xml:space="preserve">Coca-Cola having a very healthy </w:t>
      </w:r>
      <w:r w:rsidR="00E11E61">
        <w:rPr>
          <w:rFonts w:ascii="Times New Roman" w:eastAsia="Times New Roman" w:hAnsi="Times New Roman" w:cs="Times New Roman"/>
          <w:color w:val="000000" w:themeColor="text1"/>
        </w:rPr>
        <w:t>upward trend over the last four years</w:t>
      </w:r>
      <w:r w:rsidR="003B534C">
        <w:rPr>
          <w:rFonts w:ascii="Times New Roman" w:eastAsia="Times New Roman" w:hAnsi="Times New Roman" w:cs="Times New Roman"/>
          <w:color w:val="000000" w:themeColor="text1"/>
        </w:rPr>
        <w:t xml:space="preserve">, despite </w:t>
      </w:r>
      <w:r w:rsidR="00966192">
        <w:rPr>
          <w:rFonts w:ascii="Times New Roman" w:eastAsia="Times New Roman" w:hAnsi="Times New Roman" w:cs="Times New Roman"/>
          <w:color w:val="000000" w:themeColor="text1"/>
        </w:rPr>
        <w:t>their negative growth rate in 2024.</w:t>
      </w:r>
    </w:p>
    <w:p w14:paraId="7E3C163D" w14:textId="2037B7E6" w:rsidR="00E77AA3" w:rsidRPr="00E77AA3" w:rsidRDefault="00976202" w:rsidP="00327F68">
      <w:pPr>
        <w:spacing w:after="0" w:line="480" w:lineRule="auto"/>
        <w:rPr>
          <w:rFonts w:ascii="Times New Roman" w:eastAsia="Times New Roman" w:hAnsi="Times New Roman" w:cs="Times New Roman"/>
          <w:color w:val="000000" w:themeColor="text1"/>
        </w:rPr>
      </w:pPr>
      <w:r>
        <w:rPr>
          <w:noProof/>
        </w:rPr>
        <w:drawing>
          <wp:inline distT="0" distB="0" distL="0" distR="0" wp14:anchorId="071B69E3" wp14:editId="048F4732">
            <wp:extent cx="5888736" cy="3460089"/>
            <wp:effectExtent l="0" t="0" r="17145" b="7620"/>
            <wp:docPr id="664414921" name="Chart 1">
              <a:extLst xmlns:a="http://schemas.openxmlformats.org/drawingml/2006/main">
                <a:ext uri="{FF2B5EF4-FFF2-40B4-BE49-F238E27FC236}">
                  <a16:creationId xmlns:a16="http://schemas.microsoft.com/office/drawing/2014/main" id="{FDCE6419-B4FC-3543-0EAF-05F02FDA0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401A17" w14:textId="77777777" w:rsidR="005E1452" w:rsidRDefault="005E1452" w:rsidP="00327F68">
      <w:pPr>
        <w:spacing w:after="0" w:line="480" w:lineRule="auto"/>
        <w:rPr>
          <w:rFonts w:ascii="Times New Roman" w:eastAsia="Times New Roman" w:hAnsi="Times New Roman" w:cs="Times New Roman"/>
          <w:b/>
          <w:bCs/>
          <w:color w:val="000000" w:themeColor="text1"/>
        </w:rPr>
      </w:pPr>
    </w:p>
    <w:p w14:paraId="32B13E91" w14:textId="00A72354" w:rsidR="004C55E6" w:rsidRDefault="004C55E6"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w:t>
      </w:r>
      <w:r w:rsidR="00ED3E2F">
        <w:rPr>
          <w:rFonts w:ascii="Times New Roman" w:eastAsia="Times New Roman" w:hAnsi="Times New Roman" w:cs="Times New Roman"/>
          <w:b/>
          <w:bCs/>
          <w:color w:val="000000" w:themeColor="text1"/>
        </w:rPr>
        <w:t>C</w:t>
      </w:r>
      <w:r>
        <w:rPr>
          <w:rFonts w:ascii="Times New Roman" w:eastAsia="Times New Roman" w:hAnsi="Times New Roman" w:cs="Times New Roman"/>
          <w:b/>
          <w:bCs/>
          <w:color w:val="000000" w:themeColor="text1"/>
        </w:rPr>
        <w:t xml:space="preserve">: </w:t>
      </w:r>
      <w:r w:rsidR="000D5B37">
        <w:rPr>
          <w:rFonts w:ascii="Times New Roman" w:eastAsia="Times New Roman" w:hAnsi="Times New Roman" w:cs="Times New Roman"/>
          <w:b/>
          <w:bCs/>
          <w:color w:val="000000" w:themeColor="text1"/>
        </w:rPr>
        <w:t xml:space="preserve">Table and Bar Chart </w:t>
      </w:r>
      <w:r w:rsidR="007C78FA">
        <w:rPr>
          <w:rFonts w:ascii="Times New Roman" w:eastAsia="Times New Roman" w:hAnsi="Times New Roman" w:cs="Times New Roman"/>
          <w:b/>
          <w:bCs/>
          <w:color w:val="000000" w:themeColor="text1"/>
        </w:rPr>
        <w:t>Gross Margin Analysis (Coca-Cola Co.)</w:t>
      </w:r>
    </w:p>
    <w:p w14:paraId="60982922" w14:textId="3F8FD48F" w:rsidR="00BA36D1" w:rsidRDefault="00BA36D1" w:rsidP="00111751">
      <w:pPr>
        <w:spacing w:line="360" w:lineRule="auto"/>
        <w:rPr>
          <w:rFonts w:ascii="Times New Roman" w:eastAsia="Times New Roman" w:hAnsi="Times New Roman" w:cs="Times New Roman"/>
          <w:color w:val="000000" w:themeColor="text1"/>
        </w:rPr>
      </w:pPr>
      <w:r w:rsidRPr="00BA36D1">
        <w:rPr>
          <w:rFonts w:ascii="Times New Roman" w:eastAsia="Times New Roman" w:hAnsi="Times New Roman" w:cs="Times New Roman"/>
          <w:color w:val="000000" w:themeColor="text1"/>
        </w:rPr>
        <w:t>This table presents Coca-Cola’s gross margin performance over the last three fiscal years. It shows the company’s revenue, cost of goods sold (COGS), gross profit, and the resulting gross margin percentage. The consistent increase in gross margin reflects improved pricing strategies and operational efficiency.</w:t>
      </w:r>
    </w:p>
    <w:p w14:paraId="24957198" w14:textId="77777777" w:rsidR="00CA3849"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lastRenderedPageBreak/>
        <w:t>Gross margin percentages over the past three years:</w:t>
      </w:r>
    </w:p>
    <w:p w14:paraId="38A9F935" w14:textId="6BCA415D" w:rsidR="00CA3849" w:rsidRPr="00CA3849" w:rsidRDefault="00CA3849" w:rsidP="00CA3849">
      <w:pPr>
        <w:spacing w:line="480" w:lineRule="auto"/>
        <w:rPr>
          <w:rFonts w:ascii="Times New Roman" w:eastAsia="Times New Roman" w:hAnsi="Times New Roman" w:cs="Times New Roman"/>
          <w:color w:val="000000"/>
          <w:kern w:val="0"/>
          <w14:ligatures w14:val="none"/>
        </w:rPr>
      </w:pPr>
      <w:r w:rsidRPr="00E93332">
        <w:rPr>
          <w:rFonts w:ascii="Times New Roman" w:eastAsia="Times New Roman" w:hAnsi="Times New Roman" w:cs="Times New Roman"/>
          <w:color w:val="000000"/>
          <w:kern w:val="0"/>
          <w:sz w:val="22"/>
          <w:szCs w:val="22"/>
          <w14:ligatures w14:val="none"/>
        </w:rPr>
        <w:t>Note: Gross Margin = (Gross Profit / Net Operating Revenues) × 100</w:t>
      </w:r>
    </w:p>
    <w:p w14:paraId="1433908A" w14:textId="77777777" w:rsidR="00CA3849" w:rsidRPr="00867305"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2024: ($47,061 -  $18,324) /  $47,061 = 61.063%</w:t>
      </w:r>
    </w:p>
    <w:p w14:paraId="193CBA14" w14:textId="77777777" w:rsidR="00CA3849" w:rsidRPr="00867305"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2023: ($45,574 - $18,520) / $45,574 = 59.363%</w:t>
      </w:r>
    </w:p>
    <w:p w14:paraId="58AA9EA8" w14:textId="40A66919" w:rsidR="00CA3849" w:rsidRPr="00CA3849" w:rsidRDefault="00CA3849" w:rsidP="00CA3849">
      <w:pPr>
        <w:spacing w:line="480" w:lineRule="auto"/>
        <w:rPr>
          <w:rFonts w:ascii="Times New Roman" w:eastAsia="Times New Roman" w:hAnsi="Times New Roman" w:cs="Times New Roman"/>
          <w:color w:val="000000"/>
          <w:kern w:val="0"/>
          <w14:ligatures w14:val="none"/>
        </w:rPr>
      </w:pPr>
      <w:r w:rsidRPr="00867305">
        <w:rPr>
          <w:rFonts w:ascii="Times New Roman" w:eastAsia="Times New Roman" w:hAnsi="Times New Roman" w:cs="Times New Roman"/>
          <w:color w:val="000000"/>
          <w:kern w:val="0"/>
          <w14:ligatures w14:val="none"/>
        </w:rPr>
        <w:t>Coca-Cola 2022: ($43,004 - $18,000) / $43,004 = 58.143%</w:t>
      </w:r>
    </w:p>
    <w:tbl>
      <w:tblPr>
        <w:tblW w:w="0" w:type="auto"/>
        <w:tblCellMar>
          <w:top w:w="15" w:type="dxa"/>
          <w:left w:w="15" w:type="dxa"/>
          <w:bottom w:w="15" w:type="dxa"/>
          <w:right w:w="15" w:type="dxa"/>
        </w:tblCellMar>
        <w:tblLook w:val="04A0" w:firstRow="1" w:lastRow="0" w:firstColumn="1" w:lastColumn="0" w:noHBand="0" w:noVBand="1"/>
      </w:tblPr>
      <w:tblGrid>
        <w:gridCol w:w="1131"/>
        <w:gridCol w:w="3079"/>
        <w:gridCol w:w="2311"/>
        <w:gridCol w:w="1256"/>
        <w:gridCol w:w="1573"/>
      </w:tblGrid>
      <w:tr w:rsidR="00E93332" w:rsidRPr="00E93332" w14:paraId="2C12C3B2"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12793"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Fiscal 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7EB6B"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Net Operating Revenue (in millions)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F70D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Cost of Goods Sold (COGS)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8C371"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Gross Profit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EB000"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Gross Margin %</w:t>
            </w:r>
          </w:p>
        </w:tc>
      </w:tr>
      <w:tr w:rsidR="00E93332" w:rsidRPr="00E93332" w14:paraId="01B4E195"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A5961"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3D6A6" w14:textId="500951BD"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$43,004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E742C"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B9BF7"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$25,004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B46B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58.143%</w:t>
            </w:r>
          </w:p>
        </w:tc>
      </w:tr>
      <w:tr w:rsidR="00E93332" w:rsidRPr="00E93332" w14:paraId="090ECFCC"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EB15A"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6813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$45,574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822AD"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$18,520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71ED0"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$27,054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5F4D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59.363%</w:t>
            </w:r>
          </w:p>
        </w:tc>
      </w:tr>
      <w:tr w:rsidR="00E93332" w:rsidRPr="00E93332" w14:paraId="3FC8622B" w14:textId="77777777" w:rsidTr="00E933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89F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2024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7C629"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$47,061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9EF48"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$18,324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D7592"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$28,737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48C4" w14:textId="77777777" w:rsidR="00E93332" w:rsidRPr="00E93332" w:rsidRDefault="00E93332" w:rsidP="00E93332">
            <w:pPr>
              <w:spacing w:line="240" w:lineRule="auto"/>
              <w:rPr>
                <w:rFonts w:ascii="Times New Roman" w:eastAsia="Times New Roman" w:hAnsi="Times New Roman" w:cs="Times New Roman"/>
                <w:kern w:val="0"/>
                <w14:ligatures w14:val="none"/>
              </w:rPr>
            </w:pPr>
            <w:r w:rsidRPr="00E93332">
              <w:rPr>
                <w:rFonts w:ascii="Cambria" w:eastAsia="Times New Roman" w:hAnsi="Cambria" w:cs="Times New Roman"/>
                <w:color w:val="000000"/>
                <w:kern w:val="0"/>
                <w:sz w:val="22"/>
                <w:szCs w:val="22"/>
                <w14:ligatures w14:val="none"/>
              </w:rPr>
              <w:t>61.063%</w:t>
            </w:r>
          </w:p>
        </w:tc>
      </w:tr>
    </w:tbl>
    <w:p w14:paraId="056AD2BB" w14:textId="5A094E85" w:rsidR="00E93332" w:rsidRPr="00E93332" w:rsidRDefault="00E93332" w:rsidP="00E93332">
      <w:pPr>
        <w:spacing w:line="240" w:lineRule="auto"/>
        <w:rPr>
          <w:rFonts w:ascii="Times New Roman" w:eastAsia="Times New Roman" w:hAnsi="Times New Roman" w:cs="Times New Roman"/>
          <w:kern w:val="0"/>
          <w14:ligatures w14:val="none"/>
        </w:rPr>
      </w:pPr>
    </w:p>
    <w:p w14:paraId="6E2311DE" w14:textId="32B4DFCF" w:rsidR="00E93332" w:rsidRPr="00E93332" w:rsidRDefault="00ED3E2F" w:rsidP="00E93332">
      <w:pPr>
        <w:spacing w:after="0" w:line="240" w:lineRule="auto"/>
        <w:rPr>
          <w:rFonts w:ascii="Times New Roman" w:eastAsia="Times New Roman" w:hAnsi="Times New Roman" w:cs="Times New Roman"/>
          <w:kern w:val="0"/>
          <w14:ligatures w14:val="none"/>
        </w:rPr>
      </w:pPr>
      <w:r>
        <w:rPr>
          <w:noProof/>
        </w:rPr>
        <w:drawing>
          <wp:inline distT="0" distB="0" distL="0" distR="0" wp14:anchorId="5FFAC4BD" wp14:editId="75B2CED4">
            <wp:extent cx="5757062" cy="3116275"/>
            <wp:effectExtent l="0" t="0" r="8890" b="8255"/>
            <wp:docPr id="2103881932" name="Chart 1">
              <a:extLst xmlns:a="http://schemas.openxmlformats.org/drawingml/2006/main">
                <a:ext uri="{FF2B5EF4-FFF2-40B4-BE49-F238E27FC236}">
                  <a16:creationId xmlns:a16="http://schemas.microsoft.com/office/drawing/2014/main" id="{53CC0752-7B8A-FB4C-FAC3-93C361F27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842C02" w14:textId="77777777" w:rsidR="005E1452" w:rsidRDefault="005E1452" w:rsidP="00327F68">
      <w:pPr>
        <w:spacing w:after="0" w:line="480" w:lineRule="auto"/>
        <w:rPr>
          <w:rFonts w:ascii="Times New Roman" w:eastAsia="Times New Roman" w:hAnsi="Times New Roman" w:cs="Times New Roman"/>
          <w:b/>
          <w:bCs/>
          <w:color w:val="000000" w:themeColor="text1"/>
        </w:rPr>
      </w:pPr>
    </w:p>
    <w:p w14:paraId="6C11E31A" w14:textId="2774BDF4" w:rsidR="00E93332" w:rsidRDefault="003A1EED" w:rsidP="00327F68">
      <w:pPr>
        <w:spacing w:after="0"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Appendix </w:t>
      </w:r>
      <w:r w:rsidR="00111751">
        <w:rPr>
          <w:rFonts w:ascii="Times New Roman" w:eastAsia="Times New Roman" w:hAnsi="Times New Roman" w:cs="Times New Roman"/>
          <w:b/>
          <w:bCs/>
          <w:color w:val="000000" w:themeColor="text1"/>
        </w:rPr>
        <w:t>D</w:t>
      </w:r>
      <w:r>
        <w:rPr>
          <w:rFonts w:ascii="Times New Roman" w:eastAsia="Times New Roman" w:hAnsi="Times New Roman" w:cs="Times New Roman"/>
          <w:b/>
          <w:bCs/>
          <w:color w:val="000000" w:themeColor="text1"/>
        </w:rPr>
        <w:t>: Key Financial Ratios (Coca-Cola vs. PepsiCo)</w:t>
      </w:r>
    </w:p>
    <w:p w14:paraId="10A7D653" w14:textId="627D635B" w:rsidR="00111751" w:rsidRPr="00111751" w:rsidRDefault="00111751" w:rsidP="00111751">
      <w:pPr>
        <w:spacing w:line="360" w:lineRule="auto"/>
        <w:rPr>
          <w:rFonts w:ascii="Times New Roman" w:eastAsia="Times New Roman" w:hAnsi="Times New Roman" w:cs="Times New Roman"/>
          <w:color w:val="000000" w:themeColor="text1"/>
        </w:rPr>
      </w:pPr>
      <w:r w:rsidRPr="00111751">
        <w:rPr>
          <w:rFonts w:ascii="Times New Roman" w:eastAsia="Times New Roman" w:hAnsi="Times New Roman" w:cs="Times New Roman"/>
          <w:color w:val="000000" w:themeColor="text1"/>
        </w:rPr>
        <w:lastRenderedPageBreak/>
        <w:t>This table compares Coca-Cola and PepsiCo across ten key financial ratios. These metrics span profitability, efficiency, liquidity, solvency, and market valuation, providing a snapshot of each company’s financial health and performance.</w:t>
      </w:r>
    </w:p>
    <w:tbl>
      <w:tblPr>
        <w:tblW w:w="9095" w:type="dxa"/>
        <w:tblCellMar>
          <w:top w:w="15" w:type="dxa"/>
          <w:left w:w="15" w:type="dxa"/>
          <w:bottom w:w="15" w:type="dxa"/>
          <w:right w:w="15" w:type="dxa"/>
        </w:tblCellMar>
        <w:tblLook w:val="04A0" w:firstRow="1" w:lastRow="0" w:firstColumn="1" w:lastColumn="0" w:noHBand="0" w:noVBand="1"/>
      </w:tblPr>
      <w:tblGrid>
        <w:gridCol w:w="5231"/>
        <w:gridCol w:w="2092"/>
        <w:gridCol w:w="1772"/>
      </w:tblGrid>
      <w:tr w:rsidR="00F27106" w:rsidRPr="00F27106" w14:paraId="5395C0D5"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8555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DCC0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Coca-Cola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A27CC"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PepsiCo</w:t>
            </w:r>
          </w:p>
        </w:tc>
      </w:tr>
      <w:tr w:rsidR="00F27106" w:rsidRPr="00F27106" w14:paraId="2646975B"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391A8"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Net Profit Margin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7B18D"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327B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0.10</w:t>
            </w:r>
          </w:p>
        </w:tc>
      </w:tr>
      <w:tr w:rsidR="00F27106" w:rsidRPr="00F27106" w14:paraId="50D0843C"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940A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Return on Equity (ROE)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2CC52"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5245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0.52</w:t>
            </w:r>
          </w:p>
        </w:tc>
      </w:tr>
      <w:tr w:rsidR="00F27106" w:rsidRPr="00F27106" w14:paraId="4478F71C"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DCF15"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Earnings Per Share (EPS)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E37F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2.47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4CDD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7.00</w:t>
            </w:r>
          </w:p>
        </w:tc>
      </w:tr>
      <w:tr w:rsidR="00F27106" w:rsidRPr="00F27106" w14:paraId="601A413D"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CD6B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Receivables Turnover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7349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13.19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9E246"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8.89</w:t>
            </w:r>
          </w:p>
        </w:tc>
      </w:tr>
      <w:tr w:rsidR="00F27106" w:rsidRPr="00F27106" w14:paraId="63E24780"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5A8A2"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Inventory Turnover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3492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3.88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987F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7.87</w:t>
            </w:r>
          </w:p>
        </w:tc>
      </w:tr>
      <w:tr w:rsidR="00F27106" w:rsidRPr="00F27106" w14:paraId="699FD469"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DF6D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Current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404FA"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FC75C"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0.82</w:t>
            </w:r>
          </w:p>
        </w:tc>
      </w:tr>
      <w:tr w:rsidR="00F27106" w:rsidRPr="00F27106" w14:paraId="77E08A17"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49EA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Quick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66233"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224F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0.65</w:t>
            </w:r>
          </w:p>
        </w:tc>
      </w:tr>
      <w:tr w:rsidR="00F27106" w:rsidRPr="00F27106" w14:paraId="580ABE12"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E924E"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Debt to Equity Ratio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FC79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83B6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4.47</w:t>
            </w:r>
          </w:p>
        </w:tc>
      </w:tr>
      <w:tr w:rsidR="00F27106" w:rsidRPr="00F27106" w14:paraId="1E6F3D82" w14:textId="77777777" w:rsidTr="00F27106">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9D78"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Times Interest Earned (TIE)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7D1C6"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8.90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74FDB"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14.00</w:t>
            </w:r>
          </w:p>
        </w:tc>
      </w:tr>
      <w:tr w:rsidR="00F27106" w:rsidRPr="00F27106" w14:paraId="7A2A16FB" w14:textId="77777777" w:rsidTr="00F27106">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75981"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Price-to-Earnings (P/E)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162F5"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25.19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E3A94" w14:textId="77777777" w:rsidR="00F27106" w:rsidRPr="00F27106" w:rsidRDefault="00F27106" w:rsidP="00F27106">
            <w:pPr>
              <w:spacing w:line="240" w:lineRule="auto"/>
              <w:rPr>
                <w:rFonts w:ascii="Times New Roman" w:eastAsia="Times New Roman" w:hAnsi="Times New Roman" w:cs="Times New Roman"/>
                <w:kern w:val="0"/>
                <w14:ligatures w14:val="none"/>
              </w:rPr>
            </w:pPr>
            <w:r w:rsidRPr="00F27106">
              <w:rPr>
                <w:rFonts w:ascii="Cambria" w:eastAsia="Times New Roman" w:hAnsi="Cambria" w:cs="Times New Roman"/>
                <w:color w:val="000000"/>
                <w:kern w:val="0"/>
                <w:sz w:val="22"/>
                <w:szCs w:val="22"/>
                <w14:ligatures w14:val="none"/>
              </w:rPr>
              <w:t>21.74</w:t>
            </w:r>
          </w:p>
        </w:tc>
      </w:tr>
    </w:tbl>
    <w:p w14:paraId="249A71BC" w14:textId="77777777" w:rsidR="00D00517" w:rsidRPr="00867305" w:rsidRDefault="00D00517" w:rsidP="00327F68">
      <w:pPr>
        <w:spacing w:after="0" w:line="480" w:lineRule="auto"/>
        <w:rPr>
          <w:rFonts w:ascii="Times New Roman" w:eastAsia="Times New Roman" w:hAnsi="Times New Roman" w:cs="Times New Roman"/>
          <w:color w:val="000000" w:themeColor="text1"/>
        </w:rPr>
      </w:pPr>
    </w:p>
    <w:sectPr w:rsidR="00D00517" w:rsidRPr="00867305" w:rsidSect="009A581F">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DFDE2" w14:textId="77777777" w:rsidR="008C6391" w:rsidRDefault="008C6391" w:rsidP="00811884">
      <w:pPr>
        <w:spacing w:after="0" w:line="240" w:lineRule="auto"/>
      </w:pPr>
      <w:r>
        <w:separator/>
      </w:r>
    </w:p>
  </w:endnote>
  <w:endnote w:type="continuationSeparator" w:id="0">
    <w:p w14:paraId="5856134E" w14:textId="77777777" w:rsidR="008C6391" w:rsidRDefault="008C6391" w:rsidP="00811884">
      <w:pPr>
        <w:spacing w:after="0" w:line="240" w:lineRule="auto"/>
      </w:pPr>
      <w:r>
        <w:continuationSeparator/>
      </w:r>
    </w:p>
  </w:endnote>
  <w:endnote w:type="continuationNotice" w:id="1">
    <w:p w14:paraId="2BD93FBD" w14:textId="77777777" w:rsidR="008C6391" w:rsidRDefault="008C63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7017077"/>
      <w:docPartObj>
        <w:docPartGallery w:val="Page Numbers (Bottom of Page)"/>
        <w:docPartUnique/>
      </w:docPartObj>
    </w:sdtPr>
    <w:sdtContent>
      <w:p w14:paraId="66CD0359" w14:textId="27E4DDA3" w:rsidR="009A581F" w:rsidRDefault="009A5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040F54" w14:textId="77777777" w:rsidR="009A581F" w:rsidRDefault="009A581F" w:rsidP="009A58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9224796"/>
      <w:docPartObj>
        <w:docPartGallery w:val="Page Numbers (Bottom of Page)"/>
        <w:docPartUnique/>
      </w:docPartObj>
    </w:sdtPr>
    <w:sdtContent>
      <w:p w14:paraId="656CDD4D" w14:textId="7E9922F9" w:rsidR="009A581F" w:rsidRDefault="009A58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6EE625EE" w14:paraId="38BB33E0" w14:textId="77777777" w:rsidTr="6EE625EE">
      <w:trPr>
        <w:trHeight w:val="300"/>
      </w:trPr>
      <w:tc>
        <w:tcPr>
          <w:tcW w:w="3120" w:type="dxa"/>
        </w:tcPr>
        <w:p w14:paraId="5585895E" w14:textId="75D33050" w:rsidR="6EE625EE" w:rsidRDefault="6EE625EE" w:rsidP="009A581F">
          <w:pPr>
            <w:pStyle w:val="Header"/>
            <w:ind w:left="-115" w:right="360"/>
          </w:pPr>
        </w:p>
      </w:tc>
      <w:tc>
        <w:tcPr>
          <w:tcW w:w="3120" w:type="dxa"/>
        </w:tcPr>
        <w:p w14:paraId="45EC3208" w14:textId="7C30411B" w:rsidR="6EE625EE" w:rsidRDefault="6EE625EE" w:rsidP="6EE625EE">
          <w:pPr>
            <w:pStyle w:val="Header"/>
            <w:jc w:val="center"/>
          </w:pPr>
        </w:p>
      </w:tc>
      <w:tc>
        <w:tcPr>
          <w:tcW w:w="3120" w:type="dxa"/>
        </w:tcPr>
        <w:p w14:paraId="3DEB6CD9" w14:textId="60449CE2" w:rsidR="6EE625EE" w:rsidRDefault="6EE625EE" w:rsidP="6EE625EE">
          <w:pPr>
            <w:pStyle w:val="Header"/>
            <w:ind w:right="-115"/>
            <w:jc w:val="right"/>
          </w:pPr>
        </w:p>
      </w:tc>
    </w:tr>
  </w:tbl>
  <w:p w14:paraId="0F7936D9" w14:textId="3C4FA961" w:rsidR="00811884" w:rsidRDefault="00811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72D08" w14:textId="77777777" w:rsidR="008C6391" w:rsidRDefault="008C6391" w:rsidP="00811884">
      <w:pPr>
        <w:spacing w:after="0" w:line="240" w:lineRule="auto"/>
      </w:pPr>
      <w:r>
        <w:separator/>
      </w:r>
    </w:p>
  </w:footnote>
  <w:footnote w:type="continuationSeparator" w:id="0">
    <w:p w14:paraId="022F2617" w14:textId="77777777" w:rsidR="008C6391" w:rsidRDefault="008C6391" w:rsidP="00811884">
      <w:pPr>
        <w:spacing w:after="0" w:line="240" w:lineRule="auto"/>
      </w:pPr>
      <w:r>
        <w:continuationSeparator/>
      </w:r>
    </w:p>
  </w:footnote>
  <w:footnote w:type="continuationNotice" w:id="1">
    <w:p w14:paraId="32AFBCAD" w14:textId="77777777" w:rsidR="008C6391" w:rsidRDefault="008C63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EE625EE" w14:paraId="2C3611B2" w14:textId="77777777" w:rsidTr="6EE625EE">
      <w:trPr>
        <w:trHeight w:val="300"/>
      </w:trPr>
      <w:tc>
        <w:tcPr>
          <w:tcW w:w="3120" w:type="dxa"/>
        </w:tcPr>
        <w:p w14:paraId="6FEC2518" w14:textId="2B9C3FD1" w:rsidR="6EE625EE" w:rsidRDefault="6EE625EE" w:rsidP="6EE625EE">
          <w:pPr>
            <w:pStyle w:val="Header"/>
            <w:ind w:left="-115"/>
          </w:pPr>
        </w:p>
      </w:tc>
      <w:tc>
        <w:tcPr>
          <w:tcW w:w="3120" w:type="dxa"/>
        </w:tcPr>
        <w:p w14:paraId="4BD982BF" w14:textId="44B31561" w:rsidR="6EE625EE" w:rsidRDefault="6EE625EE" w:rsidP="6EE625EE">
          <w:pPr>
            <w:pStyle w:val="Header"/>
            <w:jc w:val="center"/>
          </w:pPr>
        </w:p>
      </w:tc>
      <w:tc>
        <w:tcPr>
          <w:tcW w:w="3120" w:type="dxa"/>
        </w:tcPr>
        <w:p w14:paraId="47083ECF" w14:textId="1039D066" w:rsidR="6EE625EE" w:rsidRDefault="6EE625EE" w:rsidP="6EE625EE">
          <w:pPr>
            <w:pStyle w:val="Header"/>
            <w:ind w:right="-115"/>
            <w:jc w:val="right"/>
          </w:pPr>
        </w:p>
      </w:tc>
    </w:tr>
  </w:tbl>
  <w:p w14:paraId="4DE5A281" w14:textId="46BAE450" w:rsidR="00811884" w:rsidRDefault="00E514CC">
    <w:pPr>
      <w:pStyle w:val="Header"/>
    </w:pPr>
    <w:r>
      <w:rPr>
        <w:noProof/>
        <w:bdr w:val="none" w:sz="0" w:space="0" w:color="auto" w:frame="1"/>
      </w:rPr>
      <w:drawing>
        <wp:anchor distT="0" distB="0" distL="114300" distR="114300" simplePos="0" relativeHeight="251658240" behindDoc="0" locked="0" layoutInCell="1" allowOverlap="1" wp14:anchorId="72C223BA" wp14:editId="6B5F5131">
          <wp:simplePos x="0" y="0"/>
          <wp:positionH relativeFrom="margin">
            <wp:align>center</wp:align>
          </wp:positionH>
          <wp:positionV relativeFrom="paragraph">
            <wp:posOffset>-637540</wp:posOffset>
          </wp:positionV>
          <wp:extent cx="6101715" cy="904973"/>
          <wp:effectExtent l="0" t="0" r="0" b="0"/>
          <wp:wrapNone/>
          <wp:docPr id="121008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6853" cy="905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E2F9A"/>
    <w:multiLevelType w:val="hybridMultilevel"/>
    <w:tmpl w:val="571897D4"/>
    <w:lvl w:ilvl="0" w:tplc="04090001">
      <w:start w:val="61"/>
      <w:numFmt w:val="bullet"/>
      <w:lvlText w:val=""/>
      <w:lvlJc w:val="left"/>
      <w:pPr>
        <w:ind w:left="720" w:hanging="360"/>
      </w:pPr>
      <w:rPr>
        <w:rFonts w:ascii="Symbol" w:eastAsia="Times New Roman" w:hAnsi="Symbol" w:cs="Times New Roman"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7B42"/>
    <w:multiLevelType w:val="hybridMultilevel"/>
    <w:tmpl w:val="49CA20E6"/>
    <w:lvl w:ilvl="0" w:tplc="EBF4AB0A">
      <w:start w:val="6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C4CD9"/>
    <w:multiLevelType w:val="multilevel"/>
    <w:tmpl w:val="F09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296134">
    <w:abstractNumId w:val="0"/>
  </w:num>
  <w:num w:numId="2" w16cid:durableId="537204270">
    <w:abstractNumId w:val="2"/>
  </w:num>
  <w:num w:numId="3" w16cid:durableId="210561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F2"/>
    <w:rsid w:val="000020CD"/>
    <w:rsid w:val="00005F3C"/>
    <w:rsid w:val="00007A17"/>
    <w:rsid w:val="00011F12"/>
    <w:rsid w:val="00013603"/>
    <w:rsid w:val="00013FF2"/>
    <w:rsid w:val="000154B0"/>
    <w:rsid w:val="00016117"/>
    <w:rsid w:val="00016E9B"/>
    <w:rsid w:val="000172E7"/>
    <w:rsid w:val="00017DC4"/>
    <w:rsid w:val="00021C85"/>
    <w:rsid w:val="0002288E"/>
    <w:rsid w:val="000303B4"/>
    <w:rsid w:val="0003101F"/>
    <w:rsid w:val="00032F14"/>
    <w:rsid w:val="000354C3"/>
    <w:rsid w:val="00041A4F"/>
    <w:rsid w:val="00043FDE"/>
    <w:rsid w:val="00045A04"/>
    <w:rsid w:val="00046703"/>
    <w:rsid w:val="00053D3A"/>
    <w:rsid w:val="00054D39"/>
    <w:rsid w:val="00055A40"/>
    <w:rsid w:val="00055F8F"/>
    <w:rsid w:val="00056A47"/>
    <w:rsid w:val="00056D76"/>
    <w:rsid w:val="00063D69"/>
    <w:rsid w:val="00063E37"/>
    <w:rsid w:val="00072F1E"/>
    <w:rsid w:val="000736E5"/>
    <w:rsid w:val="0007582E"/>
    <w:rsid w:val="00075E9F"/>
    <w:rsid w:val="000762B3"/>
    <w:rsid w:val="00081ABC"/>
    <w:rsid w:val="000837D0"/>
    <w:rsid w:val="000866D8"/>
    <w:rsid w:val="0008791C"/>
    <w:rsid w:val="00093DB5"/>
    <w:rsid w:val="00094703"/>
    <w:rsid w:val="0009609C"/>
    <w:rsid w:val="00096C91"/>
    <w:rsid w:val="0009743D"/>
    <w:rsid w:val="000A315E"/>
    <w:rsid w:val="000A38DA"/>
    <w:rsid w:val="000A3B9A"/>
    <w:rsid w:val="000A3E4C"/>
    <w:rsid w:val="000A78B3"/>
    <w:rsid w:val="000A79AE"/>
    <w:rsid w:val="000B0349"/>
    <w:rsid w:val="000B1A0F"/>
    <w:rsid w:val="000B40F0"/>
    <w:rsid w:val="000B4A5F"/>
    <w:rsid w:val="000B5D2E"/>
    <w:rsid w:val="000B7B5F"/>
    <w:rsid w:val="000C3B8A"/>
    <w:rsid w:val="000C6E02"/>
    <w:rsid w:val="000C726D"/>
    <w:rsid w:val="000C7C7B"/>
    <w:rsid w:val="000D3238"/>
    <w:rsid w:val="000D4194"/>
    <w:rsid w:val="000D528A"/>
    <w:rsid w:val="000D598F"/>
    <w:rsid w:val="000D5B37"/>
    <w:rsid w:val="000D74C5"/>
    <w:rsid w:val="000D7AE0"/>
    <w:rsid w:val="000E562D"/>
    <w:rsid w:val="000E63CC"/>
    <w:rsid w:val="000F166C"/>
    <w:rsid w:val="000F2352"/>
    <w:rsid w:val="000F451A"/>
    <w:rsid w:val="000F6007"/>
    <w:rsid w:val="000F6221"/>
    <w:rsid w:val="000F6D7B"/>
    <w:rsid w:val="000F71D9"/>
    <w:rsid w:val="00100DC4"/>
    <w:rsid w:val="00100E18"/>
    <w:rsid w:val="00101612"/>
    <w:rsid w:val="00101E0F"/>
    <w:rsid w:val="00102E62"/>
    <w:rsid w:val="001035C5"/>
    <w:rsid w:val="00105A41"/>
    <w:rsid w:val="001062DC"/>
    <w:rsid w:val="00106BDF"/>
    <w:rsid w:val="00110C43"/>
    <w:rsid w:val="00110C65"/>
    <w:rsid w:val="00111751"/>
    <w:rsid w:val="0011344A"/>
    <w:rsid w:val="00114079"/>
    <w:rsid w:val="001165C0"/>
    <w:rsid w:val="00116A1F"/>
    <w:rsid w:val="001237B0"/>
    <w:rsid w:val="00125D91"/>
    <w:rsid w:val="00127EB8"/>
    <w:rsid w:val="001324B5"/>
    <w:rsid w:val="001344ED"/>
    <w:rsid w:val="001351EE"/>
    <w:rsid w:val="0013579F"/>
    <w:rsid w:val="00135CDC"/>
    <w:rsid w:val="001408CD"/>
    <w:rsid w:val="001409AA"/>
    <w:rsid w:val="001433E6"/>
    <w:rsid w:val="00144423"/>
    <w:rsid w:val="00145C4C"/>
    <w:rsid w:val="00147551"/>
    <w:rsid w:val="001506B7"/>
    <w:rsid w:val="00150956"/>
    <w:rsid w:val="00151B0B"/>
    <w:rsid w:val="00153A43"/>
    <w:rsid w:val="00154336"/>
    <w:rsid w:val="00161378"/>
    <w:rsid w:val="0016308A"/>
    <w:rsid w:val="00163998"/>
    <w:rsid w:val="00163BE3"/>
    <w:rsid w:val="00164E2B"/>
    <w:rsid w:val="00165559"/>
    <w:rsid w:val="00166DCF"/>
    <w:rsid w:val="00170E64"/>
    <w:rsid w:val="00173B22"/>
    <w:rsid w:val="00176CB1"/>
    <w:rsid w:val="00177A7D"/>
    <w:rsid w:val="001804BA"/>
    <w:rsid w:val="00180FDC"/>
    <w:rsid w:val="00184428"/>
    <w:rsid w:val="001855F0"/>
    <w:rsid w:val="00187018"/>
    <w:rsid w:val="001871F5"/>
    <w:rsid w:val="00190BC9"/>
    <w:rsid w:val="00191BE0"/>
    <w:rsid w:val="00192D54"/>
    <w:rsid w:val="00192D5A"/>
    <w:rsid w:val="0019423A"/>
    <w:rsid w:val="00195070"/>
    <w:rsid w:val="001954A1"/>
    <w:rsid w:val="0019691F"/>
    <w:rsid w:val="00196ED8"/>
    <w:rsid w:val="001A0E98"/>
    <w:rsid w:val="001A0F09"/>
    <w:rsid w:val="001A7FB2"/>
    <w:rsid w:val="001B031D"/>
    <w:rsid w:val="001B31B1"/>
    <w:rsid w:val="001B6017"/>
    <w:rsid w:val="001C02CA"/>
    <w:rsid w:val="001C0DDE"/>
    <w:rsid w:val="001C2043"/>
    <w:rsid w:val="001C322E"/>
    <w:rsid w:val="001C4770"/>
    <w:rsid w:val="001D1D39"/>
    <w:rsid w:val="001D2F30"/>
    <w:rsid w:val="001D31C9"/>
    <w:rsid w:val="001D5B98"/>
    <w:rsid w:val="001E647F"/>
    <w:rsid w:val="001E7623"/>
    <w:rsid w:val="001E7B69"/>
    <w:rsid w:val="001F0721"/>
    <w:rsid w:val="001F0D4D"/>
    <w:rsid w:val="001F12C3"/>
    <w:rsid w:val="001F28AC"/>
    <w:rsid w:val="001F7186"/>
    <w:rsid w:val="0020439F"/>
    <w:rsid w:val="002059B1"/>
    <w:rsid w:val="00213122"/>
    <w:rsid w:val="0021395D"/>
    <w:rsid w:val="002163DC"/>
    <w:rsid w:val="00216581"/>
    <w:rsid w:val="00217C41"/>
    <w:rsid w:val="00221035"/>
    <w:rsid w:val="00223803"/>
    <w:rsid w:val="00227CA8"/>
    <w:rsid w:val="002324B5"/>
    <w:rsid w:val="00236D66"/>
    <w:rsid w:val="002372B8"/>
    <w:rsid w:val="002410ED"/>
    <w:rsid w:val="002431DE"/>
    <w:rsid w:val="00243A8F"/>
    <w:rsid w:val="00250838"/>
    <w:rsid w:val="002512DB"/>
    <w:rsid w:val="00255EEB"/>
    <w:rsid w:val="00256686"/>
    <w:rsid w:val="00256C3E"/>
    <w:rsid w:val="00256E2B"/>
    <w:rsid w:val="00256E65"/>
    <w:rsid w:val="002575E0"/>
    <w:rsid w:val="0025771C"/>
    <w:rsid w:val="00264636"/>
    <w:rsid w:val="00264DCB"/>
    <w:rsid w:val="00264E56"/>
    <w:rsid w:val="00265616"/>
    <w:rsid w:val="00265896"/>
    <w:rsid w:val="002676AC"/>
    <w:rsid w:val="00271FF2"/>
    <w:rsid w:val="002746B3"/>
    <w:rsid w:val="00274F4F"/>
    <w:rsid w:val="00275A0C"/>
    <w:rsid w:val="00276411"/>
    <w:rsid w:val="00281637"/>
    <w:rsid w:val="00283D0B"/>
    <w:rsid w:val="002852E1"/>
    <w:rsid w:val="00286220"/>
    <w:rsid w:val="0029065C"/>
    <w:rsid w:val="002930ED"/>
    <w:rsid w:val="0029363E"/>
    <w:rsid w:val="00294589"/>
    <w:rsid w:val="00294B28"/>
    <w:rsid w:val="0029722E"/>
    <w:rsid w:val="00297A34"/>
    <w:rsid w:val="00297DF8"/>
    <w:rsid w:val="002A0BCB"/>
    <w:rsid w:val="002A20E8"/>
    <w:rsid w:val="002B2197"/>
    <w:rsid w:val="002B3915"/>
    <w:rsid w:val="002B4137"/>
    <w:rsid w:val="002B5474"/>
    <w:rsid w:val="002B6EB9"/>
    <w:rsid w:val="002C14F0"/>
    <w:rsid w:val="002C1C44"/>
    <w:rsid w:val="002C3A0D"/>
    <w:rsid w:val="002C435C"/>
    <w:rsid w:val="002C79E8"/>
    <w:rsid w:val="002C7DEB"/>
    <w:rsid w:val="002C7F08"/>
    <w:rsid w:val="002D3DF3"/>
    <w:rsid w:val="002D41F3"/>
    <w:rsid w:val="002D501A"/>
    <w:rsid w:val="002E0E47"/>
    <w:rsid w:val="002E33B3"/>
    <w:rsid w:val="002E3FF6"/>
    <w:rsid w:val="002F04DC"/>
    <w:rsid w:val="002F0DF3"/>
    <w:rsid w:val="002F4515"/>
    <w:rsid w:val="002F5ADB"/>
    <w:rsid w:val="00300791"/>
    <w:rsid w:val="0030491B"/>
    <w:rsid w:val="003072BF"/>
    <w:rsid w:val="00307F9C"/>
    <w:rsid w:val="00315201"/>
    <w:rsid w:val="00320182"/>
    <w:rsid w:val="0032215C"/>
    <w:rsid w:val="00322B6C"/>
    <w:rsid w:val="00324CAC"/>
    <w:rsid w:val="003265B5"/>
    <w:rsid w:val="00327610"/>
    <w:rsid w:val="00327646"/>
    <w:rsid w:val="00327F2F"/>
    <w:rsid w:val="00327F68"/>
    <w:rsid w:val="00332A04"/>
    <w:rsid w:val="003342A9"/>
    <w:rsid w:val="00336B38"/>
    <w:rsid w:val="00337607"/>
    <w:rsid w:val="00337E8D"/>
    <w:rsid w:val="003438BE"/>
    <w:rsid w:val="003466A6"/>
    <w:rsid w:val="00347EA3"/>
    <w:rsid w:val="003529CF"/>
    <w:rsid w:val="003544D2"/>
    <w:rsid w:val="00354AE3"/>
    <w:rsid w:val="003569A8"/>
    <w:rsid w:val="00360827"/>
    <w:rsid w:val="00360B8D"/>
    <w:rsid w:val="00363011"/>
    <w:rsid w:val="00365376"/>
    <w:rsid w:val="0036788F"/>
    <w:rsid w:val="00371532"/>
    <w:rsid w:val="003733FC"/>
    <w:rsid w:val="00373748"/>
    <w:rsid w:val="003840B6"/>
    <w:rsid w:val="00384BF1"/>
    <w:rsid w:val="00384CD7"/>
    <w:rsid w:val="00386E3F"/>
    <w:rsid w:val="0038705D"/>
    <w:rsid w:val="003874B8"/>
    <w:rsid w:val="0039102B"/>
    <w:rsid w:val="00391A4F"/>
    <w:rsid w:val="00392659"/>
    <w:rsid w:val="00392E80"/>
    <w:rsid w:val="00392F24"/>
    <w:rsid w:val="0039367D"/>
    <w:rsid w:val="00393A20"/>
    <w:rsid w:val="003A1EED"/>
    <w:rsid w:val="003A3A2A"/>
    <w:rsid w:val="003B04C2"/>
    <w:rsid w:val="003B05AB"/>
    <w:rsid w:val="003B0BE2"/>
    <w:rsid w:val="003B13A6"/>
    <w:rsid w:val="003B2F3A"/>
    <w:rsid w:val="003B4809"/>
    <w:rsid w:val="003B4F04"/>
    <w:rsid w:val="003B534C"/>
    <w:rsid w:val="003B68E3"/>
    <w:rsid w:val="003B7427"/>
    <w:rsid w:val="003C054A"/>
    <w:rsid w:val="003C0F09"/>
    <w:rsid w:val="003C0FE2"/>
    <w:rsid w:val="003C1797"/>
    <w:rsid w:val="003C1AF5"/>
    <w:rsid w:val="003C212F"/>
    <w:rsid w:val="003C21EF"/>
    <w:rsid w:val="003C50F4"/>
    <w:rsid w:val="003C55A0"/>
    <w:rsid w:val="003C65A4"/>
    <w:rsid w:val="003D3CAD"/>
    <w:rsid w:val="003D4B22"/>
    <w:rsid w:val="003D58DE"/>
    <w:rsid w:val="003D5C22"/>
    <w:rsid w:val="003D7F48"/>
    <w:rsid w:val="003E1435"/>
    <w:rsid w:val="003E3E0D"/>
    <w:rsid w:val="003E5135"/>
    <w:rsid w:val="003F30B2"/>
    <w:rsid w:val="003F3940"/>
    <w:rsid w:val="003F4279"/>
    <w:rsid w:val="003F5B2A"/>
    <w:rsid w:val="003F63D1"/>
    <w:rsid w:val="003F6661"/>
    <w:rsid w:val="003F6D12"/>
    <w:rsid w:val="003F71D1"/>
    <w:rsid w:val="003F75D3"/>
    <w:rsid w:val="00402123"/>
    <w:rsid w:val="004068D8"/>
    <w:rsid w:val="004132D5"/>
    <w:rsid w:val="004263D2"/>
    <w:rsid w:val="00431038"/>
    <w:rsid w:val="004320B3"/>
    <w:rsid w:val="004346FE"/>
    <w:rsid w:val="004363F5"/>
    <w:rsid w:val="00437067"/>
    <w:rsid w:val="0043778C"/>
    <w:rsid w:val="00437FD5"/>
    <w:rsid w:val="00443F0E"/>
    <w:rsid w:val="00452412"/>
    <w:rsid w:val="004559E9"/>
    <w:rsid w:val="00456BC2"/>
    <w:rsid w:val="0046418A"/>
    <w:rsid w:val="0046512F"/>
    <w:rsid w:val="004667B2"/>
    <w:rsid w:val="004675C7"/>
    <w:rsid w:val="00467A11"/>
    <w:rsid w:val="004735A7"/>
    <w:rsid w:val="00473A79"/>
    <w:rsid w:val="0047407A"/>
    <w:rsid w:val="004742E3"/>
    <w:rsid w:val="004759CE"/>
    <w:rsid w:val="00480EB0"/>
    <w:rsid w:val="0048179D"/>
    <w:rsid w:val="004828A6"/>
    <w:rsid w:val="00482C23"/>
    <w:rsid w:val="00485D3D"/>
    <w:rsid w:val="0048700A"/>
    <w:rsid w:val="00487170"/>
    <w:rsid w:val="004902E0"/>
    <w:rsid w:val="0049075C"/>
    <w:rsid w:val="00491787"/>
    <w:rsid w:val="00491C31"/>
    <w:rsid w:val="004926BF"/>
    <w:rsid w:val="004932CC"/>
    <w:rsid w:val="00494C5B"/>
    <w:rsid w:val="004958A0"/>
    <w:rsid w:val="004A32F9"/>
    <w:rsid w:val="004A55D9"/>
    <w:rsid w:val="004A6D19"/>
    <w:rsid w:val="004B1901"/>
    <w:rsid w:val="004B1AC7"/>
    <w:rsid w:val="004B306B"/>
    <w:rsid w:val="004B386F"/>
    <w:rsid w:val="004C0AA3"/>
    <w:rsid w:val="004C4295"/>
    <w:rsid w:val="004C55E6"/>
    <w:rsid w:val="004C5C25"/>
    <w:rsid w:val="004C6B60"/>
    <w:rsid w:val="004C6D3A"/>
    <w:rsid w:val="004D26CD"/>
    <w:rsid w:val="004D4C17"/>
    <w:rsid w:val="004D58BA"/>
    <w:rsid w:val="004D6138"/>
    <w:rsid w:val="004D6207"/>
    <w:rsid w:val="004D6A2C"/>
    <w:rsid w:val="004E4A92"/>
    <w:rsid w:val="004E558B"/>
    <w:rsid w:val="004E5E59"/>
    <w:rsid w:val="004F42C8"/>
    <w:rsid w:val="004F4301"/>
    <w:rsid w:val="004F7B9C"/>
    <w:rsid w:val="00500CBD"/>
    <w:rsid w:val="005011F7"/>
    <w:rsid w:val="00502297"/>
    <w:rsid w:val="00502853"/>
    <w:rsid w:val="005029CB"/>
    <w:rsid w:val="005045AC"/>
    <w:rsid w:val="00505896"/>
    <w:rsid w:val="00507D44"/>
    <w:rsid w:val="00513AFD"/>
    <w:rsid w:val="0051540A"/>
    <w:rsid w:val="00522F4E"/>
    <w:rsid w:val="00523A71"/>
    <w:rsid w:val="00523CE6"/>
    <w:rsid w:val="005263A0"/>
    <w:rsid w:val="00527F8F"/>
    <w:rsid w:val="0053308D"/>
    <w:rsid w:val="00533785"/>
    <w:rsid w:val="005342FC"/>
    <w:rsid w:val="00541AF7"/>
    <w:rsid w:val="00543858"/>
    <w:rsid w:val="005475A6"/>
    <w:rsid w:val="00552700"/>
    <w:rsid w:val="0056188A"/>
    <w:rsid w:val="00562797"/>
    <w:rsid w:val="00565012"/>
    <w:rsid w:val="00565181"/>
    <w:rsid w:val="00566B8E"/>
    <w:rsid w:val="00570529"/>
    <w:rsid w:val="00574F82"/>
    <w:rsid w:val="00581B6E"/>
    <w:rsid w:val="00582F23"/>
    <w:rsid w:val="00592634"/>
    <w:rsid w:val="00595494"/>
    <w:rsid w:val="00595EB4"/>
    <w:rsid w:val="00596608"/>
    <w:rsid w:val="005A024C"/>
    <w:rsid w:val="005A0AF7"/>
    <w:rsid w:val="005A0C47"/>
    <w:rsid w:val="005A2119"/>
    <w:rsid w:val="005A464A"/>
    <w:rsid w:val="005A47F7"/>
    <w:rsid w:val="005A4DA0"/>
    <w:rsid w:val="005A6DCE"/>
    <w:rsid w:val="005B647A"/>
    <w:rsid w:val="005B6AA9"/>
    <w:rsid w:val="005B6AAA"/>
    <w:rsid w:val="005B7E85"/>
    <w:rsid w:val="005C15AA"/>
    <w:rsid w:val="005C172A"/>
    <w:rsid w:val="005C7491"/>
    <w:rsid w:val="005C7BD0"/>
    <w:rsid w:val="005C7EB6"/>
    <w:rsid w:val="005D0E0F"/>
    <w:rsid w:val="005D153A"/>
    <w:rsid w:val="005D19A1"/>
    <w:rsid w:val="005D22FB"/>
    <w:rsid w:val="005D7AB8"/>
    <w:rsid w:val="005E11AF"/>
    <w:rsid w:val="005E1452"/>
    <w:rsid w:val="005E28E8"/>
    <w:rsid w:val="005E69A9"/>
    <w:rsid w:val="005E7C83"/>
    <w:rsid w:val="005F1C24"/>
    <w:rsid w:val="005F332A"/>
    <w:rsid w:val="005F4786"/>
    <w:rsid w:val="005F4FC0"/>
    <w:rsid w:val="005F537F"/>
    <w:rsid w:val="005F7D30"/>
    <w:rsid w:val="00600DB3"/>
    <w:rsid w:val="006010ED"/>
    <w:rsid w:val="0060347F"/>
    <w:rsid w:val="006073C2"/>
    <w:rsid w:val="006109E1"/>
    <w:rsid w:val="0061169C"/>
    <w:rsid w:val="00617091"/>
    <w:rsid w:val="006179ED"/>
    <w:rsid w:val="00620603"/>
    <w:rsid w:val="006214B1"/>
    <w:rsid w:val="006219A3"/>
    <w:rsid w:val="006235BE"/>
    <w:rsid w:val="00625B45"/>
    <w:rsid w:val="00627882"/>
    <w:rsid w:val="006301F0"/>
    <w:rsid w:val="00633C49"/>
    <w:rsid w:val="006354FB"/>
    <w:rsid w:val="00636661"/>
    <w:rsid w:val="00642A37"/>
    <w:rsid w:val="00643CB9"/>
    <w:rsid w:val="00644835"/>
    <w:rsid w:val="006507CF"/>
    <w:rsid w:val="00653F7B"/>
    <w:rsid w:val="00656D11"/>
    <w:rsid w:val="00657A61"/>
    <w:rsid w:val="006609B6"/>
    <w:rsid w:val="00661E2A"/>
    <w:rsid w:val="00662890"/>
    <w:rsid w:val="00665DA8"/>
    <w:rsid w:val="006678C4"/>
    <w:rsid w:val="00667DDC"/>
    <w:rsid w:val="00670F53"/>
    <w:rsid w:val="0067461F"/>
    <w:rsid w:val="0067554B"/>
    <w:rsid w:val="00676D74"/>
    <w:rsid w:val="00680BAB"/>
    <w:rsid w:val="00680C26"/>
    <w:rsid w:val="00683849"/>
    <w:rsid w:val="00687B07"/>
    <w:rsid w:val="00687F73"/>
    <w:rsid w:val="006904F8"/>
    <w:rsid w:val="00693572"/>
    <w:rsid w:val="00693D30"/>
    <w:rsid w:val="006944CE"/>
    <w:rsid w:val="006A2C4B"/>
    <w:rsid w:val="006A3E2A"/>
    <w:rsid w:val="006A7488"/>
    <w:rsid w:val="006C0D55"/>
    <w:rsid w:val="006C2F83"/>
    <w:rsid w:val="006C4597"/>
    <w:rsid w:val="006C7EE0"/>
    <w:rsid w:val="006D06A4"/>
    <w:rsid w:val="006D295F"/>
    <w:rsid w:val="006D4989"/>
    <w:rsid w:val="006D588F"/>
    <w:rsid w:val="006D6156"/>
    <w:rsid w:val="006D7C42"/>
    <w:rsid w:val="006E18F0"/>
    <w:rsid w:val="006E2496"/>
    <w:rsid w:val="006E2CEB"/>
    <w:rsid w:val="006F303E"/>
    <w:rsid w:val="006F3397"/>
    <w:rsid w:val="006F3A01"/>
    <w:rsid w:val="006F5C96"/>
    <w:rsid w:val="006F773D"/>
    <w:rsid w:val="00703087"/>
    <w:rsid w:val="0070579C"/>
    <w:rsid w:val="00706A95"/>
    <w:rsid w:val="007071F7"/>
    <w:rsid w:val="007075C4"/>
    <w:rsid w:val="007158A8"/>
    <w:rsid w:val="00715D6D"/>
    <w:rsid w:val="00717911"/>
    <w:rsid w:val="00717EA3"/>
    <w:rsid w:val="0072039A"/>
    <w:rsid w:val="007219E3"/>
    <w:rsid w:val="00722039"/>
    <w:rsid w:val="00723C89"/>
    <w:rsid w:val="0072472C"/>
    <w:rsid w:val="007262E6"/>
    <w:rsid w:val="00730D1D"/>
    <w:rsid w:val="007311AE"/>
    <w:rsid w:val="0073249E"/>
    <w:rsid w:val="00735FD5"/>
    <w:rsid w:val="00736EC4"/>
    <w:rsid w:val="0074140B"/>
    <w:rsid w:val="00744F42"/>
    <w:rsid w:val="00745106"/>
    <w:rsid w:val="007477A8"/>
    <w:rsid w:val="00747B67"/>
    <w:rsid w:val="0075489F"/>
    <w:rsid w:val="007559AF"/>
    <w:rsid w:val="007567F6"/>
    <w:rsid w:val="00756CFC"/>
    <w:rsid w:val="0076174D"/>
    <w:rsid w:val="00762A1E"/>
    <w:rsid w:val="0076331F"/>
    <w:rsid w:val="00764B64"/>
    <w:rsid w:val="00771041"/>
    <w:rsid w:val="007715D9"/>
    <w:rsid w:val="00772C08"/>
    <w:rsid w:val="007734F3"/>
    <w:rsid w:val="007758FC"/>
    <w:rsid w:val="00776ADC"/>
    <w:rsid w:val="00776B87"/>
    <w:rsid w:val="00777B11"/>
    <w:rsid w:val="0078237A"/>
    <w:rsid w:val="00783657"/>
    <w:rsid w:val="00786C70"/>
    <w:rsid w:val="00787506"/>
    <w:rsid w:val="007877FF"/>
    <w:rsid w:val="00787B4B"/>
    <w:rsid w:val="0079313B"/>
    <w:rsid w:val="00794A4E"/>
    <w:rsid w:val="00795BC1"/>
    <w:rsid w:val="007A0187"/>
    <w:rsid w:val="007A1C45"/>
    <w:rsid w:val="007A1D29"/>
    <w:rsid w:val="007A36A1"/>
    <w:rsid w:val="007A4523"/>
    <w:rsid w:val="007A4D6F"/>
    <w:rsid w:val="007A7030"/>
    <w:rsid w:val="007A70A3"/>
    <w:rsid w:val="007A7C50"/>
    <w:rsid w:val="007B0B51"/>
    <w:rsid w:val="007B0D4E"/>
    <w:rsid w:val="007B1DEA"/>
    <w:rsid w:val="007B47DE"/>
    <w:rsid w:val="007B58CB"/>
    <w:rsid w:val="007C11CE"/>
    <w:rsid w:val="007C3DB1"/>
    <w:rsid w:val="007C78FA"/>
    <w:rsid w:val="007C7E4E"/>
    <w:rsid w:val="007D0342"/>
    <w:rsid w:val="007D2A4C"/>
    <w:rsid w:val="007D41E2"/>
    <w:rsid w:val="007D57DC"/>
    <w:rsid w:val="007D60E6"/>
    <w:rsid w:val="007D648C"/>
    <w:rsid w:val="007D6BF4"/>
    <w:rsid w:val="007D70FD"/>
    <w:rsid w:val="007E0C68"/>
    <w:rsid w:val="007E7F97"/>
    <w:rsid w:val="007F2FEA"/>
    <w:rsid w:val="007F3412"/>
    <w:rsid w:val="007F46F6"/>
    <w:rsid w:val="007F4C72"/>
    <w:rsid w:val="007F6FC6"/>
    <w:rsid w:val="007F7237"/>
    <w:rsid w:val="00801D3D"/>
    <w:rsid w:val="008045B3"/>
    <w:rsid w:val="008102CA"/>
    <w:rsid w:val="00811884"/>
    <w:rsid w:val="00811A9F"/>
    <w:rsid w:val="00813A4E"/>
    <w:rsid w:val="008144B5"/>
    <w:rsid w:val="0081558E"/>
    <w:rsid w:val="008202D4"/>
    <w:rsid w:val="00821649"/>
    <w:rsid w:val="008218E8"/>
    <w:rsid w:val="00823ED5"/>
    <w:rsid w:val="0082493F"/>
    <w:rsid w:val="0082540D"/>
    <w:rsid w:val="008317EC"/>
    <w:rsid w:val="008323A7"/>
    <w:rsid w:val="00832440"/>
    <w:rsid w:val="00833DCD"/>
    <w:rsid w:val="00844A25"/>
    <w:rsid w:val="00847C1D"/>
    <w:rsid w:val="0085048F"/>
    <w:rsid w:val="0085167A"/>
    <w:rsid w:val="00852A99"/>
    <w:rsid w:val="0085303B"/>
    <w:rsid w:val="00855AB7"/>
    <w:rsid w:val="00856C68"/>
    <w:rsid w:val="0085747F"/>
    <w:rsid w:val="008600AD"/>
    <w:rsid w:val="00862601"/>
    <w:rsid w:val="00863B59"/>
    <w:rsid w:val="00867305"/>
    <w:rsid w:val="00867F69"/>
    <w:rsid w:val="008704E5"/>
    <w:rsid w:val="00870C16"/>
    <w:rsid w:val="008720F0"/>
    <w:rsid w:val="00877CF4"/>
    <w:rsid w:val="008814BD"/>
    <w:rsid w:val="00881CE1"/>
    <w:rsid w:val="00886995"/>
    <w:rsid w:val="00887A0C"/>
    <w:rsid w:val="00892C81"/>
    <w:rsid w:val="00896030"/>
    <w:rsid w:val="00896213"/>
    <w:rsid w:val="008975E4"/>
    <w:rsid w:val="00897C80"/>
    <w:rsid w:val="008A1B3F"/>
    <w:rsid w:val="008A3654"/>
    <w:rsid w:val="008A7C3F"/>
    <w:rsid w:val="008B1ACB"/>
    <w:rsid w:val="008B2788"/>
    <w:rsid w:val="008B3A1D"/>
    <w:rsid w:val="008B484B"/>
    <w:rsid w:val="008B6BE5"/>
    <w:rsid w:val="008C0288"/>
    <w:rsid w:val="008C182D"/>
    <w:rsid w:val="008C28D2"/>
    <w:rsid w:val="008C6391"/>
    <w:rsid w:val="008D5B54"/>
    <w:rsid w:val="008D650B"/>
    <w:rsid w:val="008D7895"/>
    <w:rsid w:val="008E0FCE"/>
    <w:rsid w:val="008E1706"/>
    <w:rsid w:val="008E2952"/>
    <w:rsid w:val="008E3EBC"/>
    <w:rsid w:val="008E4DE5"/>
    <w:rsid w:val="008E5AC5"/>
    <w:rsid w:val="008E5B28"/>
    <w:rsid w:val="008F030C"/>
    <w:rsid w:val="008F5308"/>
    <w:rsid w:val="00900272"/>
    <w:rsid w:val="0090271F"/>
    <w:rsid w:val="00902836"/>
    <w:rsid w:val="00903868"/>
    <w:rsid w:val="009114AB"/>
    <w:rsid w:val="00920AA0"/>
    <w:rsid w:val="00924778"/>
    <w:rsid w:val="00924CCD"/>
    <w:rsid w:val="009252AF"/>
    <w:rsid w:val="00926AE7"/>
    <w:rsid w:val="00932589"/>
    <w:rsid w:val="00934C36"/>
    <w:rsid w:val="00935C11"/>
    <w:rsid w:val="00944197"/>
    <w:rsid w:val="0094733D"/>
    <w:rsid w:val="00951FAC"/>
    <w:rsid w:val="00952688"/>
    <w:rsid w:val="009569F7"/>
    <w:rsid w:val="00956F9B"/>
    <w:rsid w:val="00961E48"/>
    <w:rsid w:val="00962460"/>
    <w:rsid w:val="009625E8"/>
    <w:rsid w:val="00963F26"/>
    <w:rsid w:val="00964587"/>
    <w:rsid w:val="00964EC6"/>
    <w:rsid w:val="00966192"/>
    <w:rsid w:val="0096718B"/>
    <w:rsid w:val="00970E6F"/>
    <w:rsid w:val="009756E2"/>
    <w:rsid w:val="0097573D"/>
    <w:rsid w:val="00976202"/>
    <w:rsid w:val="00976CD7"/>
    <w:rsid w:val="00976DA0"/>
    <w:rsid w:val="0097725B"/>
    <w:rsid w:val="0097759B"/>
    <w:rsid w:val="009812A6"/>
    <w:rsid w:val="00984989"/>
    <w:rsid w:val="00984E03"/>
    <w:rsid w:val="00985786"/>
    <w:rsid w:val="009905F9"/>
    <w:rsid w:val="00990657"/>
    <w:rsid w:val="0099308A"/>
    <w:rsid w:val="009939FF"/>
    <w:rsid w:val="00995FD1"/>
    <w:rsid w:val="009A1E4A"/>
    <w:rsid w:val="009A581F"/>
    <w:rsid w:val="009A6FD6"/>
    <w:rsid w:val="009B2E88"/>
    <w:rsid w:val="009B36E9"/>
    <w:rsid w:val="009B5681"/>
    <w:rsid w:val="009B5B1F"/>
    <w:rsid w:val="009C0A38"/>
    <w:rsid w:val="009C1618"/>
    <w:rsid w:val="009C4668"/>
    <w:rsid w:val="009C4F6E"/>
    <w:rsid w:val="009C7F5C"/>
    <w:rsid w:val="009D25A7"/>
    <w:rsid w:val="009D2DCE"/>
    <w:rsid w:val="009D2E2A"/>
    <w:rsid w:val="009D327D"/>
    <w:rsid w:val="009D43D2"/>
    <w:rsid w:val="009D46B4"/>
    <w:rsid w:val="009D670C"/>
    <w:rsid w:val="009E0211"/>
    <w:rsid w:val="009E33D0"/>
    <w:rsid w:val="009F11C7"/>
    <w:rsid w:val="009F3F4F"/>
    <w:rsid w:val="009F5021"/>
    <w:rsid w:val="009F520B"/>
    <w:rsid w:val="009F5299"/>
    <w:rsid w:val="009F6A8A"/>
    <w:rsid w:val="009F709C"/>
    <w:rsid w:val="00A00643"/>
    <w:rsid w:val="00A00705"/>
    <w:rsid w:val="00A016E8"/>
    <w:rsid w:val="00A02A68"/>
    <w:rsid w:val="00A03D59"/>
    <w:rsid w:val="00A06A3F"/>
    <w:rsid w:val="00A06EEF"/>
    <w:rsid w:val="00A10B5E"/>
    <w:rsid w:val="00A14530"/>
    <w:rsid w:val="00A15718"/>
    <w:rsid w:val="00A15E16"/>
    <w:rsid w:val="00A21E6A"/>
    <w:rsid w:val="00A258E8"/>
    <w:rsid w:val="00A300F7"/>
    <w:rsid w:val="00A34D65"/>
    <w:rsid w:val="00A35041"/>
    <w:rsid w:val="00A350BF"/>
    <w:rsid w:val="00A37839"/>
    <w:rsid w:val="00A42A1E"/>
    <w:rsid w:val="00A445CA"/>
    <w:rsid w:val="00A44C05"/>
    <w:rsid w:val="00A478E1"/>
    <w:rsid w:val="00A51D18"/>
    <w:rsid w:val="00A54529"/>
    <w:rsid w:val="00A55254"/>
    <w:rsid w:val="00A563D6"/>
    <w:rsid w:val="00A577AB"/>
    <w:rsid w:val="00A57F24"/>
    <w:rsid w:val="00A617E1"/>
    <w:rsid w:val="00A62E26"/>
    <w:rsid w:val="00A63AE9"/>
    <w:rsid w:val="00A674CC"/>
    <w:rsid w:val="00A67B2C"/>
    <w:rsid w:val="00A70246"/>
    <w:rsid w:val="00A70A04"/>
    <w:rsid w:val="00A7224A"/>
    <w:rsid w:val="00A72DA6"/>
    <w:rsid w:val="00A77E2D"/>
    <w:rsid w:val="00A805A8"/>
    <w:rsid w:val="00A80F3B"/>
    <w:rsid w:val="00A8187D"/>
    <w:rsid w:val="00A953DB"/>
    <w:rsid w:val="00A959A7"/>
    <w:rsid w:val="00A96003"/>
    <w:rsid w:val="00A97592"/>
    <w:rsid w:val="00AA01A0"/>
    <w:rsid w:val="00AA177C"/>
    <w:rsid w:val="00AA678F"/>
    <w:rsid w:val="00AB004C"/>
    <w:rsid w:val="00AB231F"/>
    <w:rsid w:val="00AB39B1"/>
    <w:rsid w:val="00AB766F"/>
    <w:rsid w:val="00AC037F"/>
    <w:rsid w:val="00AC33BC"/>
    <w:rsid w:val="00AC3E5B"/>
    <w:rsid w:val="00AC501F"/>
    <w:rsid w:val="00AD27BC"/>
    <w:rsid w:val="00AE1357"/>
    <w:rsid w:val="00AE2AFE"/>
    <w:rsid w:val="00AE462F"/>
    <w:rsid w:val="00AE6780"/>
    <w:rsid w:val="00AE7505"/>
    <w:rsid w:val="00AF1F41"/>
    <w:rsid w:val="00AF2412"/>
    <w:rsid w:val="00AF2922"/>
    <w:rsid w:val="00AF2952"/>
    <w:rsid w:val="00AF31D0"/>
    <w:rsid w:val="00AF36E7"/>
    <w:rsid w:val="00AF405A"/>
    <w:rsid w:val="00AF5BEC"/>
    <w:rsid w:val="00AF63E8"/>
    <w:rsid w:val="00B03702"/>
    <w:rsid w:val="00B03972"/>
    <w:rsid w:val="00B04287"/>
    <w:rsid w:val="00B070A3"/>
    <w:rsid w:val="00B07832"/>
    <w:rsid w:val="00B166AF"/>
    <w:rsid w:val="00B20C19"/>
    <w:rsid w:val="00B2155B"/>
    <w:rsid w:val="00B2339F"/>
    <w:rsid w:val="00B23BF2"/>
    <w:rsid w:val="00B2482B"/>
    <w:rsid w:val="00B27EBD"/>
    <w:rsid w:val="00B36C04"/>
    <w:rsid w:val="00B379F2"/>
    <w:rsid w:val="00B421F2"/>
    <w:rsid w:val="00B427CB"/>
    <w:rsid w:val="00B42938"/>
    <w:rsid w:val="00B42C7C"/>
    <w:rsid w:val="00B44645"/>
    <w:rsid w:val="00B4561C"/>
    <w:rsid w:val="00B4583C"/>
    <w:rsid w:val="00B4606D"/>
    <w:rsid w:val="00B51CE5"/>
    <w:rsid w:val="00B55D03"/>
    <w:rsid w:val="00B61F49"/>
    <w:rsid w:val="00B62188"/>
    <w:rsid w:val="00B623CE"/>
    <w:rsid w:val="00B6642F"/>
    <w:rsid w:val="00B7148C"/>
    <w:rsid w:val="00B719D0"/>
    <w:rsid w:val="00B72FF0"/>
    <w:rsid w:val="00B731A2"/>
    <w:rsid w:val="00B76077"/>
    <w:rsid w:val="00B760FC"/>
    <w:rsid w:val="00B779B4"/>
    <w:rsid w:val="00B874D2"/>
    <w:rsid w:val="00B90C12"/>
    <w:rsid w:val="00B91371"/>
    <w:rsid w:val="00B91EF0"/>
    <w:rsid w:val="00B929E1"/>
    <w:rsid w:val="00B93ADE"/>
    <w:rsid w:val="00B94626"/>
    <w:rsid w:val="00B96225"/>
    <w:rsid w:val="00B9625B"/>
    <w:rsid w:val="00B96EAB"/>
    <w:rsid w:val="00BA36D1"/>
    <w:rsid w:val="00BA553F"/>
    <w:rsid w:val="00BA6F23"/>
    <w:rsid w:val="00BB0284"/>
    <w:rsid w:val="00BB2454"/>
    <w:rsid w:val="00BB5D5E"/>
    <w:rsid w:val="00BC1512"/>
    <w:rsid w:val="00BC17E9"/>
    <w:rsid w:val="00BC1C4E"/>
    <w:rsid w:val="00BC294C"/>
    <w:rsid w:val="00BC4761"/>
    <w:rsid w:val="00BC735D"/>
    <w:rsid w:val="00BD3C59"/>
    <w:rsid w:val="00BD51B4"/>
    <w:rsid w:val="00BD5253"/>
    <w:rsid w:val="00BD575F"/>
    <w:rsid w:val="00BD5E47"/>
    <w:rsid w:val="00BD77B6"/>
    <w:rsid w:val="00BE0DCB"/>
    <w:rsid w:val="00BE577B"/>
    <w:rsid w:val="00BE6A7F"/>
    <w:rsid w:val="00BE7728"/>
    <w:rsid w:val="00BF43E1"/>
    <w:rsid w:val="00C009B7"/>
    <w:rsid w:val="00C0622F"/>
    <w:rsid w:val="00C06846"/>
    <w:rsid w:val="00C06CDA"/>
    <w:rsid w:val="00C1095E"/>
    <w:rsid w:val="00C12757"/>
    <w:rsid w:val="00C160F1"/>
    <w:rsid w:val="00C21ACC"/>
    <w:rsid w:val="00C21C6C"/>
    <w:rsid w:val="00C24F27"/>
    <w:rsid w:val="00C26473"/>
    <w:rsid w:val="00C277AE"/>
    <w:rsid w:val="00C31CBC"/>
    <w:rsid w:val="00C31D84"/>
    <w:rsid w:val="00C321B6"/>
    <w:rsid w:val="00C32364"/>
    <w:rsid w:val="00C32E1E"/>
    <w:rsid w:val="00C338D9"/>
    <w:rsid w:val="00C36EBF"/>
    <w:rsid w:val="00C37817"/>
    <w:rsid w:val="00C44747"/>
    <w:rsid w:val="00C449F9"/>
    <w:rsid w:val="00C51725"/>
    <w:rsid w:val="00C53FCF"/>
    <w:rsid w:val="00C55B6E"/>
    <w:rsid w:val="00C63992"/>
    <w:rsid w:val="00C644A4"/>
    <w:rsid w:val="00C65459"/>
    <w:rsid w:val="00C67D08"/>
    <w:rsid w:val="00C71B0D"/>
    <w:rsid w:val="00C76925"/>
    <w:rsid w:val="00C8066A"/>
    <w:rsid w:val="00C80CCF"/>
    <w:rsid w:val="00C83974"/>
    <w:rsid w:val="00C868AD"/>
    <w:rsid w:val="00C8705F"/>
    <w:rsid w:val="00C87309"/>
    <w:rsid w:val="00C9157C"/>
    <w:rsid w:val="00C919A3"/>
    <w:rsid w:val="00C92455"/>
    <w:rsid w:val="00C927E0"/>
    <w:rsid w:val="00C93CB8"/>
    <w:rsid w:val="00C945FA"/>
    <w:rsid w:val="00C964CA"/>
    <w:rsid w:val="00CA22BB"/>
    <w:rsid w:val="00CA3849"/>
    <w:rsid w:val="00CA3BF2"/>
    <w:rsid w:val="00CA5256"/>
    <w:rsid w:val="00CA67F5"/>
    <w:rsid w:val="00CA77D1"/>
    <w:rsid w:val="00CB005F"/>
    <w:rsid w:val="00CB1280"/>
    <w:rsid w:val="00CB39CF"/>
    <w:rsid w:val="00CB54BD"/>
    <w:rsid w:val="00CB5A72"/>
    <w:rsid w:val="00CB7A8E"/>
    <w:rsid w:val="00CC4A9A"/>
    <w:rsid w:val="00CC65DF"/>
    <w:rsid w:val="00CD1BB3"/>
    <w:rsid w:val="00CD1FE1"/>
    <w:rsid w:val="00CD5176"/>
    <w:rsid w:val="00CD587B"/>
    <w:rsid w:val="00CE1305"/>
    <w:rsid w:val="00CE21EB"/>
    <w:rsid w:val="00CE35A7"/>
    <w:rsid w:val="00CE3628"/>
    <w:rsid w:val="00CE4F80"/>
    <w:rsid w:val="00CE6F31"/>
    <w:rsid w:val="00CE756E"/>
    <w:rsid w:val="00CE7F0B"/>
    <w:rsid w:val="00CF1A6B"/>
    <w:rsid w:val="00CF24BE"/>
    <w:rsid w:val="00CF31C9"/>
    <w:rsid w:val="00CF49FA"/>
    <w:rsid w:val="00CF569F"/>
    <w:rsid w:val="00CF5A1B"/>
    <w:rsid w:val="00D00517"/>
    <w:rsid w:val="00D03737"/>
    <w:rsid w:val="00D06233"/>
    <w:rsid w:val="00D06681"/>
    <w:rsid w:val="00D06BFA"/>
    <w:rsid w:val="00D10436"/>
    <w:rsid w:val="00D119D8"/>
    <w:rsid w:val="00D13136"/>
    <w:rsid w:val="00D13269"/>
    <w:rsid w:val="00D13983"/>
    <w:rsid w:val="00D13E8D"/>
    <w:rsid w:val="00D155D7"/>
    <w:rsid w:val="00D161B0"/>
    <w:rsid w:val="00D16EDF"/>
    <w:rsid w:val="00D17078"/>
    <w:rsid w:val="00D17406"/>
    <w:rsid w:val="00D1974E"/>
    <w:rsid w:val="00D22934"/>
    <w:rsid w:val="00D2547B"/>
    <w:rsid w:val="00D26F4A"/>
    <w:rsid w:val="00D30928"/>
    <w:rsid w:val="00D321F7"/>
    <w:rsid w:val="00D344FF"/>
    <w:rsid w:val="00D34C07"/>
    <w:rsid w:val="00D35DED"/>
    <w:rsid w:val="00D448FC"/>
    <w:rsid w:val="00D5320C"/>
    <w:rsid w:val="00D53CB0"/>
    <w:rsid w:val="00D60B0D"/>
    <w:rsid w:val="00D629D2"/>
    <w:rsid w:val="00D62FB6"/>
    <w:rsid w:val="00D634A5"/>
    <w:rsid w:val="00D64B18"/>
    <w:rsid w:val="00D65242"/>
    <w:rsid w:val="00D667D3"/>
    <w:rsid w:val="00D7030C"/>
    <w:rsid w:val="00D70E7A"/>
    <w:rsid w:val="00D71611"/>
    <w:rsid w:val="00D7215C"/>
    <w:rsid w:val="00D739AF"/>
    <w:rsid w:val="00D73BDD"/>
    <w:rsid w:val="00D748F7"/>
    <w:rsid w:val="00D75929"/>
    <w:rsid w:val="00D76CA7"/>
    <w:rsid w:val="00D7737D"/>
    <w:rsid w:val="00D85B18"/>
    <w:rsid w:val="00D874C2"/>
    <w:rsid w:val="00D9169B"/>
    <w:rsid w:val="00D91B58"/>
    <w:rsid w:val="00D92A49"/>
    <w:rsid w:val="00D93A0E"/>
    <w:rsid w:val="00D96B43"/>
    <w:rsid w:val="00DA2363"/>
    <w:rsid w:val="00DA23AE"/>
    <w:rsid w:val="00DA5D67"/>
    <w:rsid w:val="00DA66F8"/>
    <w:rsid w:val="00DA6B73"/>
    <w:rsid w:val="00DB127A"/>
    <w:rsid w:val="00DB2257"/>
    <w:rsid w:val="00DB3ADE"/>
    <w:rsid w:val="00DB58A5"/>
    <w:rsid w:val="00DC12FF"/>
    <w:rsid w:val="00DC1B1E"/>
    <w:rsid w:val="00DC1C59"/>
    <w:rsid w:val="00DC45E4"/>
    <w:rsid w:val="00DC4FA4"/>
    <w:rsid w:val="00DD37C0"/>
    <w:rsid w:val="00DD5ED4"/>
    <w:rsid w:val="00DE0775"/>
    <w:rsid w:val="00DE127F"/>
    <w:rsid w:val="00DE32B6"/>
    <w:rsid w:val="00DE3739"/>
    <w:rsid w:val="00DE4BD3"/>
    <w:rsid w:val="00DE77F2"/>
    <w:rsid w:val="00DF0D76"/>
    <w:rsid w:val="00DF401F"/>
    <w:rsid w:val="00DF4AC8"/>
    <w:rsid w:val="00DF4F76"/>
    <w:rsid w:val="00DF56D4"/>
    <w:rsid w:val="00DF5865"/>
    <w:rsid w:val="00DF6C2D"/>
    <w:rsid w:val="00E016E1"/>
    <w:rsid w:val="00E06483"/>
    <w:rsid w:val="00E071DC"/>
    <w:rsid w:val="00E07FF8"/>
    <w:rsid w:val="00E1105C"/>
    <w:rsid w:val="00E11E61"/>
    <w:rsid w:val="00E12F1D"/>
    <w:rsid w:val="00E13501"/>
    <w:rsid w:val="00E13F87"/>
    <w:rsid w:val="00E153B4"/>
    <w:rsid w:val="00E166C4"/>
    <w:rsid w:val="00E221C2"/>
    <w:rsid w:val="00E22DCB"/>
    <w:rsid w:val="00E321AB"/>
    <w:rsid w:val="00E32673"/>
    <w:rsid w:val="00E32C8C"/>
    <w:rsid w:val="00E36569"/>
    <w:rsid w:val="00E401EA"/>
    <w:rsid w:val="00E41B1F"/>
    <w:rsid w:val="00E43142"/>
    <w:rsid w:val="00E45051"/>
    <w:rsid w:val="00E465A0"/>
    <w:rsid w:val="00E505EB"/>
    <w:rsid w:val="00E514CC"/>
    <w:rsid w:val="00E519A1"/>
    <w:rsid w:val="00E523B8"/>
    <w:rsid w:val="00E5385F"/>
    <w:rsid w:val="00E63828"/>
    <w:rsid w:val="00E644F9"/>
    <w:rsid w:val="00E673FF"/>
    <w:rsid w:val="00E70CDF"/>
    <w:rsid w:val="00E76B52"/>
    <w:rsid w:val="00E77AA3"/>
    <w:rsid w:val="00E825FC"/>
    <w:rsid w:val="00E84209"/>
    <w:rsid w:val="00E87F72"/>
    <w:rsid w:val="00E93332"/>
    <w:rsid w:val="00E95BC7"/>
    <w:rsid w:val="00E9786B"/>
    <w:rsid w:val="00E9792C"/>
    <w:rsid w:val="00EA24B9"/>
    <w:rsid w:val="00EA6452"/>
    <w:rsid w:val="00EA68DF"/>
    <w:rsid w:val="00EA748F"/>
    <w:rsid w:val="00EB21D8"/>
    <w:rsid w:val="00EB3094"/>
    <w:rsid w:val="00EB3CF4"/>
    <w:rsid w:val="00EB5BA8"/>
    <w:rsid w:val="00EC146B"/>
    <w:rsid w:val="00EC309C"/>
    <w:rsid w:val="00ED2973"/>
    <w:rsid w:val="00ED3E2F"/>
    <w:rsid w:val="00EE00F8"/>
    <w:rsid w:val="00EE17A9"/>
    <w:rsid w:val="00EE3B9D"/>
    <w:rsid w:val="00EE54CE"/>
    <w:rsid w:val="00EF0157"/>
    <w:rsid w:val="00EF3772"/>
    <w:rsid w:val="00EF5A8E"/>
    <w:rsid w:val="00EF6207"/>
    <w:rsid w:val="00EF7E2E"/>
    <w:rsid w:val="00F0015C"/>
    <w:rsid w:val="00F02344"/>
    <w:rsid w:val="00F0244E"/>
    <w:rsid w:val="00F02B52"/>
    <w:rsid w:val="00F02EDC"/>
    <w:rsid w:val="00F03174"/>
    <w:rsid w:val="00F04C34"/>
    <w:rsid w:val="00F07BCF"/>
    <w:rsid w:val="00F10EEA"/>
    <w:rsid w:val="00F1294A"/>
    <w:rsid w:val="00F12D94"/>
    <w:rsid w:val="00F134ED"/>
    <w:rsid w:val="00F1363A"/>
    <w:rsid w:val="00F140FA"/>
    <w:rsid w:val="00F17783"/>
    <w:rsid w:val="00F20200"/>
    <w:rsid w:val="00F2031E"/>
    <w:rsid w:val="00F24E8A"/>
    <w:rsid w:val="00F26A22"/>
    <w:rsid w:val="00F27106"/>
    <w:rsid w:val="00F30D12"/>
    <w:rsid w:val="00F3187D"/>
    <w:rsid w:val="00F34555"/>
    <w:rsid w:val="00F34BB3"/>
    <w:rsid w:val="00F408EB"/>
    <w:rsid w:val="00F439B0"/>
    <w:rsid w:val="00F4424D"/>
    <w:rsid w:val="00F44E0D"/>
    <w:rsid w:val="00F44F4C"/>
    <w:rsid w:val="00F4543B"/>
    <w:rsid w:val="00F46111"/>
    <w:rsid w:val="00F52609"/>
    <w:rsid w:val="00F53248"/>
    <w:rsid w:val="00F54536"/>
    <w:rsid w:val="00F56507"/>
    <w:rsid w:val="00F56C85"/>
    <w:rsid w:val="00F57F12"/>
    <w:rsid w:val="00F62A22"/>
    <w:rsid w:val="00F7329C"/>
    <w:rsid w:val="00F73F9E"/>
    <w:rsid w:val="00F75095"/>
    <w:rsid w:val="00F7765D"/>
    <w:rsid w:val="00F80AD5"/>
    <w:rsid w:val="00F81376"/>
    <w:rsid w:val="00F858FC"/>
    <w:rsid w:val="00F87715"/>
    <w:rsid w:val="00F90C6E"/>
    <w:rsid w:val="00F92AC0"/>
    <w:rsid w:val="00F93D7B"/>
    <w:rsid w:val="00FA2978"/>
    <w:rsid w:val="00FA2ACD"/>
    <w:rsid w:val="00FA5429"/>
    <w:rsid w:val="00FB18BD"/>
    <w:rsid w:val="00FB56DF"/>
    <w:rsid w:val="00FB6D29"/>
    <w:rsid w:val="00FB7A54"/>
    <w:rsid w:val="00FC2AA7"/>
    <w:rsid w:val="00FC2D45"/>
    <w:rsid w:val="00FD0AF7"/>
    <w:rsid w:val="00FD20EB"/>
    <w:rsid w:val="00FD392B"/>
    <w:rsid w:val="00FD73BD"/>
    <w:rsid w:val="00FD79C3"/>
    <w:rsid w:val="00FD7BF5"/>
    <w:rsid w:val="00FE1B97"/>
    <w:rsid w:val="00FE6378"/>
    <w:rsid w:val="00FF0124"/>
    <w:rsid w:val="00FF27B3"/>
    <w:rsid w:val="00FF6349"/>
    <w:rsid w:val="00FF7039"/>
    <w:rsid w:val="010613A5"/>
    <w:rsid w:val="0124D81B"/>
    <w:rsid w:val="02495D12"/>
    <w:rsid w:val="025BCC6A"/>
    <w:rsid w:val="02724F7C"/>
    <w:rsid w:val="029ACD39"/>
    <w:rsid w:val="02CB5616"/>
    <w:rsid w:val="02E62B5F"/>
    <w:rsid w:val="02E6AA33"/>
    <w:rsid w:val="033558BD"/>
    <w:rsid w:val="03B1E3E3"/>
    <w:rsid w:val="03B9C1CD"/>
    <w:rsid w:val="03E3D849"/>
    <w:rsid w:val="03F34A49"/>
    <w:rsid w:val="0402C5E3"/>
    <w:rsid w:val="04098529"/>
    <w:rsid w:val="044C5831"/>
    <w:rsid w:val="044DCACE"/>
    <w:rsid w:val="0489D522"/>
    <w:rsid w:val="04E18CB4"/>
    <w:rsid w:val="05543101"/>
    <w:rsid w:val="05D9AE42"/>
    <w:rsid w:val="05E494E1"/>
    <w:rsid w:val="05EC708E"/>
    <w:rsid w:val="05F39831"/>
    <w:rsid w:val="05F7E81C"/>
    <w:rsid w:val="06292DE7"/>
    <w:rsid w:val="06B4E26E"/>
    <w:rsid w:val="070AFB35"/>
    <w:rsid w:val="07123E17"/>
    <w:rsid w:val="0719CCA6"/>
    <w:rsid w:val="073D18AD"/>
    <w:rsid w:val="073DB802"/>
    <w:rsid w:val="076B424B"/>
    <w:rsid w:val="07899B77"/>
    <w:rsid w:val="07E530B2"/>
    <w:rsid w:val="07EAEEDA"/>
    <w:rsid w:val="082CF060"/>
    <w:rsid w:val="08740EEB"/>
    <w:rsid w:val="088800B1"/>
    <w:rsid w:val="08D711F1"/>
    <w:rsid w:val="08E0B499"/>
    <w:rsid w:val="08ED00A4"/>
    <w:rsid w:val="09197F8E"/>
    <w:rsid w:val="09343F01"/>
    <w:rsid w:val="094BA728"/>
    <w:rsid w:val="09574B66"/>
    <w:rsid w:val="0972C554"/>
    <w:rsid w:val="09D2EDFD"/>
    <w:rsid w:val="09E71685"/>
    <w:rsid w:val="0A08E3BE"/>
    <w:rsid w:val="0A3B6056"/>
    <w:rsid w:val="0A3FCCE9"/>
    <w:rsid w:val="0A8A781A"/>
    <w:rsid w:val="0AE8D2D0"/>
    <w:rsid w:val="0AFAE53C"/>
    <w:rsid w:val="0AFE4548"/>
    <w:rsid w:val="0B277D0F"/>
    <w:rsid w:val="0BA36C26"/>
    <w:rsid w:val="0BB4ED65"/>
    <w:rsid w:val="0BB51293"/>
    <w:rsid w:val="0BCC424B"/>
    <w:rsid w:val="0BEBC521"/>
    <w:rsid w:val="0BF803E1"/>
    <w:rsid w:val="0BFC3A12"/>
    <w:rsid w:val="0C094D8F"/>
    <w:rsid w:val="0C5B8B1E"/>
    <w:rsid w:val="0C76B51D"/>
    <w:rsid w:val="0C884CEF"/>
    <w:rsid w:val="0C8BEB2E"/>
    <w:rsid w:val="0C9649E7"/>
    <w:rsid w:val="0C973C6B"/>
    <w:rsid w:val="0C9B946A"/>
    <w:rsid w:val="0CBF38B2"/>
    <w:rsid w:val="0D20B603"/>
    <w:rsid w:val="0D634800"/>
    <w:rsid w:val="0D8F08BB"/>
    <w:rsid w:val="0DA490EB"/>
    <w:rsid w:val="0DBAEFFD"/>
    <w:rsid w:val="0DD07635"/>
    <w:rsid w:val="0E0160C0"/>
    <w:rsid w:val="0E1A4664"/>
    <w:rsid w:val="0E2ABE37"/>
    <w:rsid w:val="0F627EFC"/>
    <w:rsid w:val="0F859E08"/>
    <w:rsid w:val="0FA0C926"/>
    <w:rsid w:val="0FBE50FC"/>
    <w:rsid w:val="0FF628C3"/>
    <w:rsid w:val="1011F0F0"/>
    <w:rsid w:val="1018D771"/>
    <w:rsid w:val="103B07FD"/>
    <w:rsid w:val="1044320E"/>
    <w:rsid w:val="1070521D"/>
    <w:rsid w:val="10AA8EBA"/>
    <w:rsid w:val="110E58C6"/>
    <w:rsid w:val="11430125"/>
    <w:rsid w:val="119407DA"/>
    <w:rsid w:val="11C3640C"/>
    <w:rsid w:val="11F8E2CD"/>
    <w:rsid w:val="12323E85"/>
    <w:rsid w:val="1239EC02"/>
    <w:rsid w:val="134DCF5F"/>
    <w:rsid w:val="1368D976"/>
    <w:rsid w:val="13749F9F"/>
    <w:rsid w:val="139CF8FE"/>
    <w:rsid w:val="142E1878"/>
    <w:rsid w:val="142FEE64"/>
    <w:rsid w:val="144E1095"/>
    <w:rsid w:val="1471C02F"/>
    <w:rsid w:val="1486E669"/>
    <w:rsid w:val="14A74613"/>
    <w:rsid w:val="14B26D87"/>
    <w:rsid w:val="14D595FE"/>
    <w:rsid w:val="1508019C"/>
    <w:rsid w:val="151A8B0F"/>
    <w:rsid w:val="15383028"/>
    <w:rsid w:val="1560F2C9"/>
    <w:rsid w:val="15660D13"/>
    <w:rsid w:val="157C601F"/>
    <w:rsid w:val="15A02F75"/>
    <w:rsid w:val="160FEADA"/>
    <w:rsid w:val="16DB920B"/>
    <w:rsid w:val="1741F0EB"/>
    <w:rsid w:val="17A247BA"/>
    <w:rsid w:val="180F3B5E"/>
    <w:rsid w:val="18104ED0"/>
    <w:rsid w:val="1814CF30"/>
    <w:rsid w:val="1833E133"/>
    <w:rsid w:val="1887DD80"/>
    <w:rsid w:val="189C79E8"/>
    <w:rsid w:val="18CBCBE0"/>
    <w:rsid w:val="18E79B92"/>
    <w:rsid w:val="19887807"/>
    <w:rsid w:val="19B5DEDA"/>
    <w:rsid w:val="1A765A0F"/>
    <w:rsid w:val="1A826D41"/>
    <w:rsid w:val="1A9D97C2"/>
    <w:rsid w:val="1AB7A497"/>
    <w:rsid w:val="1AE3F15C"/>
    <w:rsid w:val="1B1D5BC1"/>
    <w:rsid w:val="1B35526D"/>
    <w:rsid w:val="1B4BDEC5"/>
    <w:rsid w:val="1B746FE8"/>
    <w:rsid w:val="1BD83725"/>
    <w:rsid w:val="1BE60724"/>
    <w:rsid w:val="1C2F3EFB"/>
    <w:rsid w:val="1D72F918"/>
    <w:rsid w:val="1E2E3812"/>
    <w:rsid w:val="1E2F57AD"/>
    <w:rsid w:val="1E45A95D"/>
    <w:rsid w:val="1F0794BE"/>
    <w:rsid w:val="1F652C07"/>
    <w:rsid w:val="20467C44"/>
    <w:rsid w:val="20675569"/>
    <w:rsid w:val="20BD7404"/>
    <w:rsid w:val="20D69B73"/>
    <w:rsid w:val="21033A5A"/>
    <w:rsid w:val="2165AE99"/>
    <w:rsid w:val="218FBDD5"/>
    <w:rsid w:val="219186E3"/>
    <w:rsid w:val="2194883E"/>
    <w:rsid w:val="21A38171"/>
    <w:rsid w:val="21AB75D8"/>
    <w:rsid w:val="22444C20"/>
    <w:rsid w:val="22C0B483"/>
    <w:rsid w:val="22E3CB74"/>
    <w:rsid w:val="2310287E"/>
    <w:rsid w:val="236C8130"/>
    <w:rsid w:val="23953A11"/>
    <w:rsid w:val="23D39EDF"/>
    <w:rsid w:val="23EFF0DE"/>
    <w:rsid w:val="241B155D"/>
    <w:rsid w:val="241D6FFA"/>
    <w:rsid w:val="24225E8A"/>
    <w:rsid w:val="2433C9CF"/>
    <w:rsid w:val="2488C1A5"/>
    <w:rsid w:val="24DA10B3"/>
    <w:rsid w:val="24E16028"/>
    <w:rsid w:val="2542A532"/>
    <w:rsid w:val="256DAE8C"/>
    <w:rsid w:val="25AE7B5E"/>
    <w:rsid w:val="25EE82AC"/>
    <w:rsid w:val="26267967"/>
    <w:rsid w:val="264FCDD2"/>
    <w:rsid w:val="26A5F975"/>
    <w:rsid w:val="26B18EF1"/>
    <w:rsid w:val="26C45238"/>
    <w:rsid w:val="2717880C"/>
    <w:rsid w:val="277E429C"/>
    <w:rsid w:val="27A41C5D"/>
    <w:rsid w:val="27D0D984"/>
    <w:rsid w:val="28BB9D1D"/>
    <w:rsid w:val="28D67ADA"/>
    <w:rsid w:val="293AF18C"/>
    <w:rsid w:val="29BC6377"/>
    <w:rsid w:val="29E770CF"/>
    <w:rsid w:val="2A253BD9"/>
    <w:rsid w:val="2A31177A"/>
    <w:rsid w:val="2A6013C5"/>
    <w:rsid w:val="2A7E9EDB"/>
    <w:rsid w:val="2AEDB64B"/>
    <w:rsid w:val="2B2A9631"/>
    <w:rsid w:val="2B37434A"/>
    <w:rsid w:val="2BF88D3F"/>
    <w:rsid w:val="2C068F98"/>
    <w:rsid w:val="2C151F89"/>
    <w:rsid w:val="2D01E562"/>
    <w:rsid w:val="2D183E34"/>
    <w:rsid w:val="2D32F2C4"/>
    <w:rsid w:val="2D3E45CA"/>
    <w:rsid w:val="2D52B3A4"/>
    <w:rsid w:val="2DA2CFEE"/>
    <w:rsid w:val="2DDB5439"/>
    <w:rsid w:val="2E2BAB8C"/>
    <w:rsid w:val="2EFD602E"/>
    <w:rsid w:val="2F036D18"/>
    <w:rsid w:val="2F174FC6"/>
    <w:rsid w:val="2F395480"/>
    <w:rsid w:val="2F50A3AA"/>
    <w:rsid w:val="2F803B70"/>
    <w:rsid w:val="2F89761A"/>
    <w:rsid w:val="2F8A3AB1"/>
    <w:rsid w:val="30171349"/>
    <w:rsid w:val="3036015B"/>
    <w:rsid w:val="307728CD"/>
    <w:rsid w:val="3091E6DA"/>
    <w:rsid w:val="30B197F4"/>
    <w:rsid w:val="30BA1525"/>
    <w:rsid w:val="30BEEAA9"/>
    <w:rsid w:val="30E66278"/>
    <w:rsid w:val="311837ED"/>
    <w:rsid w:val="311B53FA"/>
    <w:rsid w:val="311D8F8B"/>
    <w:rsid w:val="3139C4CF"/>
    <w:rsid w:val="3148F9D6"/>
    <w:rsid w:val="3218CC6E"/>
    <w:rsid w:val="322577D6"/>
    <w:rsid w:val="32618E42"/>
    <w:rsid w:val="327B9E34"/>
    <w:rsid w:val="32E86F3B"/>
    <w:rsid w:val="331E0CB7"/>
    <w:rsid w:val="3331541C"/>
    <w:rsid w:val="333CD279"/>
    <w:rsid w:val="335EDE2F"/>
    <w:rsid w:val="3367971B"/>
    <w:rsid w:val="340F70EB"/>
    <w:rsid w:val="3483E868"/>
    <w:rsid w:val="348A3183"/>
    <w:rsid w:val="34AD9D0A"/>
    <w:rsid w:val="34E1BE39"/>
    <w:rsid w:val="351C3E96"/>
    <w:rsid w:val="351D41AB"/>
    <w:rsid w:val="35B59F64"/>
    <w:rsid w:val="35E82346"/>
    <w:rsid w:val="363D64A3"/>
    <w:rsid w:val="36890302"/>
    <w:rsid w:val="36B5B962"/>
    <w:rsid w:val="37180ABF"/>
    <w:rsid w:val="37260BCF"/>
    <w:rsid w:val="3726B398"/>
    <w:rsid w:val="37341C96"/>
    <w:rsid w:val="37A902E1"/>
    <w:rsid w:val="37E51B97"/>
    <w:rsid w:val="384A3F81"/>
    <w:rsid w:val="387376D5"/>
    <w:rsid w:val="3882D381"/>
    <w:rsid w:val="38ABD793"/>
    <w:rsid w:val="38C982C1"/>
    <w:rsid w:val="3942DA20"/>
    <w:rsid w:val="39FE69A9"/>
    <w:rsid w:val="3A560A14"/>
    <w:rsid w:val="3A610BC4"/>
    <w:rsid w:val="3A6A661D"/>
    <w:rsid w:val="3A73CFB5"/>
    <w:rsid w:val="3A757251"/>
    <w:rsid w:val="3A77710B"/>
    <w:rsid w:val="3A906CE6"/>
    <w:rsid w:val="3A93E5ED"/>
    <w:rsid w:val="3AAAE7AA"/>
    <w:rsid w:val="3ACEC404"/>
    <w:rsid w:val="3AFBFAB5"/>
    <w:rsid w:val="3B795125"/>
    <w:rsid w:val="3BBE09DF"/>
    <w:rsid w:val="3BEA008C"/>
    <w:rsid w:val="3C2CD29A"/>
    <w:rsid w:val="3C3AD3AF"/>
    <w:rsid w:val="3C4A5D3E"/>
    <w:rsid w:val="3C58C938"/>
    <w:rsid w:val="3C9B38EB"/>
    <w:rsid w:val="3C9D6A2E"/>
    <w:rsid w:val="3D68375B"/>
    <w:rsid w:val="3D6DDA9C"/>
    <w:rsid w:val="3D7A740C"/>
    <w:rsid w:val="3D871BC0"/>
    <w:rsid w:val="3D9CCFA4"/>
    <w:rsid w:val="3DC15AEC"/>
    <w:rsid w:val="3DFD705D"/>
    <w:rsid w:val="3E0D931F"/>
    <w:rsid w:val="3E4733B5"/>
    <w:rsid w:val="3E89CDB0"/>
    <w:rsid w:val="3E8BDFB0"/>
    <w:rsid w:val="3EB7D8F6"/>
    <w:rsid w:val="3EBE0467"/>
    <w:rsid w:val="3EC076D5"/>
    <w:rsid w:val="3EC9DAF5"/>
    <w:rsid w:val="3F2EDD16"/>
    <w:rsid w:val="3F629307"/>
    <w:rsid w:val="3FA17FCB"/>
    <w:rsid w:val="3FC49A22"/>
    <w:rsid w:val="3FE590AD"/>
    <w:rsid w:val="3FFE3410"/>
    <w:rsid w:val="402168E3"/>
    <w:rsid w:val="406B94C8"/>
    <w:rsid w:val="40E9C986"/>
    <w:rsid w:val="41093C09"/>
    <w:rsid w:val="4113D527"/>
    <w:rsid w:val="417CFF45"/>
    <w:rsid w:val="4182AB0F"/>
    <w:rsid w:val="422B6830"/>
    <w:rsid w:val="4245BF2D"/>
    <w:rsid w:val="42492072"/>
    <w:rsid w:val="426FEE3A"/>
    <w:rsid w:val="42900EF2"/>
    <w:rsid w:val="42C84D4B"/>
    <w:rsid w:val="43354567"/>
    <w:rsid w:val="4365E735"/>
    <w:rsid w:val="43971BB3"/>
    <w:rsid w:val="43B898D7"/>
    <w:rsid w:val="446B58D7"/>
    <w:rsid w:val="4488786B"/>
    <w:rsid w:val="4489D71D"/>
    <w:rsid w:val="44970341"/>
    <w:rsid w:val="4517E2CD"/>
    <w:rsid w:val="453AE93E"/>
    <w:rsid w:val="45ABC2DB"/>
    <w:rsid w:val="46F5B46C"/>
    <w:rsid w:val="470D227E"/>
    <w:rsid w:val="4734B844"/>
    <w:rsid w:val="4746D752"/>
    <w:rsid w:val="4751EEFC"/>
    <w:rsid w:val="4763C9E4"/>
    <w:rsid w:val="476E53DA"/>
    <w:rsid w:val="4778CDB6"/>
    <w:rsid w:val="47B91827"/>
    <w:rsid w:val="47DE4100"/>
    <w:rsid w:val="47E6372C"/>
    <w:rsid w:val="47F595AD"/>
    <w:rsid w:val="4813656E"/>
    <w:rsid w:val="48402AC5"/>
    <w:rsid w:val="4863744F"/>
    <w:rsid w:val="48F5091F"/>
    <w:rsid w:val="4909AE51"/>
    <w:rsid w:val="490F42D6"/>
    <w:rsid w:val="49139426"/>
    <w:rsid w:val="494BA2FF"/>
    <w:rsid w:val="4964ED03"/>
    <w:rsid w:val="49BDBD10"/>
    <w:rsid w:val="4A9C5B62"/>
    <w:rsid w:val="4AAD8F1C"/>
    <w:rsid w:val="4AE86AC9"/>
    <w:rsid w:val="4B3845F4"/>
    <w:rsid w:val="4BE0876E"/>
    <w:rsid w:val="4C301488"/>
    <w:rsid w:val="4C70E567"/>
    <w:rsid w:val="4C72BF5D"/>
    <w:rsid w:val="4C971FE4"/>
    <w:rsid w:val="4CBB573C"/>
    <w:rsid w:val="4D6D314A"/>
    <w:rsid w:val="4D962FCB"/>
    <w:rsid w:val="4DEBF8F5"/>
    <w:rsid w:val="4E0F8900"/>
    <w:rsid w:val="4E4D5E4D"/>
    <w:rsid w:val="4E7BF713"/>
    <w:rsid w:val="4EB68081"/>
    <w:rsid w:val="4EC2E591"/>
    <w:rsid w:val="4EC5B612"/>
    <w:rsid w:val="4EE4125E"/>
    <w:rsid w:val="4EFCB60E"/>
    <w:rsid w:val="4F093F33"/>
    <w:rsid w:val="4F4F6187"/>
    <w:rsid w:val="4FBF591D"/>
    <w:rsid w:val="5006283A"/>
    <w:rsid w:val="50367EB8"/>
    <w:rsid w:val="50436FED"/>
    <w:rsid w:val="50646313"/>
    <w:rsid w:val="50993A3D"/>
    <w:rsid w:val="50A6D8CC"/>
    <w:rsid w:val="50A86F8B"/>
    <w:rsid w:val="50C01AC9"/>
    <w:rsid w:val="50E5E7AD"/>
    <w:rsid w:val="511D8786"/>
    <w:rsid w:val="511D97FA"/>
    <w:rsid w:val="514BFEFF"/>
    <w:rsid w:val="514C8BCB"/>
    <w:rsid w:val="518BD236"/>
    <w:rsid w:val="519E2C0C"/>
    <w:rsid w:val="51FEFFEF"/>
    <w:rsid w:val="5206CD26"/>
    <w:rsid w:val="521631A2"/>
    <w:rsid w:val="52168634"/>
    <w:rsid w:val="522784AB"/>
    <w:rsid w:val="527E2393"/>
    <w:rsid w:val="530D990D"/>
    <w:rsid w:val="5356AE4A"/>
    <w:rsid w:val="53A58E9B"/>
    <w:rsid w:val="53C35DDC"/>
    <w:rsid w:val="542858E6"/>
    <w:rsid w:val="542CA842"/>
    <w:rsid w:val="542FCB1C"/>
    <w:rsid w:val="54464ABA"/>
    <w:rsid w:val="54832E9E"/>
    <w:rsid w:val="54AC79B0"/>
    <w:rsid w:val="54C1F212"/>
    <w:rsid w:val="54C7E398"/>
    <w:rsid w:val="550A2E46"/>
    <w:rsid w:val="550E2AB4"/>
    <w:rsid w:val="55CBD6BF"/>
    <w:rsid w:val="55CDB686"/>
    <w:rsid w:val="5616BEDD"/>
    <w:rsid w:val="563D33FD"/>
    <w:rsid w:val="56479DAE"/>
    <w:rsid w:val="567631A9"/>
    <w:rsid w:val="569ACE0A"/>
    <w:rsid w:val="56BA49F1"/>
    <w:rsid w:val="5706A7F1"/>
    <w:rsid w:val="573494E4"/>
    <w:rsid w:val="57514F97"/>
    <w:rsid w:val="57570B21"/>
    <w:rsid w:val="578A857F"/>
    <w:rsid w:val="57B7ABFE"/>
    <w:rsid w:val="57F68D11"/>
    <w:rsid w:val="58175B46"/>
    <w:rsid w:val="58231AE7"/>
    <w:rsid w:val="583ECCD9"/>
    <w:rsid w:val="58472A8B"/>
    <w:rsid w:val="58818CEA"/>
    <w:rsid w:val="58BA2DD1"/>
    <w:rsid w:val="59510B20"/>
    <w:rsid w:val="596D6774"/>
    <w:rsid w:val="5988F868"/>
    <w:rsid w:val="59B97C51"/>
    <w:rsid w:val="59DFAF1D"/>
    <w:rsid w:val="59E7F374"/>
    <w:rsid w:val="59FBDA9E"/>
    <w:rsid w:val="5A2C3861"/>
    <w:rsid w:val="5ABB4E52"/>
    <w:rsid w:val="5AD53E6A"/>
    <w:rsid w:val="5B4644B6"/>
    <w:rsid w:val="5B510EC0"/>
    <w:rsid w:val="5B82695A"/>
    <w:rsid w:val="5BB36711"/>
    <w:rsid w:val="5CEE7BD9"/>
    <w:rsid w:val="5E6ACE17"/>
    <w:rsid w:val="5EA398C0"/>
    <w:rsid w:val="5EA47EE3"/>
    <w:rsid w:val="5EBAAF4C"/>
    <w:rsid w:val="5EC880CE"/>
    <w:rsid w:val="5F055335"/>
    <w:rsid w:val="5FF1CC5B"/>
    <w:rsid w:val="6034C7C8"/>
    <w:rsid w:val="60396ABC"/>
    <w:rsid w:val="60633CED"/>
    <w:rsid w:val="6085BC12"/>
    <w:rsid w:val="60BA0DB7"/>
    <w:rsid w:val="60DCE891"/>
    <w:rsid w:val="60F4E7D0"/>
    <w:rsid w:val="6107BBA8"/>
    <w:rsid w:val="611D7E50"/>
    <w:rsid w:val="6130A6F9"/>
    <w:rsid w:val="6135A358"/>
    <w:rsid w:val="614FCE09"/>
    <w:rsid w:val="61673C67"/>
    <w:rsid w:val="6171E8C1"/>
    <w:rsid w:val="61A88F5A"/>
    <w:rsid w:val="61ADE0D3"/>
    <w:rsid w:val="61C7A0B5"/>
    <w:rsid w:val="61DA1EC1"/>
    <w:rsid w:val="62790242"/>
    <w:rsid w:val="6283A960"/>
    <w:rsid w:val="62842AF9"/>
    <w:rsid w:val="6296B1E0"/>
    <w:rsid w:val="630D9914"/>
    <w:rsid w:val="637E510C"/>
    <w:rsid w:val="638B71AC"/>
    <w:rsid w:val="64690E00"/>
    <w:rsid w:val="6483E120"/>
    <w:rsid w:val="64A17D09"/>
    <w:rsid w:val="6509A8B9"/>
    <w:rsid w:val="656C73B6"/>
    <w:rsid w:val="65A52AAD"/>
    <w:rsid w:val="65E1F7EC"/>
    <w:rsid w:val="65ED66F2"/>
    <w:rsid w:val="666E3F6D"/>
    <w:rsid w:val="667C7737"/>
    <w:rsid w:val="67040EF1"/>
    <w:rsid w:val="673A5FC0"/>
    <w:rsid w:val="67576039"/>
    <w:rsid w:val="677F0F79"/>
    <w:rsid w:val="67B38912"/>
    <w:rsid w:val="67FE6325"/>
    <w:rsid w:val="68186EEC"/>
    <w:rsid w:val="68B9DAD4"/>
    <w:rsid w:val="68D0C0C6"/>
    <w:rsid w:val="696B278C"/>
    <w:rsid w:val="698850A8"/>
    <w:rsid w:val="69922174"/>
    <w:rsid w:val="69C1CB9D"/>
    <w:rsid w:val="69CCC8D9"/>
    <w:rsid w:val="6A68B92E"/>
    <w:rsid w:val="6AAC47E7"/>
    <w:rsid w:val="6AC198F3"/>
    <w:rsid w:val="6AC3E7C5"/>
    <w:rsid w:val="6B25C183"/>
    <w:rsid w:val="6B7C7E5F"/>
    <w:rsid w:val="6B87022C"/>
    <w:rsid w:val="6BBD817A"/>
    <w:rsid w:val="6BC317B0"/>
    <w:rsid w:val="6BC3A5A0"/>
    <w:rsid w:val="6BE44287"/>
    <w:rsid w:val="6BFE7667"/>
    <w:rsid w:val="6D2828D3"/>
    <w:rsid w:val="6D2BAEC7"/>
    <w:rsid w:val="6D37B203"/>
    <w:rsid w:val="6D49398A"/>
    <w:rsid w:val="6D766B70"/>
    <w:rsid w:val="6DD40EDE"/>
    <w:rsid w:val="6DF09942"/>
    <w:rsid w:val="6E08D89E"/>
    <w:rsid w:val="6E2AE746"/>
    <w:rsid w:val="6EBC90F2"/>
    <w:rsid w:val="6EC5226C"/>
    <w:rsid w:val="6EE625EE"/>
    <w:rsid w:val="6EFCBE88"/>
    <w:rsid w:val="6F2905FD"/>
    <w:rsid w:val="6F35C2C0"/>
    <w:rsid w:val="703FB88F"/>
    <w:rsid w:val="71178757"/>
    <w:rsid w:val="7135E173"/>
    <w:rsid w:val="715991B0"/>
    <w:rsid w:val="71773F33"/>
    <w:rsid w:val="71C905E1"/>
    <w:rsid w:val="71D3A9A7"/>
    <w:rsid w:val="71D78187"/>
    <w:rsid w:val="71FDD981"/>
    <w:rsid w:val="7205BA3C"/>
    <w:rsid w:val="72424A34"/>
    <w:rsid w:val="72467E19"/>
    <w:rsid w:val="7272F04F"/>
    <w:rsid w:val="72CDDF41"/>
    <w:rsid w:val="72D814EE"/>
    <w:rsid w:val="72D9ECA6"/>
    <w:rsid w:val="731E3A65"/>
    <w:rsid w:val="73889DCF"/>
    <w:rsid w:val="73BBDA49"/>
    <w:rsid w:val="740C34FC"/>
    <w:rsid w:val="746416F8"/>
    <w:rsid w:val="748BC834"/>
    <w:rsid w:val="74A33BC1"/>
    <w:rsid w:val="74DB389B"/>
    <w:rsid w:val="750E165D"/>
    <w:rsid w:val="75988A1C"/>
    <w:rsid w:val="75A62F2F"/>
    <w:rsid w:val="75E43536"/>
    <w:rsid w:val="7656FBD5"/>
    <w:rsid w:val="768E7FA6"/>
    <w:rsid w:val="76CB20AC"/>
    <w:rsid w:val="76DD7FCB"/>
    <w:rsid w:val="76EA8291"/>
    <w:rsid w:val="773AE12B"/>
    <w:rsid w:val="774B9B5B"/>
    <w:rsid w:val="776C4B8B"/>
    <w:rsid w:val="77A93B99"/>
    <w:rsid w:val="77C7A8CA"/>
    <w:rsid w:val="77C8AC34"/>
    <w:rsid w:val="7824DAB3"/>
    <w:rsid w:val="78926B5F"/>
    <w:rsid w:val="789950FE"/>
    <w:rsid w:val="78C8CBB4"/>
    <w:rsid w:val="79248FAE"/>
    <w:rsid w:val="79554A4A"/>
    <w:rsid w:val="7979921A"/>
    <w:rsid w:val="79858ED7"/>
    <w:rsid w:val="7992AAD1"/>
    <w:rsid w:val="79977A4B"/>
    <w:rsid w:val="79E9737D"/>
    <w:rsid w:val="79EDC9CF"/>
    <w:rsid w:val="7A3EC3F2"/>
    <w:rsid w:val="7A6F4D42"/>
    <w:rsid w:val="7A72ECC1"/>
    <w:rsid w:val="7ABA0413"/>
    <w:rsid w:val="7AED943B"/>
    <w:rsid w:val="7B3B6DCE"/>
    <w:rsid w:val="7B7FE8CB"/>
    <w:rsid w:val="7B87529D"/>
    <w:rsid w:val="7C20C68A"/>
    <w:rsid w:val="7C26F4F6"/>
    <w:rsid w:val="7C368BE0"/>
    <w:rsid w:val="7C66266E"/>
    <w:rsid w:val="7C9EFC67"/>
    <w:rsid w:val="7CCA0DC4"/>
    <w:rsid w:val="7D4612DD"/>
    <w:rsid w:val="7E25711E"/>
    <w:rsid w:val="7E701688"/>
    <w:rsid w:val="7E811684"/>
    <w:rsid w:val="7E9F1A86"/>
    <w:rsid w:val="7F3424C8"/>
    <w:rsid w:val="7F561BFB"/>
    <w:rsid w:val="7F828101"/>
    <w:rsid w:val="7F9CEB63"/>
    <w:rsid w:val="7FA36A18"/>
    <w:rsid w:val="7FB777A7"/>
    <w:rsid w:val="7FC253CB"/>
    <w:rsid w:val="7FFF73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EFD4"/>
  <w15:chartTrackingRefBased/>
  <w15:docId w15:val="{63E037C2-093B-48E3-804A-08726EAD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BF2"/>
    <w:rPr>
      <w:rFonts w:eastAsiaTheme="majorEastAsia" w:cstheme="majorBidi"/>
      <w:color w:val="272727" w:themeColor="text1" w:themeTint="D8"/>
    </w:rPr>
  </w:style>
  <w:style w:type="paragraph" w:styleId="Title">
    <w:name w:val="Title"/>
    <w:basedOn w:val="Normal"/>
    <w:next w:val="Normal"/>
    <w:link w:val="TitleChar"/>
    <w:uiPriority w:val="10"/>
    <w:qFormat/>
    <w:rsid w:val="00B2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BF2"/>
    <w:pPr>
      <w:spacing w:before="160"/>
      <w:jc w:val="center"/>
    </w:pPr>
    <w:rPr>
      <w:i/>
      <w:iCs/>
      <w:color w:val="404040" w:themeColor="text1" w:themeTint="BF"/>
    </w:rPr>
  </w:style>
  <w:style w:type="character" w:customStyle="1" w:styleId="QuoteChar">
    <w:name w:val="Quote Char"/>
    <w:basedOn w:val="DefaultParagraphFont"/>
    <w:link w:val="Quote"/>
    <w:uiPriority w:val="29"/>
    <w:rsid w:val="00B23BF2"/>
    <w:rPr>
      <w:i/>
      <w:iCs/>
      <w:color w:val="404040" w:themeColor="text1" w:themeTint="BF"/>
    </w:rPr>
  </w:style>
  <w:style w:type="paragraph" w:styleId="ListParagraph">
    <w:name w:val="List Paragraph"/>
    <w:basedOn w:val="Normal"/>
    <w:uiPriority w:val="34"/>
    <w:qFormat/>
    <w:rsid w:val="00B23BF2"/>
    <w:pPr>
      <w:ind w:left="720"/>
      <w:contextualSpacing/>
    </w:pPr>
  </w:style>
  <w:style w:type="character" w:styleId="IntenseEmphasis">
    <w:name w:val="Intense Emphasis"/>
    <w:basedOn w:val="DefaultParagraphFont"/>
    <w:uiPriority w:val="21"/>
    <w:qFormat/>
    <w:rsid w:val="00B23BF2"/>
    <w:rPr>
      <w:i/>
      <w:iCs/>
      <w:color w:val="0F4761" w:themeColor="accent1" w:themeShade="BF"/>
    </w:rPr>
  </w:style>
  <w:style w:type="paragraph" w:styleId="IntenseQuote">
    <w:name w:val="Intense Quote"/>
    <w:basedOn w:val="Normal"/>
    <w:next w:val="Normal"/>
    <w:link w:val="IntenseQuoteChar"/>
    <w:uiPriority w:val="30"/>
    <w:qFormat/>
    <w:rsid w:val="00B2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BF2"/>
    <w:rPr>
      <w:i/>
      <w:iCs/>
      <w:color w:val="0F4761" w:themeColor="accent1" w:themeShade="BF"/>
    </w:rPr>
  </w:style>
  <w:style w:type="character" w:styleId="IntenseReference">
    <w:name w:val="Intense Reference"/>
    <w:basedOn w:val="DefaultParagraphFont"/>
    <w:uiPriority w:val="32"/>
    <w:qFormat/>
    <w:rsid w:val="00B23BF2"/>
    <w:rPr>
      <w:b/>
      <w:bCs/>
      <w:smallCaps/>
      <w:color w:val="0F4761" w:themeColor="accent1" w:themeShade="BF"/>
      <w:spacing w:val="5"/>
    </w:rPr>
  </w:style>
  <w:style w:type="paragraph" w:styleId="Header">
    <w:name w:val="header"/>
    <w:basedOn w:val="Normal"/>
    <w:link w:val="HeaderChar"/>
    <w:uiPriority w:val="99"/>
    <w:unhideWhenUsed/>
    <w:rsid w:val="00B96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225"/>
  </w:style>
  <w:style w:type="paragraph" w:styleId="Footer">
    <w:name w:val="footer"/>
    <w:basedOn w:val="Normal"/>
    <w:link w:val="FooterChar"/>
    <w:uiPriority w:val="99"/>
    <w:unhideWhenUsed/>
    <w:rsid w:val="00B96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225"/>
  </w:style>
  <w:style w:type="table" w:styleId="TableGrid">
    <w:name w:val="Table Grid"/>
    <w:basedOn w:val="TableNormal"/>
    <w:uiPriority w:val="59"/>
    <w:rsid w:val="008118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00517"/>
    <w:rPr>
      <w:color w:val="467886" w:themeColor="hyperlink"/>
      <w:u w:val="single"/>
    </w:rPr>
  </w:style>
  <w:style w:type="character" w:styleId="UnresolvedMention">
    <w:name w:val="Unresolved Mention"/>
    <w:basedOn w:val="DefaultParagraphFont"/>
    <w:uiPriority w:val="99"/>
    <w:semiHidden/>
    <w:unhideWhenUsed/>
    <w:rsid w:val="00D00517"/>
    <w:rPr>
      <w:color w:val="605E5C"/>
      <w:shd w:val="clear" w:color="auto" w:fill="E1DFDD"/>
    </w:rPr>
  </w:style>
  <w:style w:type="paragraph" w:styleId="NormalWeb">
    <w:name w:val="Normal (Web)"/>
    <w:basedOn w:val="Normal"/>
    <w:uiPriority w:val="99"/>
    <w:semiHidden/>
    <w:unhideWhenUsed/>
    <w:rsid w:val="00795B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A581F"/>
  </w:style>
  <w:style w:type="character" w:styleId="FollowedHyperlink">
    <w:name w:val="FollowedHyperlink"/>
    <w:basedOn w:val="DefaultParagraphFont"/>
    <w:uiPriority w:val="99"/>
    <w:semiHidden/>
    <w:unhideWhenUsed/>
    <w:rsid w:val="00670F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9890">
      <w:bodyDiv w:val="1"/>
      <w:marLeft w:val="0"/>
      <w:marRight w:val="0"/>
      <w:marTop w:val="0"/>
      <w:marBottom w:val="0"/>
      <w:divBdr>
        <w:top w:val="none" w:sz="0" w:space="0" w:color="auto"/>
        <w:left w:val="none" w:sz="0" w:space="0" w:color="auto"/>
        <w:bottom w:val="none" w:sz="0" w:space="0" w:color="auto"/>
        <w:right w:val="none" w:sz="0" w:space="0" w:color="auto"/>
      </w:divBdr>
    </w:div>
    <w:div w:id="191773524">
      <w:bodyDiv w:val="1"/>
      <w:marLeft w:val="0"/>
      <w:marRight w:val="0"/>
      <w:marTop w:val="0"/>
      <w:marBottom w:val="0"/>
      <w:divBdr>
        <w:top w:val="none" w:sz="0" w:space="0" w:color="auto"/>
        <w:left w:val="none" w:sz="0" w:space="0" w:color="auto"/>
        <w:bottom w:val="none" w:sz="0" w:space="0" w:color="auto"/>
        <w:right w:val="none" w:sz="0" w:space="0" w:color="auto"/>
      </w:divBdr>
      <w:divsChild>
        <w:div w:id="2028170595">
          <w:marLeft w:val="-108"/>
          <w:marRight w:val="0"/>
          <w:marTop w:val="0"/>
          <w:marBottom w:val="0"/>
          <w:divBdr>
            <w:top w:val="none" w:sz="0" w:space="0" w:color="auto"/>
            <w:left w:val="none" w:sz="0" w:space="0" w:color="auto"/>
            <w:bottom w:val="none" w:sz="0" w:space="0" w:color="auto"/>
            <w:right w:val="none" w:sz="0" w:space="0" w:color="auto"/>
          </w:divBdr>
        </w:div>
      </w:divsChild>
    </w:div>
    <w:div w:id="428816490">
      <w:bodyDiv w:val="1"/>
      <w:marLeft w:val="0"/>
      <w:marRight w:val="0"/>
      <w:marTop w:val="0"/>
      <w:marBottom w:val="0"/>
      <w:divBdr>
        <w:top w:val="none" w:sz="0" w:space="0" w:color="auto"/>
        <w:left w:val="none" w:sz="0" w:space="0" w:color="auto"/>
        <w:bottom w:val="none" w:sz="0" w:space="0" w:color="auto"/>
        <w:right w:val="none" w:sz="0" w:space="0" w:color="auto"/>
      </w:divBdr>
    </w:div>
    <w:div w:id="618726962">
      <w:bodyDiv w:val="1"/>
      <w:marLeft w:val="0"/>
      <w:marRight w:val="0"/>
      <w:marTop w:val="0"/>
      <w:marBottom w:val="0"/>
      <w:divBdr>
        <w:top w:val="none" w:sz="0" w:space="0" w:color="auto"/>
        <w:left w:val="none" w:sz="0" w:space="0" w:color="auto"/>
        <w:bottom w:val="none" w:sz="0" w:space="0" w:color="auto"/>
        <w:right w:val="none" w:sz="0" w:space="0" w:color="auto"/>
      </w:divBdr>
    </w:div>
    <w:div w:id="718360102">
      <w:bodyDiv w:val="1"/>
      <w:marLeft w:val="0"/>
      <w:marRight w:val="0"/>
      <w:marTop w:val="0"/>
      <w:marBottom w:val="0"/>
      <w:divBdr>
        <w:top w:val="none" w:sz="0" w:space="0" w:color="auto"/>
        <w:left w:val="none" w:sz="0" w:space="0" w:color="auto"/>
        <w:bottom w:val="none" w:sz="0" w:space="0" w:color="auto"/>
        <w:right w:val="none" w:sz="0" w:space="0" w:color="auto"/>
      </w:divBdr>
    </w:div>
    <w:div w:id="952827968">
      <w:bodyDiv w:val="1"/>
      <w:marLeft w:val="0"/>
      <w:marRight w:val="0"/>
      <w:marTop w:val="0"/>
      <w:marBottom w:val="0"/>
      <w:divBdr>
        <w:top w:val="none" w:sz="0" w:space="0" w:color="auto"/>
        <w:left w:val="none" w:sz="0" w:space="0" w:color="auto"/>
        <w:bottom w:val="none" w:sz="0" w:space="0" w:color="auto"/>
        <w:right w:val="none" w:sz="0" w:space="0" w:color="auto"/>
      </w:divBdr>
    </w:div>
    <w:div w:id="952904070">
      <w:bodyDiv w:val="1"/>
      <w:marLeft w:val="0"/>
      <w:marRight w:val="0"/>
      <w:marTop w:val="0"/>
      <w:marBottom w:val="0"/>
      <w:divBdr>
        <w:top w:val="none" w:sz="0" w:space="0" w:color="auto"/>
        <w:left w:val="none" w:sz="0" w:space="0" w:color="auto"/>
        <w:bottom w:val="none" w:sz="0" w:space="0" w:color="auto"/>
        <w:right w:val="none" w:sz="0" w:space="0" w:color="auto"/>
      </w:divBdr>
    </w:div>
    <w:div w:id="1372028115">
      <w:bodyDiv w:val="1"/>
      <w:marLeft w:val="0"/>
      <w:marRight w:val="0"/>
      <w:marTop w:val="0"/>
      <w:marBottom w:val="0"/>
      <w:divBdr>
        <w:top w:val="none" w:sz="0" w:space="0" w:color="auto"/>
        <w:left w:val="none" w:sz="0" w:space="0" w:color="auto"/>
        <w:bottom w:val="none" w:sz="0" w:space="0" w:color="auto"/>
        <w:right w:val="none" w:sz="0" w:space="0" w:color="auto"/>
      </w:divBdr>
    </w:div>
    <w:div w:id="1492212816">
      <w:bodyDiv w:val="1"/>
      <w:marLeft w:val="0"/>
      <w:marRight w:val="0"/>
      <w:marTop w:val="0"/>
      <w:marBottom w:val="0"/>
      <w:divBdr>
        <w:top w:val="none" w:sz="0" w:space="0" w:color="auto"/>
        <w:left w:val="none" w:sz="0" w:space="0" w:color="auto"/>
        <w:bottom w:val="none" w:sz="0" w:space="0" w:color="auto"/>
        <w:right w:val="none" w:sz="0" w:space="0" w:color="auto"/>
      </w:divBdr>
    </w:div>
    <w:div w:id="1529442599">
      <w:bodyDiv w:val="1"/>
      <w:marLeft w:val="0"/>
      <w:marRight w:val="0"/>
      <w:marTop w:val="0"/>
      <w:marBottom w:val="0"/>
      <w:divBdr>
        <w:top w:val="none" w:sz="0" w:space="0" w:color="auto"/>
        <w:left w:val="none" w:sz="0" w:space="0" w:color="auto"/>
        <w:bottom w:val="none" w:sz="0" w:space="0" w:color="auto"/>
        <w:right w:val="none" w:sz="0" w:space="0" w:color="auto"/>
      </w:divBdr>
      <w:divsChild>
        <w:div w:id="209415041">
          <w:marLeft w:val="-108"/>
          <w:marRight w:val="0"/>
          <w:marTop w:val="0"/>
          <w:marBottom w:val="0"/>
          <w:divBdr>
            <w:top w:val="none" w:sz="0" w:space="0" w:color="auto"/>
            <w:left w:val="none" w:sz="0" w:space="0" w:color="auto"/>
            <w:bottom w:val="none" w:sz="0" w:space="0" w:color="auto"/>
            <w:right w:val="none" w:sz="0" w:space="0" w:color="auto"/>
          </w:divBdr>
        </w:div>
      </w:divsChild>
    </w:div>
    <w:div w:id="1645238789">
      <w:bodyDiv w:val="1"/>
      <w:marLeft w:val="0"/>
      <w:marRight w:val="0"/>
      <w:marTop w:val="0"/>
      <w:marBottom w:val="0"/>
      <w:divBdr>
        <w:top w:val="none" w:sz="0" w:space="0" w:color="auto"/>
        <w:left w:val="none" w:sz="0" w:space="0" w:color="auto"/>
        <w:bottom w:val="none" w:sz="0" w:space="0" w:color="auto"/>
        <w:right w:val="none" w:sz="0" w:space="0" w:color="auto"/>
      </w:divBdr>
    </w:div>
    <w:div w:id="1715496502">
      <w:bodyDiv w:val="1"/>
      <w:marLeft w:val="0"/>
      <w:marRight w:val="0"/>
      <w:marTop w:val="0"/>
      <w:marBottom w:val="0"/>
      <w:divBdr>
        <w:top w:val="none" w:sz="0" w:space="0" w:color="auto"/>
        <w:left w:val="none" w:sz="0" w:space="0" w:color="auto"/>
        <w:bottom w:val="none" w:sz="0" w:space="0" w:color="auto"/>
        <w:right w:val="none" w:sz="0" w:space="0" w:color="auto"/>
      </w:divBdr>
      <w:divsChild>
        <w:div w:id="1934698925">
          <w:marLeft w:val="-108"/>
          <w:marRight w:val="0"/>
          <w:marTop w:val="0"/>
          <w:marBottom w:val="0"/>
          <w:divBdr>
            <w:top w:val="none" w:sz="0" w:space="0" w:color="auto"/>
            <w:left w:val="none" w:sz="0" w:space="0" w:color="auto"/>
            <w:bottom w:val="none" w:sz="0" w:space="0" w:color="auto"/>
            <w:right w:val="none" w:sz="0" w:space="0" w:color="auto"/>
          </w:divBdr>
        </w:div>
      </w:divsChild>
    </w:div>
    <w:div w:id="1772241370">
      <w:bodyDiv w:val="1"/>
      <w:marLeft w:val="0"/>
      <w:marRight w:val="0"/>
      <w:marTop w:val="0"/>
      <w:marBottom w:val="0"/>
      <w:divBdr>
        <w:top w:val="none" w:sz="0" w:space="0" w:color="auto"/>
        <w:left w:val="none" w:sz="0" w:space="0" w:color="auto"/>
        <w:bottom w:val="none" w:sz="0" w:space="0" w:color="auto"/>
        <w:right w:val="none" w:sz="0" w:space="0" w:color="auto"/>
      </w:divBdr>
    </w:div>
    <w:div w:id="1797213512">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2003658960">
      <w:bodyDiv w:val="1"/>
      <w:marLeft w:val="0"/>
      <w:marRight w:val="0"/>
      <w:marTop w:val="0"/>
      <w:marBottom w:val="0"/>
      <w:divBdr>
        <w:top w:val="none" w:sz="0" w:space="0" w:color="auto"/>
        <w:left w:val="none" w:sz="0" w:space="0" w:color="auto"/>
        <w:bottom w:val="none" w:sz="0" w:space="0" w:color="auto"/>
        <w:right w:val="none" w:sz="0" w:space="0" w:color="auto"/>
      </w:divBdr>
    </w:div>
    <w:div w:id="2049182107">
      <w:bodyDiv w:val="1"/>
      <w:marLeft w:val="0"/>
      <w:marRight w:val="0"/>
      <w:marTop w:val="0"/>
      <w:marBottom w:val="0"/>
      <w:divBdr>
        <w:top w:val="none" w:sz="0" w:space="0" w:color="auto"/>
        <w:left w:val="none" w:sz="0" w:space="0" w:color="auto"/>
        <w:bottom w:val="none" w:sz="0" w:space="0" w:color="auto"/>
        <w:right w:val="none" w:sz="0" w:space="0" w:color="auto"/>
      </w:divBdr>
      <w:divsChild>
        <w:div w:id="134108135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c.gov/Archives/edgar/data/21344/000002134425000011/ko-20241231.ht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ortheastern-my.sharepoint.com/personal/iqbal_sha_northeastern_edu/Documents/Financial%20Accounting/Accounting%20Project%20Part%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Income Trend (2021-2024)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Worksheet!$G$29:$G$32</c:f>
              <c:numCache>
                <c:formatCode>General</c:formatCode>
                <c:ptCount val="4"/>
                <c:pt idx="0">
                  <c:v>2021</c:v>
                </c:pt>
                <c:pt idx="1">
                  <c:v>2022</c:v>
                </c:pt>
                <c:pt idx="2">
                  <c:v>2023</c:v>
                </c:pt>
                <c:pt idx="3">
                  <c:v>2024</c:v>
                </c:pt>
              </c:numCache>
            </c:numRef>
          </c:cat>
          <c:val>
            <c:numRef>
              <c:f>Worksheet!$H$29:$H$32</c:f>
              <c:numCache>
                <c:formatCode>General</c:formatCode>
                <c:ptCount val="4"/>
                <c:pt idx="0">
                  <c:v>9804</c:v>
                </c:pt>
                <c:pt idx="1">
                  <c:v>9571</c:v>
                </c:pt>
                <c:pt idx="2">
                  <c:v>10703</c:v>
                </c:pt>
                <c:pt idx="3">
                  <c:v>10649</c:v>
                </c:pt>
              </c:numCache>
            </c:numRef>
          </c:val>
          <c:extLst>
            <c:ext xmlns:c16="http://schemas.microsoft.com/office/drawing/2014/chart" uri="{C3380CC4-5D6E-409C-BE32-E72D297353CC}">
              <c16:uniqueId val="{00000000-47CC-E24D-8349-4169D6D482FE}"/>
            </c:ext>
          </c:extLst>
        </c:ser>
        <c:dLbls>
          <c:showLegendKey val="0"/>
          <c:showVal val="0"/>
          <c:showCatName val="0"/>
          <c:showSerName val="0"/>
          <c:showPercent val="0"/>
          <c:showBubbleSize val="0"/>
        </c:dLbls>
        <c:gapWidth val="219"/>
        <c:overlap val="-27"/>
        <c:axId val="442587903"/>
        <c:axId val="1698019072"/>
      </c:barChart>
      <c:catAx>
        <c:axId val="442587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019072"/>
        <c:crosses val="autoZero"/>
        <c:auto val="1"/>
        <c:lblAlgn val="ctr"/>
        <c:lblOffset val="100"/>
        <c:noMultiLvlLbl val="0"/>
      </c:catAx>
      <c:valAx>
        <c:axId val="169801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Income (In</a:t>
                </a:r>
                <a:r>
                  <a:rPr lang="en-US" baseline="0"/>
                  <a:t>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87903"/>
        <c:crosses val="autoZero"/>
        <c:crossBetween val="between"/>
        <c:majorUnit val="4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Margin Trend (2022-2024)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Worksheet!$G$23:$G$25</c:f>
              <c:numCache>
                <c:formatCode>General</c:formatCode>
                <c:ptCount val="3"/>
                <c:pt idx="0">
                  <c:v>2022</c:v>
                </c:pt>
                <c:pt idx="1">
                  <c:v>2023</c:v>
                </c:pt>
                <c:pt idx="2">
                  <c:v>2024</c:v>
                </c:pt>
              </c:numCache>
            </c:numRef>
          </c:cat>
          <c:val>
            <c:numRef>
              <c:f>Worksheet!$H$23:$H$25</c:f>
              <c:numCache>
                <c:formatCode>General</c:formatCode>
                <c:ptCount val="3"/>
                <c:pt idx="0">
                  <c:v>0.57999999999999996</c:v>
                </c:pt>
                <c:pt idx="1">
                  <c:v>0.6</c:v>
                </c:pt>
                <c:pt idx="2">
                  <c:v>0.61</c:v>
                </c:pt>
              </c:numCache>
            </c:numRef>
          </c:val>
          <c:extLst>
            <c:ext xmlns:c16="http://schemas.microsoft.com/office/drawing/2014/chart" uri="{C3380CC4-5D6E-409C-BE32-E72D297353CC}">
              <c16:uniqueId val="{00000000-BB28-6E4C-ADF8-B84839A9C0B5}"/>
            </c:ext>
          </c:extLst>
        </c:ser>
        <c:dLbls>
          <c:showLegendKey val="0"/>
          <c:showVal val="0"/>
          <c:showCatName val="0"/>
          <c:showSerName val="0"/>
          <c:showPercent val="0"/>
          <c:showBubbleSize val="0"/>
        </c:dLbls>
        <c:gapWidth val="219"/>
        <c:overlap val="-27"/>
        <c:axId val="1543460351"/>
        <c:axId val="1543394495"/>
      </c:barChart>
      <c:catAx>
        <c:axId val="154346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94495"/>
        <c:crosses val="autoZero"/>
        <c:auto val="1"/>
        <c:lblAlgn val="ctr"/>
        <c:lblOffset val="100"/>
        <c:noMultiLvlLbl val="0"/>
      </c:catAx>
      <c:valAx>
        <c:axId val="154339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460351"/>
        <c:crosses val="autoZero"/>
        <c:crossBetween val="between"/>
        <c:majorUnit val="0.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Income Trend (2021-2024)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Worksheet!$G$29:$G$32</c:f>
              <c:numCache>
                <c:formatCode>General</c:formatCode>
                <c:ptCount val="4"/>
                <c:pt idx="0">
                  <c:v>2021</c:v>
                </c:pt>
                <c:pt idx="1">
                  <c:v>2022</c:v>
                </c:pt>
                <c:pt idx="2">
                  <c:v>2023</c:v>
                </c:pt>
                <c:pt idx="3">
                  <c:v>2024</c:v>
                </c:pt>
              </c:numCache>
            </c:numRef>
          </c:cat>
          <c:val>
            <c:numRef>
              <c:f>Worksheet!$H$29:$H$32</c:f>
              <c:numCache>
                <c:formatCode>General</c:formatCode>
                <c:ptCount val="4"/>
                <c:pt idx="0">
                  <c:v>9804</c:v>
                </c:pt>
                <c:pt idx="1">
                  <c:v>9571</c:v>
                </c:pt>
                <c:pt idx="2">
                  <c:v>10703</c:v>
                </c:pt>
                <c:pt idx="3">
                  <c:v>10649</c:v>
                </c:pt>
              </c:numCache>
            </c:numRef>
          </c:val>
          <c:extLst>
            <c:ext xmlns:c16="http://schemas.microsoft.com/office/drawing/2014/chart" uri="{C3380CC4-5D6E-409C-BE32-E72D297353CC}">
              <c16:uniqueId val="{00000000-390F-7845-AF64-7760B6F49CE4}"/>
            </c:ext>
          </c:extLst>
        </c:ser>
        <c:dLbls>
          <c:showLegendKey val="0"/>
          <c:showVal val="0"/>
          <c:showCatName val="0"/>
          <c:showSerName val="0"/>
          <c:showPercent val="0"/>
          <c:showBubbleSize val="0"/>
        </c:dLbls>
        <c:gapWidth val="219"/>
        <c:overlap val="-27"/>
        <c:axId val="442587903"/>
        <c:axId val="1698019072"/>
      </c:barChart>
      <c:catAx>
        <c:axId val="442587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019072"/>
        <c:crosses val="autoZero"/>
        <c:auto val="1"/>
        <c:lblAlgn val="ctr"/>
        <c:lblOffset val="100"/>
        <c:noMultiLvlLbl val="0"/>
      </c:catAx>
      <c:valAx>
        <c:axId val="169801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Income (In</a:t>
                </a:r>
                <a:r>
                  <a:rPr lang="en-US" baseline="0"/>
                  <a:t>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87903"/>
        <c:crosses val="autoZero"/>
        <c:crossBetween val="between"/>
        <c:majorUnit val="4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Margin Trend (2022-2024)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Worksheet!$G$23:$G$25</c:f>
              <c:numCache>
                <c:formatCode>General</c:formatCode>
                <c:ptCount val="3"/>
                <c:pt idx="0">
                  <c:v>2022</c:v>
                </c:pt>
                <c:pt idx="1">
                  <c:v>2023</c:v>
                </c:pt>
                <c:pt idx="2">
                  <c:v>2024</c:v>
                </c:pt>
              </c:numCache>
            </c:numRef>
          </c:cat>
          <c:val>
            <c:numRef>
              <c:f>Worksheet!$H$23:$H$25</c:f>
              <c:numCache>
                <c:formatCode>General</c:formatCode>
                <c:ptCount val="3"/>
                <c:pt idx="0">
                  <c:v>0.57999999999999996</c:v>
                </c:pt>
                <c:pt idx="1">
                  <c:v>0.6</c:v>
                </c:pt>
                <c:pt idx="2">
                  <c:v>0.61</c:v>
                </c:pt>
              </c:numCache>
            </c:numRef>
          </c:val>
          <c:extLst>
            <c:ext xmlns:c16="http://schemas.microsoft.com/office/drawing/2014/chart" uri="{C3380CC4-5D6E-409C-BE32-E72D297353CC}">
              <c16:uniqueId val="{00000000-524B-2748-AC0F-9EC6EAB4C831}"/>
            </c:ext>
          </c:extLst>
        </c:ser>
        <c:dLbls>
          <c:showLegendKey val="0"/>
          <c:showVal val="0"/>
          <c:showCatName val="0"/>
          <c:showSerName val="0"/>
          <c:showPercent val="0"/>
          <c:showBubbleSize val="0"/>
        </c:dLbls>
        <c:gapWidth val="219"/>
        <c:overlap val="-27"/>
        <c:axId val="1543460351"/>
        <c:axId val="1543394495"/>
      </c:barChart>
      <c:catAx>
        <c:axId val="154346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94495"/>
        <c:crosses val="autoZero"/>
        <c:auto val="1"/>
        <c:lblAlgn val="ctr"/>
        <c:lblOffset val="100"/>
        <c:noMultiLvlLbl val="0"/>
      </c:catAx>
      <c:valAx>
        <c:axId val="154339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Gross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460351"/>
        <c:crosses val="autoZero"/>
        <c:crossBetween val="between"/>
        <c:majorUnit val="0.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4FAA7A534E1448BE2278A5904D277C" ma:contentTypeVersion="6" ma:contentTypeDescription="Create a new document." ma:contentTypeScope="" ma:versionID="86a1b8c94deb90ea8fa886589fd20295">
  <xsd:schema xmlns:xsd="http://www.w3.org/2001/XMLSchema" xmlns:xs="http://www.w3.org/2001/XMLSchema" xmlns:p="http://schemas.microsoft.com/office/2006/metadata/properties" xmlns:ns3="a214016a-6d18-4bef-b4af-896aaf90b8e2" targetNamespace="http://schemas.microsoft.com/office/2006/metadata/properties" ma:root="true" ma:fieldsID="7111edd9acb6a2a0ce9be7e0e320828d" ns3:_="">
    <xsd:import namespace="a214016a-6d18-4bef-b4af-896aaf90b8e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4016a-6d18-4bef-b4af-896aaf90b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214016a-6d18-4bef-b4af-896aaf90b8e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0D9C31-C6FE-4251-9E58-9019EDC2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4016a-6d18-4bef-b4af-896aaf90b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6CD02-E420-4236-B2BF-96D047468929}">
  <ds:schemaRefs>
    <ds:schemaRef ds:uri="http://schemas.openxmlformats.org/officeDocument/2006/bibliography"/>
  </ds:schemaRefs>
</ds:datastoreItem>
</file>

<file path=customXml/itemProps3.xml><?xml version="1.0" encoding="utf-8"?>
<ds:datastoreItem xmlns:ds="http://schemas.openxmlformats.org/officeDocument/2006/customXml" ds:itemID="{1DF82A96-B0F4-48DF-8996-3B3D97796C2D}">
  <ds:schemaRefs>
    <ds:schemaRef ds:uri="http://schemas.microsoft.com/office/2006/metadata/properties"/>
    <ds:schemaRef ds:uri="http://schemas.microsoft.com/office/infopath/2007/PartnerControls"/>
    <ds:schemaRef ds:uri="a214016a-6d18-4bef-b4af-896aaf90b8e2"/>
  </ds:schemaRefs>
</ds:datastoreItem>
</file>

<file path=customXml/itemProps4.xml><?xml version="1.0" encoding="utf-8"?>
<ds:datastoreItem xmlns:ds="http://schemas.openxmlformats.org/officeDocument/2006/customXml" ds:itemID="{736F2E4B-4720-46A3-9862-C6F2B9A159C1}">
  <ds:schemaRefs>
    <ds:schemaRef ds:uri="http://schemas.microsoft.com/sharepoint/v3/contenttype/forms"/>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13</Pages>
  <Words>2169</Words>
  <Characters>12366</Characters>
  <Application>Microsoft Office Word</Application>
  <DocSecurity>0</DocSecurity>
  <Lines>103</Lines>
  <Paragraphs>29</Paragraphs>
  <ScaleCrop>false</ScaleCrop>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Alastaire Balin</dc:creator>
  <cp:keywords/>
  <dc:description/>
  <cp:lastModifiedBy>Shaan Iqbal</cp:lastModifiedBy>
  <cp:revision>5</cp:revision>
  <cp:lastPrinted>2025-03-31T03:50:00Z</cp:lastPrinted>
  <dcterms:created xsi:type="dcterms:W3CDTF">2025-09-14T22:23:00Z</dcterms:created>
  <dcterms:modified xsi:type="dcterms:W3CDTF">2025-09-14T22:32:00Z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0x010100334FAA7A534E1448BE2278A5904D277C</vt:lpwstr>
  </property>
</Properties>
</file>