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611C"/>
          <w:sz w:val="18"/>
        </w:rPr>
        <w:t>SIQ · Spec Driven Development</w:t>
      </w:r>
    </w:p>
    <w:p>
      <w:pPr>
        <w:spacing w:before="0" w:after="120"/>
      </w:pPr>
      <w:r>
        <w:rPr>
          <w:b/>
          <w:color w:val="1B2420"/>
          <w:sz w:val="34"/>
        </w:rPr>
        <w:t>Discovery — Ausculta</w:t>
      </w:r>
    </w:p>
    <w:p>
      <w:pPr>
        <w:spacing w:after="140" w:line="276" w:lineRule="auto"/>
      </w:pPr>
      <w:r>
        <w:rPr>
          <w:b/>
          <w:i/>
          <w:color w:val="1B2420"/>
          <w:sz w:val="22"/>
        </w:rPr>
        <w:t>AI Scribe + PIMS veterinário local-first — extensão do ecossistema Long Life Pet</w:t>
      </w:r>
    </w:p>
    <w:p>
      <w:pPr>
        <w:spacing w:after="140" w:line="276" w:lineRule="auto"/>
      </w:pPr>
      <w:r>
        <w:rPr>
          <w:b w:val="0"/>
          <w:i/>
          <w:color w:val="1B2420"/>
          <w:sz w:val="22"/>
        </w:rPr>
        <w:t>Codinome interno anterior: PIMS Scribe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>Versão: 2.0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>Data: 28/09/2026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>Nome sujeito à busca formal de marca e domínio antes do lançamento público (ver claude/ausculta-nome-e-decisao.md)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>Relação com o Long Life Pet: produto companheiro, com projeto de design próprio no Claude Design (ver B.6)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>Modelo de operação: standalone, integrado nativo ao Long Life Pet, ou plugado a PIMS de terceiros via MCP/API</w:t>
      </w:r>
    </w:p>
    <w:p>
      <w:pPr>
        <w:spacing w:after="140" w:line="276" w:lineRule="auto"/>
      </w:pPr>
      <w:r>
        <w:rPr>
          <w:b/>
          <w:i w:val="0"/>
          <w:color w:val="1B2420"/>
          <w:sz w:val="22"/>
        </w:rPr>
        <w:t>Stack decidida: PWA local-first (Next.js + Tailwind, Vercel), Edge AI on-device (Transformers.js), servidor MCP nativo (ver B.1)</w:t>
      </w:r>
    </w:p>
    <w:p>
      <w:pPr>
        <w:spacing w:before="100" w:after="160"/>
        <w:ind w:left="120" w:right="120"/>
        <w:shd w:val="clear" w:fill="FBF0E2"/>
      </w:pPr>
      <w:r>
        <w:rPr>
          <w:b/>
          <w:color w:val="A8611C"/>
          <w:sz w:val="20"/>
        </w:rPr>
        <w:t xml:space="preserve">Como ler este documento: </w:t>
      </w:r>
      <w:r>
        <w:rPr>
          <w:color w:val="1B2420"/>
          <w:sz w:val="20"/>
        </w:rPr>
        <w:t>a Parte A (visão de negócio) descreve o problema, os modelos de operação e o backlog priorizado — leitura recomendada para investidores e liderança de produto. A Parte B (arquitetura e decisões técnicas) descreve a stack, os requisitos e a integração com o Long Life Pet — leitura recomendada para a liderança técnica. Este discovery assume como já decididas as regras de negócio e o modelo de segurança do discovery do Long Life Pet (autenticação, RLS por owner, cofre de segredos) e não as repete — aponta para elas quando relevante.</w:t>
      </w:r>
    </w:p>
    <w:p>
      <w:pPr>
        <w:spacing w:before="340" w:after="140"/>
      </w:pPr>
      <w:r>
        <w:rPr>
          <w:b/>
          <w:color w:val="1B2420"/>
          <w:sz w:val="32"/>
        </w:rPr>
        <w:t>Resumo executivo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Médicos-veterinários gastam até 40% do tempo útil da consulta preenchendo prontuário manualmente. No atendimento volante — campo, estábulo, domicílio — ou em hospitais de alta complexidade, a falta de conectividade ou a necessidade de manter as mãos livres no paciente torna inviável usar um sistema em nuvem no momento do atendimento. O resultado é anotação em papel, retrabalho noturno, fadiga crônica e subnotificação clínica.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Ausculta é um módulo de prontuário inteligente, local-first e 100% operável offline: captura passivamente o áudio da consulta, filtra ruído de fundo e estrutura automaticamente um rascunho SOAP (Subjetivo, Objetivo, Avaliação, Plano) diretamente no dispositivo do veterinário. Nenhuma nota entra no prontuário oficial sem revisão e aprovação humana — a IA nunca diagnostica, prescreve ou finaliza um registro sozinha.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diferencial estratégico é operar em três modos sem forçar migração de sistema: standalone (qualquer veterinário, qualquer clínica); integrado nativamente ao Long Life Pet (recebe o prontuário do pet antes da visita e devolve a evolução aprovada depois); ou plugado a um PIMS de terceiros via API REST/GraphQL (adaptação FHIR para veterinária) e um servidor MCP nativo — o mesmo protocolo que a Anthropic usa para conectar agentes de IA a ferramentas externas.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Este discovery recomenda tratar o Ausculta como um projeto de design separado do Long Life Pet no Claude Design — mesmo sendo um produto irmão — porque atende veterinários que podem nunca ter conta no Long Life Pet, e sua interface é de "ferramenta de campo" (gravação de voz, revisão SOAP, alto contraste, uso com luvas), bem distinta da navegação do app consumidor. O vínculo entre os dois produtos é de dados, não de tela — ver B.6.</w:t>
      </w:r>
    </w:p>
    <w:p>
      <w:r>
        <w:br w:type="page"/>
      </w:r>
    </w:p>
    <w:p>
      <w:pPr>
        <w:spacing w:before="0" w:after="200"/>
      </w:pPr>
      <w:r>
        <w:rPr>
          <w:b/>
          <w:color w:val="1F5C73"/>
          <w:sz w:val="30"/>
        </w:rPr>
        <w:t>Parte A — Visão de negócio</w:t>
      </w:r>
    </w:p>
    <w:p>
      <w:pPr>
        <w:spacing w:before="340" w:after="140"/>
      </w:pPr>
      <w:r>
        <w:rPr>
          <w:b/>
          <w:color w:val="1B2420"/>
          <w:sz w:val="32"/>
        </w:rPr>
        <w:t>A.1 Visão do produto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Ausculta transforma o tablet ou smartphone do veterinário em um residente clínico invisível: ouve a consulta, ignora ruído de fundo (latidos, maquinário), e redige o prontuário estruturado no padrão SOAP — permitindo que o profissional mantenha contato visual com o tutor e a contenção física do paciente, em vez de atuar como digitador.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Não é mais um software de prontuário na nuvem — o mercado de PIMS já está saturado de ERPs fragmentados. A disrupção é o desacoplamento da interface de anotação: o Ausculta funciona como núcleo do atendimento clínico e exporta dados sanitários e financeiros, já formatados, para o laboratório, a recepção e o setor de faturamento — do Long Life Pet ou de qualquer outro PIMS já em uso na clínica.</w:t>
      </w:r>
    </w:p>
    <w:p>
      <w:pPr>
        <w:spacing w:before="340" w:after="140"/>
      </w:pPr>
      <w:r>
        <w:rPr>
          <w:b/>
          <w:color w:val="1B2420"/>
          <w:sz w:val="32"/>
        </w:rPr>
        <w:t>A.2 O problema</w:t>
      </w:r>
    </w:p>
    <w:p>
      <w:pPr>
        <w:spacing w:before="200" w:after="110"/>
      </w:pPr>
      <w:r>
        <w:rPr>
          <w:b/>
          <w:color w:val="1B2420"/>
          <w:sz w:val="26"/>
        </w:rPr>
        <w:t>Para o veterinário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Até 40% do tempo útil da consulta perdido em preenchimento manual;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Atendimento em campo (rural, domiciliar) e em centros cirúrgicos sem roteador — sem alternativa em nuvem no momento do atendimento;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Anotações em papel acumuladas para o fim do dia — retrabalho noturno e fadiga crônica;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Subnotificação de dados clínicos essenciais por falta de tempo;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Teto claro de faturamento — o tempo perdido com documentação é tempo que não vira consulta.</w:t>
      </w:r>
    </w:p>
    <w:p>
      <w:pPr>
        <w:spacing w:before="200" w:after="110"/>
      </w:pPr>
      <w:r>
        <w:rPr>
          <w:b/>
          <w:color w:val="1B2420"/>
          <w:sz w:val="26"/>
        </w:rPr>
        <w:t>Para a clínica e o ecossistema de PIMS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Ecossistema de PIMS fechado e fragmentado — difícil adotar IA sem migração completa de sistema;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Risco jurídico por prontuário incompleto ou tardio em caso de auditoria ou processo;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Integrações "ponto a ponto" com fornecedores de IA são custosas e frágeis.</w:t>
      </w:r>
    </w:p>
    <w:p>
      <w:pPr>
        <w:spacing w:before="340" w:after="140"/>
      </w:pPr>
      <w:r>
        <w:rPr>
          <w:b/>
          <w:color w:val="1B2420"/>
          <w:sz w:val="32"/>
        </w:rPr>
        <w:t>A.3 Casos de uso primários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Veterinários volantes (equinos, bovinos, atendimento domiciliar) — operação integral sem internet; transcrição e estruturação ocorrem no hardware local, eliminando anotação em papel;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Hospitais de alta complexidade — o profissional mantém mãos e olhos no paciente durante contenção e exame físico, enquanto o app ouve e documenta ativamente;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Interoperabilidade B2B — o módulo funciona acoplado a sistemas PIMS legados já existentes na clínica (gestão de faturamento/estoque), sem exigir substituição.</w:t>
      </w:r>
    </w:p>
    <w:p>
      <w:pPr>
        <w:spacing w:before="340" w:after="140"/>
      </w:pPr>
      <w:r>
        <w:rPr>
          <w:b/>
          <w:color w:val="1B2420"/>
          <w:sz w:val="32"/>
        </w:rPr>
        <w:t>A.4 Modelos de operação e integração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mesmo Ausculta opera em três modos, escolhidos pelo veterinário ou pela clínica — não são versões diferentes do produto, é o mesmo core com origem/destino de dados diferente: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 w:val="true"/>
          <w:cantSplit w:val="true"/>
        </w:trPr>
        <w:tc>
          <w:tcPr>
            <w:tcW w:type="dxa" w:w="2304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Modo</w:t>
            </w:r>
          </w:p>
        </w:tc>
        <w:tc>
          <w:tcPr>
            <w:tcW w:type="dxa" w:w="5184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Como funciona</w:t>
            </w:r>
          </w:p>
        </w:tc>
        <w:tc>
          <w:tcPr>
            <w:tcW w:type="dxa" w:w="288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Owner do prontuário</w:t>
            </w:r>
          </w:p>
        </w:tc>
      </w:tr>
      <w:tr>
        <w:trPr>
          <w:cantSplit w:val="true"/>
        </w:trPr>
        <w:tc>
          <w:tcPr>
            <w:tcW w:type="dxa" w:w="230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Standalone</w:t>
            </w:r>
          </w:p>
        </w:tc>
        <w:tc>
          <w:tcPr>
            <w:tcW w:type="dxa" w:w="51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Paciente cadastrado manualmente no próprio Ausculta; nota fica local até o veterinário exportar/sincronizar.</w:t>
            </w:r>
          </w:p>
        </w:tc>
        <w:tc>
          <w:tcPr>
            <w:tcW w:type="dxa" w:w="288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 veterinário/clínica que usa o Ausculta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Integrado ao Long Life Pet</w:t>
            </w:r>
          </w:p>
        </w:tc>
        <w:tc>
          <w:tcPr>
            <w:tcW w:type="dxa" w:w="518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Prontuário do pet é pré-carregado antes da visita agendada; nota aprovada retorna automaticamente ao prontuário do pet.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 responsável cadastrado no Long Life Pet (modelo B.10 preservado)</w:t>
            </w:r>
          </w:p>
        </w:tc>
      </w:tr>
      <w:tr>
        <w:trPr>
          <w:cantSplit w:val="true"/>
        </w:trPr>
        <w:tc>
          <w:tcPr>
            <w:tcW w:type="dxa" w:w="230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Integrado a PIMS terceiro</w:t>
            </w:r>
          </w:p>
        </w:tc>
        <w:tc>
          <w:tcPr>
            <w:tcW w:type="dxa" w:w="51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Conecta via API REST/GraphQL (FHIR-vet) e servidor MCP nativo ao sistema já usado pela clínica.</w:t>
            </w:r>
          </w:p>
        </w:tc>
        <w:tc>
          <w:tcPr>
            <w:tcW w:type="dxa" w:w="288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 PIMS terceiro — o Ausculta nunca retém o dado como dono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Esta decisão de arquitetura — nunca o Ausculta se tornar owner do dado clínico, em nenhum dos três modos — é o que permite oferecer o produto como hub agnóstico sem entrar em conflito com o modelo de isolamento por owner já decidido no Long Life Pet (B.10). Ver B.6 para o contrato de integração.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A entrada para os três modos é uma única landing page pública, com um bloco de valor dedicado a cada público ("já uso o Long Life Pet", "uso outro PIMS", "não uso nenhum PIMS hoje") — nenhum modo exige que o visitante se explique duas vezes ou preencha um formulário genérico antes de entender a proposta de valor. Ver o PRD de Design — Ausculta (claude/prd-design-ausculta.md) para o detalhamento de tela: é o documento único que junta o prompt de protótipo com os trechos deste discovery e do PRD que afetam a UX.</w:t>
      </w:r>
    </w:p>
    <w:p>
      <w:pPr>
        <w:spacing w:before="340" w:after="140"/>
      </w:pPr>
      <w:r>
        <w:rPr>
          <w:b/>
          <w:color w:val="1B2420"/>
          <w:sz w:val="32"/>
        </w:rPr>
        <w:t>A.5 Relação com o Long Life Pet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Ausculta é um produto companheiro do Long Life Pet, não um módulo dentro dele. Um veterinário já cadastrado e validado (CRMV/SISCAD) no Long Life Pet pode ativar o modo integrado sem novo cadastro; a integração é de dados (prontuário do pet vai e volta), nunca de interface — as duas experiências continuam sendo produtos visualmente e funcionalmente distintos, com protótipos separados no Claude Design (ver B.6).</w:t>
      </w:r>
    </w:p>
    <w:p>
      <w:pPr>
        <w:spacing w:before="340" w:after="140"/>
      </w:pPr>
      <w:r>
        <w:rPr>
          <w:b/>
          <w:color w:val="1B2420"/>
          <w:sz w:val="32"/>
        </w:rPr>
        <w:t>A.6 Papéis e personas</w:t>
      </w:r>
    </w:p>
    <w:p>
      <w:pPr>
        <w:spacing w:before="160" w:after="90"/>
      </w:pPr>
      <w:r>
        <w:rPr>
          <w:b/>
          <w:color w:val="1B2420"/>
          <w:sz w:val="23"/>
        </w:rPr>
        <w:t>Dr. Marcelo — veterinário equino, visitante de primeira vez (sem PIMS hoje)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Nunca usou um PIMS — anota em caderno de campo. Chega à landing por indicação de outro veterinário, reconhece-se no bloco "não uso nenhum PIMS hoje", e segue para o cadastro standalone sem precisar entender a arquitetura por trás.</w:t>
      </w:r>
    </w:p>
    <w:p>
      <w:pPr>
        <w:spacing w:before="160" w:after="90"/>
      </w:pPr>
      <w:r>
        <w:rPr>
          <w:b/>
          <w:color w:val="1B2420"/>
          <w:sz w:val="23"/>
        </w:rPr>
        <w:t>Carlos — médico-veterinário volante, 29 anos (mesma persona do Long Life Pet)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Já usa o Long Life Pet como fonte de agenda e prontuário. Jornada com o Ausculta: abre o app antes da visita → prontuário do pet já carregado (modo integrado) → grava a consulta em campo, sem internet → revisa e aprova o SOAP → a nota volta ao prontuário do pet no Long Life Pet.</w:t>
      </w:r>
    </w:p>
    <w:p>
      <w:pPr>
        <w:spacing w:before="160" w:after="90"/>
      </w:pPr>
      <w:r>
        <w:rPr>
          <w:b/>
          <w:color w:val="1B2420"/>
          <w:sz w:val="23"/>
        </w:rPr>
        <w:t>Dra. Renata — veterinária de hospital de alta complexidade, sem conta no Long Life Pet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Usa o Ausculta em modo standalone ou conectado ao PIMS já contratado pelo hospital. Jornada: cadastra o paciente (ou recebe do PIMS terceiro via MCP) → grava a consulta com as mãos livres para a contenção → revisa e aprova o SOAP → a nota sincroniza com o sistema do hospital.</w:t>
      </w:r>
    </w:p>
    <w:p>
      <w:pPr>
        <w:spacing w:before="160" w:after="90"/>
      </w:pPr>
      <w:r>
        <w:rPr>
          <w:b/>
          <w:color w:val="1B2420"/>
          <w:sz w:val="23"/>
        </w:rPr>
        <w:t>Responsável técnico / administrador da clínica parceira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Audita que toda nota gerada por IA foi revisada e aprovada por um veterinário antes de virar registro oficial — mesmo papel de auditoria já formalizado no discovery do Long Life Pet (A.14.3/B.8).</w:t>
      </w:r>
    </w:p>
    <w:p>
      <w:pPr>
        <w:spacing w:before="340" w:after="140"/>
      </w:pPr>
      <w:r>
        <w:rPr>
          <w:b/>
          <w:color w:val="1B2420"/>
          <w:sz w:val="32"/>
        </w:rPr>
        <w:t>A.7 Proposta de valor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2"/>
        <w:gridCol w:w="4982"/>
      </w:tblGrid>
      <w:tr>
        <w:trPr>
          <w:tblHeader w:val="true"/>
          <w:cantSplit w:val="true"/>
        </w:trPr>
        <w:tc>
          <w:tcPr>
            <w:tcW w:type="dxa" w:w="3168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Eixo</w:t>
            </w:r>
          </w:p>
        </w:tc>
        <w:tc>
          <w:tcPr>
            <w:tcW w:type="dxa" w:w="720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Valor entregue</w:t>
            </w:r>
          </w:p>
        </w:tc>
      </w:tr>
      <w:tr>
        <w:trPr>
          <w:cantSplit w:val="true"/>
        </w:trPr>
        <w:tc>
          <w:tcPr>
            <w:tcW w:type="dxa" w:w="316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Proteção jurídica</w:t>
            </w:r>
          </w:p>
        </w:tc>
        <w:tc>
          <w:tcPr>
            <w:tcW w:type="dxa" w:w="72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Registros SOAP detalhados em tempo real pela IA protegem a clínica de processos por omissão de informação, com auditoria impecável.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Aumento de capacidade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Recuperar os ~10 minutos perdidos por consulta pode viabilizar até 20% mais atendimentos diários com a mesma equipe, ou reduzir horas extras.</w:t>
            </w:r>
          </w:p>
        </w:tc>
      </w:tr>
      <w:tr>
        <w:trPr>
          <w:cantSplit w:val="true"/>
        </w:trPr>
        <w:tc>
          <w:tcPr>
            <w:tcW w:type="dxa" w:w="316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Interoperabilidade descomplicada</w:t>
            </w:r>
          </w:p>
        </w:tc>
        <w:tc>
          <w:tcPr>
            <w:tcW w:type="dxa" w:w="720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Servidor MCP nativo permite que agentes de IA de terceiros leiam o histórico e sugiram exames ou laudos no futuro, sem integração ponto a ponto.</w:t>
            </w:r>
          </w:p>
        </w:tc>
      </w:tr>
      <w:tr>
        <w:trPr>
          <w:cantSplit w:val="true"/>
        </w:trPr>
        <w:tc>
          <w:tcPr>
            <w:tcW w:type="dxa" w:w="316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Continuidade sem lock-in</w:t>
            </w:r>
          </w:p>
        </w:tc>
        <w:tc>
          <w:tcPr>
            <w:tcW w:type="dxa" w:w="720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 clínica não precisa abandonar o PIMS atual para ganhar IA — o Ausculta se pluga, não substitui.</w:t>
            </w:r>
          </w:p>
        </w:tc>
      </w:tr>
    </w:tbl>
    <w:p>
      <w:pPr>
        <w:spacing w:after="80"/>
      </w:pPr>
    </w:p>
    <w:p>
      <w:pPr>
        <w:spacing w:before="340" w:after="140"/>
      </w:pPr>
      <w:r>
        <w:rPr>
          <w:b/>
          <w:color w:val="1B2420"/>
          <w:sz w:val="32"/>
        </w:rPr>
        <w:t>A.8 Compliance e limites de comunicação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A IA do Ausculta estrutura um rascunho — nunca emite diagnóstico, prescrição ou conclusão clínica autônoma; essas ações continuam exclusivas do médico-veterinário, alinhado ao mesmo limite já estabelecido para a IA do Long Life Pet (B.6). Toda nota gerada carrega o disclosure "Rascunho gerado por IA — revise antes de aprovar" e exige o gesto explícito de aprovação antes de entrar no prontuário oficial.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Consentimento de gravação — obrigatório antes de iniciar a captura de áudio, registrado com usuário, data e hora, reaproveitando o desenho de consentimento já usado no Long Life Pet (LGPD);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Áudio clínico como dado sensível — criptografado em trânsito e em repouso, com política de retenção e descarte definida antes do lançamento (ver B.7);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CFMV — o disclosure e o gesto de aprovação humana seguem o mesmo racional já usado para IA e para o disclosure de idade clínica no Long Life Pet (B.4.7/B.6): estimativa ou rascunho assistido nunca é apresentado como diagnóstico.</w:t>
      </w:r>
    </w:p>
    <w:p>
      <w:pPr>
        <w:spacing w:before="340" w:after="140"/>
      </w:pPr>
      <w:r>
        <w:rPr>
          <w:b/>
          <w:color w:val="1B2420"/>
          <w:sz w:val="32"/>
        </w:rPr>
        <w:t>A.9 Hipóteses de negócio e sinais de validação</w:t>
      </w:r>
    </w:p>
    <w:p>
      <w:pPr>
        <w:spacing w:before="160" w:after="90"/>
      </w:pPr>
      <w:r>
        <w:rPr>
          <w:b/>
          <w:color w:val="1B2420"/>
          <w:sz w:val="23"/>
        </w:rPr>
        <w:t>H1 — Viabilidade técnica offline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A captura e transcrição via Edge AI não causam superaquecimento nem esgotam a memória em dispositivos móveis padrão. Sinal de validação: sessão de consulta completa (15-30 min) sem falha em pelo menos 3 modelos de dispositivo de referência.</w:t>
      </w:r>
    </w:p>
    <w:p>
      <w:pPr>
        <w:spacing w:before="160" w:after="90"/>
      </w:pPr>
      <w:r>
        <w:rPr>
          <w:b/>
          <w:color w:val="1B2420"/>
          <w:sz w:val="23"/>
        </w:rPr>
        <w:t>H2 — Integridade da sincronização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registro SOAP gerado offline sincroniza sem corromper a base centralizada. Sinal de validação: zero perda ou duplicação de dado em 100 sincronizações de teste com conflito simulado.</w:t>
      </w:r>
    </w:p>
    <w:p>
      <w:pPr>
        <w:spacing w:before="160" w:after="90"/>
      </w:pPr>
      <w:r>
        <w:rPr>
          <w:b/>
          <w:color w:val="1B2420"/>
          <w:sz w:val="23"/>
        </w:rPr>
        <w:t>H3 — Interoperabilidade via MCP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Um cliente externo consegue ler um prontuário recém-gerado consultando o servidor MCP. Sinal de validação: leitura bem-sucedida e auditável por um cliente MCP de terceiro, respeitando o modelo de owner/interseção (B.10).</w:t>
      </w:r>
    </w:p>
    <w:p>
      <w:pPr>
        <w:spacing w:before="160" w:after="90"/>
      </w:pPr>
      <w:r>
        <w:rPr>
          <w:b/>
          <w:color w:val="1B2420"/>
          <w:sz w:val="23"/>
        </w:rPr>
        <w:t>H4 — Adoção pelo veterinário volante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Veterinários preferem o Ausculta a anotação em papel/app genérico de gravação. Sinal de validação: ≥70% dos veterinários piloto usam o Ausculta em pelo menos 80% das consultas após 30 dias.</w:t>
      </w:r>
    </w:p>
    <w:p>
      <w:pPr>
        <w:spacing w:before="160" w:after="90"/>
      </w:pPr>
      <w:r>
        <w:rPr>
          <w:b/>
          <w:color w:val="1B2420"/>
          <w:sz w:val="23"/>
        </w:rPr>
        <w:t>H5 — Valor comercial para a clínica parceira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A economia de tempo se traduz em mais atendimentos ou menos hora extra. Sinal de validação: aumento mensurável de consultas/dia por veterinário piloto, sem aumento de jornada.</w:t>
      </w:r>
    </w:p>
    <w:p>
      <w:pPr>
        <w:spacing w:before="340" w:after="140"/>
      </w:pPr>
      <w:r>
        <w:rPr>
          <w:b/>
          <w:color w:val="1B2420"/>
          <w:sz w:val="32"/>
        </w:rPr>
        <w:t>A.10 Backlog de funcionalidades priorizado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Backlog único, sem classificação de MVP/piloto ou fases fixas — mesma convenção adotada no discovery do Long Life Pet (A.19 lá).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 w:val="true"/>
          <w:cantSplit w:val="true"/>
        </w:trPr>
        <w:tc>
          <w:tcPr>
            <w:tcW w:type="dxa" w:w="4608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Funcionalidade</w:t>
            </w:r>
          </w:p>
        </w:tc>
        <w:tc>
          <w:tcPr>
            <w:tcW w:type="dxa" w:w="1584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Prioridade</w:t>
            </w:r>
          </w:p>
        </w:tc>
        <w:tc>
          <w:tcPr>
            <w:tcW w:type="dxa" w:w="432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Racional</w:t>
            </w:r>
          </w:p>
        </w:tc>
      </w:tr>
      <w:tr>
        <w:trPr>
          <w:cantSplit w:val="true"/>
        </w:trPr>
        <w:tc>
          <w:tcPr>
            <w:tcW w:type="dxa" w:w="460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Captura offline + transcrição edge (Whisper quantizado)</w:t>
            </w:r>
          </w:p>
        </w:tc>
        <w:tc>
          <w:tcPr>
            <w:tcW w:type="dxa" w:w="15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Alta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Núcleo do produto — testa H1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Estruturação automática do rascunho SOAP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Alta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Sem isso não há redução de tempo de documentação</w:t>
            </w:r>
          </w:p>
        </w:tc>
      </w:tr>
      <w:tr>
        <w:trPr>
          <w:cantSplit w:val="true"/>
        </w:trPr>
        <w:tc>
          <w:tcPr>
            <w:tcW w:type="dxa" w:w="460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Tela de consentimento obrigatória antes da gravação</w:t>
            </w:r>
          </w:p>
        </w:tc>
        <w:tc>
          <w:tcPr>
            <w:tcW w:type="dxa" w:w="15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Alta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Compliance LGPD — bloqueante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Sincronização CRDT com a nuvem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Alta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Testa H2 — sem isso o modo offline não é confiável</w:t>
            </w:r>
          </w:p>
        </w:tc>
      </w:tr>
      <w:tr>
        <w:trPr>
          <w:cantSplit w:val="true"/>
        </w:trPr>
        <w:tc>
          <w:tcPr>
            <w:tcW w:type="dxa" w:w="460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Aprovação humana obrigatória antes de gravar no prontuário</w:t>
            </w:r>
          </w:p>
        </w:tc>
        <w:tc>
          <w:tcPr>
            <w:tcW w:type="dxa" w:w="15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Alta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Regra inegociável de segurança clínica (A.8)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Modo integrado ao Long Life Pet (pré-carga + retorno de prontuário)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Alta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Habilita o principal caso de uso do time interno</w:t>
            </w:r>
          </w:p>
        </w:tc>
      </w:tr>
      <w:tr>
        <w:trPr>
          <w:cantSplit w:val="true"/>
        </w:trPr>
        <w:tc>
          <w:tcPr>
            <w:tcW w:type="dxa" w:w="460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Landing page com 3 portas de entrada (LLP / outro PIMS / standalone)</w:t>
            </w:r>
          </w:p>
        </w:tc>
        <w:tc>
          <w:tcPr>
            <w:tcW w:type="dxa" w:w="15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Alta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Ponto único de aquisição para os três públicos — ver A.11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Rastreabilidade de evidência (Linked Evidence)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Alta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Onda 1 do estudo de mercado — baixo esforço, alto alinhamento com a arquitetura já offline-first (A.11)</w:t>
            </w:r>
          </w:p>
        </w:tc>
      </w:tr>
      <w:tr>
        <w:trPr>
          <w:cantSplit w:val="true"/>
        </w:trPr>
        <w:tc>
          <w:tcPr>
            <w:tcW w:type="dxa" w:w="460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Alertas farmacológicos e calculadora de dose por espécie/peso</w:t>
            </w:r>
          </w:p>
        </w:tc>
        <w:tc>
          <w:tcPr>
            <w:tcW w:type="dxa" w:w="15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Alta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Onda 1 — segurança clínica de maior valor percebido (A.11)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Templates especializados por espécie (grande porte, exóticos, silvestres)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Alta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Onda 1 — nicho pouco disputado, alinhado ao caso de uso primário (volante) (A.11)</w:t>
            </w:r>
          </w:p>
        </w:tc>
      </w:tr>
      <w:tr>
        <w:trPr>
          <w:cantSplit w:val="true"/>
        </w:trPr>
        <w:tc>
          <w:tcPr>
            <w:tcW w:type="dxa" w:w="460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Servidor MCP nativo (leitura auditável por terceiros)</w:t>
            </w:r>
          </w:p>
        </w:tc>
        <w:tc>
          <w:tcPr>
            <w:tcW w:type="dxa" w:w="15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Média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Testa H3 — valor de interoperabilidade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Adaptação FHIR-vet (API REST/GraphQL para PIMS terceiros)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Média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Habilita o modo B2B com clínicas fora do Long Life Pet</w:t>
            </w:r>
          </w:p>
        </w:tc>
      </w:tr>
      <w:tr>
        <w:trPr>
          <w:cantSplit w:val="true"/>
        </w:trPr>
        <w:tc>
          <w:tcPr>
            <w:tcW w:type="dxa" w:w="460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Painel de auditoria (quem aprovou, quando, nota original vs. editada)</w:t>
            </w:r>
          </w:p>
        </w:tc>
        <w:tc>
          <w:tcPr>
            <w:tcW w:type="dxa" w:w="15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Média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Proteção jurídica (A.7) — sobrepõe a Auditoria de Compliance da Onda 2 (A.11)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Voice-to-Invoice (faturamento por voz)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Média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Onda 2 do estudo de mercado — maior ROI direto, mas exige consistência forte (B.2b), não é bloqueante do core</w:t>
            </w:r>
          </w:p>
        </w:tc>
      </w:tr>
      <w:tr>
        <w:trPr>
          <w:cantSplit w:val="true"/>
        </w:trPr>
        <w:tc>
          <w:tcPr>
            <w:tcW w:type="dxa" w:w="460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Sugestão de diagnóstico diferencial apoiada em literatura (cloud)</w:t>
            </w:r>
          </w:p>
        </w:tc>
        <w:tc>
          <w:tcPr>
            <w:tcW w:type="dxa" w:w="15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Baixa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Exige base de evidência madura; sem diagnóstico autônomo (A.8)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Resumo de alta automático para o tutor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Baixa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Reaproveita o SOAP já gerado; baixo esforço mas não bloqueante (A.11)</w:t>
            </w:r>
          </w:p>
        </w:tc>
      </w:tr>
      <w:tr>
        <w:trPr>
          <w:cantSplit w:val="true"/>
        </w:trPr>
        <w:tc>
          <w:tcPr>
            <w:tcW w:type="dxa" w:w="4608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Recall/retorno automatizado e painel de ROI</w:t>
            </w:r>
          </w:p>
        </w:tc>
        <w:tc>
          <w:tcPr>
            <w:tcW w:type="dxa" w:w="158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Baixa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Diferenciais de retenção/expansão — não fazem parte da validação inicial (A.11)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Leitura/emissão de laudo de imagem via MCP por agente externo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Baixa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Visão futura citada no pitch — não faz parte desta primeira entrega</w:t>
            </w:r>
          </w:p>
        </w:tc>
      </w:tr>
    </w:tbl>
    <w:p>
      <w:pPr>
        <w:spacing w:after="80"/>
      </w:pPr>
    </w:p>
    <w:p>
      <w:pPr>
        <w:spacing w:before="340" w:after="140"/>
      </w:pPr>
      <w:r>
        <w:rPr>
          <w:b/>
          <w:color w:val="1B2420"/>
          <w:sz w:val="32"/>
        </w:rPr>
        <w:t>A.11 Panorama competitivo e priorização de features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Estudo de mercado dedicado (ver Fontes) mapeou dois movimentos paralelos: PIMS tradicionais incorporando IA nativa (Digitail, Vetspire, Shepherd, Provet Cloud, Covetrus Pulse) e AI Scribes "camada fina" agnósticos de PIMS (CoVet). No Brasil, a IA aplicada ao ato clínico ainda é incipiente (Melea, KronosVet) — uma janela competitiva real. Conclusão do estudo: o diferencial arquitetural do Ausculta (offline-first, CRDT, hub agnóstico via MCP) não é replicado nativamente por nenhum concorrente relevante — a maioria é 100% cloud-dependente. O risco não é tecnológico, é de paridade de features clínicas: um produto que só transcreve perde para quem já embute diagnóstico e faturamento por voz.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 w:val="true"/>
          <w:cantSplit w:val="true"/>
        </w:trPr>
        <w:tc>
          <w:tcPr>
            <w:tcW w:type="dxa" w:w="2304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Onda</w:t>
            </w:r>
          </w:p>
        </w:tc>
        <w:tc>
          <w:tcPr>
            <w:tcW w:type="dxa" w:w="4176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Features</w:t>
            </w:r>
          </w:p>
        </w:tc>
        <w:tc>
          <w:tcPr>
            <w:tcW w:type="dxa" w:w="4464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Racional de sequenciamento</w:t>
            </w:r>
          </w:p>
        </w:tc>
      </w:tr>
      <w:tr>
        <w:trPr>
          <w:cantSplit w:val="true"/>
        </w:trPr>
        <w:tc>
          <w:tcPr>
            <w:tcW w:type="dxa" w:w="230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Onda 1 (nesta entrega)</w:t>
            </w:r>
          </w:p>
        </w:tc>
        <w:tc>
          <w:tcPr>
            <w:tcW w:type="dxa" w:w="4176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Linked Evidence · Alertas farmacológicos/dose · Templates por espécie</w:t>
            </w:r>
          </w:p>
        </w:tc>
        <w:tc>
          <w:tcPr>
            <w:tcW w:type="dxa" w:w="446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Baixo esforço, alto alinhamento com a arquitetura offline-first já decidida — cobrem paridade competitiva e o nicho de volante (equinos/bovinos)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Onda 2 (próxima)</w:t>
            </w:r>
          </w:p>
        </w:tc>
        <w:tc>
          <w:tcPr>
            <w:tcW w:type="dxa" w:w="417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Voice-to-Invoice · Auditoria de compliance</w:t>
            </w:r>
          </w:p>
        </w:tc>
        <w:tc>
          <w:tcPr>
            <w:tcW w:type="dxa" w:w="446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Maior esforço (exige consistência forte para faturamento, B.2b) e maior ROI direto — fica para depois do core validado</w:t>
            </w:r>
          </w:p>
        </w:tc>
      </w:tr>
      <w:tr>
        <w:trPr>
          <w:cantSplit w:val="true"/>
        </w:trPr>
        <w:tc>
          <w:tcPr>
            <w:tcW w:type="dxa" w:w="230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Backlog futuro</w:t>
            </w:r>
          </w:p>
        </w:tc>
        <w:tc>
          <w:tcPr>
            <w:tcW w:type="dxa" w:w="4176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Diagnóstico diferencial · Resumo de alta ao tutor · Recall automatizado · Painel de ROI · Multilíngue</w:t>
            </w:r>
          </w:p>
        </w:tc>
        <w:tc>
          <w:tcPr>
            <w:tcW w:type="dxa" w:w="446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Diferenciais de retenção/expansão e de posicionamento — fora do escopo da primeira validação (ver PRD, Out of Scope)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b w:val="0"/>
          <w:i/>
          <w:color w:val="1B2420"/>
          <w:sz w:val="22"/>
        </w:rPr>
        <w:t>Detalhamento completo das 12 features avaliadas, com esforço estimado e impacto competitivo por item, está no relatório de mercado anexado (ver Fontes) — este discovery reproduz apenas a síntese de sequenciamento.</w:t>
      </w:r>
    </w:p>
    <w:p>
      <w:r>
        <w:br w:type="page"/>
      </w:r>
    </w:p>
    <w:p>
      <w:pPr>
        <w:spacing w:before="0" w:after="200"/>
      </w:pPr>
      <w:r>
        <w:rPr>
          <w:b/>
          <w:color w:val="1F5C73"/>
          <w:sz w:val="30"/>
        </w:rPr>
        <w:t>Parte B — Arquitetura e decisões técnicas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Esta parte assume as decisões de negócio da Parte A como dadas e descreve como o Ausculta é construído, operado e integrado — inclusive com o Long Life Pet.</w:t>
      </w:r>
    </w:p>
    <w:p>
      <w:pPr>
        <w:spacing w:before="340" w:after="140"/>
      </w:pPr>
      <w:r>
        <w:rPr>
          <w:b/>
          <w:color w:val="1B2420"/>
          <w:sz w:val="32"/>
        </w:rPr>
        <w:t>B.1 Stack tecnológica decidida</w:t>
      </w:r>
    </w:p>
    <w:p>
      <w:pPr>
        <w:spacing w:before="100" w:after="160"/>
        <w:ind w:left="120" w:right="120"/>
        <w:shd w:val="clear" w:fill="FBF0E2"/>
      </w:pPr>
      <w:r>
        <w:rPr>
          <w:b/>
          <w:color w:val="A8611C"/>
          <w:sz w:val="20"/>
        </w:rPr>
        <w:t xml:space="preserve">Decisão: </w:t>
      </w:r>
      <w:r>
        <w:rPr>
          <w:color w:val="1B2420"/>
          <w:sz w:val="20"/>
        </w:rPr>
        <w:t>PWA local-first construído em Next.js + Tailwind CSS, hospedado na Vercel — mesma plataforma de deploy já decidida para o Long Life Pet (ADR-009/010 lá), reaproveitando conhecimento operacional do time.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 w:val="true"/>
          <w:cantSplit w:val="true"/>
        </w:trPr>
        <w:tc>
          <w:tcPr>
            <w:tcW w:type="dxa" w:w="2304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2592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Tecnologia</w:t>
            </w:r>
          </w:p>
        </w:tc>
        <w:tc>
          <w:tcPr>
            <w:tcW w:type="dxa" w:w="5616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Justificativa</w:t>
            </w:r>
          </w:p>
        </w:tc>
      </w:tr>
      <w:tr>
        <w:trPr>
          <w:cantSplit w:val="true"/>
        </w:trPr>
        <w:tc>
          <w:tcPr>
            <w:tcW w:type="dxa" w:w="230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Frontend / App</w:t>
            </w:r>
          </w:p>
        </w:tc>
        <w:tc>
          <w:tcPr>
            <w:tcW w:type="dxa" w:w="259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Next.js + Tailwind CSS</w:t>
            </w:r>
          </w:p>
        </w:tc>
        <w:tc>
          <w:tcPr>
            <w:tcW w:type="dxa" w:w="5616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Hospedagem nativa na Vercel como PWA; mobile-first; geração rápida de UI via IA.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Persistência local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RxDB + SQLite</w:t>
            </w:r>
          </w:p>
        </w:tc>
        <w:tc>
          <w:tcPr>
            <w:tcW w:type="dxa" w:w="561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Sincronização bidirecional e offline-first robusto desde o dia 1.</w:t>
            </w:r>
          </w:p>
        </w:tc>
      </w:tr>
      <w:tr>
        <w:trPr>
          <w:cantSplit w:val="true"/>
        </w:trPr>
        <w:tc>
          <w:tcPr>
            <w:tcW w:type="dxa" w:w="230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Motor AI (Edge)</w:t>
            </w:r>
          </w:p>
        </w:tc>
        <w:tc>
          <w:tcPr>
            <w:tcW w:type="dxa" w:w="259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Transformers.js</w:t>
            </w:r>
          </w:p>
        </w:tc>
        <w:tc>
          <w:tcPr>
            <w:tcW w:type="dxa" w:w="5616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Roda modelos (ex. Whisper) nativamente no navegador/app via WebAssembly/WebGPU, sem custo de nuvem e preservando privacidade do áudio.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Motor AI (Cloud)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Vercel AI SDK</w:t>
            </w:r>
          </w:p>
        </w:tc>
        <w:tc>
          <w:tcPr>
            <w:tcW w:type="dxa" w:w="5616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Orquestração padronizada de chamadas a LLMs comerciais quando há rede disponível.</w:t>
            </w:r>
          </w:p>
        </w:tc>
      </w:tr>
      <w:tr>
        <w:trPr>
          <w:cantSplit w:val="true"/>
        </w:trPr>
        <w:tc>
          <w:tcPr>
            <w:tcW w:type="dxa" w:w="230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Integração MCP</w:t>
            </w:r>
          </w:p>
        </w:tc>
        <w:tc>
          <w:tcPr>
            <w:tcW w:type="dxa" w:w="259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MCP TS SDK</w:t>
            </w:r>
          </w:p>
        </w:tc>
        <w:tc>
          <w:tcPr>
            <w:tcW w:type="dxa" w:w="5616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Implementado como serverless function na Vercel para expor dados a agentes externos com segurança e auditoria.</w:t>
            </w:r>
          </w:p>
        </w:tc>
      </w:tr>
    </w:tbl>
    <w:p>
      <w:pPr>
        <w:spacing w:after="80"/>
      </w:pPr>
    </w:p>
    <w:p>
      <w:pPr>
        <w:spacing w:before="340" w:after="140"/>
      </w:pPr>
      <w:r>
        <w:rPr>
          <w:b/>
          <w:color w:val="1B2420"/>
          <w:sz w:val="32"/>
        </w:rPr>
        <w:t>B.2 Arquitetura do módulo Ausculta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processamento é dividido entre dispositivo (Edge) e nuvem, conforme a disponibilidade de rede — o Ausculta nunca bloqueia o atendimento esperando conectividade.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 w:val="true"/>
          <w:cantSplit w:val="true"/>
        </w:trPr>
        <w:tc>
          <w:tcPr>
            <w:tcW w:type="dxa" w:w="1872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Processo</w:t>
            </w:r>
          </w:p>
        </w:tc>
        <w:tc>
          <w:tcPr>
            <w:tcW w:type="dxa" w:w="432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Modo offline (Edge)</w:t>
            </w:r>
          </w:p>
        </w:tc>
        <w:tc>
          <w:tcPr>
            <w:tcW w:type="dxa" w:w="432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Modo online (Cloud)</w:t>
            </w:r>
          </w:p>
        </w:tc>
      </w:tr>
      <w:tr>
        <w:trPr>
          <w:cantSplit w:val="true"/>
        </w:trPr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Captura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Filtro acústico ativo para ruído local; processamento isolado no hardware.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Upload em background do áudio original, encriptado, para análise posterior.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Transcrição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Modelos quantizados via WebGPU/WASM no navegador/app.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Transcrição paralela via API para refinamento semântico, se necessário.</w:t>
            </w:r>
          </w:p>
        </w:tc>
      </w:tr>
      <w:tr>
        <w:trPr>
          <w:cantSplit w:val="true"/>
        </w:trPr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Estruturação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Rascunho SOAP via SLMs (Small Language Models) no dispositivo.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LLMs de fronteira extraem sintomas, histórico e aplicam terminologia padronizada.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Decisão clínica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Alertas farmacológicos básicos via banco relacional embarcado (SQLite).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Sugestão de diagnósticos diferenciais apoiada em literatura veterinária — sempre não autônoma (A.8).</w:t>
            </w:r>
          </w:p>
        </w:tc>
      </w:tr>
    </w:tbl>
    <w:p>
      <w:pPr>
        <w:spacing w:after="80"/>
      </w:pPr>
    </w:p>
    <w:p>
      <w:pPr>
        <w:spacing w:before="340" w:after="140"/>
      </w:pPr>
      <w:r>
        <w:rPr>
          <w:b/>
          <w:color w:val="1B2420"/>
          <w:sz w:val="32"/>
        </w:rPr>
        <w:t>B.2b Modelo de consistência por domínio de dado (CRDT)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Nem todo dado do prontuário tem o mesmo risco clínico em caso de conflito — por isso a sincronização não usa um único modelo de CRDT, mas um arquétipo por tipo de campo (detalhamento técnico anexado pelo usuário, ver Fontes).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rPr>
          <w:tblHeader w:val="true"/>
          <w:cantSplit w:val="true"/>
        </w:trPr>
        <w:tc>
          <w:tcPr>
            <w:tcW w:type="dxa" w:w="288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Arquétipo CRDT</w:t>
            </w:r>
          </w:p>
        </w:tc>
        <w:tc>
          <w:tcPr>
            <w:tcW w:type="dxa" w:w="3744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Aplicação clínica</w:t>
            </w:r>
          </w:p>
        </w:tc>
        <w:tc>
          <w:tcPr>
            <w:tcW w:type="dxa" w:w="432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Estratégia de resolução</w:t>
            </w:r>
          </w:p>
        </w:tc>
      </w:tr>
      <w:tr>
        <w:trPr>
          <w:cantSplit w:val="true"/>
        </w:trPr>
        <w:tc>
          <w:tcPr>
            <w:tcW w:type="dxa" w:w="288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LWW-Register (Last-Write-Wins)</w:t>
            </w:r>
          </w:p>
        </w:tc>
        <w:tc>
          <w:tcPr>
            <w:tcW w:type="dxa" w:w="37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Nome do tutor, telefone, campos demográficos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Timestamp decide o valor mais recente — divergência raramente tem implicação clínica grave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OR-Set (Observed-Remove Set)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Lista de medicações e alergias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Rastreia adições/remoções por ID único; adição sempre prevalece sobre remoção, por segurança</w:t>
            </w:r>
          </w:p>
        </w:tc>
      </w:tr>
      <w:tr>
        <w:trPr>
          <w:cantSplit w:val="true"/>
        </w:trPr>
        <w:tc>
          <w:tcPr>
            <w:tcW w:type="dxa" w:w="288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MVR (Multi-Value Register)</w:t>
            </w:r>
          </w:p>
        </w:tc>
        <w:tc>
          <w:tcPr>
            <w:tcW w:type="dxa" w:w="3744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Resultados de exame, sinais vitais, texto SOAP concorrente (Plano/Avaliação)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Preserva todos os valores concorrentes para revisão manual do veterinário — nunca sobrescreve uma decisão clínica silenciosamente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Consistência por módulo: eventual para notas clínicas gerais (Subjetivo/Objetivo); causal para plano terapêutico/prescrições (a prescrição só faz sentido depois do diagnóstico que a originou); forte para faturamento e controle de estoque de medicamentos controlados — por isso o módulo financeiro (fora do escopo desta primeira entrega, ver PRD) usa fila transacional com idempotência por ID, não o CRDT permissivo do restante do prontuário.</w:t>
      </w:r>
    </w:p>
    <w:p>
      <w:pPr>
        <w:spacing w:before="100" w:after="160"/>
        <w:ind w:left="120" w:right="120"/>
        <w:shd w:val="clear" w:fill="FBF0E2"/>
      </w:pPr>
      <w:r>
        <w:rPr>
          <w:b/>
          <w:color w:val="A8611C"/>
          <w:sz w:val="20"/>
        </w:rPr>
        <w:t xml:space="preserve">Regra de ouro: </w:t>
      </w:r>
      <w:r>
        <w:rPr>
          <w:color w:val="1B2420"/>
          <w:sz w:val="20"/>
        </w:rPr>
        <w:t>uma vez que CRDTs estão ativados numa coleção (RxDB CRDT Plugin), nenhuma escrita direta via modify()/incrementalModify() é permitida — apenas updateCRDT()/insertCRDT(). Este é um requisito não funcional a documentar explicitamente no handoff Inovação → Engenharia (B.8), para que desenvolvedores futuros não quebrem a garantia de merge determinístico.</w:t>
      </w:r>
    </w:p>
    <w:p>
      <w:pPr>
        <w:spacing w:before="340" w:after="140"/>
      </w:pPr>
      <w:r>
        <w:rPr>
          <w:b/>
          <w:color w:val="1B2420"/>
          <w:sz w:val="32"/>
        </w:rPr>
        <w:t>B.3 Requisitos funcionais</w:t>
      </w:r>
    </w:p>
    <w:p>
      <w:pPr>
        <w:spacing w:before="160" w:after="90"/>
      </w:pPr>
      <w:r>
        <w:rPr>
          <w:b/>
          <w:color w:val="1B2420"/>
          <w:sz w:val="23"/>
        </w:rPr>
        <w:t>RF-001 — Captura offline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deve capturar e transcrever áudio de consulta sem conexão de rede.</w:t>
      </w:r>
    </w:p>
    <w:p>
      <w:pPr>
        <w:spacing w:before="160" w:after="90"/>
      </w:pPr>
      <w:r>
        <w:rPr>
          <w:b/>
          <w:color w:val="1B2420"/>
          <w:sz w:val="23"/>
        </w:rPr>
        <w:t>RF-002 — Estruturação SOAP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deve estruturar automaticamente o rascunho em Subjetivo, Objetivo, Avaliação e Plano.</w:t>
      </w:r>
    </w:p>
    <w:p>
      <w:pPr>
        <w:spacing w:before="160" w:after="90"/>
      </w:pPr>
      <w:r>
        <w:rPr>
          <w:b/>
          <w:color w:val="1B2420"/>
          <w:sz w:val="23"/>
        </w:rPr>
        <w:t>RF-003 — Consentimento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deve bloquear o início da gravação até o consentimento ser confirmado e registrado.</w:t>
      </w:r>
    </w:p>
    <w:p>
      <w:pPr>
        <w:spacing w:before="160" w:after="90"/>
      </w:pPr>
      <w:r>
        <w:rPr>
          <w:b/>
          <w:color w:val="1B2420"/>
          <w:sz w:val="23"/>
        </w:rPr>
        <w:t>RF-004 — Revisão e aprovação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deve exigir um gesto explícito de aprovação humana antes de gravar a nota no prontuário oficial.</w:t>
      </w:r>
    </w:p>
    <w:p>
      <w:pPr>
        <w:spacing w:before="160" w:after="90"/>
      </w:pPr>
      <w:r>
        <w:rPr>
          <w:b/>
          <w:color w:val="1B2420"/>
          <w:sz w:val="23"/>
        </w:rPr>
        <w:t>RF-005 — Sincronização CRDT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deve sincronizar dados locais e remotos sem conflito de versão quando a conectividade retornar.</w:t>
      </w:r>
    </w:p>
    <w:p>
      <w:pPr>
        <w:spacing w:before="160" w:after="90"/>
      </w:pPr>
      <w:r>
        <w:rPr>
          <w:b/>
          <w:color w:val="1B2420"/>
          <w:sz w:val="23"/>
        </w:rPr>
        <w:t>RF-006 — Modo integrado ao Long Life Pet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deve pré-carregar o prontuário do pet agendado e devolver a evolução aprovada ao prontuário de origem.</w:t>
      </w:r>
    </w:p>
    <w:p>
      <w:pPr>
        <w:spacing w:before="160" w:after="90"/>
      </w:pPr>
      <w:r>
        <w:rPr>
          <w:b/>
          <w:color w:val="1B2420"/>
          <w:sz w:val="23"/>
        </w:rPr>
        <w:t>RF-007 — Modo standalone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deve permitir cadastro manual de paciente e operação sem qualquer integração externa.</w:t>
      </w:r>
    </w:p>
    <w:p>
      <w:pPr>
        <w:spacing w:before="160" w:after="90"/>
      </w:pPr>
      <w:r>
        <w:rPr>
          <w:b/>
          <w:color w:val="1B2420"/>
          <w:sz w:val="23"/>
        </w:rPr>
        <w:t>RF-008 — Interoperabilidade via API/MCP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deve expor e consumir dados clínicos via API REST/GraphQL (FHIR-vet) e servidor MCP nativo.</w:t>
      </w:r>
    </w:p>
    <w:p>
      <w:pPr>
        <w:spacing w:before="160" w:after="90"/>
      </w:pPr>
      <w:r>
        <w:rPr>
          <w:b/>
          <w:color w:val="1B2420"/>
          <w:sz w:val="23"/>
        </w:rPr>
        <w:t>RF-009 — Auditoria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deve registrar quem aprovou cada nota, quando, e manter o histórico entre rascunho original e versão editada.</w:t>
      </w:r>
    </w:p>
    <w:p>
      <w:pPr>
        <w:spacing w:before="160" w:after="90"/>
      </w:pPr>
      <w:r>
        <w:rPr>
          <w:b/>
          <w:color w:val="1B2420"/>
          <w:sz w:val="23"/>
        </w:rPr>
        <w:t>RF-010 — Isolamento por owner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nunca deve reter um prontuário como próprio owner — o owner é sempre o Long Life Pet, o PIMS terceiro ou a clínica standalone, conforme o modo (A.4).</w:t>
      </w:r>
    </w:p>
    <w:p>
      <w:pPr>
        <w:spacing w:before="160" w:after="90"/>
      </w:pPr>
      <w:r>
        <w:rPr>
          <w:b/>
          <w:color w:val="1B2420"/>
          <w:sz w:val="23"/>
        </w:rPr>
        <w:t>RF-011 — Rastreabilidade de evidência (Linked Evidence)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Cada frase gerada no SOAP deve manter um link para o trecho exato do áudio/transcrição que a originou, exposto na UI como "ver origem".</w:t>
      </w:r>
    </w:p>
    <w:p>
      <w:pPr>
        <w:spacing w:before="160" w:after="90"/>
      </w:pPr>
      <w:r>
        <w:rPr>
          <w:b/>
          <w:color w:val="1B2420"/>
          <w:sz w:val="23"/>
        </w:rPr>
        <w:t>RF-012 — Alerta farmacológico e dose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sistema deve verificar automaticamente a dose sugerida contra o limite por espécie e peso do paciente, emitindo alerta editável antes da aprovação da nota.</w:t>
      </w:r>
    </w:p>
    <w:p>
      <w:pPr>
        <w:spacing w:before="340" w:after="140"/>
      </w:pPr>
      <w:r>
        <w:rPr>
          <w:b/>
          <w:color w:val="1B2420"/>
          <w:sz w:val="32"/>
        </w:rPr>
        <w:t>B.4 Requisitos não funcionais</w:t>
      </w:r>
    </w:p>
    <w:p>
      <w:pPr>
        <w:spacing w:before="200" w:after="110"/>
      </w:pPr>
      <w:r>
        <w:rPr>
          <w:b/>
          <w:color w:val="1B2420"/>
          <w:sz w:val="26"/>
        </w:rPr>
        <w:t>Desempenho e confiabilidade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Captura e transcrição locais não podem causar superaquecimento nem esgotar memória em dispositivo móvel padrão (H1);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Zero corrupção ou duplicação de dado em sincronização com conflito (H2);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Funcionamento pleno em modo avião, do início ao fim de uma consulta.</w:t>
      </w:r>
    </w:p>
    <w:p>
      <w:pPr>
        <w:spacing w:before="200" w:after="110"/>
      </w:pPr>
      <w:r>
        <w:rPr>
          <w:b/>
          <w:color w:val="1B2420"/>
          <w:sz w:val="26"/>
        </w:rPr>
        <w:t>Segurança e privacidade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Criptografia do áudio em trânsito e em repouso;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Consentimento obrigatório e auditável antes de qualquer gravação;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Nenhum dado clínico retido com o Ausculta como owner, em nenhum modo de operação (A.4);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Autenticação e autorização do veterinário herdadas do Long Life Pet ou do PIMS terceiro — o Ausculta não reimplementa validação profissional (Assumptions do PRD).</w:t>
      </w:r>
    </w:p>
    <w:p>
      <w:pPr>
        <w:spacing w:before="200" w:after="110"/>
      </w:pPr>
      <w:r>
        <w:rPr>
          <w:b/>
          <w:color w:val="1B2420"/>
          <w:sz w:val="26"/>
        </w:rPr>
        <w:t>Usabilidade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Interface mobile-first, alto contraste, operável com luvas — alvo de toque mínimo de 48×48px;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Indicadores de estado sempre visíveis: offline/online, gravando, sincronizando, aprovado.</w:t>
      </w:r>
    </w:p>
    <w:p>
      <w:pPr>
        <w:spacing w:before="340" w:after="140"/>
      </w:pPr>
      <w:r>
        <w:rPr>
          <w:b/>
          <w:color w:val="1B2420"/>
          <w:sz w:val="32"/>
        </w:rPr>
        <w:t>B.5 Interoperabilidade e protocolos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APIs REST/GraphQL — endpoints bidirecionais adotando uma adaptação do padrão FHIR para veterinária, mapeando raças, espécies e código SNOMED CT;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Model Context Protocol (MCP) — servidor MCP nativo, permitindo que agentes de IA de terceiros consultem históricos e escrevam evoluções de forma segura e auditável, eliminando integrações ponto a ponto;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Sincronização CRDT (Conflict-free Replicated Data Types) — conflitos de edição resolvidos matematicamente no banco local, mesclando atualizações de forma transparente com a nuvem central.</w:t>
      </w:r>
    </w:p>
    <w:p>
      <w:pPr>
        <w:spacing w:before="340" w:after="140"/>
      </w:pPr>
      <w:r>
        <w:rPr>
          <w:b/>
          <w:color w:val="1B2420"/>
          <w:sz w:val="32"/>
        </w:rPr>
        <w:t>B.6 Integração com o Long Life Pet — decisão de projeto separado</w:t>
      </w:r>
    </w:p>
    <w:p>
      <w:pPr>
        <w:spacing w:before="100" w:after="160"/>
        <w:ind w:left="120" w:right="120"/>
        <w:shd w:val="clear" w:fill="FBF0E2"/>
      </w:pPr>
      <w:r>
        <w:rPr>
          <w:b/>
          <w:color w:val="A8611C"/>
          <w:sz w:val="20"/>
        </w:rPr>
        <w:t xml:space="preserve">Decisão: </w:t>
      </w:r>
      <w:r>
        <w:rPr>
          <w:color w:val="1B2420"/>
          <w:sz w:val="20"/>
        </w:rPr>
        <w:t>o Ausculta tem um protótipo próprio no Claude Design, separado do Long Life Pet.dc.html — não uma aba ou tela nova dentro do app existente.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Racional: o Ausculta atende um público que pode nunca ter conta no Long Life Pet (veterinário de hospital usando PIMS terceiro, veterinário autônomo em modo standalone) — forçar todo esse público a passar pela interface do app consumidor do Long Life Pet seria incoerente com o próprio modelo de hub agnóstico do produto. Além disso, a interface é fundamentalmente diferente: uma ferramenta de campo (gravação de voz, waveform, revisão de texto clínico, alto contraste para uso com luvas) tem uma gramática visual e uma arquitetura de informação distintas da navegação de um app de assinatura para tutores.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vínculo entre os dois produtos é de dados, não de tela: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Antes da visita — quando o modo integrado está ativo, o Long Life Pet envia ao Ausculta o prontuário do pet agendado (identificação, histórico relevante, alergias, medicamentos em uso);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Depois da visita — o Ausculta devolve ao Long Life Pet a nota SOAP já aprovada pelo veterinário, que passa a integrar o prontuário do pet como um novo registro de atendimento;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Owner preservado — em nenhum momento o Ausculta se torna owner do dado; o modelo de isolamento por owner e RLS já decidido no Long Life Pet (B.10 lá) continua sendo a fonte da verdade para quem pode acessar o quê;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Autenticação reaproveitada — um veterinário já validado (CRMV/SISCAD) no Long Life Pet não passa por nova validação para usar o modo integrado (B.8 lá).</w:t>
      </w:r>
    </w:p>
    <w:p>
      <w:pPr>
        <w:spacing w:after="140" w:line="276" w:lineRule="auto"/>
      </w:pPr>
      <w:r>
        <w:rPr>
          <w:b w:val="0"/>
          <w:i/>
          <w:color w:val="1B2420"/>
          <w:sz w:val="22"/>
        </w:rPr>
        <w:t>Consequência prática: a spec técnica do modo integrado deve tratar o contrato de envio/recebimento de prontuário como uma integração entre dois sistemas com fronteiras de dados claras — não como uma feature interna de nenhum dos dois produtos.</w:t>
      </w:r>
    </w:p>
    <w:p>
      <w:pPr>
        <w:spacing w:before="340" w:after="140"/>
      </w:pPr>
      <w:r>
        <w:rPr>
          <w:b/>
          <w:color w:val="1B2420"/>
          <w:sz w:val="32"/>
        </w:rPr>
        <w:t>B.7 Segurança e privacidade do áudio clínico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Consentimento — registrado com usuário, data, hora e finalidade, antes de qualquer gravação (RF-003);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Criptografia — em trânsito (TLS) e em repouso, tanto para o áudio original quanto para a transcrição;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Retenção e descarte — política de retenção do áudio original a definir antes do lançamento (recomendação: reter apenas até a aprovação da nota, depois descartar, mantendo somente o texto estruturado — a confirmar com jurídico);</w:t>
      </w:r>
    </w:p>
    <w:p>
      <w:pPr>
        <w:pStyle w:val="ListBullet"/>
        <w:spacing w:after="70" w:line="264" w:lineRule="auto"/>
      </w:pPr>
      <w:r>
        <w:rPr>
          <w:color w:val="1B2420"/>
          <w:sz w:val="22"/>
        </w:rPr>
        <w:t>Minimização — o áudio bruto nunca trafega para fora do dispositivo em modo offline; em modo online, o upload é opcional e apenas para refinamento semântico.</w:t>
      </w:r>
    </w:p>
    <w:p>
      <w:pPr>
        <w:spacing w:before="340" w:after="140"/>
      </w:pPr>
      <w:r>
        <w:rPr>
          <w:b/>
          <w:color w:val="1B2420"/>
          <w:sz w:val="32"/>
        </w:rPr>
        <w:t>B.8 Critérios de handoff (Inovação → Engenharia)</w:t>
      </w:r>
    </w:p>
    <w:p>
      <w:pPr>
        <w:spacing w:after="140" w:line="276" w:lineRule="auto"/>
      </w:pPr>
      <w:r>
        <w:rPr>
          <w:b w:val="0"/>
          <w:i w:val="0"/>
          <w:color w:val="1B2420"/>
          <w:sz w:val="22"/>
        </w:rPr>
        <w:t>O experimento é considerado maduro para repasse à engenharia principal quando comprovar:</w:t>
      </w:r>
    </w:p>
    <w:p>
      <w:pPr>
        <w:pStyle w:val="ListNumber"/>
        <w:spacing w:after="70" w:line="264" w:lineRule="auto"/>
      </w:pPr>
      <w:r>
        <w:rPr>
          <w:color w:val="1B2420"/>
          <w:sz w:val="22"/>
        </w:rPr>
        <w:t>A captura e transcrição via Edge AI não causam superaquecimento nem esgotam memória em dispositivos móveis padrão (H1);</w:t>
      </w:r>
    </w:p>
    <w:p>
      <w:pPr>
        <w:pStyle w:val="ListNumber"/>
        <w:spacing w:after="70" w:line="264" w:lineRule="auto"/>
      </w:pPr>
      <w:r>
        <w:rPr>
          <w:color w:val="1B2420"/>
          <w:sz w:val="22"/>
        </w:rPr>
        <w:t>O registro SOAP gerado offline sincroniza sem corromper a base de dados centralizada (H2);</w:t>
      </w:r>
    </w:p>
    <w:p>
      <w:pPr>
        <w:pStyle w:val="ListNumber"/>
        <w:spacing w:after="70" w:line="264" w:lineRule="auto"/>
      </w:pPr>
      <w:r>
        <w:rPr>
          <w:color w:val="1B2420"/>
          <w:sz w:val="22"/>
        </w:rPr>
        <w:t>Um cliente externo consegue ler um prontuário recém-gerado consultando o servidor MCP, respeitando o modelo de owner/interseção (H3, B.10 do Long Life Pet);</w:t>
      </w:r>
    </w:p>
    <w:p>
      <w:pPr>
        <w:pStyle w:val="ListNumber"/>
        <w:spacing w:after="70" w:line="264" w:lineRule="auto"/>
      </w:pPr>
      <w:r>
        <w:rPr>
          <w:color w:val="1B2420"/>
          <w:sz w:val="22"/>
        </w:rPr>
        <w:t>O modo integrado ao Long Life Pet troca o prontuário nos dois sentidos (envio antes da visita, retorno depois) sem erro em pelo menos um ciclo completo de teste ponta a ponta;</w:t>
      </w:r>
    </w:p>
    <w:p>
      <w:pPr>
        <w:pStyle w:val="ListNumber"/>
        <w:spacing w:after="70" w:line="264" w:lineRule="auto"/>
      </w:pPr>
      <w:r>
        <w:rPr>
          <w:color w:val="1B2420"/>
          <w:sz w:val="22"/>
        </w:rPr>
        <w:t>O merge CRDT de um conflito real entre dois dispositivos com o mesmo paciente resolve corretamente para cada um dos três arquétipos — LWW, OR-Set, MVR — sem perda de dado de segurança (ver B.2b).</w:t>
      </w:r>
    </w:p>
    <w:p>
      <w:pPr>
        <w:spacing w:before="340" w:after="140"/>
      </w:pPr>
      <w:r>
        <w:rPr>
          <w:b/>
          <w:color w:val="1B2420"/>
          <w:sz w:val="32"/>
        </w:rPr>
        <w:t>B.9 Registro de decisões técnicas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1"/>
        <w:gridCol w:w="2491"/>
        <w:gridCol w:w="2491"/>
        <w:gridCol w:w="2491"/>
      </w:tblGrid>
      <w:tr>
        <w:trPr>
          <w:tblHeader w:val="true"/>
          <w:cantSplit w:val="true"/>
        </w:trPr>
        <w:tc>
          <w:tcPr>
            <w:tcW w:type="dxa" w:w="288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Decisão</w:t>
            </w:r>
          </w:p>
        </w:tc>
        <w:tc>
          <w:tcPr>
            <w:tcW w:type="dxa" w:w="4320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Resumo</w:t>
            </w:r>
          </w:p>
        </w:tc>
        <w:tc>
          <w:tcPr>
            <w:tcW w:type="dxa" w:w="1872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Detalhado em</w:t>
            </w:r>
          </w:p>
        </w:tc>
        <w:tc>
          <w:tcPr>
            <w:tcW w:type="dxa" w:w="1872"/>
            <w:shd w:val="clear" w:fill="1F5C73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/>
            <w:r>
              <w:rPr>
                <w:b/>
                <w:color w:val="FFFFFF"/>
                <w:sz w:val="19"/>
              </w:rPr>
              <w:t>ADR sugerido</w:t>
            </w:r>
          </w:p>
        </w:tc>
      </w:tr>
      <w:tr>
        <w:trPr>
          <w:cantSplit w:val="true"/>
        </w:trPr>
        <w:tc>
          <w:tcPr>
            <w:tcW w:type="dxa" w:w="288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Projeto de design separado do Long Life Pet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Protótipo próprio no Claude Design; vínculo é de dados, não de tela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B.6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ADR-PS-001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Stack PWA local-first na Vercel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Next.js + Tailwind, RxDB/SQLite, Transformers.js, Vercel AI SDK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B.1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ADR-PS-002</w:t>
            </w:r>
          </w:p>
        </w:tc>
      </w:tr>
      <w:tr>
        <w:trPr>
          <w:cantSplit w:val="true"/>
        </w:trPr>
        <w:tc>
          <w:tcPr>
            <w:tcW w:type="dxa" w:w="288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Edge AI para captura e transcrição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Processamento on-device via Transformers.js/WebGPU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B.2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ADR-PS-003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Sincronização via CRDT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Resolução matemática de conflito, sem etapa manual de merge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B.5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ADR-PS-004</w:t>
            </w:r>
          </w:p>
        </w:tc>
      </w:tr>
      <w:tr>
        <w:trPr>
          <w:cantSplit w:val="true"/>
        </w:trPr>
        <w:tc>
          <w:tcPr>
            <w:tcW w:type="dxa" w:w="288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Interoperabilidade via MCP + FHIR-vet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Hub agnóstico; nenhuma integração ponto a ponto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B.5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ADR-PS-005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Owner do prontuário nunca é o Ausculta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Preserva o modelo de RLS por owner já decidido no Long Life Pet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B.6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ADR-PS-006</w:t>
            </w:r>
          </w:p>
        </w:tc>
      </w:tr>
      <w:tr>
        <w:trPr>
          <w:cantSplit w:val="true"/>
        </w:trPr>
        <w:tc>
          <w:tcPr>
            <w:tcW w:type="dxa" w:w="288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Aprovação humana obrigatória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IA nunca finaliza, diagnostica ou prescreve sozinha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A.8 / B.3 (RF-004)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ADR-PS-007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Consistência CRDT por domínio de dado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LWW para cadastro, OR-Set p/ alergia-medicação, MVR p/ diagnóstico-plano; faturamento fora do CRDT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B.2b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ADR-PS-008</w:t>
            </w:r>
          </w:p>
        </w:tc>
      </w:tr>
      <w:tr>
        <w:trPr>
          <w:cantSplit w:val="true"/>
        </w:trPr>
        <w:tc>
          <w:tcPr>
            <w:tcW w:type="dxa" w:w="288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Priorização de features por onda (mercado)</w:t>
            </w:r>
          </w:p>
        </w:tc>
        <w:tc>
          <w:tcPr>
            <w:tcW w:type="dxa" w:w="4320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Onda 1: Linked Evidence, alertas de dose, templates por espécie. Onda 2: voice-to-invoice, auditoria de compliance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A.11</w:t>
            </w:r>
          </w:p>
        </w:tc>
        <w:tc>
          <w:tcPr>
            <w:tcW w:type="dxa" w:w="1872"/>
            <w:shd w:val="clear" w:fill="F1EFEA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ADR-PS-009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Nome de trabalho: Ausculta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Pendente de busca formal de marca (INPI/USPTO/WIPO) e domínio antes do lançamento público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Capa / claude/ausculta-nome-e-decisao.md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line="252" w:lineRule="auto"/>
            </w:pPr>
            <w:r/>
            <w:r>
              <w:rPr>
                <w:color w:val="1B2420"/>
                <w:sz w:val="19"/>
              </w:rPr>
              <w:t>ADR-PS-010</w:t>
            </w:r>
          </w:p>
        </w:tc>
      </w:tr>
    </w:tbl>
    <w:p>
      <w:pPr>
        <w:spacing w:after="80"/>
      </w:pPr>
    </w:p>
    <w:p>
      <w:pPr>
        <w:spacing w:before="340" w:after="140"/>
      </w:pPr>
      <w:r>
        <w:rPr>
          <w:b/>
          <w:color w:val="1B2420"/>
          <w:sz w:val="32"/>
        </w:rPr>
        <w:t>Fontes</w:t>
      </w:r>
    </w:p>
    <w:p>
      <w:pPr>
        <w:spacing w:after="80"/>
      </w:pPr>
      <w:r>
        <w:rPr>
          <w:color w:val="1B2420"/>
          <w:sz w:val="19"/>
        </w:rPr>
        <w:t>1. Documento de Discovery — Plataforma PIMS + AI Scribe (Arquitetura Local-First), SIQ Systems (material anexado pelo usuário)</w:t>
      </w:r>
    </w:p>
    <w:p>
      <w:pPr>
        <w:spacing w:after="80"/>
      </w:pPr>
      <w:r>
        <w:rPr>
          <w:color w:val="1B2420"/>
          <w:sz w:val="19"/>
        </w:rPr>
        <w:t>2. Pitch Estratégico — O Futuro do Prontuário Veterinário (material anexado pelo usuário)</w:t>
      </w:r>
    </w:p>
    <w:p>
      <w:pPr>
        <w:spacing w:after="80"/>
      </w:pPr>
      <w:r>
        <w:rPr>
          <w:color w:val="1B2420"/>
          <w:sz w:val="19"/>
        </w:rPr>
        <w:t>3. Discovery — Long Life Pet v1.0 (Parte B, seções B.6, B.8, B.10) — modelo de autenticação, cofre de segredos e RLS por owner reaproveitado por referência</w:t>
      </w:r>
    </w:p>
    <w:p>
      <w:pPr>
        <w:spacing w:after="80"/>
      </w:pPr>
      <w:r>
        <w:rPr>
          <w:color w:val="1B2420"/>
          <w:sz w:val="19"/>
        </w:rPr>
        <w:t>4. PRD — Ausculta (este engagement) — critérios de aceitação e escopo desta primeira entrega</w:t>
      </w:r>
    </w:p>
    <w:p>
      <w:pPr>
        <w:spacing w:after="80"/>
      </w:pPr>
      <w:r>
        <w:rPr>
          <w:color w:val="1B2420"/>
          <w:sz w:val="19"/>
        </w:rPr>
        <w:t>5. Relatório de Estudo de Mercado — PIMS + AI Scribe Veterinário, SIQ Systems (material anexado pelo usuário) — panorama competitivo e priorização de features (A.11)</w:t>
      </w:r>
    </w:p>
    <w:p>
      <w:pPr>
        <w:spacing w:after="80"/>
      </w:pPr>
      <w:r>
        <w:rPr>
          <w:color w:val="1B2420"/>
          <w:sz w:val="19"/>
        </w:rPr>
        <w:t>6. Detalhamento Técnico — Arquitetura Offline-First e CRDT, complemento ao Discovery (material anexado pelo usuário) — modelo de consistência por domínio de dado (B.2b)</w:t>
      </w:r>
    </w:p>
    <w:p>
      <w:pPr>
        <w:spacing w:after="80"/>
      </w:pPr>
      <w:r>
        <w:rPr>
          <w:color w:val="1B2420"/>
          <w:sz w:val="19"/>
        </w:rPr>
        <w:t>7. Nome da plataforma — decisão (claude/ausculta-nome-e-decisao.md) — racional de naming e pendência de busca formal de marca</w:t>
      </w:r>
    </w:p>
    <w:p>
      <w:pPr>
        <w:spacing w:after="80"/>
      </w:pPr>
      <w:r>
        <w:rPr>
          <w:color w:val="1B2420"/>
          <w:sz w:val="19"/>
        </w:rPr>
        <w:t>8. PRD de Design — Ausculta (claude/prd-design-ausculta.md) — documento único para colar no Claude Design: prompt de telas + contexto de UX curado deste discovery e do PRD</w:t>
      </w:r>
    </w:p>
    <w:p>
      <w:pPr>
        <w:spacing w:after="80"/>
      </w:pPr>
      <w:r>
        <w:rPr>
          <w:color w:val="1B2420"/>
          <w:sz w:val="19"/>
        </w:rPr>
        <w:t>9. Metodologia — PRD de Design (claude/metodologia-prd-de-design.md) — regra de curadoria e template do artefato PRD de Design no pipeline SDD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4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