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A8611C"/>
          <w:sz w:val="18"/>
        </w:rPr>
        <w:t>SIQ · Spec Driven Development — Pitch Estratégico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64"/>
      </w:tblGrid>
      <w:tr>
        <w:tc>
          <w:tcPr>
            <w:tcW w:type="dxa" w:w="9964"/>
            <w:shd w:val="clear" w:fill="0F1B2E"/>
            <w:tcMar>
              <w:top w:w="260" w:type="dxa"/>
              <w:bottom w:w="260" w:type="dxa"/>
              <w:left w:w="260" w:type="dxa"/>
              <w:right w:w="260" w:type="dxa"/>
            </w:tcMar>
          </w:tcPr>
          <w:p>
            <w:r/>
            <w:r>
              <w:rPr>
                <w:b/>
                <w:color w:val="FFFFFF"/>
                <w:sz w:val="44"/>
              </w:rPr>
              <w:t>O Fim da Era do "Digitador de Luxo"</w:t>
            </w:r>
          </w:p>
          <w:p>
            <w:pPr>
              <w:spacing w:before="120"/>
            </w:pPr>
            <w:r>
              <w:rPr>
                <w:color w:val="C9D2DE"/>
                <w:sz w:val="23"/>
              </w:rPr>
              <w:t>Devolvendo o foco do médico veterinário para o paciente, onde quer que ele esteja.</w:t>
            </w:r>
          </w:p>
        </w:tc>
      </w:tr>
    </w:tbl>
    <w:p>
      <w:pPr>
        <w:spacing w:after="120"/>
      </w:pPr>
    </w:p>
    <w:p>
      <w:pPr>
        <w:spacing w:after="140" w:line="276" w:lineRule="auto"/>
      </w:pPr>
      <w:r>
        <w:rPr>
          <w:b w:val="0"/>
          <w:i/>
          <w:color w:val="8A938F"/>
          <w:sz w:val="18"/>
        </w:rPr>
        <w:t>Ausculta — codinome interno anterior: PIMS Scribe. Nome sujeito à busca formal de marca e domínio antes do lançamento público (ver claude/ausculta-nome-e-decisao.md).</w:t>
      </w:r>
    </w:p>
    <w:p>
      <w:pPr>
        <w:spacing w:after="100"/>
        <w:ind w:left="400"/>
        <w:pBdr>
          <w:left w:val="single" w:sz="14" w:space="10" w:color="C9C4BC"/>
        </w:pBdr>
      </w:pPr>
      <w:r>
        <w:rPr>
          <w:color w:val="1B2420"/>
          <w:sz w:val="22"/>
        </w:rPr>
        <w:t>O médico veterinário passa anos dominando fisiologia e cirurgia para, na prática diária, atuar como um digitador. A cada consulta de vinte minutos, perdem-se outros dez transcrevendo históricos, sintomas e planos terapêuticos.</w:t>
      </w:r>
    </w:p>
    <w:p>
      <w:pPr>
        <w:spacing w:after="140" w:line="276" w:lineRule="auto"/>
      </w:pPr>
      <w:r>
        <w:rPr>
          <w:b w:val="0"/>
          <w:i w:val="0"/>
          <w:color w:val="1B2420"/>
          <w:sz w:val="22"/>
        </w:rPr>
        <w:t>Se o atendimento for no campo, em um estábulo ou em um centro cirúrgico com paredes espessas e sem roteador, o cenário piora: anotações em papel se acumulam para o fim do dia, gerando fadiga crônica, subnotificação de dados clínicos essenciais e um teto claro e limitante na capacidade de faturamento do profissional.</w:t>
      </w:r>
    </w:p>
    <w:p>
      <w:pPr>
        <w:spacing w:after="140" w:line="276" w:lineRule="auto"/>
      </w:pPr>
      <w:r>
        <w:rPr>
          <w:b w:val="0"/>
          <w:i w:val="0"/>
          <w:color w:val="1B2420"/>
          <w:sz w:val="22"/>
        </w:rPr>
        <w:t>Nossa solução transforma o tablet ou smartphone do veterinário em um residente clínico invisível. Através de um motor de Inteligência Artificial otimizado para o dispositivo físico (Edge AI), o sistema ouve ativamente a consulta, ignora ruídos de fundo como latidos ou maquinário, e redige automaticamente o prontuário estruturado no padrão SOAP — permitindo que o profissional mantenha o contato visual com o tutor e a contenção física do animal.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82"/>
        <w:gridCol w:w="4982"/>
      </w:tblGrid>
      <w:tr>
        <w:tc>
          <w:tcPr>
            <w:tcW w:type="dxa" w:w="4982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spacing w:after="40"/>
            </w:pPr>
            <w:r/>
            <w:r>
              <w:rPr>
                <w:color w:val="1E7A46"/>
                <w:sz w:val="26"/>
              </w:rPr>
              <w:t xml:space="preserve">▎ </w:t>
            </w:r>
            <w:r>
              <w:rPr>
                <w:b/>
                <w:color w:val="1B2420"/>
                <w:sz w:val="25"/>
              </w:rPr>
              <w:t>Operação 100% Offline</w:t>
            </w:r>
          </w:p>
          <w:p>
            <w:pPr>
              <w:spacing w:before="80" w:line="276" w:lineRule="auto"/>
            </w:pPr>
            <w:r>
              <w:rPr>
                <w:color w:val="1B2420"/>
                <w:sz w:val="21"/>
              </w:rPr>
              <w:t>Funciona no "modo avião". O processamento de voz ocorre no próprio hardware do dispositivo. A sincronização usa um modelo de CRDT por domínio de dado — cadastro, alergias/medicação e plano terapêutico, cada um com sua própria estratégia de merge — garantindo que nenhum dado de segurança se perca mesmo num conflito real entre dois dispositivos.</w:t>
            </w:r>
          </w:p>
        </w:tc>
        <w:tc>
          <w:tcPr>
            <w:tcW w:type="dxa" w:w="4982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spacing w:after="40"/>
            </w:pPr>
            <w:r/>
            <w:r>
              <w:rPr>
                <w:color w:val="2D5C8C"/>
                <w:sz w:val="26"/>
              </w:rPr>
              <w:t xml:space="preserve">▎ </w:t>
            </w:r>
            <w:r>
              <w:rPr>
                <w:b/>
                <w:color w:val="1B2420"/>
                <w:sz w:val="25"/>
              </w:rPr>
              <w:t>Hub Agnóstico</w:t>
            </w:r>
          </w:p>
          <w:p>
            <w:pPr>
              <w:spacing w:before="80" w:line="276" w:lineRule="auto"/>
            </w:pPr>
            <w:r>
              <w:rPr>
                <w:color w:val="1B2420"/>
                <w:sz w:val="21"/>
              </w:rPr>
              <w:t>Não forçamos o abandono de sistemas atuais. Através da tecnologia MCP (Model Context Protocol) e APIs, plugamos nossa inteligência nos sistemas de gestão já usados pela clínica.</w:t>
            </w:r>
          </w:p>
        </w:tc>
      </w:tr>
    </w:tbl>
    <w:p>
      <w:pPr>
        <w:spacing w:after="120"/>
      </w:pPr>
    </w:p>
    <w:p>
      <w:pPr>
        <w:spacing w:before="200" w:after="110"/>
      </w:pPr>
      <w:r>
        <w:rPr>
          <w:b/>
          <w:color w:val="1B2420"/>
          <w:sz w:val="26"/>
        </w:rPr>
        <w:t>Uma landing, três portas de entrada</w:t>
      </w:r>
    </w:p>
    <w:p>
      <w:pPr>
        <w:spacing w:after="140" w:line="276" w:lineRule="auto"/>
      </w:pPr>
      <w:r>
        <w:rPr>
          <w:b w:val="0"/>
          <w:i w:val="0"/>
          <w:color w:val="1B2420"/>
          <w:sz w:val="22"/>
        </w:rPr>
        <w:t>O Ausculta parte de uma única landing page pública que reconhece três públicos diferentes sem forçar nenhum deles a se explicar duas vezes. É vendável e usável independentemente do Long Life Pet — essa é uma decisão estratégica, não uma limitação: quanto mais aberto o Ausculta, maior o mercado endereçável, num momento em que a IA clínica ainda é incipiente no mercado brasileiro (Vetwork, SimplesVet, PetSys, KronosVet) — uma janela competitiva real.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21"/>
        <w:gridCol w:w="3321"/>
        <w:gridCol w:w="3321"/>
      </w:tblGrid>
      <w:tr>
        <w:tc>
          <w:tcPr>
            <w:tcW w:type="dxa" w:w="3321"/>
            <w:shd w:val="clear" w:fill="FBF0E2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r/>
            <w:r>
              <w:rPr>
                <w:b/>
                <w:color w:val="A8611C"/>
                <w:sz w:val="22"/>
              </w:rPr>
              <w:t>Já uso o Long Life Pet</w:t>
            </w:r>
          </w:p>
          <w:p>
            <w:pPr>
              <w:spacing w:before="80" w:line="276" w:lineRule="auto"/>
            </w:pPr>
            <w:r>
              <w:rPr>
                <w:color w:val="1B2420"/>
                <w:sz w:val="19"/>
              </w:rPr>
              <w:t>Conecta com um clique — o prontuário do pet chega pronto antes da visita, e a nota volta sozinha depois.</w:t>
            </w:r>
          </w:p>
        </w:tc>
        <w:tc>
          <w:tcPr>
            <w:tcW w:type="dxa" w:w="3321"/>
            <w:shd w:val="clear" w:fill="F1EFEA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r/>
            <w:r>
              <w:rPr>
                <w:b/>
                <w:color w:val="1F5C73"/>
                <w:sz w:val="22"/>
              </w:rPr>
              <w:t>Uso outro PIMS</w:t>
            </w:r>
          </w:p>
          <w:p>
            <w:pPr>
              <w:spacing w:before="80" w:line="276" w:lineRule="auto"/>
            </w:pPr>
            <w:r>
              <w:rPr>
                <w:color w:val="1B2420"/>
                <w:sz w:val="19"/>
              </w:rPr>
              <w:t>Não troca de sistema — o Ausculta se pluga ao PIMS atual via MCP/API, sem migração.</w:t>
            </w:r>
          </w:p>
        </w:tc>
        <w:tc>
          <w:tcPr>
            <w:tcW w:type="dxa" w:w="3321"/>
            <w:shd w:val="clear" w:fill="F1EFEA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r/>
            <w:r>
              <w:rPr>
                <w:b/>
                <w:color w:val="1F5C73"/>
                <w:sz w:val="22"/>
              </w:rPr>
              <w:t>Não uso nenhum PIMS hoje</w:t>
            </w:r>
          </w:p>
          <w:p>
            <w:pPr>
              <w:spacing w:before="80" w:line="276" w:lineRule="auto"/>
            </w:pPr>
            <w:r>
              <w:rPr>
                <w:color w:val="1B2420"/>
                <w:sz w:val="19"/>
              </w:rPr>
              <w:t>Começa só com o Ausculta — prontuário, agenda básica e faturamento simples, sem depender de mais nada.</w:t>
            </w:r>
          </w:p>
        </w:tc>
      </w:tr>
    </w:tbl>
    <w:p>
      <w:pPr>
        <w:spacing w:after="80"/>
      </w:pPr>
    </w:p>
    <w:p>
      <w:pPr>
        <w:spacing w:after="140" w:line="276" w:lineRule="auto"/>
      </w:pPr>
      <w:r>
        <w:rPr>
          <w:b w:val="0"/>
          <w:i/>
          <w:color w:val="8A938F"/>
          <w:sz w:val="18"/>
        </w:rPr>
        <w:t>Pitch Estratégico — Ausculta · Página 1 de 2</w:t>
      </w:r>
    </w:p>
    <w:p>
      <w:pPr>
        <w:spacing w:before="340" w:after="140"/>
      </w:pPr>
      <w:r>
        <w:rPr>
          <w:b/>
          <w:color w:val="1B2420"/>
          <w:sz w:val="32"/>
        </w:rPr>
        <w:t>O Valor Estratégico do Ausculta</w:t>
      </w:r>
    </w:p>
    <w:p>
      <w:pPr>
        <w:spacing w:after="140" w:line="276" w:lineRule="auto"/>
      </w:pPr>
      <w:r>
        <w:rPr>
          <w:b w:val="0"/>
          <w:i w:val="0"/>
          <w:color w:val="1B2420"/>
          <w:sz w:val="22"/>
        </w:rPr>
        <w:t>Entregar apenas mais um software de prontuário na nuvem não resolve o problema base: a usabilidade da medicina em campo. O mercado já está saturado de ERPs fragmentados.</w:t>
      </w:r>
    </w:p>
    <w:p>
      <w:pPr>
        <w:spacing w:after="140" w:line="276" w:lineRule="auto"/>
      </w:pPr>
      <w:r>
        <w:rPr>
          <w:b w:val="0"/>
          <w:i w:val="0"/>
          <w:color w:val="1B2420"/>
          <w:sz w:val="22"/>
        </w:rPr>
        <w:t>A disrupção que propomos é o desacoplamento da interface de anotação. O veterinário pode usar nosso Ausculta como o núcleo central do seu atendimento clínico, enquanto nosso sistema exporta os dados sanitários e financeiros de forma perfeitamente formatada para o laboratório, a recepcionista e o setor de faturamento.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82"/>
        <w:gridCol w:w="4982"/>
      </w:tblGrid>
      <w:tr>
        <w:tc>
          <w:tcPr>
            <w:tcW w:type="dxa" w:w="4982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spacing w:after="40"/>
            </w:pPr>
            <w:r/>
            <w:r>
              <w:rPr>
                <w:color w:val="1E7A46"/>
                <w:sz w:val="26"/>
              </w:rPr>
              <w:t xml:space="preserve">▎ </w:t>
            </w:r>
            <w:r>
              <w:rPr>
                <w:b/>
                <w:color w:val="1B2420"/>
                <w:sz w:val="25"/>
              </w:rPr>
              <w:t>Proteção Jurídica</w:t>
            </w:r>
          </w:p>
          <w:p>
            <w:pPr>
              <w:spacing w:before="80" w:line="276" w:lineRule="auto"/>
            </w:pPr>
            <w:r>
              <w:rPr>
                <w:color w:val="1B2420"/>
                <w:sz w:val="21"/>
              </w:rPr>
              <w:t>Com registros SOAP redigidos em tempo real pela IA — cada frase rastreável ao trecho exato do áudio que a originou (Linked Evidence) e sempre revisada e aprovada por um veterinário antes de virar registro oficial — a clínica se protege de processos por omissão de informação, com auditorias clínicas impecáveis.</w:t>
            </w:r>
          </w:p>
        </w:tc>
        <w:tc>
          <w:tcPr>
            <w:tcW w:type="dxa" w:w="4982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spacing w:after="40"/>
            </w:pPr>
            <w:r/>
            <w:r>
              <w:rPr>
                <w:color w:val="2D5C8C"/>
                <w:sz w:val="26"/>
              </w:rPr>
              <w:t xml:space="preserve">▎ </w:t>
            </w:r>
            <w:r>
              <w:rPr>
                <w:b/>
                <w:color w:val="1B2420"/>
                <w:sz w:val="25"/>
              </w:rPr>
              <w:t>Aumento de Receita</w:t>
            </w:r>
          </w:p>
          <w:p>
            <w:pPr>
              <w:spacing w:before="80" w:line="276" w:lineRule="auto"/>
            </w:pPr>
            <w:r>
              <w:rPr>
                <w:color w:val="1B2420"/>
                <w:sz w:val="21"/>
              </w:rPr>
              <w:t>Recuperar os 10 minutos perdidos com anotações a cada consulta significa que o hospital veterinário pode agendar até 20% a mais de atendimentos diários com a mesma equipe, ou reduzir drasticamente as horas extras.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64"/>
      </w:tblGrid>
      <w:tr>
        <w:tc>
          <w:tcPr>
            <w:tcW w:type="dxa" w:w="9964"/>
            <w:shd w:val="clear" w:fill="FBF0E2"/>
            <w:tcMar>
              <w:top w:w="160" w:type="dxa"/>
              <w:bottom w:w="160" w:type="dxa"/>
              <w:left w:w="200" w:type="dxa"/>
              <w:right w:w="200" w:type="dxa"/>
            </w:tcMar>
          </w:tcPr>
          <w:p>
            <w:r/>
            <w:r>
              <w:rPr>
                <w:b/>
                <w:color w:val="1B2420"/>
                <w:sz w:val="25"/>
              </w:rPr>
              <w:t>Por que agora — janela competitiva real</w:t>
            </w:r>
          </w:p>
          <w:p>
            <w:pPr>
              <w:spacing w:before="80" w:line="288" w:lineRule="auto"/>
            </w:pPr>
            <w:r>
              <w:rPr>
                <w:color w:val="1B2420"/>
                <w:sz w:val="21"/>
              </w:rPr>
              <w:t>Players internacionais (Digitail, Vetspire, Shepherd, Covetrus Pulse) já embutem IA, mas nenhum é offline-first nem interoperável via MCP; no Brasil a IA clínica ainda é incipiente (Vetwork, SimplesVet, PetSys, KronosVet). As três features priorizadas para a primeira entrega — Linked Evidence, alerta farmacológico/dose por espécie e templates por espécie — foram escolhidas por serem, ao mesmo tempo, as de maior diferenciação competitiva e as de menor esforço, por já estarem alinhadas à arquitetura offline-first decidida (relatório de estudo de mercado em anexo).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64"/>
      </w:tblGrid>
      <w:tr>
        <w:tc>
          <w:tcPr>
            <w:tcW w:type="dxa" w:w="9964"/>
            <w:shd w:val="clear" w:fill="F1EFEA"/>
            <w:tcMar>
              <w:top w:w="160" w:type="dxa"/>
              <w:bottom w:w="160" w:type="dxa"/>
              <w:left w:w="200" w:type="dxa"/>
              <w:right w:w="200" w:type="dxa"/>
            </w:tcMar>
          </w:tcPr>
          <w:p>
            <w:r/>
            <w:r>
              <w:rPr>
                <w:b/>
                <w:color w:val="1B2420"/>
                <w:sz w:val="25"/>
              </w:rPr>
              <w:t>Interoperabilidade Descomplicada (MCP)</w:t>
            </w:r>
          </w:p>
          <w:p>
            <w:pPr>
              <w:spacing w:before="80" w:line="288" w:lineRule="auto"/>
            </w:pPr>
            <w:r>
              <w:rPr>
                <w:color w:val="1B2420"/>
                <w:sz w:val="21"/>
              </w:rPr>
              <w:t>Somos dos primeiros a adotar o Model Context Protocol na veterinária. Isso significa que, no futuro, agentes externos de IA poderão ler o histórico do nosso prontuário para sugerir exames ou emitir laudos de raio-x automaticamente, com segurança e sem necessidade de desenvolvimento complexo.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64"/>
      </w:tblGrid>
      <w:tr>
        <w:tc>
          <w:tcPr>
            <w:tcW w:type="dxa" w:w="9964"/>
            <w:shd w:val="clear" w:fill="F1EFEA"/>
            <w:tcMar>
              <w:top w:w="160" w:type="dxa"/>
              <w:bottom w:w="160" w:type="dxa"/>
              <w:left w:w="200" w:type="dxa"/>
              <w:right w:w="200" w:type="dxa"/>
            </w:tcMar>
          </w:tcPr>
          <w:p>
            <w:r/>
            <w:r>
              <w:rPr>
                <w:b/>
                <w:color w:val="1B2420"/>
                <w:sz w:val="25"/>
              </w:rPr>
              <w:t>Onde isso se encaixa no Long Life Pet</w:t>
            </w:r>
          </w:p>
          <w:p>
            <w:pPr>
              <w:spacing w:before="80" w:line="288" w:lineRule="auto"/>
            </w:pPr>
            <w:r>
              <w:rPr>
                <w:color w:val="1B2420"/>
                <w:sz w:val="21"/>
              </w:rPr>
              <w:t>O Ausculta é um produto companheiro do Long Life Pet, com protótipo e projeto de design próprios — partindo de sua própria landing page pública, não de uma tela nova dentro do app existente. O vínculo é de dados: o veterinário do Long Life Pet abre o Ausculta já com o prontuário do pet da visita carregado, e a nota aprovada volta automaticamente ao prontuário — sem que o Ausculta se torne, em nenhum momento, dono desse dado. É esse desenho que permite ao mesmo produto também vender, pela mesma landing, para clínicas fora do ecossistema Long Life Pet — a maior parte do mercado brasileiro hoje.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64"/>
      </w:tblGrid>
      <w:tr>
        <w:tc>
          <w:tcPr>
            <w:tcW w:type="dxa" w:w="9964"/>
            <w:shd w:val="clear" w:fill="F1EFEA"/>
            <w:tcMar>
              <w:top w:w="160" w:type="dxa"/>
              <w:bottom w:w="160" w:type="dxa"/>
              <w:left w:w="200" w:type="dxa"/>
              <w:right w:w="200" w:type="dxa"/>
            </w:tcMar>
          </w:tcPr>
          <w:p>
            <w:pPr>
              <w:spacing w:line="288" w:lineRule="auto"/>
              <w:jc w:val="center"/>
            </w:pPr>
            <w:r/>
            <w:r>
              <w:rPr>
                <w:i/>
                <w:color w:val="1B2420"/>
                <w:sz w:val="21"/>
              </w:rPr>
              <w:t>Estamos eliminando o atrito da documentação médica e devolvendo horas úteis ao dia. A tecnologia não deve se intrometer entre o médico e o paciente — ela deve ouvir, registrar e desaparecer.</w:t>
            </w:r>
          </w:p>
        </w:tc>
      </w:tr>
    </w:tbl>
    <w:p>
      <w:pPr>
        <w:spacing w:after="120"/>
      </w:pPr>
    </w:p>
    <w:p>
      <w:pPr>
        <w:spacing w:before="200" w:after="110"/>
      </w:pPr>
      <w:r>
        <w:rPr>
          <w:b/>
          <w:color w:val="1B2420"/>
          <w:sz w:val="26"/>
        </w:rPr>
        <w:t>Próxima validação</w:t>
      </w:r>
    </w:p>
    <w:p>
      <w:pPr>
        <w:pStyle w:val="ListBullet"/>
        <w:spacing w:after="70" w:line="264" w:lineRule="auto"/>
      </w:pPr>
      <w:r>
        <w:rPr>
          <w:color w:val="1B2420"/>
          <w:sz w:val="22"/>
        </w:rPr>
        <w:t>Captura e transcrição em campo sem superaquecer nem esgotar memória em dispositivo móvel padrão;</w:t>
      </w:r>
    </w:p>
    <w:p>
      <w:pPr>
        <w:pStyle w:val="ListBullet"/>
        <w:spacing w:after="70" w:line="264" w:lineRule="auto"/>
      </w:pPr>
      <w:r>
        <w:rPr>
          <w:color w:val="1B2420"/>
          <w:sz w:val="22"/>
        </w:rPr>
        <w:t>Sincronização offline → nuvem sem corromper a base de dados centralizada;</w:t>
      </w:r>
    </w:p>
    <w:p>
      <w:pPr>
        <w:pStyle w:val="ListBullet"/>
        <w:spacing w:after="70" w:line="264" w:lineRule="auto"/>
      </w:pPr>
      <w:r>
        <w:rPr>
          <w:color w:val="1B2420"/>
          <w:sz w:val="22"/>
        </w:rPr>
        <w:t>Merge de conflito real entre dois dispositivos no mesmo prontuário resolve corretamente para os três arquétipos CRDT — LWW, OR-Set, MVR — sem perda de dado de segurança;</w:t>
      </w:r>
    </w:p>
    <w:p>
      <w:pPr>
        <w:pStyle w:val="ListBullet"/>
        <w:spacing w:after="70" w:line="264" w:lineRule="auto"/>
      </w:pPr>
      <w:r>
        <w:rPr>
          <w:color w:val="1B2420"/>
          <w:sz w:val="22"/>
        </w:rPr>
        <w:t>Leitura auditável de um prontuário recém-gerado por um cliente MCP externo;</w:t>
      </w:r>
    </w:p>
    <w:p>
      <w:pPr>
        <w:pStyle w:val="ListBullet"/>
        <w:spacing w:after="70" w:line="264" w:lineRule="auto"/>
      </w:pPr>
      <w:r>
        <w:rPr>
          <w:color w:val="1B2420"/>
          <w:sz w:val="22"/>
        </w:rPr>
        <w:t>Ciclo completo do modo integrado — prontuário enviado antes da visita, evolução aprovada devolvida depois — sem erro, no Long Life Pet.</w:t>
      </w:r>
    </w:p>
    <w:p>
      <w:pPr>
        <w:spacing w:after="140" w:line="276" w:lineRule="auto"/>
      </w:pPr>
      <w:r>
        <w:rPr>
          <w:b w:val="0"/>
          <w:i/>
          <w:color w:val="1B2420"/>
          <w:sz w:val="22"/>
        </w:rPr>
        <w:t>Esses cinco pontos são os critérios de handoff de Inovação para Engenharia (ver Discovery — Ausculta, B.8) e o ponto de partida do protótipo interativo a ser construído no Claude Design (PRD de Design em anexo — claude/prd-design-ausculta.md).</w:t>
      </w:r>
    </w:p>
    <w:p>
      <w:pPr>
        <w:spacing w:after="140" w:line="276" w:lineRule="auto"/>
      </w:pPr>
      <w:r>
        <w:rPr>
          <w:b w:val="0"/>
          <w:i/>
          <w:color w:val="8A938F"/>
          <w:sz w:val="18"/>
        </w:rPr>
        <w:t>Pitch Estratégico — Ausculta · Página 2 de 2</w:t>
      </w:r>
    </w:p>
    <w:sectPr w:rsidR="00FC693F" w:rsidRPr="0006063C" w:rsidSect="00034616">
      <w:pgSz w:w="12240" w:h="15840"/>
      <w:pgMar w:top="1138" w:right="1138" w:bottom="1138" w:left="113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B242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