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2C1F45"/>
          <w:spacing w:val="60"/>
          <w:sz w:val="52"/>
          <w:szCs w:val="52"/>
        </w:rPr>
        <w:t xml:space="preserve">VERSE FOR YOU</w:t>
      </w:r>
    </w:p>
    <w:p>
      <w:pPr>
        <w:spacing w:after="60" w:before="0"/>
      </w:pPr>
      <w:r>
        <w:rPr>
          <w:rFonts w:ascii="Arial" w:cs="Arial" w:eastAsia="Arial" w:hAnsi="Arial"/>
          <w:color w:val="7C6E8A"/>
          <w:sz w:val="28"/>
          <w:szCs w:val="28"/>
        </w:rPr>
        <w:t xml:space="preserve">Product Decision Log — Subscription, Monetization &amp; Operations</w:t>
      </w:r>
    </w:p>
    <w:p>
      <w:pPr>
        <w:pBdr>
          <w:bottom w:val="single" w:color="C9A84C" w:sz="8" w:space="6"/>
        </w:pBdr>
        <w:spacing w:after="40" w:before="0"/>
      </w:pPr>
      <w:r>
        <w:rPr>
          <w:rFonts w:ascii="Arial" w:cs="Arial" w:eastAsia="Arial" w:hAnsi="Arial"/>
          <w:color w:val="6B6478"/>
          <w:sz w:val="20"/>
          <w:szCs w:val="20"/>
        </w:rPr>
        <w:t xml:space="preserve">Date: April 11, 2026  ·  Check-In #1  ·  Owner: Pedro Siqueira</w:t>
      </w:r>
    </w:p>
    <w:p>
      <w:pPr>
        <w:spacing w:after="200" w:before="160"/>
      </w:pPr>
      <w:r>
        <w:t xml:space="preserve"/>
      </w:r>
    </w:p>
    <w:p>
      <w:pPr>
        <w:pStyle w:val="Heading1"/>
        <w:pBdr>
          <w:bottom w:val="single" w:color="7C6E8A" w:sz="4" w:space="4"/>
        </w:pBdr>
        <w:spacing w:after="160" w:before="320"/>
      </w:pPr>
      <w:r>
        <w:rPr>
          <w:rFonts w:ascii="Arial" w:cs="Arial" w:eastAsia="Arial" w:hAnsi="Arial"/>
          <w:b/>
          <w:bCs/>
          <w:color w:val="2C1F45"/>
          <w:sz w:val="32"/>
          <w:szCs w:val="32"/>
        </w:rPr>
        <w:t xml:space="preserve">Overview</w:t>
      </w:r>
    </w:p>
    <w:p>
      <w:pPr>
        <w:spacing w:after="60" w:before="60"/>
      </w:pPr>
      <w:r>
        <w:rPr>
          <w:rFonts w:ascii="Arial" w:cs="Arial" w:eastAsia="Arial" w:hAnsi="Arial"/>
          <w:color w:val="2A2630"/>
          <w:sz w:val="22"/>
          <w:szCs w:val="22"/>
        </w:rPr>
        <w:t xml:space="preserve">This document records the product and technical decisions made during the April 11, 2026 weekly check-in for Verse for You. These decisions govern the subscription model, monetization approach, and implementation priorities for the week of April 12–18.</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C6E8A" w:sz="18"/>
              <w:bottom w:val="none" w:color="FFFFFF" w:sz="0"/>
              <w:right w:val="none" w:color="FFFFFF" w:sz="0"/>
            </w:tcBorders>
            <w:shd w:fill="F2EFF7" w:val="clear"/>
            <w:tcMar>
              <w:top w:type="dxa" w:w="120"/>
              <w:left w:type="dxa" w:w="200"/>
              <w:bottom w:type="dxa" w:w="120"/>
              <w:right w:type="dxa" w:w="160"/>
            </w:tcMar>
          </w:tcPr>
          <w:p>
            <w:r>
              <w:rPr>
                <w:rFonts w:ascii="Arial" w:cs="Arial" w:eastAsia="Arial" w:hAnsi="Arial"/>
                <w:color w:val="2C1F45"/>
                <w:sz w:val="20"/>
                <w:szCs w:val="20"/>
              </w:rPr>
              <w:t xml:space="preserve">Scope: Subscription product with free trial, secure rate-limited enforcement, and continued support for voluntary donations. No pricing surveys — pricing is set based on competitive market positioning.</w:t>
            </w:r>
          </w:p>
        </w:tc>
      </w:tr>
    </w:tbl>
    <w:p>
      <w:pPr>
        <w:spacing w:after="160" w:before="160"/>
      </w:pPr>
      <w:r>
        <w:t xml:space="preserve"/>
      </w:r>
    </w:p>
    <w:p>
      <w:pPr>
        <w:pStyle w:val="Heading1"/>
        <w:pBdr>
          <w:bottom w:val="single" w:color="7C6E8A" w:sz="4" w:space="4"/>
        </w:pBdr>
        <w:spacing w:after="160" w:before="320"/>
      </w:pPr>
      <w:r>
        <w:rPr>
          <w:rFonts w:ascii="Arial" w:cs="Arial" w:eastAsia="Arial" w:hAnsi="Arial"/>
          <w:b/>
          <w:bCs/>
          <w:color w:val="2C1F45"/>
          <w:sz w:val="32"/>
          <w:szCs w:val="32"/>
        </w:rPr>
        <w:t xml:space="preserve">Decisions Made</w:t>
      </w:r>
    </w:p>
    <w:p>
      <w:pPr>
        <w:spacing w:after="40" w:before="40"/>
      </w:pPr>
      <w:r>
        <w:t xml:space="preserve"/>
      </w:r>
    </w:p>
    <w:p>
      <w:pPr>
        <w:pStyle w:val="Heading2"/>
        <w:spacing w:after="100" w:before="260"/>
      </w:pPr>
      <w:r>
        <w:rPr>
          <w:rFonts w:ascii="Arial" w:cs="Arial" w:eastAsia="Arial" w:hAnsi="Arial"/>
          <w:b/>
          <w:bCs/>
          <w:color w:val="7C6E8A"/>
          <w:sz w:val="26"/>
          <w:szCs w:val="26"/>
        </w:rPr>
        <w:t xml:space="preserve">Decision 1 — Subscription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D4CEDF" w:sz="1"/>
              <w:left w:val="single" w:color="D4CEDF" w:sz="1"/>
              <w:bottom w:val="single" w:color="D4CEDF" w:sz="1"/>
              <w:right w:val="single" w:color="D4CEDF" w:sz="1"/>
            </w:tcBorders>
            <w:shd w:fill="F2EFF7" w:val="clear"/>
            <w:tcMar>
              <w:top w:type="dxa" w:w="80"/>
              <w:left w:type="dxa" w:w="120"/>
              <w:bottom w:type="dxa" w:w="80"/>
              <w:right w:type="dxa" w:w="120"/>
            </w:tcMar>
          </w:tcPr>
          <w:p>
            <w:r>
              <w:rPr>
                <w:rFonts w:ascii="Arial" w:cs="Arial" w:eastAsia="Arial" w:hAnsi="Arial"/>
                <w:b/>
                <w:bCs/>
                <w:color w:val="2C1F45"/>
                <w:sz w:val="20"/>
                <w:szCs w:val="20"/>
              </w:rPr>
              <w:t xml:space="preserve">Price</w:t>
            </w:r>
          </w:p>
        </w:tc>
        <w:tc>
          <w:tcPr>
            <w:tcW w:type="dxa" w:w="6480"/>
            <w:tcBorders>
              <w:top w:val="single" w:color="D4CEDF" w:sz="1"/>
              <w:left w:val="single" w:color="D4CEDF" w:sz="1"/>
              <w:bottom w:val="single" w:color="D4CEDF" w:sz="1"/>
              <w:right w:val="single" w:color="D4CEDF" w:sz="1"/>
            </w:tcBorders>
            <w:tcMar>
              <w:top w:type="dxa" w:w="80"/>
              <w:left w:type="dxa" w:w="120"/>
              <w:bottom w:type="dxa" w:w="80"/>
              <w:right w:type="dxa" w:w="120"/>
            </w:tcMar>
          </w:tcPr>
          <w:p>
            <w:r>
              <w:rPr>
                <w:rFonts w:ascii="Arial" w:cs="Arial" w:eastAsia="Arial" w:hAnsi="Arial"/>
                <w:color w:val="2A2630"/>
                <w:sz w:val="20"/>
                <w:szCs w:val="20"/>
              </w:rPr>
              <w:t xml:space="preserve">$4.99 / month</w:t>
            </w:r>
          </w:p>
        </w:tc>
      </w:tr>
      <w:tr>
        <w:tc>
          <w:tcPr>
            <w:tcW w:type="dxa" w:w="2880"/>
            <w:tcBorders>
              <w:top w:val="single" w:color="D4CEDF" w:sz="1"/>
              <w:left w:val="single" w:color="D4CEDF" w:sz="1"/>
              <w:bottom w:val="single" w:color="D4CEDF" w:sz="1"/>
              <w:right w:val="single" w:color="D4CEDF" w:sz="1"/>
            </w:tcBorders>
            <w:shd w:fill="F2EFF7" w:val="clear"/>
            <w:tcMar>
              <w:top w:type="dxa" w:w="80"/>
              <w:left w:type="dxa" w:w="120"/>
              <w:bottom w:type="dxa" w:w="80"/>
              <w:right w:type="dxa" w:w="120"/>
            </w:tcMar>
          </w:tcPr>
          <w:p>
            <w:r>
              <w:rPr>
                <w:rFonts w:ascii="Arial" w:cs="Arial" w:eastAsia="Arial" w:hAnsi="Arial"/>
                <w:b/>
                <w:bCs/>
                <w:color w:val="2C1F45"/>
                <w:sz w:val="20"/>
                <w:szCs w:val="20"/>
              </w:rPr>
              <w:t xml:space="preserve">Basis</w:t>
            </w:r>
          </w:p>
        </w:tc>
        <w:tc>
          <w:tcPr>
            <w:tcW w:type="dxa" w:w="6480"/>
            <w:tcBorders>
              <w:top w:val="single" w:color="D4CEDF" w:sz="1"/>
              <w:left w:val="single" w:color="D4CEDF" w:sz="1"/>
              <w:bottom w:val="single" w:color="D4CEDF" w:sz="1"/>
              <w:right w:val="single" w:color="D4CEDF" w:sz="1"/>
            </w:tcBorders>
            <w:tcMar>
              <w:top w:type="dxa" w:w="80"/>
              <w:left w:type="dxa" w:w="120"/>
              <w:bottom w:type="dxa" w:w="80"/>
              <w:right w:type="dxa" w:w="120"/>
            </w:tcMar>
          </w:tcPr>
          <w:p>
            <w:r>
              <w:rPr>
                <w:rFonts w:ascii="Arial" w:cs="Arial" w:eastAsia="Arial" w:hAnsi="Arial"/>
                <w:color w:val="2A2630"/>
                <w:sz w:val="20"/>
                <w:szCs w:val="20"/>
              </w:rPr>
              <w:t xml:space="preserve">Competitive positioning below Abide ($9.99/mo) and Hallow ($9.99/mo). Entry price to build trust at launch.</w:t>
            </w:r>
          </w:p>
        </w:tc>
      </w:tr>
      <w:tr>
        <w:tc>
          <w:tcPr>
            <w:tcW w:type="dxa" w:w="2880"/>
            <w:tcBorders>
              <w:top w:val="single" w:color="D4CEDF" w:sz="1"/>
              <w:left w:val="single" w:color="D4CEDF" w:sz="1"/>
              <w:bottom w:val="single" w:color="D4CEDF" w:sz="1"/>
              <w:right w:val="single" w:color="D4CEDF" w:sz="1"/>
            </w:tcBorders>
            <w:shd w:fill="F2EFF7" w:val="clear"/>
            <w:tcMar>
              <w:top w:type="dxa" w:w="80"/>
              <w:left w:type="dxa" w:w="120"/>
              <w:bottom w:type="dxa" w:w="80"/>
              <w:right w:type="dxa" w:w="120"/>
            </w:tcMar>
          </w:tcPr>
          <w:p>
            <w:r>
              <w:rPr>
                <w:rFonts w:ascii="Arial" w:cs="Arial" w:eastAsia="Arial" w:hAnsi="Arial"/>
                <w:b/>
                <w:bCs/>
                <w:color w:val="2C1F45"/>
                <w:sz w:val="20"/>
                <w:szCs w:val="20"/>
              </w:rPr>
              <w:t xml:space="preserve">Free Trial</w:t>
            </w:r>
          </w:p>
        </w:tc>
        <w:tc>
          <w:tcPr>
            <w:tcW w:type="dxa" w:w="6480"/>
            <w:tcBorders>
              <w:top w:val="single" w:color="D4CEDF" w:sz="1"/>
              <w:left w:val="single" w:color="D4CEDF" w:sz="1"/>
              <w:bottom w:val="single" w:color="D4CEDF" w:sz="1"/>
              <w:right w:val="single" w:color="D4CEDF" w:sz="1"/>
            </w:tcBorders>
            <w:tcMar>
              <w:top w:type="dxa" w:w="80"/>
              <w:left w:type="dxa" w:w="120"/>
              <w:bottom w:type="dxa" w:w="80"/>
              <w:right w:type="dxa" w:w="120"/>
            </w:tcMar>
          </w:tcPr>
          <w:p>
            <w:r>
              <w:rPr>
                <w:rFonts w:ascii="Arial" w:cs="Arial" w:eastAsia="Arial" w:hAnsi="Arial"/>
                <w:color w:val="2A2630"/>
                <w:sz w:val="20"/>
                <w:szCs w:val="20"/>
              </w:rPr>
              <w:t xml:space="preserve">1 month (30 days) — full access, no credit card required at start</w:t>
            </w:r>
          </w:p>
        </w:tc>
      </w:tr>
      <w:tr>
        <w:tc>
          <w:tcPr>
            <w:tcW w:type="dxa" w:w="2880"/>
            <w:tcBorders>
              <w:top w:val="single" w:color="D4CEDF" w:sz="1"/>
              <w:left w:val="single" w:color="D4CEDF" w:sz="1"/>
              <w:bottom w:val="single" w:color="D4CEDF" w:sz="1"/>
              <w:right w:val="single" w:color="D4CEDF" w:sz="1"/>
            </w:tcBorders>
            <w:shd w:fill="F2EFF7" w:val="clear"/>
            <w:tcMar>
              <w:top w:type="dxa" w:w="80"/>
              <w:left w:type="dxa" w:w="120"/>
              <w:bottom w:type="dxa" w:w="80"/>
              <w:right w:type="dxa" w:w="120"/>
            </w:tcMar>
          </w:tcPr>
          <w:p>
            <w:r>
              <w:rPr>
                <w:rFonts w:ascii="Arial" w:cs="Arial" w:eastAsia="Arial" w:hAnsi="Arial"/>
                <w:b/>
                <w:bCs/>
                <w:color w:val="2C1F45"/>
                <w:sz w:val="20"/>
                <w:szCs w:val="20"/>
              </w:rPr>
              <w:t xml:space="preserve">Annual Option</w:t>
            </w:r>
          </w:p>
        </w:tc>
        <w:tc>
          <w:tcPr>
            <w:tcW w:type="dxa" w:w="6480"/>
            <w:tcBorders>
              <w:top w:val="single" w:color="D4CEDF" w:sz="1"/>
              <w:left w:val="single" w:color="D4CEDF" w:sz="1"/>
              <w:bottom w:val="single" w:color="D4CEDF" w:sz="1"/>
              <w:right w:val="single" w:color="D4CEDF" w:sz="1"/>
            </w:tcBorders>
            <w:tcMar>
              <w:top w:type="dxa" w:w="80"/>
              <w:left w:type="dxa" w:w="120"/>
              <w:bottom w:type="dxa" w:w="80"/>
              <w:right w:type="dxa" w:w="120"/>
            </w:tcMar>
          </w:tcPr>
          <w:p>
            <w:r>
              <w:rPr>
                <w:rFonts w:ascii="Arial" w:cs="Arial" w:eastAsia="Arial" w:hAnsi="Arial"/>
                <w:color w:val="2A2630"/>
                <w:sz w:val="20"/>
                <w:szCs w:val="20"/>
              </w:rPr>
              <w:t xml:space="preserve">Open for future consideration — not in scope for this sprint</w:t>
            </w:r>
          </w:p>
        </w:tc>
      </w:tr>
      <w:tr>
        <w:tc>
          <w:tcPr>
            <w:tcW w:type="dxa" w:w="2880"/>
            <w:tcBorders>
              <w:top w:val="single" w:color="D4CEDF" w:sz="1"/>
              <w:left w:val="single" w:color="D4CEDF" w:sz="1"/>
              <w:bottom w:val="single" w:color="D4CEDF" w:sz="1"/>
              <w:right w:val="single" w:color="D4CEDF" w:sz="1"/>
            </w:tcBorders>
            <w:shd w:fill="F2EFF7" w:val="clear"/>
            <w:tcMar>
              <w:top w:type="dxa" w:w="80"/>
              <w:left w:type="dxa" w:w="120"/>
              <w:bottom w:type="dxa" w:w="80"/>
              <w:right w:type="dxa" w:w="120"/>
            </w:tcMar>
          </w:tcPr>
          <w:p>
            <w:r>
              <w:rPr>
                <w:rFonts w:ascii="Arial" w:cs="Arial" w:eastAsia="Arial" w:hAnsi="Arial"/>
                <w:b/>
                <w:bCs/>
                <w:color w:val="2C1F45"/>
                <w:sz w:val="20"/>
                <w:szCs w:val="20"/>
              </w:rPr>
              <w:t xml:space="preserve">Status</w:t>
            </w:r>
          </w:p>
        </w:tc>
        <w:tc>
          <w:tcPr>
            <w:tcW w:type="dxa" w:w="6480"/>
            <w:tcBorders>
              <w:top w:val="single" w:color="D4CEDF" w:sz="1"/>
              <w:left w:val="single" w:color="D4CEDF" w:sz="1"/>
              <w:bottom w:val="single" w:color="D4CEDF" w:sz="1"/>
              <w:right w:val="single" w:color="D4CEDF" w:sz="1"/>
            </w:tcBorders>
            <w:tcMar>
              <w:top w:type="dxa" w:w="80"/>
              <w:left w:type="dxa" w:w="120"/>
              <w:bottom w:type="dxa" w:w="80"/>
              <w:right w:type="dxa" w:w="120"/>
            </w:tcMar>
          </w:tcPr>
          <w:p>
            <w:r>
              <w:rPr>
                <w:rFonts w:ascii="Arial" w:cs="Arial" w:eastAsia="Arial" w:hAnsi="Arial"/>
                <w:color w:val="2A2630"/>
                <w:sz w:val="20"/>
                <w:szCs w:val="20"/>
              </w:rPr>
              <w:t xml:space="preserve">APPROVED</w:t>
            </w:r>
          </w:p>
        </w:tc>
      </w:tr>
    </w:tbl>
    <w:p>
      <w:pPr>
        <w:spacing w:after="120" w:before="120"/>
      </w:pPr>
      <w:r>
        <w:t xml:space="preserve"/>
      </w:r>
    </w:p>
    <w:p>
      <w:pPr>
        <w:pStyle w:val="Heading2"/>
        <w:spacing w:after="100" w:before="260"/>
      </w:pPr>
      <w:r>
        <w:rPr>
          <w:rFonts w:ascii="Arial" w:cs="Arial" w:eastAsia="Arial" w:hAnsi="Arial"/>
          <w:b/>
          <w:bCs/>
          <w:color w:val="7C6E8A"/>
          <w:sz w:val="26"/>
          <w:szCs w:val="26"/>
        </w:rPr>
        <w:t xml:space="preserve">Decision 2 — Free Trial Structure</w:t>
      </w:r>
    </w:p>
    <w:p>
      <w:pPr>
        <w:spacing w:after="60" w:before="60"/>
      </w:pPr>
      <w:r>
        <w:rPr>
          <w:rFonts w:ascii="Arial" w:cs="Arial" w:eastAsia="Arial" w:hAnsi="Arial"/>
          <w:color w:val="2A2630"/>
          <w:sz w:val="22"/>
          <w:szCs w:val="22"/>
        </w:rPr>
        <w:t xml:space="preserve">Users receive a full 30-day free trial upon first sign-up. During the trial:</w:t>
      </w:r>
    </w:p>
    <w:p>
      <w:pPr>
        <w:pStyle w:val="ListParagraph"/>
        <w:numPr>
          <w:ilvl w:val="0"/>
          <w:numId w:val="2"/>
        </w:numPr>
        <w:spacing w:after="40" w:before="40"/>
      </w:pPr>
      <w:r>
        <w:rPr>
          <w:rFonts w:ascii="Arial" w:cs="Arial" w:eastAsia="Arial" w:hAnsi="Arial"/>
          <w:b w:val="false"/>
          <w:bCs w:val="false"/>
          <w:color w:val="2A2630"/>
          <w:sz w:val="22"/>
          <w:szCs w:val="22"/>
        </w:rPr>
        <w:t xml:space="preserve">All features are fully unlocked (same as paid tier)</w:t>
      </w:r>
    </w:p>
    <w:p>
      <w:pPr>
        <w:pStyle w:val="ListParagraph"/>
        <w:numPr>
          <w:ilvl w:val="0"/>
          <w:numId w:val="2"/>
        </w:numPr>
        <w:spacing w:after="40" w:before="40"/>
      </w:pPr>
      <w:r>
        <w:rPr>
          <w:rFonts w:ascii="Arial" w:cs="Arial" w:eastAsia="Arial" w:hAnsi="Arial"/>
          <w:b w:val="false"/>
          <w:bCs w:val="false"/>
          <w:color w:val="2A2630"/>
          <w:sz w:val="22"/>
          <w:szCs w:val="22"/>
        </w:rPr>
        <w:t xml:space="preserve">A countdown banner is visible in the app showing remaining trial days</w:t>
      </w:r>
    </w:p>
    <w:p>
      <w:pPr>
        <w:pStyle w:val="ListParagraph"/>
        <w:numPr>
          <w:ilvl w:val="0"/>
          <w:numId w:val="2"/>
        </w:numPr>
        <w:spacing w:after="40" w:before="40"/>
      </w:pPr>
      <w:r>
        <w:rPr>
          <w:rFonts w:ascii="Arial" w:cs="Arial" w:eastAsia="Arial" w:hAnsi="Arial"/>
          <w:b w:val="false"/>
          <w:bCs w:val="false"/>
          <w:color w:val="2A2630"/>
          <w:sz w:val="22"/>
          <w:szCs w:val="22"/>
        </w:rPr>
        <w:t xml:space="preserve">On day 25, a gentle upgrade prompt appears</w:t>
      </w:r>
    </w:p>
    <w:p>
      <w:pPr>
        <w:pStyle w:val="ListParagraph"/>
        <w:numPr>
          <w:ilvl w:val="0"/>
          <w:numId w:val="2"/>
        </w:numPr>
        <w:spacing w:after="40" w:before="40"/>
      </w:pPr>
      <w:r>
        <w:rPr>
          <w:rFonts w:ascii="Arial" w:cs="Arial" w:eastAsia="Arial" w:hAnsi="Arial"/>
          <w:b w:val="false"/>
          <w:bCs w:val="false"/>
          <w:color w:val="2A2630"/>
          <w:sz w:val="22"/>
          <w:szCs w:val="22"/>
        </w:rPr>
        <w:t xml:space="preserve">On day 30 expiry without payment, the user transitions to restricted access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A9B76" w:sz="18"/>
              <w:bottom w:val="none" w:color="FFFFFF" w:sz="0"/>
              <w:right w:val="none" w:color="FFFFFF" w:sz="0"/>
            </w:tcBorders>
            <w:shd w:fill="F2EFF7" w:val="clear"/>
            <w:tcMar>
              <w:top w:type="dxa" w:w="120"/>
              <w:left w:type="dxa" w:w="200"/>
              <w:bottom w:type="dxa" w:w="120"/>
              <w:right w:type="dxa" w:w="160"/>
            </w:tcMar>
          </w:tcPr>
          <w:p>
            <w:r>
              <w:rPr>
                <w:rFonts w:ascii="Arial" w:cs="Arial" w:eastAsia="Arial" w:hAnsi="Arial"/>
                <w:color w:val="2C1F45"/>
                <w:sz w:val="20"/>
                <w:szCs w:val="20"/>
              </w:rPr>
              <w:t xml:space="preserve">No credit card is required to start the trial. Stripe captures payment details only when the user chooses to subscribe. This reduces friction and increases trial sign-up rates.</w:t>
            </w:r>
          </w:p>
        </w:tc>
      </w:tr>
    </w:tbl>
    <w:p>
      <w:pPr>
        <w:spacing w:after="120" w:before="120"/>
      </w:pPr>
      <w:r>
        <w:t xml:space="preserve"/>
      </w:r>
    </w:p>
    <w:p>
      <w:pPr>
        <w:pStyle w:val="Heading2"/>
        <w:spacing w:after="100" w:before="260"/>
      </w:pPr>
      <w:r>
        <w:rPr>
          <w:rFonts w:ascii="Arial" w:cs="Arial" w:eastAsia="Arial" w:hAnsi="Arial"/>
          <w:b/>
          <w:bCs/>
          <w:color w:val="7C6E8A"/>
          <w:sz w:val="26"/>
          <w:szCs w:val="26"/>
        </w:rPr>
        <w:t xml:space="preserve">Decision 3 — Rate Limiting After Trial</w:t>
      </w:r>
    </w:p>
    <w:p>
      <w:pPr>
        <w:spacing w:after="60" w:before="60"/>
      </w:pPr>
      <w:r>
        <w:rPr>
          <w:rFonts w:ascii="Arial" w:cs="Arial" w:eastAsia="Arial" w:hAnsi="Arial"/>
          <w:color w:val="2A2630"/>
          <w:sz w:val="22"/>
          <w:szCs w:val="22"/>
        </w:rPr>
        <w:t xml:space="preserve">Access is governed by three tiers, enforced server-side through rate limiting tied to the user’s subscription status: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520"/>
        <w:gridCol w:w="2520"/>
        <w:gridCol w:w="2160"/>
      </w:tblGrid>
      <w:tr>
        <w:tc>
          <w:tcPr>
            <w:tcW w:type="dxa" w:w="2160"/>
            <w:tcBorders>
              <w:top w:val="single" w:color="7C6E8A" w:sz="1"/>
              <w:left w:val="single" w:color="7C6E8A" w:sz="1"/>
              <w:bottom w:val="single" w:color="7C6E8A" w:sz="1"/>
              <w:right w:val="single" w:color="7C6E8A" w:sz="1"/>
            </w:tcBorders>
            <w:shd w:fill="2C1F45"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520"/>
            <w:tcBorders>
              <w:top w:val="single" w:color="7C6E8A" w:sz="1"/>
              <w:left w:val="single" w:color="7C6E8A" w:sz="1"/>
              <w:bottom w:val="single" w:color="7C6E8A" w:sz="1"/>
              <w:right w:val="single" w:color="7C6E8A" w:sz="1"/>
            </w:tcBorders>
            <w:shd w:fill="2C1F45" w:val="clear"/>
            <w:tcMar>
              <w:top w:type="dxa" w:w="80"/>
              <w:left w:type="dxa" w:w="120"/>
              <w:bottom w:type="dxa" w:w="80"/>
              <w:right w:type="dxa" w:w="120"/>
            </w:tcMar>
          </w:tcPr>
          <w:p>
            <w:r>
              <w:rPr>
                <w:rFonts w:ascii="Arial" w:cs="Arial" w:eastAsia="Arial" w:hAnsi="Arial"/>
                <w:b/>
                <w:bCs/>
                <w:color w:val="FFFFFF"/>
                <w:sz w:val="20"/>
                <w:szCs w:val="20"/>
              </w:rPr>
              <w:t xml:space="preserve">Verse Searches</w:t>
            </w:r>
          </w:p>
        </w:tc>
        <w:tc>
          <w:tcPr>
            <w:tcW w:type="dxa" w:w="2520"/>
            <w:tcBorders>
              <w:top w:val="single" w:color="7C6E8A" w:sz="1"/>
              <w:left w:val="single" w:color="7C6E8A" w:sz="1"/>
              <w:bottom w:val="single" w:color="7C6E8A" w:sz="1"/>
              <w:right w:val="single" w:color="7C6E8A" w:sz="1"/>
            </w:tcBorders>
            <w:shd w:fill="2C1F45" w:val="clear"/>
            <w:tcMar>
              <w:top w:type="dxa" w:w="80"/>
              <w:left w:type="dxa" w:w="120"/>
              <w:bottom w:type="dxa" w:w="80"/>
              <w:right w:type="dxa" w:w="120"/>
            </w:tcMar>
          </w:tcPr>
          <w:p>
            <w:r>
              <w:rPr>
                <w:rFonts w:ascii="Arial" w:cs="Arial" w:eastAsia="Arial" w:hAnsi="Arial"/>
                <w:b/>
                <w:bCs/>
                <w:color w:val="FFFFFF"/>
                <w:sz w:val="20"/>
                <w:szCs w:val="20"/>
              </w:rPr>
              <w:t xml:space="preserve">Prayer / Reflection</w:t>
            </w:r>
          </w:p>
        </w:tc>
        <w:tc>
          <w:tcPr>
            <w:tcW w:type="dxa" w:w="2160"/>
            <w:tcBorders>
              <w:top w:val="single" w:color="7C6E8A" w:sz="1"/>
              <w:left w:val="single" w:color="7C6E8A" w:sz="1"/>
              <w:bottom w:val="single" w:color="7C6E8A" w:sz="1"/>
              <w:right w:val="single" w:color="7C6E8A" w:sz="1"/>
            </w:tcBorders>
            <w:shd w:fill="2C1F45" w:val="clear"/>
            <w:tcMar>
              <w:top w:type="dxa" w:w="80"/>
              <w:left w:type="dxa" w:w="120"/>
              <w:bottom w:type="dxa" w:w="80"/>
              <w:right w:type="dxa" w:w="120"/>
            </w:tcMar>
          </w:tcPr>
          <w:p>
            <w:r>
              <w:rPr>
                <w:rFonts w:ascii="Arial" w:cs="Arial" w:eastAsia="Arial" w:hAnsi="Arial"/>
                <w:b/>
                <w:bCs/>
                <w:color w:val="FFFFFF"/>
                <w:sz w:val="20"/>
                <w:szCs w:val="20"/>
              </w:rPr>
              <w:t xml:space="preserve">Journal / Save</w:t>
            </w:r>
          </w:p>
        </w:tc>
      </w:tr>
      <w:tr>
        <w:tc>
          <w:tcPr>
            <w:tcW w:type="dxa" w:w="2160"/>
            <w:tcBorders>
              <w:top w:val="single" w:color="D4CEDF" w:sz="1"/>
              <w:left w:val="single" w:color="D4CEDF" w:sz="1"/>
              <w:bottom w:val="single" w:color="D4CEDF" w:sz="1"/>
              <w:right w:val="single" w:color="D4CEDF" w:sz="1"/>
            </w:tcBorders>
            <w:shd w:fill="EAF5E9" w:val="clear"/>
            <w:tcMar>
              <w:top w:type="dxa" w:w="80"/>
              <w:left w:type="dxa" w:w="120"/>
              <w:bottom w:type="dxa" w:w="80"/>
              <w:right w:type="dxa" w:w="120"/>
            </w:tcMar>
          </w:tcPr>
          <w:p>
            <w:r>
              <w:rPr>
                <w:rFonts w:ascii="Arial" w:cs="Arial" w:eastAsia="Arial" w:hAnsi="Arial"/>
                <w:b/>
                <w:bCs/>
                <w:color w:val="7A9B76"/>
                <w:sz w:val="20"/>
                <w:szCs w:val="20"/>
              </w:rPr>
              <w:t xml:space="preserve">Trial (Days 1–30)</w:t>
            </w:r>
          </w:p>
        </w:tc>
        <w:tc>
          <w:tcPr>
            <w:tcW w:type="dxa" w:w="2520"/>
            <w:tcBorders>
              <w:top w:val="single" w:color="D4CEDF" w:sz="1"/>
              <w:left w:val="single" w:color="D4CEDF" w:sz="1"/>
              <w:bottom w:val="single" w:color="D4CEDF" w:sz="1"/>
              <w:right w:val="single" w:color="D4CEDF" w:sz="1"/>
            </w:tcBorders>
            <w:tcMar>
              <w:top w:type="dxa" w:w="80"/>
              <w:left w:type="dxa" w:w="120"/>
              <w:bottom w:type="dxa" w:w="80"/>
              <w:right w:type="dxa" w:w="120"/>
            </w:tcMar>
          </w:tcPr>
          <w:p>
            <w:r>
              <w:rPr>
                <w:rFonts w:ascii="Arial" w:cs="Arial" w:eastAsia="Arial" w:hAnsi="Arial"/>
                <w:sz w:val="20"/>
                <w:szCs w:val="20"/>
              </w:rPr>
              <w:t xml:space="preserve">Unlimited</w:t>
            </w:r>
          </w:p>
        </w:tc>
        <w:tc>
          <w:tcPr>
            <w:tcW w:type="dxa" w:w="2520"/>
            <w:tcBorders>
              <w:top w:val="single" w:color="D4CEDF" w:sz="1"/>
              <w:left w:val="single" w:color="D4CEDF" w:sz="1"/>
              <w:bottom w:val="single" w:color="D4CEDF" w:sz="1"/>
              <w:right w:val="single" w:color="D4CEDF" w:sz="1"/>
            </w:tcBorders>
            <w:tcMar>
              <w:top w:type="dxa" w:w="80"/>
              <w:left w:type="dxa" w:w="120"/>
              <w:bottom w:type="dxa" w:w="80"/>
              <w:right w:type="dxa" w:w="120"/>
            </w:tcMar>
          </w:tcPr>
          <w:p>
            <w:r>
              <w:rPr>
                <w:rFonts w:ascii="Arial" w:cs="Arial" w:eastAsia="Arial" w:hAnsi="Arial"/>
                <w:sz w:val="20"/>
                <w:szCs w:val="20"/>
              </w:rPr>
              <w:t xml:space="preserve">Unlimited</w:t>
            </w:r>
          </w:p>
        </w:tc>
        <w:tc>
          <w:tcPr>
            <w:tcW w:type="dxa" w:w="2160"/>
            <w:tcBorders>
              <w:top w:val="single" w:color="D4CEDF" w:sz="1"/>
              <w:left w:val="single" w:color="D4CEDF" w:sz="1"/>
              <w:bottom w:val="single" w:color="D4CEDF" w:sz="1"/>
              <w:right w:val="single" w:color="D4CEDF" w:sz="1"/>
            </w:tcBorders>
            <w:tcMar>
              <w:top w:type="dxa" w:w="80"/>
              <w:left w:type="dxa" w:w="120"/>
              <w:bottom w:type="dxa" w:w="80"/>
              <w:right w:type="dxa" w:w="120"/>
            </w:tcMar>
          </w:tcPr>
          <w:p>
            <w:r>
              <w:rPr>
                <w:rFonts w:ascii="Arial" w:cs="Arial" w:eastAsia="Arial" w:hAnsi="Arial"/>
                <w:sz w:val="20"/>
                <w:szCs w:val="20"/>
              </w:rPr>
              <w:t xml:space="preserve">Unlimited</w:t>
            </w:r>
          </w:p>
        </w:tc>
      </w:tr>
      <w:tr>
        <w:tc>
          <w:tcPr>
            <w:tcW w:type="dxa" w:w="2160"/>
            <w:tcBorders>
              <w:top w:val="single" w:color="D4CEDF" w:sz="1"/>
              <w:left w:val="single" w:color="D4CEDF" w:sz="1"/>
              <w:bottom w:val="single" w:color="D4CEDF" w:sz="1"/>
              <w:right w:val="single" w:color="D4CEDF" w:sz="1"/>
            </w:tcBorders>
            <w:shd w:fill="FDF3E7" w:val="clear"/>
            <w:tcMar>
              <w:top w:type="dxa" w:w="80"/>
              <w:left w:type="dxa" w:w="120"/>
              <w:bottom w:type="dxa" w:w="80"/>
              <w:right w:type="dxa" w:w="120"/>
            </w:tcMar>
          </w:tcPr>
          <w:p>
            <w:r>
              <w:rPr>
                <w:rFonts w:ascii="Arial" w:cs="Arial" w:eastAsia="Arial" w:hAnsi="Arial"/>
                <w:b/>
                <w:bCs/>
                <w:color w:val="C17B7B"/>
                <w:sz w:val="20"/>
                <w:szCs w:val="20"/>
              </w:rPr>
              <w:t xml:space="preserve">Expired (No payment)</w:t>
            </w:r>
          </w:p>
        </w:tc>
        <w:tc>
          <w:tcPr>
            <w:tcW w:type="dxa" w:w="2520"/>
            <w:tcBorders>
              <w:top w:val="single" w:color="D4CEDF" w:sz="1"/>
              <w:left w:val="single" w:color="D4CEDF" w:sz="1"/>
              <w:bottom w:val="single" w:color="D4CEDF" w:sz="1"/>
              <w:right w:val="single" w:color="D4CEDF" w:sz="1"/>
            </w:tcBorders>
            <w:tcMar>
              <w:top w:type="dxa" w:w="80"/>
              <w:left w:type="dxa" w:w="120"/>
              <w:bottom w:type="dxa" w:w="80"/>
              <w:right w:type="dxa" w:w="120"/>
            </w:tcMar>
          </w:tcPr>
          <w:p>
            <w:r>
              <w:rPr>
                <w:rFonts w:ascii="Arial" w:cs="Arial" w:eastAsia="Arial" w:hAnsi="Arial"/>
                <w:color w:val="C17B7B"/>
                <w:sz w:val="20"/>
                <w:szCs w:val="20"/>
              </w:rPr>
              <w:t xml:space="preserve">3 / day</w:t>
            </w:r>
          </w:p>
        </w:tc>
        <w:tc>
          <w:tcPr>
            <w:tcW w:type="dxa" w:w="2520"/>
            <w:tcBorders>
              <w:top w:val="single" w:color="D4CEDF" w:sz="1"/>
              <w:left w:val="single" w:color="D4CEDF" w:sz="1"/>
              <w:bottom w:val="single" w:color="D4CEDF" w:sz="1"/>
              <w:right w:val="single" w:color="D4CEDF" w:sz="1"/>
            </w:tcBorders>
            <w:tcMar>
              <w:top w:type="dxa" w:w="80"/>
              <w:left w:type="dxa" w:w="120"/>
              <w:bottom w:type="dxa" w:w="80"/>
              <w:right w:type="dxa" w:w="120"/>
            </w:tcMar>
          </w:tcPr>
          <w:p>
            <w:r>
              <w:rPr>
                <w:rFonts w:ascii="Arial" w:cs="Arial" w:eastAsia="Arial" w:hAnsi="Arial"/>
                <w:color w:val="C17B7B"/>
                <w:sz w:val="20"/>
                <w:szCs w:val="20"/>
              </w:rPr>
              <w:t xml:space="preserve">1 / day</w:t>
            </w:r>
          </w:p>
        </w:tc>
        <w:tc>
          <w:tcPr>
            <w:tcW w:type="dxa" w:w="2160"/>
            <w:tcBorders>
              <w:top w:val="single" w:color="D4CEDF" w:sz="1"/>
              <w:left w:val="single" w:color="D4CEDF" w:sz="1"/>
              <w:bottom w:val="single" w:color="D4CEDF" w:sz="1"/>
              <w:right w:val="single" w:color="D4CEDF" w:sz="1"/>
            </w:tcBorders>
            <w:tcMar>
              <w:top w:type="dxa" w:w="80"/>
              <w:left w:type="dxa" w:w="120"/>
              <w:bottom w:type="dxa" w:w="80"/>
              <w:right w:type="dxa" w:w="120"/>
            </w:tcMar>
          </w:tcPr>
          <w:p>
            <w:r>
              <w:rPr>
                <w:rFonts w:ascii="Arial" w:cs="Arial" w:eastAsia="Arial" w:hAnsi="Arial"/>
                <w:color w:val="C17B7B"/>
                <w:sz w:val="20"/>
                <w:szCs w:val="20"/>
              </w:rPr>
              <w:t xml:space="preserve">Read-only</w:t>
            </w:r>
          </w:p>
        </w:tc>
      </w:tr>
      <w:tr>
        <w:tc>
          <w:tcPr>
            <w:tcW w:type="dxa" w:w="2160"/>
            <w:tcBorders>
              <w:top w:val="single" w:color="D4CEDF" w:sz="1"/>
              <w:left w:val="single" w:color="D4CEDF" w:sz="1"/>
              <w:bottom w:val="single" w:color="D4CEDF" w:sz="1"/>
              <w:right w:val="single" w:color="D4CEDF" w:sz="1"/>
            </w:tcBorders>
            <w:shd w:fill="EDF0FC" w:val="clear"/>
            <w:tcMar>
              <w:top w:type="dxa" w:w="80"/>
              <w:left w:type="dxa" w:w="120"/>
              <w:bottom w:type="dxa" w:w="80"/>
              <w:right w:type="dxa" w:w="120"/>
            </w:tcMar>
          </w:tcPr>
          <w:p>
            <w:r>
              <w:rPr>
                <w:rFonts w:ascii="Arial" w:cs="Arial" w:eastAsia="Arial" w:hAnsi="Arial"/>
                <w:b/>
                <w:bCs/>
                <w:color w:val="7C6E8A"/>
                <w:sz w:val="20"/>
                <w:szCs w:val="20"/>
              </w:rPr>
              <w:t xml:space="preserve">Paid ($4.99/mo)</w:t>
            </w:r>
          </w:p>
        </w:tc>
        <w:tc>
          <w:tcPr>
            <w:tcW w:type="dxa" w:w="2520"/>
            <w:tcBorders>
              <w:top w:val="single" w:color="D4CEDF" w:sz="1"/>
              <w:left w:val="single" w:color="D4CEDF" w:sz="1"/>
              <w:bottom w:val="single" w:color="D4CEDF" w:sz="1"/>
              <w:right w:val="single" w:color="D4CEDF" w:sz="1"/>
            </w:tcBorders>
            <w:tcMar>
              <w:top w:type="dxa" w:w="80"/>
              <w:left w:type="dxa" w:w="120"/>
              <w:bottom w:type="dxa" w:w="80"/>
              <w:right w:type="dxa" w:w="120"/>
            </w:tcMar>
          </w:tcPr>
          <w:p>
            <w:r>
              <w:rPr>
                <w:rFonts w:ascii="Arial" w:cs="Arial" w:eastAsia="Arial" w:hAnsi="Arial"/>
                <w:sz w:val="20"/>
                <w:szCs w:val="20"/>
              </w:rPr>
              <w:t xml:space="preserve">Unlimited</w:t>
            </w:r>
          </w:p>
        </w:tc>
        <w:tc>
          <w:tcPr>
            <w:tcW w:type="dxa" w:w="2520"/>
            <w:tcBorders>
              <w:top w:val="single" w:color="D4CEDF" w:sz="1"/>
              <w:left w:val="single" w:color="D4CEDF" w:sz="1"/>
              <w:bottom w:val="single" w:color="D4CEDF" w:sz="1"/>
              <w:right w:val="single" w:color="D4CEDF" w:sz="1"/>
            </w:tcBorders>
            <w:tcMar>
              <w:top w:type="dxa" w:w="80"/>
              <w:left w:type="dxa" w:w="120"/>
              <w:bottom w:type="dxa" w:w="80"/>
              <w:right w:type="dxa" w:w="120"/>
            </w:tcMar>
          </w:tcPr>
          <w:p>
            <w:r>
              <w:rPr>
                <w:rFonts w:ascii="Arial" w:cs="Arial" w:eastAsia="Arial" w:hAnsi="Arial"/>
                <w:sz w:val="20"/>
                <w:szCs w:val="20"/>
              </w:rPr>
              <w:t xml:space="preserve">Unlimited</w:t>
            </w:r>
          </w:p>
        </w:tc>
        <w:tc>
          <w:tcPr>
            <w:tcW w:type="dxa" w:w="2160"/>
            <w:tcBorders>
              <w:top w:val="single" w:color="D4CEDF" w:sz="1"/>
              <w:left w:val="single" w:color="D4CEDF" w:sz="1"/>
              <w:bottom w:val="single" w:color="D4CEDF" w:sz="1"/>
              <w:right w:val="single" w:color="D4CEDF" w:sz="1"/>
            </w:tcBorders>
            <w:tcMar>
              <w:top w:type="dxa" w:w="80"/>
              <w:left w:type="dxa" w:w="120"/>
              <w:bottom w:type="dxa" w:w="80"/>
              <w:right w:type="dxa" w:w="120"/>
            </w:tcMar>
          </w:tcPr>
          <w:p>
            <w:r>
              <w:rPr>
                <w:rFonts w:ascii="Arial" w:cs="Arial" w:eastAsia="Arial" w:hAnsi="Arial"/>
                <w:sz w:val="20"/>
                <w:szCs w:val="20"/>
              </w:rPr>
              <w:t xml:space="preserve">Unlimited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C6E8A" w:sz="18"/>
              <w:bottom w:val="none" w:color="FFFFFF" w:sz="0"/>
              <w:right w:val="none" w:color="FFFFFF" w:sz="0"/>
            </w:tcBorders>
            <w:shd w:fill="F2EFF7" w:val="clear"/>
            <w:tcMar>
              <w:top w:type="dxa" w:w="120"/>
              <w:left w:type="dxa" w:w="200"/>
              <w:bottom w:type="dxa" w:w="120"/>
              <w:right w:type="dxa" w:w="160"/>
            </w:tcMar>
          </w:tcPr>
          <w:p>
            <w:r>
              <w:rPr>
                <w:rFonts w:ascii="Arial" w:cs="Arial" w:eastAsia="Arial" w:hAnsi="Arial"/>
                <w:color w:val="2C1F45"/>
                <w:sz w:val="20"/>
                <w:szCs w:val="20"/>
              </w:rPr>
              <w:t xml:space="preserve">Rate limits are enforced server-side, tied to user account status — not just IP address. This means limits persist across devices and cannot be bypassed by changing networks.</w:t>
            </w:r>
          </w:p>
        </w:tc>
      </w:tr>
    </w:tbl>
    <w:p>
      <w:pPr>
        <w:spacing w:after="120" w:before="120"/>
      </w:pPr>
      <w:r>
        <w:t xml:space="preserve"/>
      </w:r>
    </w:p>
    <w:p>
      <w:pPr>
        <w:pStyle w:val="Heading2"/>
        <w:spacing w:after="100" w:before="260"/>
      </w:pPr>
      <w:r>
        <w:rPr>
          <w:rFonts w:ascii="Arial" w:cs="Arial" w:eastAsia="Arial" w:hAnsi="Arial"/>
          <w:b/>
          <w:bCs/>
          <w:color w:val="7C6E8A"/>
          <w:sz w:val="26"/>
          <w:szCs w:val="26"/>
        </w:rPr>
        <w:t xml:space="preserve">Decision 4 — Voluntary Donations Retained</w:t>
      </w:r>
    </w:p>
    <w:p>
      <w:pPr>
        <w:spacing w:after="60" w:before="60"/>
      </w:pPr>
      <w:r>
        <w:rPr>
          <w:rFonts w:ascii="Arial" w:cs="Arial" w:eastAsia="Arial" w:hAnsi="Arial"/>
          <w:color w:val="2A2630"/>
          <w:sz w:val="22"/>
          <w:szCs w:val="22"/>
        </w:rPr>
        <w:t xml:space="preserve">The existing Stripe donation flow ($5, $10, $25, $50 one-time gifts) is kept active alongside the subscription model. These are independent revenue streams and serve different user motivations:</w:t>
      </w:r>
    </w:p>
    <w:p>
      <w:pPr>
        <w:pStyle w:val="ListParagraph"/>
        <w:numPr>
          <w:ilvl w:val="0"/>
          <w:numId w:val="2"/>
        </w:numPr>
        <w:spacing w:after="40" w:before="40"/>
      </w:pPr>
      <w:r>
        <w:rPr>
          <w:rFonts w:ascii="Arial" w:cs="Arial" w:eastAsia="Arial" w:hAnsi="Arial"/>
          <w:b w:val="false"/>
          <w:bCs w:val="false"/>
          <w:color w:val="2A2630"/>
          <w:sz w:val="22"/>
          <w:szCs w:val="22"/>
        </w:rPr>
        <w:t xml:space="preserve">Subscriptions — for regular users who want full access</w:t>
      </w:r>
    </w:p>
    <w:p>
      <w:pPr>
        <w:pStyle w:val="ListParagraph"/>
        <w:numPr>
          <w:ilvl w:val="0"/>
          <w:numId w:val="2"/>
        </w:numPr>
        <w:spacing w:after="40" w:before="40"/>
      </w:pPr>
      <w:r>
        <w:rPr>
          <w:rFonts w:ascii="Arial" w:cs="Arial" w:eastAsia="Arial" w:hAnsi="Arial"/>
          <w:b w:val="false"/>
          <w:bCs w:val="false"/>
          <w:color w:val="2A2630"/>
          <w:sz w:val="22"/>
          <w:szCs w:val="22"/>
        </w:rPr>
        <w:t xml:space="preserve">Donations — for users who want to support the mission without a recurring commitment</w:t>
      </w:r>
    </w:p>
    <w:p>
      <w:pPr>
        <w:spacing w:after="60" w:before="60"/>
      </w:pPr>
      <w:r>
        <w:rPr>
          <w:rFonts w:ascii="Arial" w:cs="Arial" w:eastAsia="Arial" w:hAnsi="Arial"/>
          <w:color w:val="2A2630"/>
          <w:sz w:val="22"/>
          <w:szCs w:val="22"/>
        </w:rPr>
        <w:t xml:space="preserve">Both options will be visible in the Settings screen. No donation prompt will interrupt the subscription flow.</w:t>
      </w:r>
    </w:p>
    <w:p>
      <w:pPr>
        <w:spacing w:after="120" w:before="120"/>
      </w:pPr>
      <w:r>
        <w:t xml:space="preserve"/>
      </w:r>
    </w:p>
    <w:p>
      <w:pPr>
        <w:pStyle w:val="Heading2"/>
        <w:spacing w:after="100" w:before="260"/>
      </w:pPr>
      <w:r>
        <w:rPr>
          <w:rFonts w:ascii="Arial" w:cs="Arial" w:eastAsia="Arial" w:hAnsi="Arial"/>
          <w:b/>
          <w:bCs/>
          <w:color w:val="7C6E8A"/>
          <w:sz w:val="26"/>
          <w:szCs w:val="26"/>
        </w:rPr>
        <w:t xml:space="preserve">Decision 5 — No Pricing Surveys</w:t>
      </w:r>
    </w:p>
    <w:p>
      <w:pPr>
        <w:spacing w:after="60" w:before="60"/>
      </w:pPr>
      <w:r>
        <w:rPr>
          <w:rFonts w:ascii="Arial" w:cs="Arial" w:eastAsia="Arial" w:hAnsi="Arial"/>
          <w:color w:val="2A2630"/>
          <w:sz w:val="22"/>
          <w:szCs w:val="22"/>
        </w:rPr>
        <w:t xml:space="preserve">Market pricing will not be validated through in-app surveys. Pricing is set at $4.99/mo based on:</w:t>
      </w:r>
    </w:p>
    <w:p>
      <w:pPr>
        <w:pStyle w:val="ListParagraph"/>
        <w:numPr>
          <w:ilvl w:val="0"/>
          <w:numId w:val="2"/>
        </w:numPr>
        <w:spacing w:after="40" w:before="40"/>
      </w:pPr>
      <w:r>
        <w:rPr>
          <w:rFonts w:ascii="Arial" w:cs="Arial" w:eastAsia="Arial" w:hAnsi="Arial"/>
          <w:b w:val="false"/>
          <w:bCs w:val="false"/>
          <w:color w:val="2A2630"/>
          <w:sz w:val="22"/>
          <w:szCs w:val="22"/>
        </w:rPr>
        <w:t xml:space="preserve">Competitive analysis of comparable faith apps (Abide: $9.99/mo, Hallow: $9.99/mo)</w:t>
      </w:r>
    </w:p>
    <w:p>
      <w:pPr>
        <w:pStyle w:val="ListParagraph"/>
        <w:numPr>
          <w:ilvl w:val="0"/>
          <w:numId w:val="2"/>
        </w:numPr>
        <w:spacing w:after="40" w:before="40"/>
      </w:pPr>
      <w:r>
        <w:rPr>
          <w:rFonts w:ascii="Arial" w:cs="Arial" w:eastAsia="Arial" w:hAnsi="Arial"/>
          <w:b w:val="false"/>
          <w:bCs w:val="false"/>
          <w:color w:val="2A2630"/>
          <w:sz w:val="22"/>
          <w:szCs w:val="22"/>
        </w:rPr>
        <w:t xml:space="preserve">Positioning Verse for You as an affordable entry point to build an early user base</w:t>
      </w:r>
    </w:p>
    <w:p>
      <w:pPr>
        <w:pStyle w:val="ListParagraph"/>
        <w:numPr>
          <w:ilvl w:val="0"/>
          <w:numId w:val="2"/>
        </w:numPr>
        <w:spacing w:after="40" w:before="40"/>
      </w:pPr>
      <w:r>
        <w:rPr>
          <w:rFonts w:ascii="Arial" w:cs="Arial" w:eastAsia="Arial" w:hAnsi="Arial"/>
          <w:b w:val="false"/>
          <w:bCs w:val="false"/>
          <w:color w:val="2A2630"/>
          <w:sz w:val="22"/>
          <w:szCs w:val="22"/>
        </w:rPr>
        <w:t xml:space="preserve">Price can be adjusted post-launch based on actual conversion data from Stripe</w:t>
      </w:r>
    </w:p>
    <w:p>
      <w:pPr>
        <w:spacing w:after="120" w:before="120"/>
      </w:pPr>
      <w:r>
        <w:t xml:space="preserve"/>
      </w:r>
    </w:p>
    <w:p>
      <w:pPr>
        <w:pStyle w:val="Heading2"/>
        <w:spacing w:after="100" w:before="260"/>
      </w:pPr>
      <w:r>
        <w:rPr>
          <w:rFonts w:ascii="Arial" w:cs="Arial" w:eastAsia="Arial" w:hAnsi="Arial"/>
          <w:b/>
          <w:bCs/>
          <w:color w:val="7C6E8A"/>
          <w:sz w:val="26"/>
          <w:szCs w:val="26"/>
        </w:rPr>
        <w:t xml:space="preserve">Decision 6 — Operational Ownership &amp; Reporting</w:t>
      </w:r>
    </w:p>
    <w:p>
      <w:pPr>
        <w:spacing w:after="60" w:before="60"/>
      </w:pPr>
      <w:r>
        <w:rPr>
          <w:rFonts w:ascii="Arial" w:cs="Arial" w:eastAsia="Arial" w:hAnsi="Arial"/>
          <w:color w:val="2A2630"/>
          <w:sz w:val="22"/>
          <w:szCs w:val="22"/>
        </w:rPr>
        <w:t xml:space="preserve">Effective at launch (May 9, 2026), ongoing operations and performance tracking are delegated as follows: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D4CEDF" w:sz="1"/>
              <w:left w:val="single" w:color="D4CEDF" w:sz="1"/>
              <w:bottom w:val="single" w:color="D4CEDF" w:sz="1"/>
              <w:right w:val="single" w:color="D4CEDF" w:sz="1"/>
            </w:tcBorders>
            <w:shd w:fill="F2EFF7" w:val="clear"/>
            <w:tcMar>
              <w:top w:type="dxa" w:w="80"/>
              <w:left w:type="dxa" w:w="120"/>
              <w:bottom w:type="dxa" w:w="80"/>
              <w:right w:type="dxa" w:w="120"/>
            </w:tcMar>
          </w:tcPr>
          <w:p>
            <w:r>
              <w:rPr>
                <w:rFonts w:ascii="Arial" w:cs="Arial" w:eastAsia="Arial" w:hAnsi="Arial"/>
                <w:b/>
                <w:bCs/>
                <w:color w:val="2C1F45"/>
                <w:sz w:val="20"/>
                <w:szCs w:val="20"/>
              </w:rPr>
              <w:t xml:space="preserve">Reporting Cadence</w:t>
            </w:r>
          </w:p>
        </w:tc>
        <w:tc>
          <w:tcPr>
            <w:tcW w:type="dxa" w:w="6480"/>
            <w:tcBorders>
              <w:top w:val="single" w:color="D4CEDF" w:sz="1"/>
              <w:left w:val="single" w:color="D4CEDF" w:sz="1"/>
              <w:bottom w:val="single" w:color="D4CEDF" w:sz="1"/>
              <w:right w:val="single" w:color="D4CEDF" w:sz="1"/>
            </w:tcBorders>
            <w:tcMar>
              <w:top w:type="dxa" w:w="80"/>
              <w:left w:type="dxa" w:w="120"/>
              <w:bottom w:type="dxa" w:w="80"/>
              <w:right w:type="dxa" w:w="120"/>
            </w:tcMar>
          </w:tcPr>
          <w:p>
            <w:r>
              <w:rPr>
                <w:rFonts w:ascii="Arial" w:cs="Arial" w:eastAsia="Arial" w:hAnsi="Arial"/>
                <w:color w:val="2A2630"/>
                <w:sz w:val="20"/>
                <w:szCs w:val="20"/>
              </w:rPr>
              <w:t xml:space="preserve">Every Saturday check-in (10:00 AM ET), beginning the first Saturday after launch</w:t>
            </w:r>
          </w:p>
        </w:tc>
      </w:tr>
      <w:tr>
        <w:tc>
          <w:tcPr>
            <w:tcW w:type="dxa" w:w="2880"/>
            <w:tcBorders>
              <w:top w:val="single" w:color="D4CEDF" w:sz="1"/>
              <w:left w:val="single" w:color="D4CEDF" w:sz="1"/>
              <w:bottom w:val="single" w:color="D4CEDF" w:sz="1"/>
              <w:right w:val="single" w:color="D4CEDF" w:sz="1"/>
            </w:tcBorders>
            <w:shd w:fill="F2EFF7" w:val="clear"/>
            <w:tcMar>
              <w:top w:type="dxa" w:w="80"/>
              <w:left w:type="dxa" w:w="120"/>
              <w:bottom w:type="dxa" w:w="80"/>
              <w:right w:type="dxa" w:w="120"/>
            </w:tcMar>
          </w:tcPr>
          <w:p>
            <w:r>
              <w:rPr>
                <w:rFonts w:ascii="Arial" w:cs="Arial" w:eastAsia="Arial" w:hAnsi="Arial"/>
                <w:b/>
                <w:bCs/>
                <w:color w:val="2C1F45"/>
                <w:sz w:val="20"/>
                <w:szCs w:val="20"/>
              </w:rPr>
              <w:t xml:space="preserve">Revenue Report</w:t>
            </w:r>
          </w:p>
        </w:tc>
        <w:tc>
          <w:tcPr>
            <w:tcW w:type="dxa" w:w="6480"/>
            <w:tcBorders>
              <w:top w:val="single" w:color="D4CEDF" w:sz="1"/>
              <w:left w:val="single" w:color="D4CEDF" w:sz="1"/>
              <w:bottom w:val="single" w:color="D4CEDF" w:sz="1"/>
              <w:right w:val="single" w:color="D4CEDF" w:sz="1"/>
            </w:tcBorders>
            <w:tcMar>
              <w:top w:type="dxa" w:w="80"/>
              <w:left w:type="dxa" w:w="120"/>
              <w:bottom w:type="dxa" w:w="80"/>
              <w:right w:type="dxa" w:w="120"/>
            </w:tcMar>
          </w:tcPr>
          <w:p>
            <w:r>
              <w:rPr>
                <w:rFonts w:ascii="Arial" w:cs="Arial" w:eastAsia="Arial" w:hAnsi="Arial"/>
                <w:color w:val="2A2630"/>
                <w:sz w:val="20"/>
                <w:szCs w:val="20"/>
              </w:rPr>
              <w:t xml:space="preserve">Actual vs. projected (slide 9 baseline): free users, paid subscribers, conversions, churn</w:t>
            </w:r>
          </w:p>
        </w:tc>
      </w:tr>
      <w:tr>
        <w:tc>
          <w:tcPr>
            <w:tcW w:type="dxa" w:w="2880"/>
            <w:tcBorders>
              <w:top w:val="single" w:color="D4CEDF" w:sz="1"/>
              <w:left w:val="single" w:color="D4CEDF" w:sz="1"/>
              <w:bottom w:val="single" w:color="D4CEDF" w:sz="1"/>
              <w:right w:val="single" w:color="D4CEDF" w:sz="1"/>
            </w:tcBorders>
            <w:shd w:fill="F2EFF7" w:val="clear"/>
            <w:tcMar>
              <w:top w:type="dxa" w:w="80"/>
              <w:left w:type="dxa" w:w="120"/>
              <w:bottom w:type="dxa" w:w="80"/>
              <w:right w:type="dxa" w:w="120"/>
            </w:tcMar>
          </w:tcPr>
          <w:p>
            <w:r>
              <w:rPr>
                <w:rFonts w:ascii="Arial" w:cs="Arial" w:eastAsia="Arial" w:hAnsi="Arial"/>
                <w:b/>
                <w:bCs/>
                <w:color w:val="2C1F45"/>
                <w:sz w:val="20"/>
                <w:szCs w:val="20"/>
              </w:rPr>
              <w:t xml:space="preserve">Tax Estimate</w:t>
            </w:r>
          </w:p>
        </w:tc>
        <w:tc>
          <w:tcPr>
            <w:tcW w:type="dxa" w:w="6480"/>
            <w:tcBorders>
              <w:top w:val="single" w:color="D4CEDF" w:sz="1"/>
              <w:left w:val="single" w:color="D4CEDF" w:sz="1"/>
              <w:bottom w:val="single" w:color="D4CEDF" w:sz="1"/>
              <w:right w:val="single" w:color="D4CEDF" w:sz="1"/>
            </w:tcBorders>
            <w:tcMar>
              <w:top w:type="dxa" w:w="80"/>
              <w:left w:type="dxa" w:w="120"/>
              <w:bottom w:type="dxa" w:w="80"/>
              <w:right w:type="dxa" w:w="120"/>
            </w:tcMar>
          </w:tcPr>
          <w:p>
            <w:r>
              <w:rPr>
                <w:rFonts w:ascii="Arial" w:cs="Arial" w:eastAsia="Arial" w:hAnsi="Arial"/>
                <w:color w:val="2A2630"/>
                <w:sz w:val="20"/>
                <w:szCs w:val="20"/>
              </w:rPr>
              <w:t xml:space="preserve">Running quarterly self-employment tax obligation based on gross Stripe revenue</w:t>
            </w:r>
          </w:p>
        </w:tc>
      </w:tr>
      <w:tr>
        <w:tc>
          <w:tcPr>
            <w:tcW w:type="dxa" w:w="2880"/>
            <w:tcBorders>
              <w:top w:val="single" w:color="D4CEDF" w:sz="1"/>
              <w:left w:val="single" w:color="D4CEDF" w:sz="1"/>
              <w:bottom w:val="single" w:color="D4CEDF" w:sz="1"/>
              <w:right w:val="single" w:color="D4CEDF" w:sz="1"/>
            </w:tcBorders>
            <w:shd w:fill="F2EFF7" w:val="clear"/>
            <w:tcMar>
              <w:top w:type="dxa" w:w="80"/>
              <w:left w:type="dxa" w:w="120"/>
              <w:bottom w:type="dxa" w:w="80"/>
              <w:right w:type="dxa" w:w="120"/>
            </w:tcMar>
          </w:tcPr>
          <w:p>
            <w:r>
              <w:rPr>
                <w:rFonts w:ascii="Arial" w:cs="Arial" w:eastAsia="Arial" w:hAnsi="Arial"/>
                <w:b/>
                <w:bCs/>
                <w:color w:val="2C1F45"/>
                <w:sz w:val="20"/>
                <w:szCs w:val="20"/>
              </w:rPr>
              <w:t xml:space="preserve">User Feedback</w:t>
            </w:r>
          </w:p>
        </w:tc>
        <w:tc>
          <w:tcPr>
            <w:tcW w:type="dxa" w:w="6480"/>
            <w:tcBorders>
              <w:top w:val="single" w:color="D4CEDF" w:sz="1"/>
              <w:left w:val="single" w:color="D4CEDF" w:sz="1"/>
              <w:bottom w:val="single" w:color="D4CEDF" w:sz="1"/>
              <w:right w:val="single" w:color="D4CEDF" w:sz="1"/>
            </w:tcBorders>
            <w:tcMar>
              <w:top w:type="dxa" w:w="80"/>
              <w:left w:type="dxa" w:w="120"/>
              <w:bottom w:type="dxa" w:w="80"/>
              <w:right w:type="dxa" w:w="120"/>
            </w:tcMar>
          </w:tcPr>
          <w:p>
            <w:r>
              <w:rPr>
                <w:rFonts w:ascii="Arial" w:cs="Arial" w:eastAsia="Arial" w:hAnsi="Arial"/>
                <w:color w:val="2A2630"/>
                <w:sz w:val="20"/>
                <w:szCs w:val="20"/>
              </w:rPr>
              <w:t xml:space="preserve">App Store reviews + in-app feedback synthesized into themes: what works, what frustrates, what is requested</w:t>
            </w:r>
          </w:p>
        </w:tc>
      </w:tr>
      <w:tr>
        <w:tc>
          <w:tcPr>
            <w:tcW w:type="dxa" w:w="2880"/>
            <w:tcBorders>
              <w:top w:val="single" w:color="D4CEDF" w:sz="1"/>
              <w:left w:val="single" w:color="D4CEDF" w:sz="1"/>
              <w:bottom w:val="single" w:color="D4CEDF" w:sz="1"/>
              <w:right w:val="single" w:color="D4CEDF" w:sz="1"/>
            </w:tcBorders>
            <w:shd w:fill="F2EFF7" w:val="clear"/>
            <w:tcMar>
              <w:top w:type="dxa" w:w="80"/>
              <w:left w:type="dxa" w:w="120"/>
              <w:bottom w:type="dxa" w:w="80"/>
              <w:right w:type="dxa" w:w="120"/>
            </w:tcMar>
          </w:tcPr>
          <w:p>
            <w:r>
              <w:rPr>
                <w:rFonts w:ascii="Arial" w:cs="Arial" w:eastAsia="Arial" w:hAnsi="Arial"/>
                <w:b/>
                <w:bCs/>
                <w:color w:val="2C1F45"/>
                <w:sz w:val="20"/>
                <w:szCs w:val="20"/>
              </w:rPr>
              <w:t xml:space="preserve">Recommendation</w:t>
            </w:r>
          </w:p>
        </w:tc>
        <w:tc>
          <w:tcPr>
            <w:tcW w:type="dxa" w:w="6480"/>
            <w:tcBorders>
              <w:top w:val="single" w:color="D4CEDF" w:sz="1"/>
              <w:left w:val="single" w:color="D4CEDF" w:sz="1"/>
              <w:bottom w:val="single" w:color="D4CEDF" w:sz="1"/>
              <w:right w:val="single" w:color="D4CEDF" w:sz="1"/>
            </w:tcBorders>
            <w:tcMar>
              <w:top w:type="dxa" w:w="80"/>
              <w:left w:type="dxa" w:w="120"/>
              <w:bottom w:type="dxa" w:w="80"/>
              <w:right w:type="dxa" w:w="120"/>
            </w:tcMar>
          </w:tcPr>
          <w:p>
            <w:r>
              <w:rPr>
                <w:rFonts w:ascii="Arial" w:cs="Arial" w:eastAsia="Arial" w:hAnsi="Arial"/>
                <w:color w:val="2A2630"/>
                <w:sz w:val="20"/>
                <w:szCs w:val="20"/>
              </w:rPr>
              <w:t xml:space="preserve">One concrete improvement per check-in, grounded in data. Owner approves before any implementation begins.</w:t>
            </w:r>
          </w:p>
        </w:tc>
      </w:tr>
      <w:tr>
        <w:tc>
          <w:tcPr>
            <w:tcW w:type="dxa" w:w="2880"/>
            <w:tcBorders>
              <w:top w:val="single" w:color="D4CEDF" w:sz="1"/>
              <w:left w:val="single" w:color="D4CEDF" w:sz="1"/>
              <w:bottom w:val="single" w:color="D4CEDF" w:sz="1"/>
              <w:right w:val="single" w:color="D4CEDF" w:sz="1"/>
            </w:tcBorders>
            <w:shd w:fill="F2EFF7" w:val="clear"/>
            <w:tcMar>
              <w:top w:type="dxa" w:w="80"/>
              <w:left w:type="dxa" w:w="120"/>
              <w:bottom w:type="dxa" w:w="80"/>
              <w:right w:type="dxa" w:w="120"/>
            </w:tcMar>
          </w:tcPr>
          <w:p>
            <w:r>
              <w:rPr>
                <w:rFonts w:ascii="Arial" w:cs="Arial" w:eastAsia="Arial" w:hAnsi="Arial"/>
                <w:b/>
                <w:bCs/>
                <w:color w:val="2C1F45"/>
                <w:sz w:val="20"/>
                <w:szCs w:val="20"/>
              </w:rPr>
              <w:t xml:space="preserve">Approval Rule</w:t>
            </w:r>
          </w:p>
        </w:tc>
        <w:tc>
          <w:tcPr>
            <w:tcW w:type="dxa" w:w="6480"/>
            <w:tcBorders>
              <w:top w:val="single" w:color="D4CEDF" w:sz="1"/>
              <w:left w:val="single" w:color="D4CEDF" w:sz="1"/>
              <w:bottom w:val="single" w:color="D4CEDF" w:sz="1"/>
              <w:right w:val="single" w:color="D4CEDF" w:sz="1"/>
            </w:tcBorders>
            <w:tcMar>
              <w:top w:type="dxa" w:w="80"/>
              <w:left w:type="dxa" w:w="120"/>
              <w:bottom w:type="dxa" w:w="80"/>
              <w:right w:type="dxa" w:w="120"/>
            </w:tcMar>
          </w:tcPr>
          <w:p>
            <w:r>
              <w:rPr>
                <w:rFonts w:ascii="Arial" w:cs="Arial" w:eastAsia="Arial" w:hAnsi="Arial"/>
                <w:color w:val="2A2630"/>
                <w:sz w:val="20"/>
                <w:szCs w:val="20"/>
              </w:rPr>
              <w:t xml:space="preserve">No changes are implemented without explicit approval from Pedro Siqueira. Claude proposes; Pedro decides.</w:t>
            </w:r>
          </w:p>
        </w:tc>
      </w:tr>
      <w:tr>
        <w:tc>
          <w:tcPr>
            <w:tcW w:type="dxa" w:w="2880"/>
            <w:tcBorders>
              <w:top w:val="single" w:color="D4CEDF" w:sz="1"/>
              <w:left w:val="single" w:color="D4CEDF" w:sz="1"/>
              <w:bottom w:val="single" w:color="D4CEDF" w:sz="1"/>
              <w:right w:val="single" w:color="D4CEDF" w:sz="1"/>
            </w:tcBorders>
            <w:shd w:fill="F2EFF7" w:val="clear"/>
            <w:tcMar>
              <w:top w:type="dxa" w:w="80"/>
              <w:left w:type="dxa" w:w="120"/>
              <w:bottom w:type="dxa" w:w="80"/>
              <w:right w:type="dxa" w:w="120"/>
            </w:tcMar>
          </w:tcPr>
          <w:p>
            <w:r>
              <w:rPr>
                <w:rFonts w:ascii="Arial" w:cs="Arial" w:eastAsia="Arial" w:hAnsi="Arial"/>
                <w:b/>
                <w:bCs/>
                <w:color w:val="2C1F45"/>
                <w:sz w:val="20"/>
                <w:szCs w:val="20"/>
              </w:rPr>
              <w:t xml:space="preserve">Status</w:t>
            </w:r>
          </w:p>
        </w:tc>
        <w:tc>
          <w:tcPr>
            <w:tcW w:type="dxa" w:w="6480"/>
            <w:tcBorders>
              <w:top w:val="single" w:color="D4CEDF" w:sz="1"/>
              <w:left w:val="single" w:color="D4CEDF" w:sz="1"/>
              <w:bottom w:val="single" w:color="D4CEDF" w:sz="1"/>
              <w:right w:val="single" w:color="D4CEDF" w:sz="1"/>
            </w:tcBorders>
            <w:tcMar>
              <w:top w:type="dxa" w:w="80"/>
              <w:left w:type="dxa" w:w="120"/>
              <w:bottom w:type="dxa" w:w="80"/>
              <w:right w:type="dxa" w:w="120"/>
            </w:tcMar>
          </w:tcPr>
          <w:p>
            <w:r>
              <w:rPr>
                <w:rFonts w:ascii="Arial" w:cs="Arial" w:eastAsia="Arial" w:hAnsi="Arial"/>
                <w:color w:val="2A2630"/>
                <w:sz w:val="20"/>
                <w:szCs w:val="20"/>
              </w:rPr>
              <w:t xml:space="preserve">APPROVED — effective at launch</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84C" w:sz="18"/>
              <w:bottom w:val="none" w:color="FFFFFF" w:sz="0"/>
              <w:right w:val="none" w:color="FFFFFF" w:sz="0"/>
            </w:tcBorders>
            <w:shd w:fill="F2EFF7" w:val="clear"/>
            <w:tcMar>
              <w:top w:type="dxa" w:w="120"/>
              <w:left w:type="dxa" w:w="200"/>
              <w:bottom w:type="dxa" w:w="120"/>
              <w:right w:type="dxa" w:w="160"/>
            </w:tcMar>
          </w:tcPr>
          <w:p>
            <w:r>
              <w:rPr>
                <w:rFonts w:ascii="Arial" w:cs="Arial" w:eastAsia="Arial" w:hAnsi="Arial"/>
                <w:color w:val="2C1F45"/>
                <w:sz w:val="20"/>
                <w:szCs w:val="20"/>
              </w:rPr>
              <w:t xml:space="preserve">Data sources required at launch: Stripe dashboard (revenue + subscription events), Apple App Store Connect (reviews + download metrics). These will be connected during pre-launch setup week.</w:t>
            </w:r>
          </w:p>
        </w:tc>
      </w:tr>
    </w:tbl>
    <w:p>
      <w:pPr>
        <w:spacing w:after="160" w:before="160"/>
      </w:pPr>
      <w:r>
        <w:t xml:space="preserve"/>
      </w:r>
    </w:p>
    <w:p>
      <w:r>
        <w:br w:type="page"/>
      </w:r>
    </w:p>
    <w:p>
      <w:pPr>
        <w:pStyle w:val="Heading1"/>
        <w:pBdr>
          <w:bottom w:val="single" w:color="7C6E8A" w:sz="4" w:space="4"/>
        </w:pBdr>
        <w:spacing w:after="160" w:before="320"/>
      </w:pPr>
      <w:r>
        <w:rPr>
          <w:rFonts w:ascii="Arial" w:cs="Arial" w:eastAsia="Arial" w:hAnsi="Arial"/>
          <w:b/>
          <w:bCs/>
          <w:color w:val="2C1F45"/>
          <w:sz w:val="32"/>
          <w:szCs w:val="32"/>
        </w:rPr>
        <w:t xml:space="preserve">Technical Prerequisites</w:t>
      </w:r>
    </w:p>
    <w:p>
      <w:pPr>
        <w:spacing w:after="60" w:before="60"/>
      </w:pPr>
      <w:r>
        <w:rPr>
          <w:rFonts w:ascii="Arial" w:cs="Arial" w:eastAsia="Arial" w:hAnsi="Arial"/>
          <w:color w:val="2A2630"/>
          <w:sz w:val="22"/>
          <w:szCs w:val="22"/>
        </w:rPr>
        <w:t xml:space="preserve">Before the subscription product can be built, one critical dependency must be addressed: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17B7B" w:sz="18"/>
              <w:bottom w:val="none" w:color="FFFFFF" w:sz="0"/>
              <w:right w:val="none" w:color="FFFFFF" w:sz="0"/>
            </w:tcBorders>
            <w:shd w:fill="FEF0F0" w:val="clear"/>
            <w:tcMar>
              <w:top w:type="dxa" w:w="120"/>
              <w:left w:type="dxa" w:w="200"/>
              <w:bottom w:type="dxa" w:w="120"/>
              <w:right w:type="dxa" w:w="160"/>
            </w:tcMar>
          </w:tcPr>
          <w:p>
            <w:r>
              <w:rPr>
                <w:rFonts w:ascii="Arial" w:cs="Arial" w:eastAsia="Arial" w:hAnsi="Arial"/>
                <w:color w:val="C17B7B"/>
                <w:sz w:val="20"/>
                <w:szCs w:val="20"/>
              </w:rPr>
              <w:t xml:space="preserve">CRITICAL: User authentication does not currently exist in the app. Without accounts, there is no way to track trial status or subscription state per user. This is the first thing to build.</w:t>
            </w:r>
          </w:p>
        </w:tc>
      </w:tr>
    </w:tbl>
    <w:p>
      <w:pPr>
        <w:spacing w:after="120" w:before="120"/>
      </w:pPr>
      <w:r>
        <w:t xml:space="preserve"/>
      </w:r>
    </w:p>
    <w:p>
      <w:pPr>
        <w:pStyle w:val="Heading3"/>
        <w:spacing w:after="80" w:before="200"/>
      </w:pPr>
      <w:r>
        <w:rPr>
          <w:rFonts w:ascii="Arial" w:cs="Arial" w:eastAsia="Arial" w:hAnsi="Arial"/>
          <w:b/>
          <w:bCs/>
          <w:color w:val="2C1F45"/>
          <w:sz w:val="22"/>
          <w:szCs w:val="22"/>
        </w:rPr>
        <w:t xml:space="preserve">Why Authentication is Required</w:t>
      </w:r>
    </w:p>
    <w:p>
      <w:pPr>
        <w:pStyle w:val="ListParagraph"/>
        <w:numPr>
          <w:ilvl w:val="0"/>
          <w:numId w:val="2"/>
        </w:numPr>
        <w:spacing w:after="40" w:before="40"/>
      </w:pPr>
      <w:r>
        <w:rPr>
          <w:rFonts w:ascii="Arial" w:cs="Arial" w:eastAsia="Arial" w:hAnsi="Arial"/>
          <w:b w:val="false"/>
          <w:bCs w:val="false"/>
          <w:color w:val="2A2630"/>
          <w:sz w:val="22"/>
          <w:szCs w:val="22"/>
        </w:rPr>
        <w:t xml:space="preserve">Trial expiry must be tracked per person, not per device</w:t>
      </w:r>
    </w:p>
    <w:p>
      <w:pPr>
        <w:pStyle w:val="ListParagraph"/>
        <w:numPr>
          <w:ilvl w:val="0"/>
          <w:numId w:val="2"/>
        </w:numPr>
        <w:spacing w:after="40" w:before="40"/>
      </w:pPr>
      <w:r>
        <w:rPr>
          <w:rFonts w:ascii="Arial" w:cs="Arial" w:eastAsia="Arial" w:hAnsi="Arial"/>
          <w:b w:val="false"/>
          <w:bCs w:val="false"/>
          <w:color w:val="2A2630"/>
          <w:sz w:val="22"/>
          <w:szCs w:val="22"/>
        </w:rPr>
        <w:t xml:space="preserve">A paid subscriber must be recognized across iPhone, iPad, and Web</w:t>
      </w:r>
    </w:p>
    <w:p>
      <w:pPr>
        <w:pStyle w:val="ListParagraph"/>
        <w:numPr>
          <w:ilvl w:val="0"/>
          <w:numId w:val="2"/>
        </w:numPr>
        <w:spacing w:after="40" w:before="40"/>
      </w:pPr>
      <w:r>
        <w:rPr>
          <w:rFonts w:ascii="Arial" w:cs="Arial" w:eastAsia="Arial" w:hAnsi="Arial"/>
          <w:b w:val="false"/>
          <w:bCs w:val="false"/>
          <w:color w:val="2A2630"/>
          <w:sz w:val="22"/>
          <w:szCs w:val="22"/>
        </w:rPr>
        <w:t xml:space="preserve">Stripe webhooks need a user ID to update subscription status</w:t>
      </w:r>
    </w:p>
    <w:p>
      <w:pPr>
        <w:pStyle w:val="ListParagraph"/>
        <w:numPr>
          <w:ilvl w:val="0"/>
          <w:numId w:val="2"/>
        </w:numPr>
        <w:spacing w:after="40" w:before="40"/>
      </w:pPr>
      <w:r>
        <w:rPr>
          <w:rFonts w:ascii="Arial" w:cs="Arial" w:eastAsia="Arial" w:hAnsi="Arial"/>
          <w:b w:val="false"/>
          <w:bCs w:val="false"/>
          <w:color w:val="2A2630"/>
          <w:sz w:val="22"/>
          <w:szCs w:val="22"/>
        </w:rPr>
        <w:t xml:space="preserve">Rate limits must survive app reinstalls and device changes</w:t>
      </w:r>
    </w:p>
    <w:p>
      <w:pPr>
        <w:spacing w:after="80" w:before="80"/>
      </w:pPr>
      <w:r>
        <w:t xml:space="preserve"/>
      </w:r>
    </w:p>
    <w:p>
      <w:pPr>
        <w:pStyle w:val="Heading3"/>
        <w:spacing w:after="80" w:before="200"/>
      </w:pPr>
      <w:r>
        <w:rPr>
          <w:rFonts w:ascii="Arial" w:cs="Arial" w:eastAsia="Arial" w:hAnsi="Arial"/>
          <w:b/>
          <w:bCs/>
          <w:color w:val="2C1F45"/>
          <w:sz w:val="22"/>
          <w:szCs w:val="22"/>
        </w:rPr>
        <w:t xml:space="preserve">Recommended Approach: Clerk Auth</w:t>
      </w:r>
    </w:p>
    <w:p>
      <w:pPr>
        <w:spacing w:after="60" w:before="60"/>
      </w:pPr>
      <w:r>
        <w:rPr>
          <w:rFonts w:ascii="Arial" w:cs="Arial" w:eastAsia="Arial" w:hAnsi="Arial"/>
          <w:color w:val="2A2630"/>
          <w:sz w:val="22"/>
          <w:szCs w:val="22"/>
        </w:rPr>
        <w:t xml:space="preserve">Clerk is recommended over Firebase or Supabase Auth for this project because:</w:t>
      </w:r>
    </w:p>
    <w:p>
      <w:pPr>
        <w:pStyle w:val="ListParagraph"/>
        <w:numPr>
          <w:ilvl w:val="0"/>
          <w:numId w:val="2"/>
        </w:numPr>
        <w:spacing w:after="40" w:before="40"/>
      </w:pPr>
      <w:r>
        <w:rPr>
          <w:rFonts w:ascii="Arial" w:cs="Arial" w:eastAsia="Arial" w:hAnsi="Arial"/>
          <w:b w:val="false"/>
          <w:bCs w:val="false"/>
          <w:color w:val="2A2630"/>
          <w:sz w:val="22"/>
          <w:szCs w:val="22"/>
        </w:rPr>
        <w:t xml:space="preserve">Purpose-built React Native / Expo SDK — no custom configuration needed</w:t>
      </w:r>
    </w:p>
    <w:p>
      <w:pPr>
        <w:pStyle w:val="ListParagraph"/>
        <w:numPr>
          <w:ilvl w:val="0"/>
          <w:numId w:val="2"/>
        </w:numPr>
        <w:spacing w:after="40" w:before="40"/>
      </w:pPr>
      <w:r>
        <w:rPr>
          <w:rFonts w:ascii="Arial" w:cs="Arial" w:eastAsia="Arial" w:hAnsi="Arial"/>
          <w:b w:val="false"/>
          <w:bCs w:val="false"/>
          <w:color w:val="2A2630"/>
          <w:sz w:val="22"/>
          <w:szCs w:val="22"/>
        </w:rPr>
        <w:t xml:space="preserve">Handles email, Google, and Apple Sign-In out of the box</w:t>
      </w:r>
    </w:p>
    <w:p>
      <w:pPr>
        <w:pStyle w:val="ListParagraph"/>
        <w:numPr>
          <w:ilvl w:val="0"/>
          <w:numId w:val="2"/>
        </w:numPr>
        <w:spacing w:after="40" w:before="40"/>
      </w:pPr>
      <w:r>
        <w:rPr>
          <w:rFonts w:ascii="Arial" w:cs="Arial" w:eastAsia="Arial" w:hAnsi="Arial"/>
          <w:b w:val="false"/>
          <w:bCs w:val="false"/>
          <w:color w:val="2A2630"/>
          <w:sz w:val="22"/>
          <w:szCs w:val="22"/>
        </w:rPr>
        <w:t xml:space="preserve">Free tier covers the first 10,000 monthly active users</w:t>
      </w:r>
    </w:p>
    <w:p>
      <w:pPr>
        <w:pStyle w:val="ListParagraph"/>
        <w:numPr>
          <w:ilvl w:val="0"/>
          <w:numId w:val="2"/>
        </w:numPr>
        <w:spacing w:after="40" w:before="40"/>
      </w:pPr>
      <w:r>
        <w:rPr>
          <w:rFonts w:ascii="Arial" w:cs="Arial" w:eastAsia="Arial" w:hAnsi="Arial"/>
          <w:b w:val="false"/>
          <w:bCs w:val="false"/>
          <w:color w:val="2A2630"/>
          <w:sz w:val="22"/>
          <w:szCs w:val="22"/>
        </w:rPr>
        <w:t xml:space="preserve">Integrates directly with Stripe for customer ID linking</w:t>
      </w:r>
    </w:p>
    <w:p>
      <w:pPr>
        <w:spacing w:after="160" w:before="160"/>
      </w:pPr>
      <w:r>
        <w:t xml:space="preserve"/>
      </w:r>
    </w:p>
    <w:p>
      <w:pPr>
        <w:pStyle w:val="Heading1"/>
        <w:pBdr>
          <w:bottom w:val="single" w:color="7C6E8A" w:sz="4" w:space="4"/>
        </w:pBdr>
        <w:spacing w:after="160" w:before="320"/>
      </w:pPr>
      <w:r>
        <w:rPr>
          <w:rFonts w:ascii="Arial" w:cs="Arial" w:eastAsia="Arial" w:hAnsi="Arial"/>
          <w:b/>
          <w:bCs/>
          <w:color w:val="2C1F45"/>
          <w:sz w:val="32"/>
          <w:szCs w:val="32"/>
        </w:rPr>
        <w:t xml:space="preserve">Implementation Priorities — Week of April 12–18</w:t>
      </w:r>
    </w:p>
    <w:p>
      <w:pPr>
        <w:spacing w:after="60" w:before="60"/>
      </w:pPr>
      <w:r>
        <w:rPr>
          <w:rFonts w:ascii="Arial" w:cs="Arial" w:eastAsia="Arial" w:hAnsi="Arial"/>
          <w:color w:val="2A2630"/>
          <w:sz w:val="22"/>
          <w:szCs w:val="22"/>
        </w:rPr>
        <w:t xml:space="preserve">Tasks are ordered by dependency. P1 items are blockers for P2. P2 items are blockers for P3.</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880"/>
        <w:gridCol w:w="5760"/>
      </w:tblGrid>
      <w:tr>
        <w:tc>
          <w:tcPr>
            <w:tcW w:type="dxa" w:w="720"/>
            <w:tcBorders>
              <w:top w:val="single" w:color="2C1F45" w:sz="1"/>
              <w:left w:val="single" w:color="2C1F45" w:sz="1"/>
              <w:bottom w:val="single" w:color="2C1F45" w:sz="1"/>
              <w:right w:val="single" w:color="2C1F45" w:sz="1"/>
            </w:tcBorders>
            <w:shd w:fill="2C1F45" w:val="clear"/>
            <w:tcMar>
              <w:top w:type="dxa" w:w="80"/>
              <w:left w:type="dxa" w:w="80"/>
              <w:bottom w:type="dxa" w:w="80"/>
              <w:right w:type="dxa" w:w="80"/>
            </w:tcMar>
          </w:tcPr>
          <w:p>
            <w:pPr>
              <w:jc w:val="center"/>
            </w:pPr>
            <w:r>
              <w:rPr>
                <w:rFonts w:ascii="Arial" w:cs="Arial" w:eastAsia="Arial" w:hAnsi="Arial"/>
                <w:b/>
                <w:bCs/>
                <w:color w:val="FFFFFF"/>
                <w:sz w:val="20"/>
                <w:szCs w:val="20"/>
              </w:rPr>
              <w:t xml:space="preserve">Pri</w:t>
            </w:r>
          </w:p>
        </w:tc>
        <w:tc>
          <w:tcPr>
            <w:tcW w:type="dxa" w:w="2880"/>
            <w:tcBorders>
              <w:top w:val="single" w:color="2C1F45" w:sz="1"/>
              <w:left w:val="single" w:color="2C1F45" w:sz="1"/>
              <w:bottom w:val="single" w:color="2C1F45" w:sz="1"/>
              <w:right w:val="single" w:color="2C1F45" w:sz="1"/>
            </w:tcBorders>
            <w:shd w:fill="2C1F45"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5760"/>
            <w:tcBorders>
              <w:top w:val="single" w:color="2C1F45" w:sz="1"/>
              <w:left w:val="single" w:color="2C1F45" w:sz="1"/>
              <w:bottom w:val="single" w:color="2C1F45" w:sz="1"/>
              <w:right w:val="single" w:color="2C1F45" w:sz="1"/>
            </w:tcBorders>
            <w:shd w:fill="2C1F45" w:val="clear"/>
            <w:tcMar>
              <w:top w:type="dxa" w:w="80"/>
              <w:left w:type="dxa" w:w="120"/>
              <w:bottom w:type="dxa" w:w="80"/>
              <w:right w:type="dxa" w:w="120"/>
            </w:tcMar>
          </w:tcPr>
          <w:p>
            <w:r>
              <w:rPr>
                <w:rFonts w:ascii="Arial" w:cs="Arial" w:eastAsia="Arial" w:hAnsi="Arial"/>
                <w:b/>
                <w:bCs/>
                <w:color w:val="FFFFFF"/>
                <w:sz w:val="20"/>
                <w:szCs w:val="20"/>
              </w:rPr>
              <w:t xml:space="preserve">Task &amp; Rationale</w:t>
            </w:r>
          </w:p>
        </w:tc>
      </w:tr>
      <w:tr>
        <w:tc>
          <w:tcPr>
            <w:tcW w:type="dxa" w:w="720"/>
            <w:tcBorders>
              <w:top w:val="single" w:color="C17B7B" w:sz="1"/>
              <w:left w:val="single" w:color="C17B7B" w:sz="1"/>
              <w:bottom w:val="single" w:color="C17B7B" w:sz="1"/>
              <w:right w:val="single" w:color="C17B7B" w:sz="1"/>
            </w:tcBorders>
            <w:shd w:fill="C17B7B"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P0</w:t>
            </w:r>
          </w:p>
        </w:tc>
        <w:tc>
          <w:tcPr>
            <w:tcW w:type="dxa" w:w="2880"/>
            <w:tcBorders>
              <w:top w:val="single" w:color="D4CEDF" w:sz="1"/>
              <w:left w:val="single" w:color="D4CEDF" w:sz="1"/>
              <w:bottom w:val="single" w:color="D4CEDF" w:sz="1"/>
              <w:right w:val="single" w:color="D4CEDF" w:sz="1"/>
            </w:tcBorders>
            <w:shd w:fill="F2EFF7" w:val="clear"/>
            <w:tcMar>
              <w:top w:type="dxa" w:w="80"/>
              <w:left w:type="dxa" w:w="120"/>
              <w:bottom w:type="dxa" w:w="80"/>
              <w:right w:type="dxa" w:w="120"/>
            </w:tcMar>
            <w:vAlign w:val="center"/>
          </w:tcPr>
          <w:p>
            <w:r>
              <w:rPr>
                <w:rFonts w:ascii="Arial" w:cs="Arial" w:eastAsia="Arial" w:hAnsi="Arial"/>
                <w:b/>
                <w:bCs/>
                <w:color w:val="2C1F45"/>
                <w:sz w:val="20"/>
                <w:szCs w:val="20"/>
              </w:rPr>
              <w:t xml:space="preserve">User Auth</w:t>
            </w:r>
          </w:p>
        </w:tc>
        <w:tc>
          <w:tcPr>
            <w:tcW w:type="dxa" w:w="5760"/>
            <w:tcBorders>
              <w:top w:val="single" w:color="D4CEDF" w:sz="1"/>
              <w:left w:val="single" w:color="D4CEDF" w:sz="1"/>
              <w:bottom w:val="single" w:color="D4CEDF" w:sz="1"/>
              <w:right w:val="single" w:color="D4CEDF" w:sz="1"/>
            </w:tcBorders>
            <w:tcMar>
              <w:top w:type="dxa" w:w="80"/>
              <w:left w:type="dxa" w:w="120"/>
              <w:bottom w:type="dxa" w:w="80"/>
              <w:right w:type="dxa" w:w="120"/>
            </w:tcMar>
          </w:tcPr>
          <w:p>
            <w:r>
              <w:rPr>
                <w:rFonts w:ascii="Arial" w:cs="Arial" w:eastAsia="Arial" w:hAnsi="Arial"/>
                <w:b/>
                <w:bCs/>
                <w:color w:val="2A2630"/>
                <w:sz w:val="20"/>
                <w:szCs w:val="20"/>
              </w:rPr>
              <w:t xml:space="preserve">Integrate Clerk Auth into Expo app</w:t>
            </w:r>
          </w:p>
          <w:p>
            <w:r>
              <w:rPr>
                <w:rFonts w:ascii="Arial" w:cs="Arial" w:eastAsia="Arial" w:hAnsi="Arial"/>
                <w:color w:val="6B6478"/>
                <w:sz w:val="18"/>
                <w:szCs w:val="18"/>
              </w:rPr>
              <w:t xml:space="preserve">Prerequisite for all subscription work. No accounts = no trial tracking.</w:t>
            </w:r>
          </w:p>
        </w:tc>
      </w:tr>
      <w:tr>
        <w:tc>
          <w:tcPr>
            <w:tcW w:type="dxa" w:w="720"/>
            <w:tcBorders>
              <w:top w:val="single" w:color="7C6E8A" w:sz="1"/>
              <w:left w:val="single" w:color="7C6E8A" w:sz="1"/>
              <w:bottom w:val="single" w:color="7C6E8A" w:sz="1"/>
              <w:right w:val="single" w:color="7C6E8A" w:sz="1"/>
            </w:tcBorders>
            <w:shd w:fill="7C6E8A"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P1</w:t>
            </w:r>
          </w:p>
        </w:tc>
        <w:tc>
          <w:tcPr>
            <w:tcW w:type="dxa" w:w="2880"/>
            <w:tcBorders>
              <w:top w:val="single" w:color="D4CEDF" w:sz="1"/>
              <w:left w:val="single" w:color="D4CEDF" w:sz="1"/>
              <w:bottom w:val="single" w:color="D4CEDF" w:sz="1"/>
              <w:right w:val="single" w:color="D4CEDF" w:sz="1"/>
            </w:tcBorders>
            <w:shd w:fill="F2EFF7" w:val="clear"/>
            <w:tcMar>
              <w:top w:type="dxa" w:w="80"/>
              <w:left w:type="dxa" w:w="120"/>
              <w:bottom w:type="dxa" w:w="80"/>
              <w:right w:type="dxa" w:w="120"/>
            </w:tcMar>
            <w:vAlign w:val="center"/>
          </w:tcPr>
          <w:p>
            <w:r>
              <w:rPr>
                <w:rFonts w:ascii="Arial" w:cs="Arial" w:eastAsia="Arial" w:hAnsi="Arial"/>
                <w:b/>
                <w:bCs/>
                <w:color w:val="2C1F45"/>
                <w:sz w:val="20"/>
                <w:szCs w:val="20"/>
              </w:rPr>
              <w:t xml:space="preserve">Stripe Sub Product</w:t>
            </w:r>
          </w:p>
        </w:tc>
        <w:tc>
          <w:tcPr>
            <w:tcW w:type="dxa" w:w="5760"/>
            <w:tcBorders>
              <w:top w:val="single" w:color="D4CEDF" w:sz="1"/>
              <w:left w:val="single" w:color="D4CEDF" w:sz="1"/>
              <w:bottom w:val="single" w:color="D4CEDF" w:sz="1"/>
              <w:right w:val="single" w:color="D4CEDF" w:sz="1"/>
            </w:tcBorders>
            <w:tcMar>
              <w:top w:type="dxa" w:w="80"/>
              <w:left w:type="dxa" w:w="120"/>
              <w:bottom w:type="dxa" w:w="80"/>
              <w:right w:type="dxa" w:w="120"/>
            </w:tcMar>
          </w:tcPr>
          <w:p>
            <w:r>
              <w:rPr>
                <w:rFonts w:ascii="Arial" w:cs="Arial" w:eastAsia="Arial" w:hAnsi="Arial"/>
                <w:b/>
                <w:bCs/>
                <w:color w:val="2A2630"/>
                <w:sz w:val="20"/>
                <w:szCs w:val="20"/>
              </w:rPr>
              <w:t xml:space="preserve">Create subscription product in Stripe with 30-day trial</w:t>
            </w:r>
          </w:p>
          <w:p>
            <w:r>
              <w:rPr>
                <w:rFonts w:ascii="Arial" w:cs="Arial" w:eastAsia="Arial" w:hAnsi="Arial"/>
                <w:color w:val="6B6478"/>
                <w:sz w:val="18"/>
                <w:szCs w:val="18"/>
              </w:rPr>
              <w:t xml:space="preserve">Set up $4.99/mo product, configure trial period, test in Stripe sandbox.</w:t>
            </w:r>
          </w:p>
        </w:tc>
      </w:tr>
      <w:tr>
        <w:tc>
          <w:tcPr>
            <w:tcW w:type="dxa" w:w="720"/>
            <w:tcBorders>
              <w:top w:val="single" w:color="7C6E8A" w:sz="1"/>
              <w:left w:val="single" w:color="7C6E8A" w:sz="1"/>
              <w:bottom w:val="single" w:color="7C6E8A" w:sz="1"/>
              <w:right w:val="single" w:color="7C6E8A" w:sz="1"/>
            </w:tcBorders>
            <w:shd w:fill="7C6E8A"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P1</w:t>
            </w:r>
          </w:p>
        </w:tc>
        <w:tc>
          <w:tcPr>
            <w:tcW w:type="dxa" w:w="2880"/>
            <w:tcBorders>
              <w:top w:val="single" w:color="D4CEDF" w:sz="1"/>
              <w:left w:val="single" w:color="D4CEDF" w:sz="1"/>
              <w:bottom w:val="single" w:color="D4CEDF" w:sz="1"/>
              <w:right w:val="single" w:color="D4CEDF" w:sz="1"/>
            </w:tcBorders>
            <w:shd w:fill="F2EFF7" w:val="clear"/>
            <w:tcMar>
              <w:top w:type="dxa" w:w="80"/>
              <w:left w:type="dxa" w:w="120"/>
              <w:bottom w:type="dxa" w:w="80"/>
              <w:right w:type="dxa" w:w="120"/>
            </w:tcMar>
            <w:vAlign w:val="center"/>
          </w:tcPr>
          <w:p>
            <w:r>
              <w:rPr>
                <w:rFonts w:ascii="Arial" w:cs="Arial" w:eastAsia="Arial" w:hAnsi="Arial"/>
                <w:b/>
                <w:bCs/>
                <w:color w:val="2C1F45"/>
                <w:sz w:val="20"/>
                <w:szCs w:val="20"/>
              </w:rPr>
              <w:t xml:space="preserve">Webhook Handler</w:t>
            </w:r>
          </w:p>
        </w:tc>
        <w:tc>
          <w:tcPr>
            <w:tcW w:type="dxa" w:w="5760"/>
            <w:tcBorders>
              <w:top w:val="single" w:color="D4CEDF" w:sz="1"/>
              <w:left w:val="single" w:color="D4CEDF" w:sz="1"/>
              <w:bottom w:val="single" w:color="D4CEDF" w:sz="1"/>
              <w:right w:val="single" w:color="D4CEDF" w:sz="1"/>
            </w:tcBorders>
            <w:tcMar>
              <w:top w:type="dxa" w:w="80"/>
              <w:left w:type="dxa" w:w="120"/>
              <w:bottom w:type="dxa" w:w="80"/>
              <w:right w:type="dxa" w:w="120"/>
            </w:tcMar>
          </w:tcPr>
          <w:p>
            <w:r>
              <w:rPr>
                <w:rFonts w:ascii="Arial" w:cs="Arial" w:eastAsia="Arial" w:hAnsi="Arial"/>
                <w:b/>
                <w:bCs/>
                <w:color w:val="2A2630"/>
                <w:sz w:val="20"/>
                <w:szCs w:val="20"/>
              </w:rPr>
              <w:t xml:space="preserve">Add Stripe webhook endpoint to server</w:t>
            </w:r>
          </w:p>
          <w:p>
            <w:r>
              <w:rPr>
                <w:rFonts w:ascii="Arial" w:cs="Arial" w:eastAsia="Arial" w:hAnsi="Arial"/>
                <w:color w:val="6B6478"/>
                <w:sz w:val="18"/>
                <w:szCs w:val="18"/>
              </w:rPr>
              <w:t xml:space="preserve">Handle subscription.created, payment_failed, subscription.deleted events.</w:t>
            </w:r>
          </w:p>
        </w:tc>
      </w:tr>
      <w:tr>
        <w:tc>
          <w:tcPr>
            <w:tcW w:type="dxa" w:w="720"/>
            <w:tcBorders>
              <w:top w:val="single" w:color="5B8A6B" w:sz="1"/>
              <w:left w:val="single" w:color="5B8A6B" w:sz="1"/>
              <w:bottom w:val="single" w:color="5B8A6B" w:sz="1"/>
              <w:right w:val="single" w:color="5B8A6B" w:sz="1"/>
            </w:tcBorders>
            <w:shd w:fill="5B8A6B"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P2</w:t>
            </w:r>
          </w:p>
        </w:tc>
        <w:tc>
          <w:tcPr>
            <w:tcW w:type="dxa" w:w="2880"/>
            <w:tcBorders>
              <w:top w:val="single" w:color="D4CEDF" w:sz="1"/>
              <w:left w:val="single" w:color="D4CEDF" w:sz="1"/>
              <w:bottom w:val="single" w:color="D4CEDF" w:sz="1"/>
              <w:right w:val="single" w:color="D4CEDF" w:sz="1"/>
            </w:tcBorders>
            <w:shd w:fill="F2EFF7" w:val="clear"/>
            <w:tcMar>
              <w:top w:type="dxa" w:w="80"/>
              <w:left w:type="dxa" w:w="120"/>
              <w:bottom w:type="dxa" w:w="80"/>
              <w:right w:type="dxa" w:w="120"/>
            </w:tcMar>
            <w:vAlign w:val="center"/>
          </w:tcPr>
          <w:p>
            <w:r>
              <w:rPr>
                <w:rFonts w:ascii="Arial" w:cs="Arial" w:eastAsia="Arial" w:hAnsi="Arial"/>
                <w:b/>
                <w:bCs/>
                <w:color w:val="2C1F45"/>
                <w:sz w:val="20"/>
                <w:szCs w:val="20"/>
              </w:rPr>
              <w:t xml:space="preserve">Server Rate Limits</w:t>
            </w:r>
          </w:p>
        </w:tc>
        <w:tc>
          <w:tcPr>
            <w:tcW w:type="dxa" w:w="5760"/>
            <w:tcBorders>
              <w:top w:val="single" w:color="D4CEDF" w:sz="1"/>
              <w:left w:val="single" w:color="D4CEDF" w:sz="1"/>
              <w:bottom w:val="single" w:color="D4CEDF" w:sz="1"/>
              <w:right w:val="single" w:color="D4CEDF" w:sz="1"/>
            </w:tcBorders>
            <w:tcMar>
              <w:top w:type="dxa" w:w="80"/>
              <w:left w:type="dxa" w:w="120"/>
              <w:bottom w:type="dxa" w:w="80"/>
              <w:right w:type="dxa" w:w="120"/>
            </w:tcMar>
          </w:tcPr>
          <w:p>
            <w:r>
              <w:rPr>
                <w:rFonts w:ascii="Arial" w:cs="Arial" w:eastAsia="Arial" w:hAnsi="Arial"/>
                <w:b/>
                <w:bCs/>
                <w:color w:val="2A2630"/>
                <w:sz w:val="20"/>
                <w:szCs w:val="20"/>
              </w:rPr>
              <w:t xml:space="preserve">Tie rate limiting to user subscription status</w:t>
            </w:r>
          </w:p>
          <w:p>
            <w:r>
              <w:rPr>
                <w:rFonts w:ascii="Arial" w:cs="Arial" w:eastAsia="Arial" w:hAnsi="Arial"/>
                <w:color w:val="6B6478"/>
                <w:sz w:val="18"/>
                <w:szCs w:val="18"/>
              </w:rPr>
              <w:t xml:space="preserve">Replace IP-only limits with account-aware limits across trial / expired / paid tiers.</w:t>
            </w:r>
          </w:p>
        </w:tc>
      </w:tr>
      <w:tr>
        <w:tc>
          <w:tcPr>
            <w:tcW w:type="dxa" w:w="720"/>
            <w:tcBorders>
              <w:top w:val="single" w:color="5B8A6B" w:sz="1"/>
              <w:left w:val="single" w:color="5B8A6B" w:sz="1"/>
              <w:bottom w:val="single" w:color="5B8A6B" w:sz="1"/>
              <w:right w:val="single" w:color="5B8A6B" w:sz="1"/>
            </w:tcBorders>
            <w:shd w:fill="5B8A6B"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P2</w:t>
            </w:r>
          </w:p>
        </w:tc>
        <w:tc>
          <w:tcPr>
            <w:tcW w:type="dxa" w:w="2880"/>
            <w:tcBorders>
              <w:top w:val="single" w:color="D4CEDF" w:sz="1"/>
              <w:left w:val="single" w:color="D4CEDF" w:sz="1"/>
              <w:bottom w:val="single" w:color="D4CEDF" w:sz="1"/>
              <w:right w:val="single" w:color="D4CEDF" w:sz="1"/>
            </w:tcBorders>
            <w:shd w:fill="F2EFF7" w:val="clear"/>
            <w:tcMar>
              <w:top w:type="dxa" w:w="80"/>
              <w:left w:type="dxa" w:w="120"/>
              <w:bottom w:type="dxa" w:w="80"/>
              <w:right w:type="dxa" w:w="120"/>
            </w:tcMar>
            <w:vAlign w:val="center"/>
          </w:tcPr>
          <w:p>
            <w:r>
              <w:rPr>
                <w:rFonts w:ascii="Arial" w:cs="Arial" w:eastAsia="Arial" w:hAnsi="Arial"/>
                <w:b/>
                <w:bCs/>
                <w:color w:val="2C1F45"/>
                <w:sz w:val="20"/>
                <w:szCs w:val="20"/>
              </w:rPr>
              <w:t xml:space="preserve">Trial UI</w:t>
            </w:r>
          </w:p>
        </w:tc>
        <w:tc>
          <w:tcPr>
            <w:tcW w:type="dxa" w:w="5760"/>
            <w:tcBorders>
              <w:top w:val="single" w:color="D4CEDF" w:sz="1"/>
              <w:left w:val="single" w:color="D4CEDF" w:sz="1"/>
              <w:bottom w:val="single" w:color="D4CEDF" w:sz="1"/>
              <w:right w:val="single" w:color="D4CEDF" w:sz="1"/>
            </w:tcBorders>
            <w:tcMar>
              <w:top w:type="dxa" w:w="80"/>
              <w:left w:type="dxa" w:w="120"/>
              <w:bottom w:type="dxa" w:w="80"/>
              <w:right w:type="dxa" w:w="120"/>
            </w:tcMar>
          </w:tcPr>
          <w:p>
            <w:r>
              <w:rPr>
                <w:rFonts w:ascii="Arial" w:cs="Arial" w:eastAsia="Arial" w:hAnsi="Arial"/>
                <w:b/>
                <w:bCs/>
                <w:color w:val="2A2630"/>
                <w:sz w:val="20"/>
                <w:szCs w:val="20"/>
              </w:rPr>
              <w:t xml:space="preserve">Add trial countdown banner to Home screen</w:t>
            </w:r>
          </w:p>
          <w:p>
            <w:r>
              <w:rPr>
                <w:rFonts w:ascii="Arial" w:cs="Arial" w:eastAsia="Arial" w:hAnsi="Arial"/>
                <w:color w:val="6B6478"/>
                <w:sz w:val="18"/>
                <w:szCs w:val="18"/>
              </w:rPr>
              <w:t xml:space="preserve">Show "X days left in trial" and a soft upgrade prompt from day 25 onwards.</w:t>
            </w:r>
          </w:p>
        </w:tc>
      </w:tr>
      <w:tr>
        <w:tc>
          <w:tcPr>
            <w:tcW w:type="dxa" w:w="720"/>
            <w:tcBorders>
              <w:top w:val="single" w:color="C9A84C" w:sz="1"/>
              <w:left w:val="single" w:color="C9A84C" w:sz="1"/>
              <w:bottom w:val="single" w:color="C9A84C" w:sz="1"/>
              <w:right w:val="single" w:color="C9A84C" w:sz="1"/>
            </w:tcBorders>
            <w:shd w:fill="C9A84C"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P3</w:t>
            </w:r>
          </w:p>
        </w:tc>
        <w:tc>
          <w:tcPr>
            <w:tcW w:type="dxa" w:w="2880"/>
            <w:tcBorders>
              <w:top w:val="single" w:color="D4CEDF" w:sz="1"/>
              <w:left w:val="single" w:color="D4CEDF" w:sz="1"/>
              <w:bottom w:val="single" w:color="D4CEDF" w:sz="1"/>
              <w:right w:val="single" w:color="D4CEDF" w:sz="1"/>
            </w:tcBorders>
            <w:shd w:fill="F2EFF7" w:val="clear"/>
            <w:tcMar>
              <w:top w:type="dxa" w:w="80"/>
              <w:left w:type="dxa" w:w="120"/>
              <w:bottom w:type="dxa" w:w="80"/>
              <w:right w:type="dxa" w:w="120"/>
            </w:tcMar>
            <w:vAlign w:val="center"/>
          </w:tcPr>
          <w:p>
            <w:r>
              <w:rPr>
                <w:rFonts w:ascii="Arial" w:cs="Arial" w:eastAsia="Arial" w:hAnsi="Arial"/>
                <w:b/>
                <w:bCs/>
                <w:color w:val="2C1F45"/>
                <w:sz w:val="20"/>
                <w:szCs w:val="20"/>
              </w:rPr>
              <w:t xml:space="preserve">Paywall Screen</w:t>
            </w:r>
          </w:p>
        </w:tc>
        <w:tc>
          <w:tcPr>
            <w:tcW w:type="dxa" w:w="5760"/>
            <w:tcBorders>
              <w:top w:val="single" w:color="D4CEDF" w:sz="1"/>
              <w:left w:val="single" w:color="D4CEDF" w:sz="1"/>
              <w:bottom w:val="single" w:color="D4CEDF" w:sz="1"/>
              <w:right w:val="single" w:color="D4CEDF" w:sz="1"/>
            </w:tcBorders>
            <w:tcMar>
              <w:top w:type="dxa" w:w="80"/>
              <w:left w:type="dxa" w:w="120"/>
              <w:bottom w:type="dxa" w:w="80"/>
              <w:right w:type="dxa" w:w="120"/>
            </w:tcMar>
          </w:tcPr>
          <w:p>
            <w:r>
              <w:rPr>
                <w:rFonts w:ascii="Arial" w:cs="Arial" w:eastAsia="Arial" w:hAnsi="Arial"/>
                <w:b/>
                <w:bCs/>
                <w:color w:val="2A2630"/>
                <w:sz w:val="20"/>
                <w:szCs w:val="20"/>
              </w:rPr>
              <w:t xml:space="preserve">Build upgrade screen shown when limit is hit</w:t>
            </w:r>
          </w:p>
          <w:p>
            <w:r>
              <w:rPr>
                <w:rFonts w:ascii="Arial" w:cs="Arial" w:eastAsia="Arial" w:hAnsi="Arial"/>
                <w:color w:val="6B6478"/>
                <w:sz w:val="18"/>
                <w:szCs w:val="18"/>
              </w:rPr>
              <w:t xml:space="preserve">Full-screen with pricing, feature list, and Stripe checkout button. Launches after trial expires.</w:t>
            </w:r>
          </w:p>
        </w:tc>
      </w:tr>
      <w:tr>
        <w:tc>
          <w:tcPr>
            <w:tcW w:type="dxa" w:w="720"/>
            <w:tcBorders>
              <w:top w:val="single" w:color="C9A84C" w:sz="1"/>
              <w:left w:val="single" w:color="C9A84C" w:sz="1"/>
              <w:bottom w:val="single" w:color="C9A84C" w:sz="1"/>
              <w:right w:val="single" w:color="C9A84C" w:sz="1"/>
            </w:tcBorders>
            <w:shd w:fill="C9A84C"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P3</w:t>
            </w:r>
          </w:p>
        </w:tc>
        <w:tc>
          <w:tcPr>
            <w:tcW w:type="dxa" w:w="2880"/>
            <w:tcBorders>
              <w:top w:val="single" w:color="D4CEDF" w:sz="1"/>
              <w:left w:val="single" w:color="D4CEDF" w:sz="1"/>
              <w:bottom w:val="single" w:color="D4CEDF" w:sz="1"/>
              <w:right w:val="single" w:color="D4CEDF" w:sz="1"/>
            </w:tcBorders>
            <w:shd w:fill="F2EFF7" w:val="clear"/>
            <w:tcMar>
              <w:top w:type="dxa" w:w="80"/>
              <w:left w:type="dxa" w:w="120"/>
              <w:bottom w:type="dxa" w:w="80"/>
              <w:right w:type="dxa" w:w="120"/>
            </w:tcMar>
            <w:vAlign w:val="center"/>
          </w:tcPr>
          <w:p>
            <w:r>
              <w:rPr>
                <w:rFonts w:ascii="Arial" w:cs="Arial" w:eastAsia="Arial" w:hAnsi="Arial"/>
                <w:b/>
                <w:bCs/>
                <w:color w:val="2C1F45"/>
                <w:sz w:val="20"/>
                <w:szCs w:val="20"/>
              </w:rPr>
              <w:t xml:space="preserve">Helmet.js</w:t>
            </w:r>
          </w:p>
        </w:tc>
        <w:tc>
          <w:tcPr>
            <w:tcW w:type="dxa" w:w="5760"/>
            <w:tcBorders>
              <w:top w:val="single" w:color="D4CEDF" w:sz="1"/>
              <w:left w:val="single" w:color="D4CEDF" w:sz="1"/>
              <w:bottom w:val="single" w:color="D4CEDF" w:sz="1"/>
              <w:right w:val="single" w:color="D4CEDF" w:sz="1"/>
            </w:tcBorders>
            <w:tcMar>
              <w:top w:type="dxa" w:w="80"/>
              <w:left w:type="dxa" w:w="120"/>
              <w:bottom w:type="dxa" w:w="80"/>
              <w:right w:type="dxa" w:w="120"/>
            </w:tcMar>
          </w:tcPr>
          <w:p>
            <w:r>
              <w:rPr>
                <w:rFonts w:ascii="Arial" w:cs="Arial" w:eastAsia="Arial" w:hAnsi="Arial"/>
                <w:b/>
                <w:bCs/>
                <w:color w:val="2A2630"/>
                <w:sz w:val="20"/>
                <w:szCs w:val="20"/>
              </w:rPr>
              <w:t xml:space="preserve">Add security headers to server</w:t>
            </w:r>
          </w:p>
          <w:p>
            <w:r>
              <w:rPr>
                <w:rFonts w:ascii="Arial" w:cs="Arial" w:eastAsia="Arial" w:hAnsi="Arial"/>
                <w:color w:val="6B6478"/>
                <w:sz w:val="18"/>
                <w:szCs w:val="18"/>
              </w:rPr>
              <w:t xml:space="preserve">XSS + clickjacking protection. Required for App Store approval.</w:t>
            </w:r>
          </w:p>
        </w:tc>
      </w:tr>
      <w:tr>
        <w:tc>
          <w:tcPr>
            <w:tcW w:type="dxa" w:w="720"/>
            <w:tcBorders>
              <w:top w:val="single" w:color="C9A84C" w:sz="1"/>
              <w:left w:val="single" w:color="C9A84C" w:sz="1"/>
              <w:bottom w:val="single" w:color="C9A84C" w:sz="1"/>
              <w:right w:val="single" w:color="C9A84C" w:sz="1"/>
            </w:tcBorders>
            <w:shd w:fill="C9A84C"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P3</w:t>
            </w:r>
          </w:p>
        </w:tc>
        <w:tc>
          <w:tcPr>
            <w:tcW w:type="dxa" w:w="2880"/>
            <w:tcBorders>
              <w:top w:val="single" w:color="D4CEDF" w:sz="1"/>
              <w:left w:val="single" w:color="D4CEDF" w:sz="1"/>
              <w:bottom w:val="single" w:color="D4CEDF" w:sz="1"/>
              <w:right w:val="single" w:color="D4CEDF" w:sz="1"/>
            </w:tcBorders>
            <w:shd w:fill="F2EFF7" w:val="clear"/>
            <w:tcMar>
              <w:top w:type="dxa" w:w="80"/>
              <w:left w:type="dxa" w:w="120"/>
              <w:bottom w:type="dxa" w:w="80"/>
              <w:right w:type="dxa" w:w="120"/>
            </w:tcMar>
            <w:vAlign w:val="center"/>
          </w:tcPr>
          <w:p>
            <w:r>
              <w:rPr>
                <w:rFonts w:ascii="Arial" w:cs="Arial" w:eastAsia="Arial" w:hAnsi="Arial"/>
                <w:b/>
                <w:bCs/>
                <w:color w:val="2C1F45"/>
                <w:sz w:val="20"/>
                <w:szCs w:val="20"/>
              </w:rPr>
              <w:t xml:space="preserve">HTTPS Redirect</w:t>
            </w:r>
          </w:p>
        </w:tc>
        <w:tc>
          <w:tcPr>
            <w:tcW w:type="dxa" w:w="5760"/>
            <w:tcBorders>
              <w:top w:val="single" w:color="D4CEDF" w:sz="1"/>
              <w:left w:val="single" w:color="D4CEDF" w:sz="1"/>
              <w:bottom w:val="single" w:color="D4CEDF" w:sz="1"/>
              <w:right w:val="single" w:color="D4CEDF" w:sz="1"/>
            </w:tcBorders>
            <w:tcMar>
              <w:top w:type="dxa" w:w="80"/>
              <w:left w:type="dxa" w:w="120"/>
              <w:bottom w:type="dxa" w:w="80"/>
              <w:right w:type="dxa" w:w="120"/>
            </w:tcMar>
          </w:tcPr>
          <w:p>
            <w:r>
              <w:rPr>
                <w:rFonts w:ascii="Arial" w:cs="Arial" w:eastAsia="Arial" w:hAnsi="Arial"/>
                <w:b/>
                <w:bCs/>
                <w:color w:val="2A2630"/>
                <w:sz w:val="20"/>
                <w:szCs w:val="20"/>
              </w:rPr>
              <w:t xml:space="preserve">Enforce HTTPS on all server routes</w:t>
            </w:r>
          </w:p>
          <w:p>
            <w:r>
              <w:rPr>
                <w:rFonts w:ascii="Arial" w:cs="Arial" w:eastAsia="Arial" w:hAnsi="Arial"/>
                <w:color w:val="6B6478"/>
                <w:sz w:val="18"/>
                <w:szCs w:val="18"/>
              </w:rPr>
              <w:t xml:space="preserve">Required for App Store submission. 1-line change.</w:t>
            </w:r>
          </w:p>
        </w:tc>
      </w:tr>
      <w:tr>
        <w:tc>
          <w:tcPr>
            <w:tcW w:type="dxa" w:w="720"/>
            <w:tcBorders>
              <w:top w:val="single" w:color="6B6478" w:sz="1"/>
              <w:left w:val="single" w:color="6B6478" w:sz="1"/>
              <w:bottom w:val="single" w:color="6B6478" w:sz="1"/>
              <w:right w:val="single" w:color="6B6478" w:sz="1"/>
            </w:tcBorders>
            <w:shd w:fill="6B6478"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PRE</w:t>
            </w:r>
          </w:p>
        </w:tc>
        <w:tc>
          <w:tcPr>
            <w:tcW w:type="dxa" w:w="2880"/>
            <w:tcBorders>
              <w:top w:val="single" w:color="D4CEDF" w:sz="1"/>
              <w:left w:val="single" w:color="D4CEDF" w:sz="1"/>
              <w:bottom w:val="single" w:color="D4CEDF" w:sz="1"/>
              <w:right w:val="single" w:color="D4CEDF" w:sz="1"/>
            </w:tcBorders>
            <w:shd w:fill="F2EFF7" w:val="clear"/>
            <w:tcMar>
              <w:top w:type="dxa" w:w="80"/>
              <w:left w:type="dxa" w:w="120"/>
              <w:bottom w:type="dxa" w:w="80"/>
              <w:right w:type="dxa" w:w="120"/>
            </w:tcMar>
            <w:vAlign w:val="center"/>
          </w:tcPr>
          <w:p>
            <w:r>
              <w:rPr>
                <w:rFonts w:ascii="Arial" w:cs="Arial" w:eastAsia="Arial" w:hAnsi="Arial"/>
                <w:b/>
                <w:bCs/>
                <w:color w:val="2C1F45"/>
                <w:sz w:val="20"/>
                <w:szCs w:val="20"/>
              </w:rPr>
              <w:t xml:space="preserve">Reporting Setup</w:t>
            </w:r>
          </w:p>
        </w:tc>
        <w:tc>
          <w:tcPr>
            <w:tcW w:type="dxa" w:w="5760"/>
            <w:tcBorders>
              <w:top w:val="single" w:color="D4CEDF" w:sz="1"/>
              <w:left w:val="single" w:color="D4CEDF" w:sz="1"/>
              <w:bottom w:val="single" w:color="D4CEDF" w:sz="1"/>
              <w:right w:val="single" w:color="D4CEDF" w:sz="1"/>
            </w:tcBorders>
            <w:tcMar>
              <w:top w:type="dxa" w:w="80"/>
              <w:left w:type="dxa" w:w="120"/>
              <w:bottom w:type="dxa" w:w="80"/>
              <w:right w:type="dxa" w:w="120"/>
            </w:tcMar>
          </w:tcPr>
          <w:p>
            <w:r>
              <w:rPr>
                <w:rFonts w:ascii="Arial" w:cs="Arial" w:eastAsia="Arial" w:hAnsi="Arial"/>
                <w:b/>
                <w:bCs/>
                <w:color w:val="2A2630"/>
                <w:sz w:val="20"/>
                <w:szCs w:val="20"/>
              </w:rPr>
              <w:t xml:space="preserve">Connect Stripe + App Store data for post-launch reporting</w:t>
            </w:r>
          </w:p>
          <w:p>
            <w:r>
              <w:rPr>
                <w:rFonts w:ascii="Arial" w:cs="Arial" w:eastAsia="Arial" w:hAnsi="Arial"/>
                <w:color w:val="6B6478"/>
                <w:sz w:val="18"/>
                <w:szCs w:val="18"/>
              </w:rPr>
              <w:t xml:space="preserve">Wire up data sources week before launch (May 2–8) so first check-in report is ready May 16.</w:t>
            </w:r>
          </w:p>
        </w:tc>
      </w:tr>
    </w:tbl>
    <w:p>
      <w:pPr>
        <w:spacing w:after="160" w:before="160"/>
      </w:pPr>
      <w:r>
        <w:t xml:space="preserve"/>
      </w:r>
    </w:p>
    <w:p>
      <w:pPr>
        <w:pStyle w:val="Heading1"/>
        <w:pBdr>
          <w:bottom w:val="single" w:color="7C6E8A" w:sz="4" w:space="4"/>
        </w:pBdr>
        <w:spacing w:after="160" w:before="320"/>
      </w:pPr>
      <w:r>
        <w:rPr>
          <w:rFonts w:ascii="Arial" w:cs="Arial" w:eastAsia="Arial" w:hAnsi="Arial"/>
          <w:b/>
          <w:bCs/>
          <w:color w:val="2C1F45"/>
          <w:sz w:val="32"/>
          <w:szCs w:val="32"/>
        </w:rPr>
        <w:t xml:space="preserve">Out of Scope This Sprint</w:t>
      </w:r>
    </w:p>
    <w:p>
      <w:pPr>
        <w:pStyle w:val="ListParagraph"/>
        <w:numPr>
          <w:ilvl w:val="0"/>
          <w:numId w:val="2"/>
        </w:numPr>
        <w:spacing w:after="40" w:before="40"/>
      </w:pPr>
      <w:r>
        <w:rPr>
          <w:rFonts w:ascii="Arial" w:cs="Arial" w:eastAsia="Arial" w:hAnsi="Arial"/>
          <w:b w:val="false"/>
          <w:bCs w:val="false"/>
          <w:color w:val="2A2630"/>
          <w:sz w:val="22"/>
          <w:szCs w:val="22"/>
        </w:rPr>
        <w:t xml:space="preserve">Annual subscription pricing — deferred to post-launch</w:t>
      </w:r>
    </w:p>
    <w:p>
      <w:pPr>
        <w:pStyle w:val="ListParagraph"/>
        <w:numPr>
          <w:ilvl w:val="0"/>
          <w:numId w:val="2"/>
        </w:numPr>
        <w:spacing w:after="40" w:before="40"/>
      </w:pPr>
      <w:r>
        <w:rPr>
          <w:rFonts w:ascii="Arial" w:cs="Arial" w:eastAsia="Arial" w:hAnsi="Arial"/>
          <w:b w:val="false"/>
          <w:bCs w:val="false"/>
          <w:color w:val="2A2630"/>
          <w:sz w:val="22"/>
          <w:szCs w:val="22"/>
        </w:rPr>
        <w:t xml:space="preserve">In-app pricing surveys — not being built per decision made April 11</w:t>
      </w:r>
    </w:p>
    <w:p>
      <w:pPr>
        <w:pStyle w:val="ListParagraph"/>
        <w:numPr>
          <w:ilvl w:val="0"/>
          <w:numId w:val="2"/>
        </w:numPr>
        <w:spacing w:after="40" w:before="40"/>
      </w:pPr>
      <w:r>
        <w:rPr>
          <w:rFonts w:ascii="Arial" w:cs="Arial" w:eastAsia="Arial" w:hAnsi="Arial"/>
          <w:b w:val="false"/>
          <w:bCs w:val="false"/>
          <w:color w:val="2A2630"/>
          <w:sz w:val="22"/>
          <w:szCs w:val="22"/>
        </w:rPr>
        <w:t xml:space="preserve">Church / group license portal — future sprint</w:t>
      </w:r>
    </w:p>
    <w:p>
      <w:pPr>
        <w:pStyle w:val="ListParagraph"/>
        <w:numPr>
          <w:ilvl w:val="0"/>
          <w:numId w:val="2"/>
        </w:numPr>
        <w:spacing w:after="40" w:before="40"/>
      </w:pPr>
      <w:r>
        <w:rPr>
          <w:rFonts w:ascii="Arial" w:cs="Arial" w:eastAsia="Arial" w:hAnsi="Arial"/>
          <w:b w:val="false"/>
          <w:bCs w:val="false"/>
          <w:color w:val="2A2630"/>
          <w:sz w:val="22"/>
          <w:szCs w:val="22"/>
        </w:rPr>
        <w:t xml:space="preserve">Android-specific push notifications — iOS first</w:t>
      </w:r>
    </w:p>
    <w:p>
      <w:pPr>
        <w:spacing w:after="160" w:before="160"/>
      </w:pPr>
      <w:r>
        <w:t xml:space="preserve"/>
      </w:r>
    </w:p>
    <w:p>
      <w:pPr>
        <w:pStyle w:val="Heading1"/>
        <w:pBdr>
          <w:bottom w:val="single" w:color="7C6E8A" w:sz="4" w:space="4"/>
        </w:pBdr>
        <w:spacing w:after="160" w:before="320"/>
      </w:pPr>
      <w:r>
        <w:rPr>
          <w:rFonts w:ascii="Arial" w:cs="Arial" w:eastAsia="Arial" w:hAnsi="Arial"/>
          <w:b/>
          <w:bCs/>
          <w:color w:val="2C1F45"/>
          <w:sz w:val="32"/>
          <w:szCs w:val="32"/>
        </w:rPr>
        <w:t xml:space="preserve">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D4CEDF" w:sz="1"/>
              <w:left w:val="single" w:color="D4CEDF" w:sz="1"/>
              <w:bottom w:val="single" w:color="D4CEDF" w:sz="1"/>
              <w:right w:val="single" w:color="D4CEDF" w:sz="1"/>
            </w:tcBorders>
            <w:shd w:fill="F2EFF7" w:val="clear"/>
            <w:tcMar>
              <w:top w:type="dxa" w:w="80"/>
              <w:left w:type="dxa" w:w="120"/>
              <w:bottom w:type="dxa" w:w="80"/>
              <w:right w:type="dxa" w:w="120"/>
            </w:tcMar>
          </w:tcPr>
          <w:p>
            <w:r>
              <w:rPr>
                <w:rFonts w:ascii="Arial" w:cs="Arial" w:eastAsia="Arial" w:hAnsi="Arial"/>
                <w:b/>
                <w:bCs/>
                <w:color w:val="2C1F45"/>
                <w:sz w:val="20"/>
                <w:szCs w:val="20"/>
              </w:rPr>
              <w:t xml:space="preserve">Decision Owner</w:t>
            </w:r>
          </w:p>
        </w:tc>
        <w:tc>
          <w:tcPr>
            <w:tcW w:type="dxa" w:w="6480"/>
            <w:tcBorders>
              <w:top w:val="single" w:color="D4CEDF" w:sz="1"/>
              <w:left w:val="single" w:color="D4CEDF" w:sz="1"/>
              <w:bottom w:val="single" w:color="D4CEDF" w:sz="1"/>
              <w:right w:val="single" w:color="D4CEDF" w:sz="1"/>
            </w:tcBorders>
            <w:tcMar>
              <w:top w:type="dxa" w:w="80"/>
              <w:left w:type="dxa" w:w="120"/>
              <w:bottom w:type="dxa" w:w="80"/>
              <w:right w:type="dxa" w:w="120"/>
            </w:tcMar>
          </w:tcPr>
          <w:p>
            <w:r>
              <w:rPr>
                <w:rFonts w:ascii="Arial" w:cs="Arial" w:eastAsia="Arial" w:hAnsi="Arial"/>
                <w:color w:val="2A2630"/>
                <w:sz w:val="20"/>
                <w:szCs w:val="20"/>
              </w:rPr>
              <w:t xml:space="preserve">Pedro Siqueira</w:t>
            </w:r>
          </w:p>
        </w:tc>
      </w:tr>
      <w:tr>
        <w:tc>
          <w:tcPr>
            <w:tcW w:type="dxa" w:w="2880"/>
            <w:tcBorders>
              <w:top w:val="single" w:color="D4CEDF" w:sz="1"/>
              <w:left w:val="single" w:color="D4CEDF" w:sz="1"/>
              <w:bottom w:val="single" w:color="D4CEDF" w:sz="1"/>
              <w:right w:val="single" w:color="D4CEDF" w:sz="1"/>
            </w:tcBorders>
            <w:shd w:fill="F2EFF7" w:val="clear"/>
            <w:tcMar>
              <w:top w:type="dxa" w:w="80"/>
              <w:left w:type="dxa" w:w="120"/>
              <w:bottom w:type="dxa" w:w="80"/>
              <w:right w:type="dxa" w:w="120"/>
            </w:tcMar>
          </w:tcPr>
          <w:p>
            <w:r>
              <w:rPr>
                <w:rFonts w:ascii="Arial" w:cs="Arial" w:eastAsia="Arial" w:hAnsi="Arial"/>
                <w:b/>
                <w:bCs/>
                <w:color w:val="2C1F45"/>
                <w:sz w:val="20"/>
                <w:szCs w:val="20"/>
              </w:rPr>
              <w:t xml:space="preserve">Prepared By</w:t>
            </w:r>
          </w:p>
        </w:tc>
        <w:tc>
          <w:tcPr>
            <w:tcW w:type="dxa" w:w="6480"/>
            <w:tcBorders>
              <w:top w:val="single" w:color="D4CEDF" w:sz="1"/>
              <w:left w:val="single" w:color="D4CEDF" w:sz="1"/>
              <w:bottom w:val="single" w:color="D4CEDF" w:sz="1"/>
              <w:right w:val="single" w:color="D4CEDF" w:sz="1"/>
            </w:tcBorders>
            <w:tcMar>
              <w:top w:type="dxa" w:w="80"/>
              <w:left w:type="dxa" w:w="120"/>
              <w:bottom w:type="dxa" w:w="80"/>
              <w:right w:type="dxa" w:w="120"/>
            </w:tcMar>
          </w:tcPr>
          <w:p>
            <w:r>
              <w:rPr>
                <w:rFonts w:ascii="Arial" w:cs="Arial" w:eastAsia="Arial" w:hAnsi="Arial"/>
                <w:color w:val="2A2630"/>
                <w:sz w:val="20"/>
                <w:szCs w:val="20"/>
              </w:rPr>
              <w:t xml:space="preserve">Claude (Verse for You Build Session)</w:t>
            </w:r>
          </w:p>
        </w:tc>
      </w:tr>
      <w:tr>
        <w:tc>
          <w:tcPr>
            <w:tcW w:type="dxa" w:w="2880"/>
            <w:tcBorders>
              <w:top w:val="single" w:color="D4CEDF" w:sz="1"/>
              <w:left w:val="single" w:color="D4CEDF" w:sz="1"/>
              <w:bottom w:val="single" w:color="D4CEDF" w:sz="1"/>
              <w:right w:val="single" w:color="D4CEDF" w:sz="1"/>
            </w:tcBorders>
            <w:shd w:fill="F2EFF7" w:val="clear"/>
            <w:tcMar>
              <w:top w:type="dxa" w:w="80"/>
              <w:left w:type="dxa" w:w="120"/>
              <w:bottom w:type="dxa" w:w="80"/>
              <w:right w:type="dxa" w:w="120"/>
            </w:tcMar>
          </w:tcPr>
          <w:p>
            <w:r>
              <w:rPr>
                <w:rFonts w:ascii="Arial" w:cs="Arial" w:eastAsia="Arial" w:hAnsi="Arial"/>
                <w:b/>
                <w:bCs/>
                <w:color w:val="2C1F45"/>
                <w:sz w:val="20"/>
                <w:szCs w:val="20"/>
              </w:rPr>
              <w:t xml:space="preserve">Date</w:t>
            </w:r>
          </w:p>
        </w:tc>
        <w:tc>
          <w:tcPr>
            <w:tcW w:type="dxa" w:w="6480"/>
            <w:tcBorders>
              <w:top w:val="single" w:color="D4CEDF" w:sz="1"/>
              <w:left w:val="single" w:color="D4CEDF" w:sz="1"/>
              <w:bottom w:val="single" w:color="D4CEDF" w:sz="1"/>
              <w:right w:val="single" w:color="D4CEDF" w:sz="1"/>
            </w:tcBorders>
            <w:tcMar>
              <w:top w:type="dxa" w:w="80"/>
              <w:left w:type="dxa" w:w="120"/>
              <w:bottom w:type="dxa" w:w="80"/>
              <w:right w:type="dxa" w:w="120"/>
            </w:tcMar>
          </w:tcPr>
          <w:p>
            <w:r>
              <w:rPr>
                <w:rFonts w:ascii="Arial" w:cs="Arial" w:eastAsia="Arial" w:hAnsi="Arial"/>
                <w:color w:val="2A2630"/>
                <w:sz w:val="20"/>
                <w:szCs w:val="20"/>
              </w:rPr>
              <w:t xml:space="preserve">April 11, 2026</w:t>
            </w:r>
          </w:p>
        </w:tc>
      </w:tr>
      <w:tr>
        <w:tc>
          <w:tcPr>
            <w:tcW w:type="dxa" w:w="2880"/>
            <w:tcBorders>
              <w:top w:val="single" w:color="D4CEDF" w:sz="1"/>
              <w:left w:val="single" w:color="D4CEDF" w:sz="1"/>
              <w:bottom w:val="single" w:color="D4CEDF" w:sz="1"/>
              <w:right w:val="single" w:color="D4CEDF" w:sz="1"/>
            </w:tcBorders>
            <w:shd w:fill="F2EFF7" w:val="clear"/>
            <w:tcMar>
              <w:top w:type="dxa" w:w="80"/>
              <w:left w:type="dxa" w:w="120"/>
              <w:bottom w:type="dxa" w:w="80"/>
              <w:right w:type="dxa" w:w="120"/>
            </w:tcMar>
          </w:tcPr>
          <w:p>
            <w:r>
              <w:rPr>
                <w:rFonts w:ascii="Arial" w:cs="Arial" w:eastAsia="Arial" w:hAnsi="Arial"/>
                <w:b/>
                <w:bCs/>
                <w:color w:val="2C1F45"/>
                <w:sz w:val="20"/>
                <w:szCs w:val="20"/>
              </w:rPr>
              <w:t xml:space="preserve">Next Review</w:t>
            </w:r>
          </w:p>
        </w:tc>
        <w:tc>
          <w:tcPr>
            <w:tcW w:type="dxa" w:w="6480"/>
            <w:tcBorders>
              <w:top w:val="single" w:color="D4CEDF" w:sz="1"/>
              <w:left w:val="single" w:color="D4CEDF" w:sz="1"/>
              <w:bottom w:val="single" w:color="D4CEDF" w:sz="1"/>
              <w:right w:val="single" w:color="D4CEDF" w:sz="1"/>
            </w:tcBorders>
            <w:tcMar>
              <w:top w:type="dxa" w:w="80"/>
              <w:left w:type="dxa" w:w="120"/>
              <w:bottom w:type="dxa" w:w="80"/>
              <w:right w:type="dxa" w:w="120"/>
            </w:tcMar>
          </w:tcPr>
          <w:p>
            <w:r>
              <w:rPr>
                <w:rFonts w:ascii="Arial" w:cs="Arial" w:eastAsia="Arial" w:hAnsi="Arial"/>
                <w:color w:val="2A2630"/>
                <w:sz w:val="20"/>
                <w:szCs w:val="20"/>
              </w:rPr>
              <w:t xml:space="preserve">April 18, 2026 — Saturday Check-In #2  ·  10:00 AM ET</w:t>
            </w:r>
          </w:p>
        </w:tc>
      </w:tr>
      <w:tr>
        <w:tc>
          <w:tcPr>
            <w:tcW w:type="dxa" w:w="2880"/>
            <w:tcBorders>
              <w:top w:val="single" w:color="D4CEDF" w:sz="1"/>
              <w:left w:val="single" w:color="D4CEDF" w:sz="1"/>
              <w:bottom w:val="single" w:color="D4CEDF" w:sz="1"/>
              <w:right w:val="single" w:color="D4CEDF" w:sz="1"/>
            </w:tcBorders>
            <w:shd w:fill="F2EFF7" w:val="clear"/>
            <w:tcMar>
              <w:top w:type="dxa" w:w="80"/>
              <w:left w:type="dxa" w:w="120"/>
              <w:bottom w:type="dxa" w:w="80"/>
              <w:right w:type="dxa" w:w="120"/>
            </w:tcMar>
          </w:tcPr>
          <w:p>
            <w:r>
              <w:rPr>
                <w:rFonts w:ascii="Arial" w:cs="Arial" w:eastAsia="Arial" w:hAnsi="Arial"/>
                <w:b/>
                <w:bCs/>
                <w:color w:val="2C1F45"/>
                <w:sz w:val="20"/>
                <w:szCs w:val="20"/>
              </w:rPr>
              <w:t xml:space="preserve">Status</w:t>
            </w:r>
          </w:p>
        </w:tc>
        <w:tc>
          <w:tcPr>
            <w:tcW w:type="dxa" w:w="6480"/>
            <w:tcBorders>
              <w:top w:val="single" w:color="D4CEDF" w:sz="1"/>
              <w:left w:val="single" w:color="D4CEDF" w:sz="1"/>
              <w:bottom w:val="single" w:color="D4CEDF" w:sz="1"/>
              <w:right w:val="single" w:color="D4CEDF" w:sz="1"/>
            </w:tcBorders>
            <w:tcMar>
              <w:top w:type="dxa" w:w="80"/>
              <w:left w:type="dxa" w:w="120"/>
              <w:bottom w:type="dxa" w:w="80"/>
              <w:right w:type="dxa" w:w="120"/>
            </w:tcMar>
          </w:tcPr>
          <w:p>
            <w:r>
              <w:rPr>
                <w:rFonts w:ascii="Arial" w:cs="Arial" w:eastAsia="Arial" w:hAnsi="Arial"/>
                <w:color w:val="2A2630"/>
                <w:sz w:val="20"/>
                <w:szCs w:val="20"/>
              </w:rPr>
              <w:t xml:space="preserve">APPROVED — move to implementation</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84C" w:sz="18"/>
              <w:bottom w:val="none" w:color="FFFFFF" w:sz="0"/>
              <w:right w:val="none" w:color="FFFFFF" w:sz="0"/>
            </w:tcBorders>
            <w:shd w:fill="F2EFF7" w:val="clear"/>
            <w:tcMar>
              <w:top w:type="dxa" w:w="120"/>
              <w:left w:type="dxa" w:w="200"/>
              <w:bottom w:type="dxa" w:w="120"/>
              <w:right w:type="dxa" w:w="160"/>
            </w:tcMar>
          </w:tcPr>
          <w:p>
            <w:r>
              <w:rPr>
                <w:rFonts w:ascii="Arial" w:cs="Arial" w:eastAsia="Arial" w:hAnsi="Arial"/>
                <w:color w:val="2C1F45"/>
                <w:sz w:val="20"/>
                <w:szCs w:val="20"/>
              </w:rPr>
              <w:t xml:space="preserve">These decisions are locked for the April 12–18 sprint. Any changes should be raised at the April 18 check-in.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CEDF" w:sz="2" w:space="4"/>
      </w:pBdr>
      <w:tabs>
        <w:tab w:val="right" w:pos="8640"/>
      </w:tabs>
    </w:pPr>
    <w:r>
      <w:rPr>
        <w:rFonts w:ascii="Arial" w:cs="Arial" w:eastAsia="Arial" w:hAnsi="Arial"/>
        <w:color w:val="6B6478"/>
        <w:sz w:val="16"/>
        <w:szCs w:val="16"/>
      </w:rPr>
      <w:t xml:space="preserve">Confidential  ·  Verse for You</w:t>
    </w:r>
    <w:r>
      <w:rPr>
        <w:rFonts w:ascii="Arial" w:cs="Arial" w:eastAsia="Arial" w:hAnsi="Arial"/>
        <w:color w:val="6B6478"/>
        <w:sz w:val="16"/>
        <w:szCs w:val="16"/>
      </w:rPr>
      <w:t xml:space="preserve">	Page </w:t>
    </w:r>
    <w:r>
      <w:rPr>
        <w:rFonts w:ascii="Arial" w:cs="Arial" w:eastAsia="Arial" w:hAnsi="Arial"/>
        <w:color w:val="6B647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CEDF" w:sz="2" w:space="4"/>
      </w:pBdr>
      <w:tabs>
        <w:tab w:val="right" w:pos="8640"/>
      </w:tabs>
    </w:pPr>
    <w:r>
      <w:rPr>
        <w:rFonts w:ascii="Arial" w:cs="Arial" w:eastAsia="Arial" w:hAnsi="Arial"/>
        <w:color w:val="7C6E8A"/>
        <w:sz w:val="18"/>
        <w:szCs w:val="18"/>
      </w:rPr>
      <w:t xml:space="preserve">Verse for You  —  Product Decision Log</w:t>
    </w:r>
    <w:r>
      <w:rPr>
        <w:rFonts w:ascii="Arial" w:cs="Arial" w:eastAsia="Arial" w:hAnsi="Arial"/>
        <w:color w:val="6B6478"/>
        <w:sz w:val="18"/>
        <w:szCs w:val="18"/>
      </w:rPr>
      <w:t xml:space="preserve">	April 11,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C1F45"/>
      <w:sz w:val="32"/>
      <w:szCs w:val="32"/>
    </w:rPr>
  </w:style>
  <w:style w:type="paragraph" w:styleId="Heading2">
    <w:name w:val="Heading 2"/>
    <w:basedOn w:val="Normal"/>
    <w:next w:val="Normal"/>
    <w:qFormat/>
    <w:pPr>
      <w:spacing w:after="100" w:before="260"/>
      <w:outlineLvl w:val="1"/>
    </w:pPr>
    <w:rPr>
      <w:rFonts w:ascii="Arial" w:cs="Arial" w:eastAsia="Arial" w:hAnsi="Arial"/>
      <w:b/>
      <w:bCs/>
      <w:color w:val="7C6E8A"/>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C1F4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2026-04-11T15:43:20.683Z</dcterms:created>
  <dcterms:modified xsi:type="dcterms:W3CDTF">2026-04-11T15:43:20.684Z</dcterms:modified>
</cp:coreProperties>
</file>

<file path=docProps/custom.xml><?xml version="1.0" encoding="utf-8"?>
<Properties xmlns="http://schemas.openxmlformats.org/officeDocument/2006/custom-properties" xmlns:vt="http://schemas.openxmlformats.org/officeDocument/2006/docPropsVTypes"/>
</file>