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i w:val="0"/>
          <w:sz w:val="24"/>
        </w:rPr>
        <w:t>{{ instituicao_nome | upper }}</w:t>
      </w:r>
    </w:p>
    <w:p>
      <w:pPr>
        <w:spacing w:after="80" w:before="0"/>
        <w:jc w:val="center"/>
      </w:pPr>
      <w:r>
        <w:rPr>
          <w:b/>
          <w:i w:val="0"/>
          <w:sz w:val="22"/>
        </w:rPr>
        <w:t>{{ instituicao_setor | upper }}</w:t>
      </w:r>
    </w:p>
    <w:p/>
    <w:p>
      <w:pPr>
        <w:spacing w:after="80" w:before="0"/>
        <w:jc w:val="center"/>
      </w:pPr>
      <w:r>
        <w:rPr>
          <w:b/>
          <w:i w:val="0"/>
          <w:sz w:val="28"/>
        </w:rPr>
        <w:t>TERMO DE REFERÊNCIA</w:t>
      </w:r>
    </w:p>
    <w:p>
      <w:pPr>
        <w:spacing w:after="80" w:before="0"/>
        <w:jc w:val="center"/>
      </w:pPr>
      <w:r>
        <w:rPr>
          <w:b/>
          <w:i w:val="0"/>
          <w:sz w:val="22"/>
        </w:rPr>
        <w:t>CONTRATAÇÃO DIRETA — DISPENSA POR VALOR</w:t>
      </w:r>
    </w:p>
    <w:p>
      <w:pPr>
        <w:spacing w:after="80" w:before="0"/>
        <w:jc w:val="center"/>
      </w:pPr>
      <w:r>
        <w:rPr>
          <w:b w:val="0"/>
          <w:i/>
          <w:sz w:val="20"/>
        </w:rPr>
        <w:t>{{ fundamento_legal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Processo SEI nº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{{ numero_sei or 'A preencher' }}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{{ data_geracao }}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Unidade Solicitante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{{ unidade_solicitante }}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Agente de Contratação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{{ agente_contratacao or 'A designar' }}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Fundamento Legal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{{ fundamento_legal }}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Inciso</w:t>
            </w:r>
          </w:p>
        </w:tc>
        <w:tc>
          <w:tcPr>
            <w:tcW w:type="dxa" w:w="2351"/>
          </w:tcPr>
          <w:p>
            <w:r>
              <w:rPr>
                <w:b w:val="0"/>
                <w:sz w:val="18"/>
              </w:rPr>
              <w:t>{{ inciso_legal or '—' }}</w:t>
            </w:r>
          </w:p>
        </w:tc>
      </w:tr>
    </w:tbl>
    <w:p/>
    <w:p>
      <w:pPr>
        <w:spacing w:after="80" w:before="200"/>
        <w:jc w:val="left"/>
      </w:pPr>
      <w:r>
        <w:rPr>
          <w:b/>
          <w:i w:val="0"/>
          <w:sz w:val="22"/>
        </w:rPr>
        <w:t>1. DO OBJETO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1.1 Objeto: </w:t>
      </w:r>
      <w:r>
        <w:rPr>
          <w:b/>
          <w:i w:val="0"/>
          <w:sz w:val="22"/>
        </w:rPr>
        <w:t>{{ objeto }}</w:t>
      </w:r>
      <w:r>
        <w:rPr>
          <w:b w:val="0"/>
          <w:i w:val="0"/>
          <w:sz w:val="22"/>
        </w:rPr>
        <w:t>.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1.2 </w:t>
      </w:r>
      <w:r>
        <w:rPr>
          <w:b w:val="0"/>
          <w:i/>
          <w:sz w:val="20"/>
        </w:rPr>
        <w:t>{%- if tem_catmat %}Código CATMAT/CATSER: {{ codigo_catmat }}.{%- endif %}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1.3 Quantidade: </w:t>
      </w:r>
      <w:r>
        <w:rPr>
          <w:b/>
          <w:i w:val="0"/>
          <w:sz w:val="22"/>
        </w:rPr>
        <w:t>{{ quantidade }} {{ unidade_medida }}</w:t>
      </w:r>
      <w:r>
        <w:rPr>
          <w:b w:val="0"/>
          <w:i w:val="0"/>
          <w:sz w:val="22"/>
        </w:rPr>
        <w:t>.</w:t>
      </w:r>
    </w:p>
    <w:p>
      <w:pPr>
        <w:spacing w:after="80" w:before="200"/>
        <w:jc w:val="left"/>
      </w:pPr>
      <w:r>
        <w:rPr>
          <w:b/>
          <w:i w:val="0"/>
          <w:sz w:val="22"/>
        </w:rPr>
        <w:t>2. DA JUSTIFICATIVA E FUNDAMENTAÇÃO DA NECESSIDADE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2.1 </w:t>
      </w:r>
      <w:r>
        <w:rPr>
          <w:b/>
          <w:i/>
          <w:sz w:val="22"/>
        </w:rPr>
        <w:t>Da necessidade</w:t>
      </w:r>
    </w:p>
    <w:p>
      <w:pPr>
        <w:spacing w:after="80" w:before="0"/>
        <w:jc w:val="both"/>
      </w:pPr>
      <w:r>
        <w:rPr>
          <w:sz w:val="22"/>
        </w:rPr>
        <w:t>{{ justificativa_necessidade }}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2.2 </w:t>
      </w:r>
      <w:r>
        <w:rPr>
          <w:b/>
          <w:i/>
          <w:sz w:val="22"/>
        </w:rPr>
        <w:t>Da justificativa da quantidade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{{ justificativa_quantidade or 'A quantidade solicitada foi definida com base na demanda prevista para o período, considerando o uso regular pela unidade solicitante.' }}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2.3 </w:t>
      </w:r>
      <w:r>
        <w:rPr>
          <w:b/>
          <w:i/>
          <w:sz w:val="22"/>
        </w:rPr>
        <w:t>Do enquadramento legal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A presente contratação enquadra-se na hipótese do </w:t>
      </w:r>
      <w:r>
        <w:rPr>
          <w:b/>
          <w:i w:val="0"/>
          <w:sz w:val="22"/>
        </w:rPr>
        <w:t>{{ fundamento_legal }}</w:t>
      </w:r>
      <w:r>
        <w:rPr>
          <w:b w:val="0"/>
          <w:i w:val="0"/>
          <w:sz w:val="22"/>
        </w:rPr>
        <w:t xml:space="preserve">, haja vista que o valor estimado de </w:t>
      </w:r>
      <w:r>
        <w:rPr>
          <w:b/>
          <w:i w:val="0"/>
          <w:sz w:val="22"/>
        </w:rPr>
        <w:t>{{ valor_total_estimado }}</w:t>
      </w:r>
      <w:r>
        <w:rPr>
          <w:b w:val="0"/>
          <w:i w:val="0"/>
          <w:sz w:val="22"/>
        </w:rPr>
        <w:t xml:space="preserve"> é inferior ao limite legal vigente (Decreto nº 12.343/2024). Respeita-se o somatório das contratações de mesma natureza no exercício financeiro, nos termos do art. 75, § 1º, da Lei nº 14.133/2021.</w:t>
      </w:r>
    </w:p>
    <w:p>
      <w:pPr>
        <w:spacing w:after="80" w:before="200"/>
        <w:jc w:val="left"/>
      </w:pPr>
      <w:r>
        <w:rPr>
          <w:b/>
          <w:i w:val="0"/>
          <w:sz w:val="22"/>
        </w:rPr>
        <w:t>3. DA DESCRIÇÃO DO OBJETO E ESPECIFICAÇÕES TÉCNICAS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3.1 </w:t>
      </w:r>
      <w:r>
        <w:rPr>
          <w:b/>
          <w:i/>
          <w:sz w:val="22"/>
        </w:rPr>
        <w:t>Especificações mínimas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O objeto deverá atender às seguintes especificações técnicas mínimas: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{{ especificacoes_lista }}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3.2 </w:t>
      </w:r>
      <w:r>
        <w:rPr>
          <w:b/>
          <w:i/>
          <w:sz w:val="22"/>
        </w:rPr>
        <w:t>Critério de aceitação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{{ criterio_aceitacao or 'O recebimento definitivo fica condicionado à verificação da conformidade do bem com as especificações constantes neste Termo de Referência, a ser realizada pelo fiscal designado no prazo de 5 (cinco) dias úteis após o recebimento provisório.' }}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3.3 </w:t>
      </w:r>
      <w:r>
        <w:rPr>
          <w:b/>
          <w:i/>
          <w:sz w:val="22"/>
        </w:rPr>
        <w:t>Garantia e assistência técnica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{%- if tem_garantia %}Garantia: {{ garantia_produto }}. {%- else %}O fornecedor deverá garantir o bem pelo prazo mínimo estabelecido pelo fabricante, assegurando assistência técnica durante o período de garantia.{%- endif %}</w:t>
      </w:r>
    </w:p>
    <w:p>
      <w:pPr>
        <w:spacing w:after="80" w:before="200"/>
        <w:jc w:val="left"/>
      </w:pPr>
      <w:r>
        <w:rPr>
          <w:b/>
          <w:i w:val="0"/>
          <w:sz w:val="22"/>
        </w:rPr>
        <w:t>4. DO MODELO DE EXECUÇÃO DO OBJETO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4.1 </w:t>
      </w:r>
      <w:r>
        <w:rPr>
          <w:b/>
          <w:i/>
          <w:sz w:val="22"/>
        </w:rPr>
        <w:t>Do prazo e local de entrega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O bem deverá ser entregue no prazo de </w:t>
      </w:r>
      <w:r>
        <w:rPr>
          <w:b/>
          <w:i w:val="0"/>
          <w:sz w:val="22"/>
        </w:rPr>
        <w:t>{{ prazo_entrega_dias }} dias corridos</w:t>
      </w:r>
      <w:r>
        <w:rPr>
          <w:b w:val="0"/>
          <w:i w:val="0"/>
          <w:sz w:val="22"/>
        </w:rPr>
        <w:t xml:space="preserve">, contados da emissão da Ordem de Fornecimento, no endereço: </w:t>
      </w:r>
      <w:r>
        <w:rPr>
          <w:b w:val="0"/>
          <w:i w:val="0"/>
          <w:sz w:val="22"/>
        </w:rPr>
        <w:t>{{ local_entrega or 'a ser indicado pela unidade solicitante.' }}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4.2 </w:t>
      </w:r>
      <w:r>
        <w:rPr>
          <w:b/>
          <w:i/>
          <w:sz w:val="22"/>
        </w:rPr>
        <w:t>Das condições de entrega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{{ condicoes_entrega or 'O bem deverá ser entregue em embalagem original do fabricante, sem avarias, acompanhado de nota fiscal, manual de instruções (quando aplicável) e demais documentos necessários.' }}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4.3 </w:t>
      </w:r>
      <w:r>
        <w:rPr>
          <w:b/>
          <w:i/>
          <w:sz w:val="22"/>
        </w:rPr>
        <w:t>Do recebimento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4.3.1 Recebimento </w:t>
      </w:r>
      <w:r>
        <w:rPr>
          <w:b w:val="0"/>
          <w:i/>
          <w:sz w:val="22"/>
        </w:rPr>
        <w:t>provisório:</w:t>
      </w:r>
      <w:r>
        <w:rPr>
          <w:b w:val="0"/>
          <w:i w:val="0"/>
          <w:sz w:val="22"/>
        </w:rPr>
        <w:t xml:space="preserve"> realizado pelo servidor designado, no ato da entrega, para verificação da conformidade com as especificações e quantidades contratadas.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4.3.2 Recebimento </w:t>
      </w:r>
      <w:r>
        <w:rPr>
          <w:b w:val="0"/>
          <w:i/>
          <w:sz w:val="22"/>
        </w:rPr>
        <w:t>definitivo:</w:t>
      </w:r>
      <w:r>
        <w:rPr>
          <w:b w:val="0"/>
          <w:i w:val="0"/>
          <w:sz w:val="22"/>
        </w:rPr>
        <w:t xml:space="preserve"> realizado pelo fiscal em até 5 (cinco) dias úteis após o recebimento provisório, mediante atesto na Nota Fiscal.</w:t>
      </w:r>
    </w:p>
    <w:p>
      <w:pPr>
        <w:spacing w:after="80" w:before="200"/>
        <w:jc w:val="left"/>
      </w:pPr>
      <w:r>
        <w:rPr>
          <w:b/>
          <w:i w:val="0"/>
          <w:sz w:val="22"/>
        </w:rPr>
        <w:t>5. DO MODELO DE GESTÃO DO CONTRATO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5.1 </w:t>
      </w:r>
      <w:r>
        <w:rPr>
          <w:b/>
          <w:i/>
          <w:sz w:val="22"/>
        </w:rPr>
        <w:t>Da fiscalização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A execução será fiscalizada por </w:t>
      </w:r>
      <w:r>
        <w:rPr>
          <w:b w:val="0"/>
          <w:i w:val="0"/>
          <w:sz w:val="22"/>
        </w:rPr>
        <w:t>{{ fiscal_contrato or 'servidor(a) a ser designado(a) pela autoridade competente' }}</w:t>
      </w:r>
      <w:r>
        <w:rPr>
          <w:b w:val="0"/>
          <w:i w:val="0"/>
          <w:sz w:val="22"/>
        </w:rPr>
        <w:t>, nos termos do art. 117 da Lei nº 14.133/2021.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5.2 </w:t>
      </w:r>
      <w:r>
        <w:rPr>
          <w:b/>
          <w:i/>
          <w:sz w:val="22"/>
        </w:rPr>
        <w:t>Obrigações do fornecedor</w:t>
      </w:r>
    </w:p>
    <w:p>
      <w:pPr>
        <w:pStyle w:val="ListBullet"/>
      </w:pPr>
      <w:r>
        <w:rPr>
          <w:sz w:val="20"/>
        </w:rPr>
        <w:t>Entregar o objeto nas condições, prazos e locais estabelecidos neste TR;</w:t>
      </w:r>
    </w:p>
    <w:p>
      <w:pPr>
        <w:pStyle w:val="ListBullet"/>
      </w:pPr>
      <w:r>
        <w:rPr>
          <w:sz w:val="20"/>
        </w:rPr>
        <w:t>Substituir, no prazo de 5 (cinco) dias úteis, o bem recusado ou entregue em desacordo com as especificações;</w:t>
      </w:r>
    </w:p>
    <w:p>
      <w:pPr>
        <w:pStyle w:val="ListBullet"/>
      </w:pPr>
      <w:r>
        <w:rPr>
          <w:sz w:val="20"/>
        </w:rPr>
        <w:t>Emitir Nota Fiscal correspondente ao objeto entregue;</w:t>
      </w:r>
    </w:p>
    <w:p>
      <w:pPr>
        <w:pStyle w:val="ListBullet"/>
      </w:pPr>
      <w:r>
        <w:rPr>
          <w:sz w:val="20"/>
        </w:rPr>
        <w:t>Manter, durante toda a execução, as condições de habilitação exigidas.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5.3 </w:t>
      </w:r>
      <w:r>
        <w:rPr>
          <w:b/>
          <w:i/>
          <w:sz w:val="22"/>
        </w:rPr>
        <w:t>Obrigações da contratante</w:t>
      </w:r>
    </w:p>
    <w:p>
      <w:pPr>
        <w:pStyle w:val="ListBullet"/>
      </w:pPr>
      <w:r>
        <w:rPr>
          <w:sz w:val="20"/>
        </w:rPr>
        <w:t>Proporcionar todas as condições para o recebimento do objeto;</w:t>
      </w:r>
    </w:p>
    <w:p>
      <w:pPr>
        <w:pStyle w:val="ListBullet"/>
      </w:pPr>
      <w:r>
        <w:rPr>
          <w:sz w:val="20"/>
        </w:rPr>
        <w:t>Efetuar o pagamento nas condições e prazos estabelecidos;</w:t>
      </w:r>
    </w:p>
    <w:p>
      <w:pPr>
        <w:pStyle w:val="ListBullet"/>
      </w:pPr>
      <w:r>
        <w:rPr>
          <w:sz w:val="20"/>
        </w:rPr>
        <w:t>Notificar o fornecedor sobre irregularidades verificadas.</w:t>
      </w:r>
    </w:p>
    <w:p>
      <w:pPr>
        <w:spacing w:after="80" w:before="200"/>
        <w:jc w:val="left"/>
      </w:pPr>
      <w:r>
        <w:rPr>
          <w:b/>
          <w:i w:val="0"/>
          <w:sz w:val="22"/>
        </w:rPr>
        <w:t>6. DOS CRITÉRIOS DE SELEÇÃO DO FORNECEDOR</w:t>
      </w:r>
    </w:p>
    <w:p>
      <w:pPr>
        <w:spacing w:after="80" w:before="120"/>
        <w:jc w:val="left"/>
      </w:pPr>
      <w:r>
        <w:rPr>
          <w:b/>
          <w:i w:val="0"/>
          <w:sz w:val="22"/>
        </w:rPr>
        <w:t xml:space="preserve">6.1 </w:t>
      </w:r>
      <w:r>
        <w:rPr>
          <w:b/>
          <w:i/>
          <w:sz w:val="22"/>
        </w:rPr>
        <w:t>Da habilitação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Para habilitação, verificar a regularidade do fornecedor nos seguintes cadastros (art. 72, inciso V, da Lei nº 14.133/2021 e Decreto Estadual nº 68.304/2024):</w:t>
      </w:r>
    </w:p>
    <w:p>
      <w:pPr>
        <w:pStyle w:val="ListBullet"/>
      </w:pPr>
      <w:r>
        <w:rPr>
          <w:sz w:val="20"/>
        </w:rPr>
        <w:t>SICAF — Sistema de Cadastro Unificado de Fornecedores;</w:t>
      </w:r>
    </w:p>
    <w:p>
      <w:pPr>
        <w:pStyle w:val="ListBullet"/>
      </w:pPr>
      <w:r>
        <w:rPr>
          <w:sz w:val="20"/>
        </w:rPr>
        <w:t>CEIS — Cadastro Nacional de Empresas Inidôneas e Suspensas (CGU);</w:t>
      </w:r>
    </w:p>
    <w:p>
      <w:pPr>
        <w:pStyle w:val="ListBullet"/>
      </w:pPr>
      <w:r>
        <w:rPr>
          <w:sz w:val="20"/>
        </w:rPr>
        <w:t>CNEP — Cadastro Nacional de Empresas Punidas (CGU);</w:t>
      </w:r>
    </w:p>
    <w:p>
      <w:pPr>
        <w:pStyle w:val="ListBullet"/>
      </w:pPr>
      <w:r>
        <w:rPr>
          <w:sz w:val="20"/>
        </w:rPr>
        <w:t>CNCIAI — Cadastro Nacional de Condenações por Improbidade Administrativa (CNJ);</w:t>
      </w:r>
    </w:p>
    <w:p>
      <w:pPr>
        <w:pStyle w:val="ListBullet"/>
      </w:pPr>
      <w:r>
        <w:rPr>
          <w:sz w:val="20"/>
        </w:rPr>
        <w:t>e-Sanções — Sistema Eletrônico de Aplicação e Registro de Sanções (SP);</w:t>
      </w:r>
    </w:p>
    <w:p>
      <w:pPr>
        <w:pStyle w:val="ListBullet"/>
      </w:pPr>
      <w:r>
        <w:rPr>
          <w:sz w:val="20"/>
        </w:rPr>
        <w:t>CEEP — Cadastro Estadual de Empresas Punidas (SP);</w:t>
      </w:r>
    </w:p>
    <w:p>
      <w:pPr>
        <w:pStyle w:val="ListBullet"/>
      </w:pPr>
      <w:r>
        <w:rPr>
          <w:sz w:val="20"/>
        </w:rPr>
        <w:t>Apenados TCESP.</w:t>
      </w:r>
    </w:p>
    <w:p>
      <w:pPr>
        <w:spacing w:after="80" w:before="0"/>
        <w:jc w:val="both"/>
      </w:pPr>
      <w:r>
        <w:rPr>
          <w:b/>
          <w:i w:val="0"/>
          <w:sz w:val="22"/>
        </w:rPr>
        <w:t xml:space="preserve">Obs.: </w:t>
      </w:r>
      <w:r>
        <w:rPr>
          <w:b w:val="0"/>
          <w:i w:val="0"/>
          <w:sz w:val="20"/>
        </w:rPr>
        <w:t>Para contratações com entrega imediata (até 30 dias) ou valor inferior a {{ limite_habilitacao }} (¼ do limite de dispensa), exige-se apenas regularidade perante a Fazenda Estadual, Justiça do Trabalho e Seguridade Social (art. 18 do Decreto nº 68.304/2024).</w:t>
      </w:r>
    </w:p>
    <w:p>
      <w:pPr>
        <w:spacing w:after="80" w:before="200"/>
        <w:jc w:val="left"/>
      </w:pPr>
      <w:r>
        <w:rPr>
          <w:b/>
          <w:i w:val="0"/>
          <w:sz w:val="22"/>
        </w:rPr>
        <w:t>7. DA ESTIMATIVA DE PREÇOS E DO VALOR ESTIMADO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7.1 O valor estimado, apurado por pesquisa de preços (Decreto Estadual nº 67.888/2023), é de:</w:t>
      </w:r>
    </w:p>
    <w:p>
      <w:pPr>
        <w:spacing w:after="80" w:before="0"/>
        <w:jc w:val="center"/>
      </w:pPr>
      <w:r>
        <w:rPr>
          <w:b w:val="0"/>
          <w:i w:val="0"/>
          <w:sz w:val="22"/>
        </w:rPr>
        <w:t>{%- if tem_valor_unitario %}Valor unitário estimado: {{ valor_unitario_estimado }}   {%- endif %}</w:t>
      </w:r>
    </w:p>
    <w:p>
      <w:pPr>
        <w:spacing w:after="80" w:before="0"/>
        <w:jc w:val="center"/>
      </w:pPr>
      <w:r>
        <w:rPr>
          <w:b/>
          <w:i w:val="0"/>
          <w:sz w:val="24"/>
        </w:rPr>
        <w:t xml:space="preserve">Valor total estimado: </w:t>
      </w:r>
      <w:r>
        <w:rPr>
          <w:b/>
          <w:i w:val="0"/>
          <w:sz w:val="24"/>
        </w:rPr>
        <w:t>{{ valor_total_estimado }}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7.2 A memória de cálculo e os documentos que embasam a estimativa constam do processo administrativo.</w:t>
      </w:r>
    </w:p>
    <w:p>
      <w:pPr>
        <w:spacing w:after="80" w:before="200"/>
        <w:jc w:val="left"/>
      </w:pPr>
      <w:r>
        <w:rPr>
          <w:b/>
          <w:i w:val="0"/>
          <w:sz w:val="22"/>
        </w:rPr>
        <w:t>8. DA ADEQUAÇÃO ORÇAMENTÁRIA</w:t>
      </w:r>
    </w:p>
    <w:p>
      <w:pPr>
        <w:spacing w:after="80" w:before="0"/>
        <w:jc w:val="both"/>
      </w:pPr>
      <w:r>
        <w:rPr>
          <w:b/>
          <w:i w:val="0"/>
          <w:sz w:val="22"/>
        </w:rPr>
        <w:t xml:space="preserve">8.1 Dotação Orçamentária: </w:t>
      </w:r>
      <w:r>
        <w:rPr>
          <w:b w:val="0"/>
          <w:i w:val="0"/>
          <w:sz w:val="22"/>
        </w:rPr>
        <w:t>{{ dotacao_orcamentaria or 'Conforme documento de reserva orçamentária anexo.' }}</w:t>
      </w:r>
    </w:p>
    <w:p>
      <w:pPr>
        <w:spacing w:after="80" w:before="200"/>
        <w:jc w:val="left"/>
      </w:pPr>
      <w:r>
        <w:rPr>
          <w:b/>
          <w:i w:val="0"/>
          <w:sz w:val="22"/>
        </w:rPr>
        <w:t>9. DAS CONDIÇÕES DE PAGAMENTO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9.1 O pagamento será efetuado em </w:t>
      </w:r>
      <w:r>
        <w:rPr>
          <w:b/>
          <w:i w:val="0"/>
          <w:sz w:val="22"/>
        </w:rPr>
        <w:t>{{ condicoes_pagamento }}</w:t>
      </w:r>
      <w:r>
        <w:rPr>
          <w:b w:val="0"/>
          <w:i w:val="0"/>
          <w:sz w:val="22"/>
        </w:rPr>
        <w:t>.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9.2 O pagamento fica condicionado à regularidade fiscal do fornecedor e ao atesto da Nota Fiscal pelo fiscal do contrato.</w:t>
      </w:r>
    </w:p>
    <w:p>
      <w:pPr>
        <w:spacing w:after="80" w:before="0"/>
        <w:jc w:val="both"/>
      </w:pPr>
      <w:r>
        <w:rPr>
          <w:b w:val="0"/>
          <w:i w:val="0"/>
          <w:sz w:val="2"/>
        </w:rPr>
        <w:t>{%- if tem_sustentabilidade %}</w:t>
      </w:r>
    </w:p>
    <w:p>
      <w:pPr>
        <w:spacing w:after="80" w:before="200"/>
        <w:jc w:val="left"/>
      </w:pPr>
      <w:r>
        <w:rPr>
          <w:b/>
          <w:i w:val="0"/>
          <w:sz w:val="22"/>
        </w:rPr>
        <w:t>10. DOS REQUISITOS DE SUSTENTABILIDADE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{{ sustentabilidade }}</w:t>
      </w:r>
    </w:p>
    <w:p>
      <w:pPr>
        <w:spacing w:after="80" w:before="0"/>
        <w:jc w:val="both"/>
      </w:pPr>
      <w:r>
        <w:rPr>
          <w:b w:val="0"/>
          <w:i w:val="0"/>
          <w:sz w:val="2"/>
        </w:rPr>
        <w:t>{%- endif %}</w:t>
      </w:r>
    </w:p>
    <w:p>
      <w:pPr>
        <w:spacing w:after="80" w:before="200"/>
        <w:jc w:val="left"/>
      </w:pPr>
      <w:r>
        <w:rPr>
          <w:b/>
          <w:i w:val="0"/>
          <w:sz w:val="22"/>
        </w:rPr>
        <w:t>11. DAS SANÇÕES ADMINISTRATIVAS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O descumprimento das obrigações sujeitará o contratado às sanções dos arts. 155 a 163 da Lei nº 14.133/2021, garantidos o contraditório e a ampla defesa, podendo ser aplicadas:</w:t>
      </w:r>
    </w:p>
    <w:p>
      <w:pPr>
        <w:pStyle w:val="ListBullet"/>
      </w:pPr>
      <w:r>
        <w:rPr>
          <w:sz w:val="20"/>
        </w:rPr>
        <w:t>Advertência;</w:t>
      </w:r>
    </w:p>
    <w:p>
      <w:pPr>
        <w:pStyle w:val="ListBullet"/>
      </w:pPr>
      <w:r>
        <w:rPr>
          <w:sz w:val="20"/>
        </w:rPr>
        <w:t>Multa de 10% sobre o valor do contrato em caso de inexecução parcial;</w:t>
      </w:r>
    </w:p>
    <w:p>
      <w:pPr>
        <w:pStyle w:val="ListBullet"/>
      </w:pPr>
      <w:r>
        <w:rPr>
          <w:sz w:val="20"/>
        </w:rPr>
        <w:t>Multa de 20% sobre o valor do contrato em caso de inexecução total;</w:t>
      </w:r>
    </w:p>
    <w:p>
      <w:pPr>
        <w:pStyle w:val="ListBullet"/>
      </w:pPr>
      <w:r>
        <w:rPr>
          <w:sz w:val="20"/>
        </w:rPr>
        <w:t>Impedimento de licitar e contratar pelo prazo de até 3 (três) anos;</w:t>
      </w:r>
    </w:p>
    <w:p>
      <w:pPr>
        <w:pStyle w:val="ListBullet"/>
      </w:pPr>
      <w:r>
        <w:rPr>
          <w:sz w:val="20"/>
        </w:rPr>
        <w:t>Declaração de inidoneidade para licitar ou contratar.</w:t>
      </w:r>
    </w:p>
    <w:p>
      <w:pPr>
        <w:spacing w:after="80" w:before="200"/>
        <w:jc w:val="left"/>
      </w:pPr>
      <w:r>
        <w:rPr>
          <w:b/>
          <w:i w:val="0"/>
          <w:sz w:val="22"/>
        </w:rPr>
        <w:t>12. DAS DISPOSIÇÕES GERAIS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12.1 Os casos omissos serão resolvidos pela autoridade competente, com observância dos princípios do art. 5º da Lei nº 14.133/2021.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12.2 Este Termo de Referência foi elaborado com base no modelo padronizado e pré-aprovado pela Procuradoria Geral, nos termos da Portaria PG nº 12/2024.</w:t>
      </w:r>
    </w:p>
    <w:p>
      <w:pPr>
        <w:spacing w:after="80" w:before="0"/>
        <w:jc w:val="both"/>
      </w:pPr>
      <w:r>
        <w:rPr>
          <w:b w:val="0"/>
          <w:i w:val="0"/>
          <w:sz w:val="2"/>
        </w:rPr>
        <w:t>{%- if tem_observacoes %}</w:t>
      </w:r>
    </w:p>
    <w:p>
      <w:pPr>
        <w:spacing w:after="80" w:before="200"/>
        <w:jc w:val="left"/>
      </w:pPr>
      <w:r>
        <w:rPr>
          <w:b/>
          <w:i w:val="0"/>
          <w:sz w:val="22"/>
        </w:rPr>
        <w:t>13. DAS OBSERVAÇÕES ADICIONAIS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{{ observacoes }}</w:t>
      </w:r>
    </w:p>
    <w:p>
      <w:pPr>
        <w:spacing w:after="80" w:before="0"/>
        <w:jc w:val="both"/>
      </w:pPr>
      <w:r>
        <w:rPr>
          <w:b w:val="0"/>
          <w:i w:val="0"/>
          <w:sz w:val="2"/>
        </w:rPr>
        <w:t>{%- endif %}</w:t>
      </w:r>
    </w:p>
    <w:p/>
    <w:p>
      <w:pPr>
        <w:spacing w:after="80" w:before="0"/>
        <w:jc w:val="left"/>
      </w:pPr>
      <w:r>
        <w:rPr>
          <w:b w:val="0"/>
          <w:i w:val="0"/>
          <w:sz w:val="22"/>
        </w:rPr>
        <w:t>{{ instituicao_cidade }}, {{ data_geracao }}</w:t>
      </w:r>
    </w:p>
    <w:p/>
    <w:p>
      <w:pPr>
        <w:spacing w:after="80" w:before="560"/>
        <w:jc w:val="center"/>
      </w:pPr>
      <w:r>
        <w:rPr>
          <w:b w:val="0"/>
          <w:i w:val="0"/>
          <w:sz w:val="22"/>
        </w:rPr>
        <w:t>____________________________________________________</w:t>
      </w:r>
    </w:p>
    <w:p>
      <w:pPr>
        <w:spacing w:after="80" w:before="0"/>
        <w:jc w:val="center"/>
      </w:pPr>
      <w:r>
        <w:rPr>
          <w:b w:val="0"/>
          <w:i w:val="0"/>
          <w:sz w:val="20"/>
        </w:rPr>
        <w:t>Servidor(a) responsável</w:t>
        <w:br/>
        <w:t>{{ agente_contratacao or 'Nome / Matrícula' }}</w:t>
        <w:br/>
        <w:t>{{ unidade_solicitante }}</w:t>
      </w:r>
    </w:p>
    <w:p/>
    <w:p>
      <w:pPr>
        <w:spacing w:after="80" w:before="560"/>
        <w:jc w:val="center"/>
      </w:pPr>
      <w:r>
        <w:rPr>
          <w:b w:val="0"/>
          <w:i w:val="0"/>
          <w:sz w:val="22"/>
        </w:rPr>
        <w:t>____________________________________________________</w:t>
      </w:r>
    </w:p>
    <w:p>
      <w:pPr>
        <w:spacing w:after="80" w:before="0"/>
        <w:jc w:val="center"/>
      </w:pPr>
      <w:r>
        <w:rPr>
          <w:b w:val="0"/>
          <w:i w:val="0"/>
          <w:sz w:val="20"/>
        </w:rPr>
        <w:t>Autoridade Competente</w:t>
        <w:br/>
        <w:t>{{ instituicao_setor }}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