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1f2937"/>
          <w:sz w:val="40"/>
          <w:szCs w:val="40"/>
          <w:rtl w:val="0"/>
        </w:rPr>
        <w:t xml:space="preserve">FEATURE &amp; LOGIC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lineRule="auto"/>
        <w:rPr/>
      </w:pPr>
      <w:r w:rsidDel="00000000" w:rsidR="00000000" w:rsidRPr="00000000">
        <w:rPr>
          <w:b w:val="1"/>
          <w:bCs w:val="1"/>
          <w:color w:val="2e5266"/>
          <w:sz w:val="26"/>
          <w:szCs w:val="26"/>
          <w:rtl w:val="0"/>
        </w:rPr>
        <w:t xml:space="preserve">Practice Management &amp; Client/Matter CRM for Solo and Small Law Firms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Leads, Clients &amp; Matter Records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1.1 Lead Record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Lead is a distinct record type, separate from Client. Every accepted intake submission (Section 2) creates a Lead, not a Client.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 fields: contact info, matter description, opposing party name(s), referral source, lead status (New → Contacted → Engagement Sent → Converted / Declined / Lost).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Lead has no matter, no billing, and no portal access until conversion (Section 1.3).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Leads marked Declined or Lost are retained, not deleted, to preserve pipeline reporting and conflict-check history.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1.2 Client Record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Client record is created only at the point of conversion from a Lead (Section 1.3) — a person or entity is never a Client until that step occurs.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Stores: contact info, communication history, linked matters (past and active), notes, billing/payment history.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client can have multiple matters linked to a single client record.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1.3 Lead-to-Client Conversion Logic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Conversion is triggered by one event: the engagement letter / retainer agreement is signed (via the e-signature module, Section 8, or marked as signed by attorney record if executed outside the system).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 signature completion, the system automatically creates the Client record from the Lead's contact info, creates the linked Matter record, sets the Lead status to Converted, and grants client portal access.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Until that signature event fires, no Matter, billing, time entry, or portal access can be created against that Lead — this is system-enforced, not just a UI convention, so billable work cannot begin against an unsigned engagement.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1.4 Matter Record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One record per matter, linked to exactly one client (or multiple clients for joint matters, e.g., divorce, co-defendants).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Fields: matter name, practice area, responsible attorney, open date, status, close date.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Status field is configurable per practice area (e.g., Intake → Active → Awaiting Client → Closed), with the ability to define custom statuses per firm.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Every note, document, calendar event, time entry, and invoice in the system is attached to a matter (or to a client directly, for non-matter-specific items).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1.5 Retainer Tracking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matter has a Retainer field set: retainer amount agreed (from the engagement letter), retainer collected (yes/no), date collected, amount collected (supports partial collection).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Retainer status displays on the matter summary view (Section 1.7) and on the firm-wide dashboard (Section 10) as a flag for matters where work has begun but the retainer is marked not collected.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Retainer collection can be marked manually by the attorney/staff, or automatically when a retainer payment is received through the client portal payment flow (Section 7.3).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1.6 Matter Timeline (Logic)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All activity tied to a matter (notes, document uploads, status changes, calendar events, communications) is logged chronologically and displayed as a single timeline.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Timeline entries are immutable once created — edits create a new timestamped entry rather than overwriting history.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1.7 Matter Summary View (Differentiating Logic)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 addition to the raw chronological timeline, each matter generates a persistent summary block shown at the top of the matter view, containing: current status, retainer collection status, date of last activity, next upcoming deadline, date and method of last client contact.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This summary updates automatically whenever a new timeline event is logged — it is not manually maintained.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Logic: the summary block always reflects the most recent qualifying event per category (e.g., “last client contact” is the most recent timeline entry tagged as a client communication, regardless of entry type).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1.8 Custom Fields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Firms can define additional fields beyond the system defaults on Lead, Client, and Matter records (e.g., a custom “Referral campaign” field on Leads, or a “Case type sub-category” field on Matters).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Custom fields can be defined per practice area, so a family law matter and an estate planning matter can each surface different custom fields without affecting one another.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Custom field values are included in search and in dashboard/reporting views (Section 10) alongside system-default fields — they are first-class data, not a separate notes blob.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Client Intake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2.1 Intake Form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Web-embeddable form, customizable per practice area (different field sets for, e.g., family law vs. estate planning vs. immigration).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Captures: prospective client contact info, matter description, opposing party name(s) (for conflict checking), referral source.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2.2 Intake Logic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Submitted intake forms create a Lead record (Section 1.1) in a review queue — they do not create a Client or Matter.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 review, the responsible attorney can: accept (Lead moves to Contacted, ready for engagement letter), decline (Lead status set to Declined), or flag for further information.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Opposing party name(s) entered at intake are checked against the firm's existing client, lead, and opposing-party records; any name match across the firm's history is surfaced as a conflict flag before the Lead is accepted.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Sending the engagement letter for signature (via Section 8) moves the Lead to Engagement Sent; the Lead remains in this status until the signature event converts it per Section 1.3.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3. Calendar &amp; Deadlines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3.1 Calendar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Firm-wide calendar view and per-attorney calendar view.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Events can be linked to a specific matter or stand alone (e.g., internal firm meetings).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3.2 Deadline &amp; Reminder Logic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Any calendar event can be flagged as a deadline (e.g., statute of limitations, filing date, response due date).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Deadlines support configurable reminder intervals (e.g., 30/14/7/1 days before), each generating a separate notification.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Reminder notifications are sent to the responsible attorney by default; additional staff can be added as recipients per deadline.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Deadlines marked complete are retained on the matter timeline with a completion timestamp, not deleted.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Overdue, incomplete deadlines are surfaced on a firm-wide dashboard view, sorted by how overdue they are.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4. Notes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Free-text notes can be attached to a client record or a matter record.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note is timestamped and attributed to the authoring user; notes are not editable after creation (edits create a new linked note, preserving the original).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Notes can optionally be tagged by type (e.g., Client Call, Internal, Research, Court Appearance) to support filtering.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Full-text search runs across all notes the searching user has permission to view, scoped by client name, matter name, or keyword.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5. Document Management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5.1 Storage &amp; Organization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Documents are uploaded directly to a matter (or to a client record for non-matter documents).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matter has a folder structure; firms can define default folder templates per practice area (e.g., Pleadings, Correspondence, Discovery, Signed Documents).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Documents support tagging independent of folder placement, enabling cross-folder search.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5.2 Versioning Logic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Uploading a new file with the same name to the same location creates a new version rather than overwriting; all prior versions remain accessible.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Version history displays uploader and timestamp for each version.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5.3 Preview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Common document types (PDF, DOCX, image formats) render in an in-browser preview without requiring download.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6. Time Tracking &amp; Billing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6.1 Rate Setting &amp; Assignment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Firms define one or more billing rates at three possible levels: a firm-wide default rate per attorney, an override rate per practice area, and an override rate on an individual matter (e.g., a discounted or flat-structure rate negotiated for that specific client).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Resolution logic: when a time entry is created, the system applies the most specific rate available — matter-level override, if set, takes precedence over practice-area rate, which takes precedence over the attorney's firm-wide default.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matter can also be flagged as flat-fee or contingency rather than hourly; on flat-fee/contingency matters, time entries are still logged for internal tracking but do not generate a per-hour charge on the invoice.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Rate changes apply only to time entries created after the change — previously logged entries retain the rate that was in effect at the time, so historical invoices and reports never recalculate retroactively.</w:t>
      </w:r>
    </w:p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6.2 Time Entry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Time can be entered manually (date, duration, matter, description) or via a running timer.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Multiple timers can run concurrently across different matters for the same user, supporting attorneys who switch between matters throughout the day.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time entry has two distinct text fields: a Client-Facing Description (plain-language summary of the work performed, shown to the client on the invoice and in the portal) and an Internal Note (optional, firm-only detail not shown to the client).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time entry is linked to a matter and resolves to a billing rate automatically per Section 6.1; the calculated line amount (duration × rate) is computed at entry time, not deferred to invoicing.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6.3 Fixed Charges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Independent of time entries, a firm can add a Fixed Charge directly to a matter — a flat dollar amount tied to a description, not generated by a timer or hourly rate (e.g., a filing fee, a flat charge for drafting a specific document, a flat fee for an entire flat-fee matter).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Fixed Charges have the same two-field structure as time entries: a Client-Facing Description shown on the invoice, and an optional Internal Note that is not.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Fixed Charges can be marked as Billable (flows into the next invoice for that matter, same as a time entry) or Non-Billable (logged on the matter for record-keeping, e.g., a cost the firm absorbed, but excluded from invoice totals).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 flat-fee matter (Section 6.1) is typically billed entirely through one or more Fixed Charges rather than time entries, though both can coexist on the same matter if a firm bills a flat fee for one phase of a matter and hourly for another.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6.4 Invoicing Logic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Invoices are generated by selecting a date range and a matter (or client); the system pulls all unbilled time entries and billable Fixed Charges in that range into a draft invoice.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line item on the generated invoice displays the Client-Facing Description, date, and line total — time-entry lines additionally show duration and rate; Fixed Charge lines show the flat amount. Internal Notes never appear on an invoice or in the client portal under any circumstance.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The invoice total is the sum of all included time-entry line amounts plus all included billable Fixed Charges plus any expenses added; this total is recalculated live while the invoice is in Draft status and locked once finalized.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Draft invoices can be edited (entries removed, fees added) before finalizing; once finalized, an invoice is locked and any further changes require a credit/adjustment entry rather than editing the original.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Invoice statuses: Draft → Sent → Paid / Partially Paid / Overdue.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Overdue invoices (past their due date with an outstanding balance) are surfaced on a firm-wide dashboard.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7. Client Portal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7.1 Access Logic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client is issued portal credentials scoped to their own client record and linked matters only — a client cannot see any other client's data under any condition.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Portal access is granted automatically at Lead-to-Client conversion (Section 1.3); it does not exist before that point.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Within the portal, a client can view: matter status, documents the firm has explicitly shared (sharing is an explicit per-document action, not a default), invoices, and message history.</w:t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7.2 Messaging — Mechanics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Messaging is a two-way thread per matter, not per client — a client with multiple matters has a separate message thread for each.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Attorney/staff side: messages are composed and read from within the matter view, in a panel alongside the timeline and documents.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Client side: messages are composed and read from within the portal's view of that specific matter; the client cannot message the firm outside the context of a matter.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Delivery logic: a message sent from either side is (a) stored in the system as the source of truth, and (b) triggers an email notification to the other party containing a short preview and a link back into the portal/matter view to read and reply — the full message body is not sent by email, only a notification that a message is waiting.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This means email is a notification channel only; the actual conversation and its permanent record live in the portal/matter thread, not in anyone's email inbox.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Every message (both directions) is automatically appended to the matter timeline (Section 1.6) as a timestamped, attributed entry, identical in structure to other timeline events.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Read-receipt logic: a message is marked Delivered when stored, and Read when the recipient opens the matter/portal view containing it — visible to the sender as a status indicator on the message.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Attachments can be included on a portal message; an attachment sent this way is also filed into the matter's document store (Section 5), tagged by the message thread it came from.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7.3 Billing &amp; Payment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Clients can view all invoices (Draft-stage invoices excluded; only Sent or later statuses are visible) and outstanding balances for their matters.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Payment is processed via Stripe, embedded in the portal — the client pays directly from the invoice view without leaving the portal.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 successful Stripe payment, the system automatically: marks the invoice Paid or Partially Paid depending on amount received, logs a payment entry on the matter timeline, and — if the payment is tagged as a retainer payment rather than an invoice payment — updates the Retainer Tracking fields (Section 1.5) to collected.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Failed or disputed Stripe payments revert the invoice to its prior status and generate a notification to the attorney/staff, not a silent failure.</w:t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8. E-Signature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8.1 Sending for Signature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Any document attached to a matter can be sent for signature directly from the matter view.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Sending generates a unique, single-use signing link emailed to the signer; the link is not valid for any other document or signer.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8.2 Verification &amp; Audit Trail Logic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Signer identity is verified via the emailed link tied to the signer's email address on file for that matter.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Every step is timestamped and logged: link sent, link opened, each page viewed, each required field completed, signature applied, document completed.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Signer IP address is captured at the time of signing.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On completion, the system generates a certificate of completion (timestamps, IP address, signer email, document hash) and permanently attaches it to the signed document; the signed document and certificate cannot be altered after generation.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8.3 Filing Logic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Completed, signed documents file back into the originating matter's document store automatically, versioned against the unsigned original.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9. User &amp; Firm Settings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9.1 Roles &amp; Permissions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Two base role types: Attorney (full access to matters they are responsible for or have been granted access to) and Staff/Paralegal (configurable access, typically excluding billing rate visibility and trust-level financial detail).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Matter-level access can be restricted to specific users beyond the base role (e.g., a sensitive matter visible only to the responsible attorney).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9.2 Firm Branding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Firm name, logo, and contact details are applied automatically to: client portal interface, generated invoices, and signing-link emails.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10. Activity &amp; Audit Log</w:t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10.1 What Is Logged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Every create, edit, status change, document upload/version, time entry, invoice action, message, and login event is recorded with: acting user, timestamp, record affected, and a description of the action.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This is a firm-wide log, distinct from any single matter's timeline (Section 1.6) — the matter timeline is a filtered, client-relevant view; the audit log is the complete, unfiltered record across the entire firm.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10.2 Logic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Audit log entries are append-only — no entry can be edited or deleted by any user, including firm administrators, preserving the log's evidentiary value if a firm's process is ever questioned.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Entries are queryable by user, by record/matter, by action type, and by date range.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Permission changes (e.g., a staff member's access being granted or revoked on a matter) are themselves logged as audit events.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11. Firm Dashboard (Cross-Cutting Logic)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Aggregates, firm-wide and per-attorney: overdue deadlines, overdue invoices, matters with retainer not yet collected despite logged time entries, matters with no activity in a configurable trailing period (e.g., 14 days), and pending leads awaiting review.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8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"/>
          <w:szCs w:val="22"/>
          <w:u w:val="none"/>
          <w:shd w:fill="auto" w:val="clear"/>
          <w:vertAlign w:val="baseline"/>
          <w:rtl w:val="0"/>
        </w:rPr>
        <w:t xml:space="preserve">Each dashboard item links directly to the underlying matter or record — the dashboard itself stores no separate data, it is a live query view.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tabs>
        <w:tab w:val="right" w:leader="none" w:pos="9026"/>
      </w:tabs>
      <w:rPr/>
    </w:pPr>
    <w:r w:rsidDel="00000000" w:rsidR="00000000" w:rsidRPr="00000000">
      <w:rPr>
        <w:color w:val="6b7280"/>
        <w:sz w:val="16"/>
        <w:szCs w:val="16"/>
        <w:rtl w:val="0"/>
      </w:rPr>
      <w:t xml:space="preserve">Confidential — Mind2Matter / Logikosoft Technologies LLCPage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b7280"/>
        <w:sz w:val="16"/>
        <w:szCs w:val="16"/>
        <w:rtl w:val="0"/>
      </w:rPr>
      <w:t xml:space="preserve"> of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bottom w:color="d0d5db" w:space="4" w:sz="4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2e5266"/>
        <w:sz w:val="18"/>
        <w:szCs w:val="18"/>
        <w:rtl w:val="0"/>
      </w:rPr>
      <w:t xml:space="preserve">Mind2Matter</w:t>
    </w:r>
    <w:r w:rsidDel="00000000" w:rsidR="00000000" w:rsidRPr="00000000">
      <w:rPr>
        <w:color w:val="6b7280"/>
        <w:sz w:val="18"/>
        <w:szCs w:val="18"/>
        <w:rtl w:val="0"/>
      </w:rPr>
      <w:t xml:space="preserve">Practice Management Platform — Feature &amp; Logic Specification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80"/>
      </w:pPr>
      <w:rPr/>
    </w:lvl>
    <w:lvl w:ilvl="1">
      <w:start w:val="1"/>
      <w:numFmt w:val="bullet"/>
      <w:lvlText w:val="◦"/>
      <w:lvlJc w:val="left"/>
      <w:pPr>
        <w:ind w:left="920" w:hanging="28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5266" w:space="4" w:sz="6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266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293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26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