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TMCAI vs HaseebOS v15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Comprehensive Gap Analysis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Current Implementation vs Target Specification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Prepared for: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TallyMarks Consulting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17 April 2026  |  Version 1.0  |  Confidential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document provides a systematic comparison between the current TMCAI codebase (a production monolithic Express.js application) and the HaseebOS v15 Master Specification (a Gemini ADK-native multi-agent architecture hardened by Tri-LLM review). The analysis identifies 37 discrete gaps across 9 categories.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Severity Distribution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1426"/>
        <w:gridCol w:w="6179"/>
      </w:tblGrid>
      <w:tr>
        <w:tc>
          <w:tcPr>
            <w:tcW w:type="dxa" w:w="190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6179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Fundamental architecture gaps that block HaseebOS v15 compliance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833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Major feature or safety gaps requiring significant development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Moderate gaps addressable with targeted development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 gaps or items that become relevant only after architecture shift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TMCAI AHEAD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Areas where TMCAI exceeds HaseebOS v15 specification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Key Findings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The most fundamental gap is architectural: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TMCAI is a monolithic Express.js server while HaseebOS v15 specifies a distributed multi-agent system powered by Google ADK.</w:t>
      </w: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 This single difference cascades into most other gaps (event bus, agent decomposition, risk gating, etc.). Before addressing individual feature gaps, the architectural foundation must be decided: evolve the monolith incrementally, or rebuild on ADK.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TMCAI has strengths not in HaseebOS v15: </w:t>
      </w: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PII masking (already implemented vs deferred in HaseebOS), multi-tenant SaaS architecture (HaseebOS is single-user), multi-provider AI support (6 providers vs Gemini-only), and a richer connector registry (50+ types vs 5 adapters).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Gap Summary by Category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2"/>
        <w:gridCol w:w="1331"/>
        <w:gridCol w:w="1331"/>
        <w:gridCol w:w="1331"/>
        <w:gridCol w:w="2662"/>
      </w:tblGrid>
      <w:tr>
        <w:tc>
          <w:tcPr>
            <w:tcW w:type="dxa" w:w="285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3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Gaps</w:t>
            </w:r>
          </w:p>
        </w:tc>
        <w:tc>
          <w:tcPr>
            <w:tcW w:type="dxa" w:w="13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33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66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Architecture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833A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Requires rebuild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Feed Layer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833A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Major work needed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Open Items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833A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Incremental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Actions Layer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833A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Requires rebuild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Central Brain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833A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Requires rebuild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Steering Wheel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833A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Major work needed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Infrastructure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833A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Requires rebuild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Security &amp; Safety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Incremental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API Surface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Incremental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Integrations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833A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Incremental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Detailed Gap Analysis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Architecture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A-1: System Topology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HIGH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 specialized Gemini agents (1 supervisor + 6 workers) deployed on Vertex AI Agent Engine + Cloud Run microservices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Monolithic Express.js server with all services in a single process (fork mode PM2, 1GB heap)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Fundamental architectural shift required. TMCAI would need to be decomposed into separate agent services.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A-2: Agent Framework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HIGH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Google ADK with transfer_to_agent(), before_tool_callback, ToolConfirmation, SequentialAgent, ParallelAgent, Memory Bank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 agent framework with basic cron scheduling, single LLM call per run, 10KB memory cap, circuit breaker (3-error)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TMCAI agents are task runners, not autonomous reasoners. No ADK primitives, no dynamic routing, no workflow agents.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A-3: Event Bus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HIGH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 Pub/Sub topics (feed-events, open-item-events, action-executed-events, steering-wheel-events) with DLQs, ordering keys, exponential backoff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event bus. Direct function calls between services. No message queuing, no ordering guarantees, no dead-letter queues.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Entire event-driven architecture missing. All inter-service communication is synchronous.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A-4: Four-Layer Separation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E8833A"/>
          <w:sz w:val="18"/>
          <w:szCs w:val="18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MEDIUM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Strict 4-layer architecture: Feed (immutable capture) → Open Items (state machine) → Actions (execution) → Steering Wheel (UI), with cross-cutting Brain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Services are organized by function but not by layer. Chat controller mixes retrieval, intent, actions, and UI concerns. No strict layer boundaries.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TMCAI has some equivalent services but lacks strict layer isolation and the formal contracts between them.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A-5: Brain Decomposition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E8833A"/>
          <w:sz w:val="18"/>
          <w:szCs w:val="18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MEDIUM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Brain split into 3 concerns via ADK: Inference (stateless LLM routing), Orchestration (workflow agents), Learning (async Rule Engine)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Brain Engine (brainEngineService.ts) is a single 9-step sequential pipeline. No separation of inference, orchestration, and learning.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L3 review identified this as a God Object problem. TMCAI's brainEngineService combines all three concerns.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A-6: Database Schema Design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LOW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 PostgreSQL schemas (feed, items, actions, brain, steering) with clear ownership boundaries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Single flat schema with 49 tables. No schema-level separation. All tables in default public schema.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Schema separation is a migration task. Tables already exist but need reorganization into logical schemas.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Feed Layer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F-1: Source Adapters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E8833A"/>
          <w:sz w:val="18"/>
          <w:szCs w:val="18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MEDIUM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 dedicated adapters (Gmail, WhatsApp, GChat, GCal, GTasks) with 10-method interface (receive, verify, dedup, normalise, enrich, store, publish, health, backfill, teardown)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50+ connector types registered but implemented as credential storage + simple API wrappers. No formal adapter interface, no normalisation pipeline.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TMCAI connectors focus on auth/credentials. HaseebOS adapters are full data ingestion pipelines with dedup, normalisation, and health monitoring.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F-2: Circuit Breakers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E8833A"/>
          <w:sz w:val="18"/>
          <w:szCs w:val="18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MEDIUM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Circuit breakers on ALL external adapter calls (e.g., Gmail: 5 failures/60s → OPEN 5min; WhatsApp: 3 failures → OPEN 10min)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Agent-level circuit breaker only (3-error auto-pause). No per-adapter circuit breakers on connector calls.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TMCAI has basic error counting on agents but no formal circuit breaker pattern on external API calls.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F-3: Feed Immutability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E8833A"/>
          <w:sz w:val="18"/>
          <w:szCs w:val="18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MEDIUM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Feed events never modified after capture. Immutable raw data layer.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immutability guarantee. Feed data (Gmail, Calendar) is fetched on-demand, not captured and stored immutably.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TMCAI doesn't persist raw feed events. It queries Gmail/Calendar APIs on each request rather than capturing events.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F-4: FeedEvent Schema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LOW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Canonical FeedEvent schema with 8 required fields (event_id, trace_id, source, feed_id, external_id, event_type, sender, ingested_at) + ordering key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feedIntelligenceService classifies items but has no canonical event schema. Classification output is ad-hoc JSON.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TMCAI's feed intelligence is classification-focused, not schema-focused.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Open Items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O-1: State Machine Completeness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E8833A"/>
          <w:sz w:val="18"/>
          <w:szCs w:val="18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MEDIUM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 statuses (NEW, TRIAGED, IN_PROGRESS, DELEGATED, WAITING_INFO, SNOOZED, INFORMED, CLOSED) with complete transition matrix (22 valid transitions), guard conditions, and approval requirements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 statuses (open, in_progress, delegated, blocked, done, overdue). No formal transition matrix, no guard conditions, no approval requirements per transition.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TMCAI is missing TRIAGED, WAITING_INFO, INFORMED, SNOOZED. No transition validation — any status can be set directly.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O-2: Archetypes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LOW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 archetypes (reply_needed, delegate, inform_only, schedule_meeting, review_risk, acknowledge) assigned by Brain after rule evaluation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 item types (task, email, delegation, alert, erp, okr, risk) but these are categories, not behavioral archetypes that drive action suggestions.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TMCAI types describe what the item IS; HaseebOS archetypes describe what ACTION is needed.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O-3: Entity Linking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MEDIUM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 entity kinds (person, company, project, deal, objective) with full knowledge graph (edges, aliases, merge, sentiment_trend, interaction_count)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 entity types (contact, account, project, opportunity, risk, okr) with basic linking. No edge types, no alias dedup, no merge capability.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TMCAI has entity basics but lacks the knowledge graph depth (edges, merge, alias dedup, timeline).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Actions Layer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AC-1: Action Catalog Size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HIGH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35 fully enumerated actions in 8 categories (communication, calendar, task, crm, item_lifecycle, orchestration, brain, governance), each risk-tiered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~6 action types (reply, delegate, schedule, close, erp, snooze) in actionExecutionService. No formal catalog or risk tiering.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TMCAI is missing ~29 of 35 specified actions. No CRM actions (Odoo), no brain actions (wiki, entity graph, thought pipeline), no governance actions.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AC-2: Risk Gating (3-Tier)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HIGH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THREE-TIER: LOW (auto-execute), MEDIUM (ToolConfirmation, one-click approve), HIGH (full context package with entity history + relationship graph). Enforced via ADK before_tool_callback.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risk gating. Agent actions either auto-execute or require approval (binary). No risk assessment based on entity importance, deal value, etc.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Fundamental safety mechanism missing. TMCAI has basic approval workflow but no dynamic risk assessment.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AC-3: Transactional Idempotency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E8833A"/>
          <w:sz w:val="18"/>
          <w:szCs w:val="18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MEDIUM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Redis SETNX + Cloud SQL transaction (atomic check-and-execute). 4-step process: SETNX → BEGIN TX → COMMIT → SET completed.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SHA-256 keys stored in ActionIdempotencyLog table with 7-day TTL. DB-only, no Redis. Not transactional — gap between check and execute.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TMCAI has idempotency but it's not atomic. Race condition possible between key check and action execution.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AC-4: Cascading Undo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E8833A"/>
          <w:sz w:val="18"/>
          <w:szCs w:val="18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HIGH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Dependency graph via handler dependencies() method. Undo of Action A surfaces all dependent B, C, D for human review. Abdul can undo all, undo A only, or cancel.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undo capability at all. Actions are fire-and-forget. No dependency tracking between actions.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Entirely missing. Would require action dependency graph, undo handlers per action type, and Steering Wheel UI for impact preview.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AC-5: Kill Switch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E8833A"/>
          <w:sz w:val="18"/>
          <w:szCs w:val="18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MEDIUM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30-second halt SLA. All auto-actions suspended. Read-only mode. Step-up auth to re-arm. ADK before_tool_callback checks on every tool invocation.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kill switch. No emergency halt mechanism. No read-only mode.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Safety-critical gap. If AI makes bad decisions, there's no way to halt all autonomous actions immediately.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AC-6: Action Handler Interface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MEDIUM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12-method interface per handler (validate, prepare, execute, confirm, undo, health, riskLevel, dryRun, schema, dependencies, metadata, auditFields)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formal handler interface. actionExecutionService has a switch statement routing to inline handler functions.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TMCAI action handlers are ad-hoc. No standard interface for validation, dry-run, undo, or health checking.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Central Brain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B-1: Three-Layer Decision Log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HIGH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Immutable BigQuery Event Store (append-only, retention lock) + Curated Training Set (labeled, filtered) + Operational Cloud SQL View (mutable). CDC pipeline &lt;60s latency.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Single audit_log table in PostgreSQL. Mutable. No immutable copy. No BigQuery sink. No CDC pipeline. No separation of audit/training/operational views.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The audit integrity hole identified in L3 review. TMCAI's audit_log can be modified, defeating audit purpose.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B-2: Probabilistic Shadowing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HIGH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7-stage lifecycle: DRAFT → SHADOW (30 days) → Evaluation Gate (Golden Dataset 1000+ decisions, 95%/98%/manual thresholds) → ACTIVE → Drift Guard (7-day window, 2 std dev) → DEPRECATED → ARCHIVED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patternAnalysisService runs weekly, detects patterns with count ≥ 10 and matchRate ≥ 90%. No shadow period, no Golden Dataset, no drift monitoring, no formal lifecycle.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TMCAI's pattern analysis is basic compared to the rigorous Probabilistic Shadowing pipeline. No evaluation gate, no drift guard.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B-3: Dry-Run Match Function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E8833A"/>
          <w:sz w:val="18"/>
          <w:szCs w:val="18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MEDIUM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Formally defined: LOW=95% (action+entity match), MEDIUM=98% (action+entity+timing within 2hr), HIGH=manual certification. Boundary rules for threshold edge cases.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dry-run match function. Pattern confirmation is manual (user confirms/revokes patterns in ThoughtPipeline).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formal criteria for when a pattern becomes autonomous. TMCAI relies entirely on user confirmation.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B-4: Entity Knowledge Graph Depth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MEDIUM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graph: entities + edges (typed, weighted, timestamped) + aliases + merge + timeline + sentiment_trend + interaction_count. Bidirectional edge traversal.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Entities with basic links (EntityLink table). No edge weights, no timestamps on edges, no alias management, no entity merge, no timeline view.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TMCAI has entity basics but the knowledge graph is shallow compared to HaseebOS specification.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B-5: External Knowledge Agent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MEDIUM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Dedicated agent with 5 tools (query_tmc_context, query_know, synthesize_context, cache_result, check_cache). Redis cache with auth + TLS, 15-min TTL.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domainKnowledgeService with semantic search. No dedicated agent. No TMC Context or KNOW API integration. No Redis caching layer.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TMCAI has domain knowledge seeded in DB but no live external knowledge API integration.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Steering Wheel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S-1: 5-Tab Interface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E8833A"/>
          <w:sz w:val="18"/>
          <w:szCs w:val="18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HIGH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Brain Query, Morning Brief, Action Center, Action Execution (15 embedded interfaces), Health Check (13 components)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Chat interface with sidebar pages. Separate pages for day brief, open items, agents, settings. No unified 5-tab Steering Wheel.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TMCAI has equivalent functionality scattered across pages but not the unified Steering Wheel experience.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S-2: Frontend Framework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HIGH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Next.js 14 (App Router, Server Components) + shadcn/ui + Tailwind + TipTap editor + Zustand + React Query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React 19 + Vite + custom CSS (dark theme) + vanilla state management (useChat hook) + Axios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Complete frontend rewrite to Next.js with different state management and UI library.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S-3: Action Center UI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E8833A"/>
          <w:sz w:val="18"/>
          <w:szCs w:val="18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MEDIUM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Queue of pending actions with AI reasoning, risk badges (LOW/MEDIUM/HIGH), entity context, confidence scores. One-click approve/modify/reject/skip.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Agent approvals page with basic approve/reject. No risk badges, no AI reasoning display, no entity context, no confidence scores.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TMCAI has basic approval workflow but lacks the rich context display specified in HaseebOS.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S-4: Custom Action Framework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HIGH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 can define new actions via creation wizard. Custom actions enter Probabilistic Shadowing pipeline before promotion to permanent library.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custom action framework. Actions are hardcoded in actionExecutionService.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Entirely missing. Would require dynamic action registration, DynamicForm rendering, and shadow pipeline integration.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S-5: SSE Real-Time Updates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LOW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Steering Wheel Agent pushes SSE events for action completions, queue badge updates, health alerts, brief generation progress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SSE used for chat streaming only. No SSE for action completions, health alerts, or queue updates.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TMCAI has SSE infrastructure but only uses it for chat. Extending to other events is incremental.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Infrastructure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I-1: Database HA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CRITICAL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MEDIUM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Cloud SQL Postgres 15 HA: primary + standby auto-failover + PgBouncer connection pooling + read replica for analytics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Single PostgreSQL 16 instance. PgBouncer configured in docker-compose (25 default, 500 max) but no HA, no standby, no read replica.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TMCAI has PgBouncer but is a single point of failure. No failover, no read replica.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I-2: Data Retention (3-Tier)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E8833A"/>
          <w:sz w:val="18"/>
          <w:szCs w:val="18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HIGH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Hot (Cloud SQL, 12 months, &lt;10ms) → Warm (BigQuery, 3 years, &lt;10s) → Cold (GCS retention lock, indefinite, &lt;60s)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retention policy. All data stays in PostgreSQL indefinitely. cleanup jobs remove old resolved logs (90 days) but no tiered archival.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data lifecycle management. Will become a scaling issue as data grows.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I-3: Redis for Idempotency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E8833A"/>
          <w:sz w:val="18"/>
          <w:szCs w:val="18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MEDIUM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Memorystore Redis with auth + TLS encryption. Used for: idempotency (SETNX), caching (15-min TTL), circuit breaker state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Redis 7 in docker-compose (256MB, LRU eviction) but NOT USED in application code. No Redis client in server dependencies. All caching is in-memory JavaScript Maps.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Redis is provisioned but unused. All caching (smart cache, dedup, PII cache, feature flags) uses in-memory Maps with TTL.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I-4: BigQuery Integration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E8833A"/>
          <w:sz w:val="18"/>
          <w:szCs w:val="18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MEDIUM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BigQuery for: immutable Decision Log (CDC sink), curated training set, warm-tier analytics, 3-year retention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BigQuery used as a DATA SOURCE for business data queries (projects, employees, deals). NOT used for audit/decision logging or analytics storage.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TMCAI reads FROM BigQuery. HaseebOS writes TO BigQuery for audit/analytics.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I-5: GCP Services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E8833A"/>
          <w:sz w:val="18"/>
          <w:szCs w:val="18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HIGH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Vertex AI Agent Engine, Cloud Run, Cloud SQL HA, Pub/Sub, Memorystore Redis, BigQuery, GCS, Cloud Scheduler, Secret Manager, Cloud Logging, Datastream CDC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GCP services used: BigQuery (read), Vertex AI (embeddings), Secret Manager (optional), Speech/TTS. Missing: Agent Engine, Cloud Run, Pub/Sub, Memorystore, GCS, Cloud Scheduler, Datastream.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TMCAI uses ~4 GCP services. HaseebOS requires ~11. Significant cloud infrastructure expansion needed.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I-6: Structured Logging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LOW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LOW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Global Trace IDs across all services and Pub/Sub messages. Cloud Logging with structured JSON. Cross-service correlation.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RequestId per HTTP request (AsyncLocalStorage). JSON logging in production. But no cross-service trace IDs (monolithic, so not needed yet).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TMCAI has good logging for a monolith. Global Trace IDs become necessary only when moving to microservices.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I-7: Vertex AI Memory Bank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MEDIUM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Cross-session learned memories for agents. Entity enrichment. Preference learning. GA service.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user_profile_memory table (single row per user, 3 categories). Agent memory in JSON field (10KB cap). No Vertex AI Memory Bank.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TMCAI memory is simpler but functional. Memory Bank adds cross-session persistence and richer entity learning.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Security &amp; Safety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SS-1: Authentication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MEDIUM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MVP: Google Identity OIDC. Phase 2: tiered auth + MFA + step-up auth for kill switch re-arm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Email/empcode + bcrypt password. HttpOnly cookies. 72h sessions. Account lockout. No OIDC, no MFA, no step-up auth.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TMCAI auth is functional but traditional. HaseebOS uses Google Identity (OIDC) which is more secure and simpler.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SS-2: DLP/PII Masking Scope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TMCAI AHEAD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N/A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Deferred to post-MVP. Acknowledged: log sanitization, BigQuery column security, PII detection on external payloads.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PII masking implemented via Gemini NER (11 entity types). Mask before LLM, unmask in stream. Feature-flagged.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TMCAI is AHEAD of HaseebOS here. PII masking is already implemented; HaseebOS deferred it.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3.9 API Surface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API-1: Total API Endpoints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HIGH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~80+ endpoints across 5 layers (Feed: 4, Items: 13, Actions: 12, Brain: 35, Steering: 29)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~120+ endpoints across 31 route files. Different organization but covers many of the same functions.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TMCAI has MORE endpoints but organized differently. Gap is in the contracts and formal schemas, not quantity.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API-2: Unified Error Schema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LOW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Standard error response: {error_code, message, layer, trace_id, timestamp} across all layers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Inconsistent error responses. Global errorHandler returns {error: message}. No standard error_code enum, no layer field, no trace_id in errors.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Simple standardization task. Requires consistent error response format across all routes.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3.10 Integrations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INT-1: CRM (Odoo)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E8833A"/>
          <w:sz w:val="18"/>
          <w:szCs w:val="18"/>
        </w:rPr>
        <w:t xml:space="preserve">HIGH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HIGH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 CRM actions: create_odoo_lead, update_odoo_crm, create_odoo_opportunity, update_odoo_opportunity (XML-RPC)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Odoo listed as connector type but NO implementation. connectorRegistry has slug 'odoo' but no OdooConnector class.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CRM integration is spec'd but not built. Would need Odoo XML-RPC client and 4 action handlers.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INT-2: Google Chat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MEDIUM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MEDIUM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GChatAdapter with webhook mode. DMs + @mentions. Circuit breaker. send_chat_reply and assign_chat_task actions.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Google Chat listed in connector types but NO implementation. No adapter, no actions.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 integration. Would need Google Chat API client, webhook handler, and action handlers.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INT-3: Notion Sync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Severity: 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LOW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    Effort: </w:t>
      </w:r>
      <w:r>
        <w:rPr>
          <w:rFonts w:ascii="Arial" w:cs="Arial" w:eastAsia="Arial" w:hAnsi="Arial"/>
          <w:b/>
          <w:bCs/>
          <w:color w:val="7F8C8D"/>
          <w:sz w:val="18"/>
          <w:szCs w:val="18"/>
        </w:rPr>
        <w:t xml:space="preserve">MEDIUM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7795"/>
      </w:tblGrid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HaseebOS v15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Bi-directional Thought Pipeline sync to Notion. 5-min sync interval. Last-writer-wins with conflict detection.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TMCAI Current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Notion integration. ThoughtPipeline is internal-only (database + UI).</w:t>
            </w:r>
          </w:p>
        </w:tc>
      </w:tr>
      <w:tr>
        <w:tc>
          <w:tcPr>
            <w:tcW w:type="dxa" w:w="171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Gap Notes</w:t>
            </w:r>
          </w:p>
        </w:tc>
        <w:tc>
          <w:tcPr>
            <w:tcW w:type="dxa" w:w="77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Nice-to-have. TMCAI ThoughtPipeline works without Notion; sync would add external visibility.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Areas Where TMCAI Exceeds HaseebOS v15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4.1 Multi-Tenant SaaS Architecture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HaseebOS v15 is designed as a single-user system for Abdul Haseeb. TMCAI is a full multi-tenant SaaS platform with tenant isolation, license management, seat-based pricing, user tier system, and per-tenant configuration. This is a major architectural advantage.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4.2 PII Masking (Already Implemented)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HaseebOS deferred DLP/PII masking to post-MVP. TMCAI already has Gemini NER-based PII detection with 11 entity types, stream unmasking, and feature-flag control. This is a compliance advantage.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4.3 Multi-Provider AI Support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HaseebOS is Gemini-only (3.1 Pro + Flash). TMCAI supports 6 providers (Gemini Pro, Gemini Flash, Claude Sonnet 4, GPT-4o, Groq Llama 4, OpenRouter with free model fallback) with per-user tier restrictions and automatic fallback.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4.4 Connector Breadth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HaseebOS specifies 5 source adapters (Gmail, WhatsApp, GChat, GCal, GTasks). TMCAI has 50+ registered connector types across personal and organizational scopes, including Salesforce, HubSpot, Jira, SAP, LinkedIn, Zoom, and more. The three-tier connector model (type registry, tenant config, user connection) is more flexible.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4.5 RAG Pipeline Sophistication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TMCAI has a mature RAG pipeline with hybrid search (vector + TF-IDF via RRF), cross-encoder re-ranking, section-level retrieval, query rewriting, content/output sanitization, and multiple vector store backends (local file, Vertex AI Vector Search, BigQuery semantic). HaseebOS does not specify a RAG pipeline.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4.6 White-Label and Marketplace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TMCAI has white-label branding (custom logo, colors, CSS, domain), API gateway with developer portal, and a marketplace for connectors and agent templates. While HaseebOS mentions none of these platform features.</w:t>
      </w: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Recommended Migration Approach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Option A: Incremental Evolution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Keep the TMCAI monolith and incrementally adopt HaseebOS concepts. This preserves the multi-tenant SaaS architecture, existing connectors, and RAG pipeline while adding HaseebOS features as new modules.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Pros: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Lower risk, preserves existing features, can ship incrementally.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Cons: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Will never achieve true agent autonomy without ADK; event-driven architecture harder to retrofit.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Option B: Parallel ADK Build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Build HaseebOS v15 as a new system on ADK, then migrate TMCAI's multi-tenant and SaaS features into it. Run both in parallel during transition.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Pros: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Clean architecture, full ADK benefits, proper agent autonomy.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Cons: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20-week build (per spec), must re-implement multi-tenant, PII, RAG, and connector breadth.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Option C: Hybrid (Recommended)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Extract TMCAI's strengths (multi-tenant, PII, RAG, connectors) into shared libraries. Build HaseebOS agent layer on ADK as a new service that consumes these libraries. TMCAI becomes the data/platform layer; ADK agents become the intelligence layer.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Pros: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Best of both worlds. Preserves TMCAI investment. Adds ADK intelligence.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Cons: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Integration complexity between monolith and agent services. Requires clear API contracts.</w:t>
      </w:r>
    </w:p>
    <w:p>
      <w:pPr>
        <w:pBdr>
          <w:top w:val="single" w:color="2E75B6" w:sz="2" w:space="8"/>
        </w:pBdr>
        <w:spacing w:before="600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End of Gap Analysis  |  TMCAI vs HaseebOS v15  |  TallyMarks Consulting  |  Confidential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7F8C8D"/>
        <w:sz w:val="16"/>
        <w:szCs w:val="16"/>
      </w:rPr>
      <w:t xml:space="preserve">TallyMarks Consulting — Confidential</w:t>
    </w:r>
    <w:r>
      <w:rPr>
        <w:rFonts w:ascii="Arial" w:cs="Arial" w:eastAsia="Arial" w:hAnsi="Arial"/>
        <w:color w:val="7F8C8D"/>
        <w:sz w:val="16"/>
        <w:szCs w:val="16"/>
      </w:rPr>
      <w:t xml:space="preserve">	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TMCAI vs HaseebOS v15 — Gap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2026-04-17T12:25:54.073Z</dcterms:created>
  <dcterms:modified xsi:type="dcterms:W3CDTF">2026-04-17T12:25:54.073Z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