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SOURCE OF TRUTH - REVISION 1.1 (AMENDMENT TO v1.0)</w:t>
      </w:r>
    </w:p>
    <w:p>
      <w:pPr>
        <w:jc w:val="center"/>
      </w:pPr>
      <w:r>
        <w:rPr>
          <w:sz w:val="21"/>
        </w:rPr>
        <w:t>Python + Streamlit | Coimbatore Depot 035 | 25 September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r>
              <w:rPr>
                <w:sz w:val="19"/>
              </w:rPr>
              <w:t>STATUS: DRAFT FOR APPROVAL. This revision amends the LOCKED v1.0 baseline (23-Sep-2026). Precedence: where v1.1 and v1.0 conflict, v1.1 governs; every v1.0 section not amended here remains in force unchanged. Items marked [LOCKED - USER DECISION] come from the business owner's answers of 25-Sep-2026. Items marked [RECOMMENDED] need approval. All open questions are answered (Section 22). After sign-off, v1.0 and v1.1 are to be consolidated into a single v1.2 document.</w:t>
            </w:r>
          </w:p>
        </w:tc>
      </w:tr>
    </w:tbl>
    <w:p>
      <w:pPr>
        <w:spacing w:after="40"/>
      </w:pPr>
    </w:p>
    <w:p>
      <w:pPr>
        <w:pStyle w:val="Heading1"/>
      </w:pPr>
      <w:r>
        <w:t>0. Change 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794"/>
            <w:shd w:val="clear" w:color="auto" w:fill="1F3A5F"/>
          </w:tcPr>
          <w:p>
            <w:r/>
            <w:r>
              <w:rPr>
                <w:b/>
                <w:color w:val="FFFFFF"/>
                <w:sz w:val="19"/>
              </w:rPr>
              <w:t>Ref</w:t>
            </w:r>
          </w:p>
        </w:tc>
        <w:tc>
          <w:tcPr>
            <w:tcW w:type="dxa" w:w="1361"/>
            <w:shd w:val="clear" w:color="auto" w:fill="1F3A5F"/>
          </w:tcPr>
          <w:p>
            <w:r/>
            <w:r>
              <w:rPr>
                <w:b/>
                <w:color w:val="FFFFFF"/>
                <w:sz w:val="19"/>
              </w:rPr>
              <w:t>Amends v1.0</w:t>
            </w:r>
          </w:p>
        </w:tc>
        <w:tc>
          <w:tcPr>
            <w:tcW w:type="dxa" w:w="5216"/>
            <w:shd w:val="clear" w:color="auto" w:fill="1F3A5F"/>
          </w:tcPr>
          <w:p>
            <w:r/>
            <w:r>
              <w:rPr>
                <w:b/>
                <w:color w:val="FFFFFF"/>
                <w:sz w:val="19"/>
              </w:rPr>
              <w:t>Change</w:t>
            </w:r>
          </w:p>
        </w:tc>
        <w:tc>
          <w:tcPr>
            <w:tcW w:type="dxa" w:w="2041"/>
            <w:shd w:val="clear" w:color="auto" w:fill="1F3A5F"/>
          </w:tcPr>
          <w:p>
            <w:r/>
            <w:r>
              <w:rPr>
                <w:b/>
                <w:color w:val="FFFFFF"/>
                <w:sz w:val="19"/>
              </w:rPr>
              <w:t>Status</w:t>
            </w:r>
          </w:p>
        </w:tc>
      </w:tr>
      <w:tr>
        <w:tc>
          <w:tcPr>
            <w:tcW w:type="dxa" w:w="794"/>
          </w:tcPr>
          <w:p>
            <w:r/>
            <w:r>
              <w:rPr>
                <w:sz w:val="19"/>
              </w:rPr>
              <w:t>R-01</w:t>
            </w:r>
          </w:p>
        </w:tc>
        <w:tc>
          <w:tcPr>
            <w:tcW w:type="dxa" w:w="1361"/>
          </w:tcPr>
          <w:p>
            <w:r/>
            <w:r>
              <w:rPr>
                <w:sz w:val="19"/>
              </w:rPr>
              <w:t>8.3, 8.5, 7.3</w:t>
            </w:r>
          </w:p>
        </w:tc>
        <w:tc>
          <w:tcPr>
            <w:tcW w:type="dxa" w:w="5216"/>
          </w:tcPr>
          <w:p>
            <w:r/>
            <w:r>
              <w:rPr>
                <w:sz w:val="19"/>
              </w:rPr>
              <w:t>ERP expectation model per load type incl. LSCCR</w:t>
            </w:r>
          </w:p>
        </w:tc>
        <w:tc>
          <w:tcPr>
            <w:tcW w:type="dxa" w:w="2041"/>
          </w:tcPr>
          <w:p>
            <w:r/>
            <w:r>
              <w:rPr>
                <w:sz w:val="19"/>
              </w:rPr>
              <w:t>Locked</w:t>
            </w:r>
          </w:p>
        </w:tc>
      </w:tr>
      <w:tr>
        <w:tc>
          <w:tcPr>
            <w:tcW w:type="dxa" w:w="794"/>
          </w:tcPr>
          <w:p>
            <w:r/>
            <w:r>
              <w:rPr>
                <w:sz w:val="19"/>
              </w:rPr>
              <w:t>R-02</w:t>
            </w:r>
          </w:p>
        </w:tc>
        <w:tc>
          <w:tcPr>
            <w:tcW w:type="dxa" w:w="1361"/>
          </w:tcPr>
          <w:p>
            <w:r/>
            <w:r>
              <w:rPr>
                <w:sz w:val="19"/>
              </w:rPr>
              <w:t>5.3</w:t>
            </w:r>
          </w:p>
        </w:tc>
        <w:tc>
          <w:tcPr>
            <w:tcW w:type="dxa" w:w="5216"/>
          </w:tcPr>
          <w:p>
            <w:r/>
            <w:r>
              <w:rPr>
                <w:sz w:val="19"/>
              </w:rPr>
              <w:t>Outbound Despatch Report row-assignment rules</w:t>
            </w:r>
          </w:p>
        </w:tc>
        <w:tc>
          <w:tcPr>
            <w:tcW w:type="dxa" w:w="2041"/>
          </w:tcPr>
          <w:p>
            <w:r/>
            <w:r>
              <w:rPr>
                <w:sz w:val="19"/>
              </w:rPr>
              <w:t>Recommended</w:t>
            </w:r>
          </w:p>
        </w:tc>
      </w:tr>
      <w:tr>
        <w:tc>
          <w:tcPr>
            <w:tcW w:type="dxa" w:w="794"/>
          </w:tcPr>
          <w:p>
            <w:r/>
            <w:r>
              <w:rPr>
                <w:sz w:val="19"/>
              </w:rPr>
              <w:t>R-03</w:t>
            </w:r>
          </w:p>
        </w:tc>
        <w:tc>
          <w:tcPr>
            <w:tcW w:type="dxa" w:w="1361"/>
          </w:tcPr>
          <w:p>
            <w:r/>
            <w:r>
              <w:rPr>
                <w:sz w:val="19"/>
              </w:rPr>
              <w:t>6, 7.1, 8.3</w:t>
            </w:r>
          </w:p>
        </w:tc>
        <w:tc>
          <w:tcPr>
            <w:tcW w:type="dxa" w:w="5216"/>
          </w:tcPr>
          <w:p>
            <w:r/>
            <w:r>
              <w:rPr>
                <w:sz w:val="19"/>
              </w:rPr>
              <w:t>UOM families (L/ML/K/G) and BULKPC empty-packing rule</w:t>
            </w:r>
          </w:p>
        </w:tc>
        <w:tc>
          <w:tcPr>
            <w:tcW w:type="dxa" w:w="2041"/>
          </w:tcPr>
          <w:p>
            <w:r/>
            <w:r>
              <w:rPr>
                <w:sz w:val="19"/>
              </w:rPr>
              <w:t>Locked</w:t>
            </w:r>
          </w:p>
        </w:tc>
      </w:tr>
      <w:tr>
        <w:tc>
          <w:tcPr>
            <w:tcW w:type="dxa" w:w="794"/>
          </w:tcPr>
          <w:p>
            <w:r/>
            <w:r>
              <w:rPr>
                <w:sz w:val="19"/>
              </w:rPr>
              <w:t>R-04</w:t>
            </w:r>
          </w:p>
        </w:tc>
        <w:tc>
          <w:tcPr>
            <w:tcW w:type="dxa" w:w="1361"/>
          </w:tcPr>
          <w:p>
            <w:r/>
            <w:r>
              <w:rPr>
                <w:sz w:val="19"/>
              </w:rPr>
              <w:t>3, 7.6, 14</w:t>
            </w:r>
          </w:p>
        </w:tc>
        <w:tc>
          <w:tcPr>
            <w:tcW w:type="dxa" w:w="5216"/>
          </w:tcPr>
          <w:p>
            <w:r/>
            <w:r>
              <w:rPr>
                <w:sz w:val="19"/>
              </w:rPr>
              <w:t>Outlook COM locked as mail engine (send + SIT fetch)</w:t>
            </w:r>
          </w:p>
        </w:tc>
        <w:tc>
          <w:tcPr>
            <w:tcW w:type="dxa" w:w="2041"/>
          </w:tcPr>
          <w:p>
            <w:r/>
            <w:r>
              <w:rPr>
                <w:sz w:val="19"/>
              </w:rPr>
              <w:t>Locked</w:t>
            </w:r>
          </w:p>
        </w:tc>
      </w:tr>
      <w:tr>
        <w:tc>
          <w:tcPr>
            <w:tcW w:type="dxa" w:w="794"/>
          </w:tcPr>
          <w:p>
            <w:r/>
            <w:r>
              <w:rPr>
                <w:sz w:val="19"/>
              </w:rPr>
              <w:t>R-05</w:t>
            </w:r>
          </w:p>
        </w:tc>
        <w:tc>
          <w:tcPr>
            <w:tcW w:type="dxa" w:w="1361"/>
          </w:tcPr>
          <w:p>
            <w:r/>
            <w:r>
              <w:rPr>
                <w:sz w:val="19"/>
              </w:rPr>
              <w:t>7.7 G04-MAIL</w:t>
            </w:r>
          </w:p>
        </w:tc>
        <w:tc>
          <w:tcPr>
            <w:tcW w:type="dxa" w:w="5216"/>
          </w:tcPr>
          <w:p>
            <w:r/>
            <w:r>
              <w:rPr>
                <w:sz w:val="19"/>
              </w:rPr>
              <w:t>Mail outage handling; Mail-Pending Release</w:t>
            </w:r>
          </w:p>
        </w:tc>
        <w:tc>
          <w:tcPr>
            <w:tcW w:type="dxa" w:w="2041"/>
          </w:tcPr>
          <w:p>
            <w:r/>
            <w:r>
              <w:rPr>
                <w:sz w:val="19"/>
              </w:rPr>
              <w:t>Recommended</w:t>
            </w:r>
          </w:p>
        </w:tc>
      </w:tr>
      <w:tr>
        <w:tc>
          <w:tcPr>
            <w:tcW w:type="dxa" w:w="794"/>
          </w:tcPr>
          <w:p>
            <w:r/>
            <w:r>
              <w:rPr>
                <w:sz w:val="19"/>
              </w:rPr>
              <w:t>R-06</w:t>
            </w:r>
          </w:p>
        </w:tc>
        <w:tc>
          <w:tcPr>
            <w:tcW w:type="dxa" w:w="1361"/>
          </w:tcPr>
          <w:p>
            <w:r/>
            <w:r>
              <w:rPr>
                <w:sz w:val="19"/>
              </w:rPr>
              <w:t>New</w:t>
            </w:r>
          </w:p>
        </w:tc>
        <w:tc>
          <w:tcPr>
            <w:tcW w:type="dxa" w:w="5216"/>
          </w:tcPr>
          <w:p>
            <w:r/>
            <w:r>
              <w:rPr>
                <w:sz w:val="19"/>
              </w:rPr>
              <w:t>Fresh start (no legacy migration) and cutover</w:t>
            </w:r>
          </w:p>
        </w:tc>
        <w:tc>
          <w:tcPr>
            <w:tcW w:type="dxa" w:w="2041"/>
          </w:tcPr>
          <w:p>
            <w:r/>
            <w:r>
              <w:rPr>
                <w:sz w:val="19"/>
              </w:rPr>
              <w:t>Locked</w:t>
            </w:r>
          </w:p>
        </w:tc>
      </w:tr>
      <w:tr>
        <w:tc>
          <w:tcPr>
            <w:tcW w:type="dxa" w:w="794"/>
          </w:tcPr>
          <w:p>
            <w:r/>
            <w:r>
              <w:rPr>
                <w:sz w:val="19"/>
              </w:rPr>
              <w:t>R-07</w:t>
            </w:r>
          </w:p>
        </w:tc>
        <w:tc>
          <w:tcPr>
            <w:tcW w:type="dxa" w:w="1361"/>
          </w:tcPr>
          <w:p>
            <w:r/>
            <w:r>
              <w:rPr>
                <w:sz w:val="19"/>
              </w:rPr>
              <w:t>17</w:t>
            </w:r>
          </w:p>
        </w:tc>
        <w:tc>
          <w:tcPr>
            <w:tcW w:type="dxa" w:w="5216"/>
          </w:tcPr>
          <w:p>
            <w:r/>
            <w:r>
              <w:rPr>
                <w:sz w:val="19"/>
              </w:rPr>
              <w:t>Two-level state model; VOID state</w:t>
            </w:r>
          </w:p>
        </w:tc>
        <w:tc>
          <w:tcPr>
            <w:tcW w:type="dxa" w:w="2041"/>
          </w:tcPr>
          <w:p>
            <w:r/>
            <w:r>
              <w:rPr>
                <w:sz w:val="19"/>
              </w:rPr>
              <w:t>Recommended</w:t>
            </w:r>
          </w:p>
        </w:tc>
      </w:tr>
      <w:tr>
        <w:tc>
          <w:tcPr>
            <w:tcW w:type="dxa" w:w="794"/>
          </w:tcPr>
          <w:p>
            <w:r/>
            <w:r>
              <w:rPr>
                <w:sz w:val="19"/>
              </w:rPr>
              <w:t>R-08</w:t>
            </w:r>
          </w:p>
        </w:tc>
        <w:tc>
          <w:tcPr>
            <w:tcW w:type="dxa" w:w="1361"/>
          </w:tcPr>
          <w:p>
            <w:r/>
            <w:r>
              <w:rPr>
                <w:sz w:val="19"/>
              </w:rPr>
              <w:t>5.4, 8.4</w:t>
            </w:r>
          </w:p>
        </w:tc>
        <w:tc>
          <w:tcPr>
            <w:tcW w:type="dxa" w:w="5216"/>
          </w:tcPr>
          <w:p>
            <w:r/>
            <w:r>
              <w:rPr>
                <w:sz w:val="19"/>
              </w:rPr>
              <w:t>Vendor: Vendor Code + PO No + Challan No; IRR via receipt only</w:t>
            </w:r>
          </w:p>
        </w:tc>
        <w:tc>
          <w:tcPr>
            <w:tcW w:type="dxa" w:w="2041"/>
          </w:tcPr>
          <w:p>
            <w:r/>
            <w:r>
              <w:rPr>
                <w:sz w:val="19"/>
              </w:rPr>
              <w:t>Locked</w:t>
            </w:r>
          </w:p>
        </w:tc>
      </w:tr>
      <w:tr>
        <w:tc>
          <w:tcPr>
            <w:tcW w:type="dxa" w:w="794"/>
          </w:tcPr>
          <w:p>
            <w:r/>
            <w:r>
              <w:rPr>
                <w:sz w:val="19"/>
              </w:rPr>
              <w:t>R-09</w:t>
            </w:r>
          </w:p>
        </w:tc>
        <w:tc>
          <w:tcPr>
            <w:tcW w:type="dxa" w:w="1361"/>
          </w:tcPr>
          <w:p>
            <w:r/>
            <w:r>
              <w:rPr>
                <w:sz w:val="19"/>
              </w:rPr>
              <w:t>3</w:t>
            </w:r>
          </w:p>
        </w:tc>
        <w:tc>
          <w:tcPr>
            <w:tcW w:type="dxa" w:w="5216"/>
          </w:tcPr>
          <w:p>
            <w:r/>
            <w:r>
              <w:rPr>
                <w:sz w:val="19"/>
              </w:rPr>
              <w:t>SIT change-detection algorithm</w:t>
            </w:r>
          </w:p>
        </w:tc>
        <w:tc>
          <w:tcPr>
            <w:tcW w:type="dxa" w:w="2041"/>
          </w:tcPr>
          <w:p>
            <w:r/>
            <w:r>
              <w:rPr>
                <w:sz w:val="19"/>
              </w:rPr>
              <w:t>Locked</w:t>
            </w:r>
          </w:p>
        </w:tc>
      </w:tr>
      <w:tr>
        <w:tc>
          <w:tcPr>
            <w:tcW w:type="dxa" w:w="794"/>
          </w:tcPr>
          <w:p>
            <w:r/>
            <w:r>
              <w:rPr>
                <w:sz w:val="19"/>
              </w:rPr>
              <w:t>R-10</w:t>
            </w:r>
          </w:p>
        </w:tc>
        <w:tc>
          <w:tcPr>
            <w:tcW w:type="dxa" w:w="1361"/>
          </w:tcPr>
          <w:p>
            <w:r/>
            <w:r>
              <w:rPr>
                <w:sz w:val="19"/>
              </w:rPr>
              <w:t>7.1, 11</w:t>
            </w:r>
          </w:p>
        </w:tc>
        <w:tc>
          <w:tcPr>
            <w:tcW w:type="dxa" w:w="5216"/>
          </w:tcPr>
          <w:p>
            <w:r/>
            <w:r>
              <w:rPr>
                <w:sz w:val="19"/>
              </w:rPr>
              <w:t>Floor SKU derivation rule</w:t>
            </w:r>
          </w:p>
        </w:tc>
        <w:tc>
          <w:tcPr>
            <w:tcW w:type="dxa" w:w="2041"/>
          </w:tcPr>
          <w:p>
            <w:r/>
            <w:r>
              <w:rPr>
                <w:sz w:val="19"/>
              </w:rPr>
              <w:t>Locked</w:t>
            </w:r>
          </w:p>
        </w:tc>
      </w:tr>
      <w:tr>
        <w:tc>
          <w:tcPr>
            <w:tcW w:type="dxa" w:w="794"/>
          </w:tcPr>
          <w:p>
            <w:r/>
            <w:r>
              <w:rPr>
                <w:sz w:val="19"/>
              </w:rPr>
              <w:t>R-11</w:t>
            </w:r>
          </w:p>
        </w:tc>
        <w:tc>
          <w:tcPr>
            <w:tcW w:type="dxa" w:w="1361"/>
          </w:tcPr>
          <w:p>
            <w:r/>
            <w:r>
              <w:rPr>
                <w:sz w:val="19"/>
              </w:rPr>
              <w:t>5.1</w:t>
            </w:r>
          </w:p>
        </w:tc>
        <w:tc>
          <w:tcPr>
            <w:tcW w:type="dxa" w:w="5216"/>
          </w:tcPr>
          <w:p>
            <w:r/>
            <w:r>
              <w:rPr>
                <w:sz w:val="19"/>
              </w:rPr>
              <w:t>Split Ship ID - clerk-invoked rare option</w:t>
            </w:r>
          </w:p>
        </w:tc>
        <w:tc>
          <w:tcPr>
            <w:tcW w:type="dxa" w:w="2041"/>
          </w:tcPr>
          <w:p>
            <w:r/>
            <w:r>
              <w:rPr>
                <w:sz w:val="19"/>
              </w:rPr>
              <w:t>Locked</w:t>
            </w:r>
          </w:p>
        </w:tc>
      </w:tr>
      <w:tr>
        <w:tc>
          <w:tcPr>
            <w:tcW w:type="dxa" w:w="794"/>
          </w:tcPr>
          <w:p>
            <w:r/>
            <w:r>
              <w:rPr>
                <w:sz w:val="19"/>
              </w:rPr>
              <w:t>R-12</w:t>
            </w:r>
          </w:p>
        </w:tc>
        <w:tc>
          <w:tcPr>
            <w:tcW w:type="dxa" w:w="1361"/>
          </w:tcPr>
          <w:p>
            <w:r/>
            <w:r>
              <w:rPr>
                <w:sz w:val="19"/>
              </w:rPr>
              <w:t>6</w:t>
            </w:r>
          </w:p>
        </w:tc>
        <w:tc>
          <w:tcPr>
            <w:tcW w:type="dxa" w:w="5216"/>
          </w:tcPr>
          <w:p>
            <w:r/>
            <w:r>
              <w:rPr>
                <w:sz w:val="19"/>
              </w:rPr>
              <w:t>Expected-quantity baseline = SIT snapshot</w:t>
            </w:r>
          </w:p>
        </w:tc>
        <w:tc>
          <w:tcPr>
            <w:tcW w:type="dxa" w:w="2041"/>
          </w:tcPr>
          <w:p>
            <w:r/>
            <w:r>
              <w:rPr>
                <w:sz w:val="19"/>
              </w:rPr>
              <w:t>Locked</w:t>
            </w:r>
          </w:p>
        </w:tc>
      </w:tr>
      <w:tr>
        <w:tc>
          <w:tcPr>
            <w:tcW w:type="dxa" w:w="794"/>
          </w:tcPr>
          <w:p>
            <w:r/>
            <w:r>
              <w:rPr>
                <w:sz w:val="19"/>
              </w:rPr>
              <w:t>R-13</w:t>
            </w:r>
          </w:p>
        </w:tc>
        <w:tc>
          <w:tcPr>
            <w:tcW w:type="dxa" w:w="1361"/>
          </w:tcPr>
          <w:p>
            <w:r/>
            <w:r>
              <w:rPr>
                <w:sz w:val="19"/>
              </w:rPr>
              <w:t>New</w:t>
            </w:r>
          </w:p>
        </w:tc>
        <w:tc>
          <w:tcPr>
            <w:tcW w:type="dxa" w:w="5216"/>
          </w:tcPr>
          <w:p>
            <w:r/>
            <w:r>
              <w:rPr>
                <w:sz w:val="19"/>
              </w:rPr>
              <w:t>Data normalisation, units and numeric precision</w:t>
            </w:r>
          </w:p>
        </w:tc>
        <w:tc>
          <w:tcPr>
            <w:tcW w:type="dxa" w:w="2041"/>
          </w:tcPr>
          <w:p>
            <w:r/>
            <w:r>
              <w:rPr>
                <w:sz w:val="19"/>
              </w:rPr>
              <w:t>Recommended</w:t>
            </w:r>
          </w:p>
        </w:tc>
      </w:tr>
      <w:tr>
        <w:tc>
          <w:tcPr>
            <w:tcW w:type="dxa" w:w="794"/>
          </w:tcPr>
          <w:p>
            <w:r/>
            <w:r>
              <w:rPr>
                <w:sz w:val="19"/>
              </w:rPr>
              <w:t>R-14</w:t>
            </w:r>
          </w:p>
        </w:tc>
        <w:tc>
          <w:tcPr>
            <w:tcW w:type="dxa" w:w="1361"/>
          </w:tcPr>
          <w:p>
            <w:r/>
            <w:r>
              <w:rPr>
                <w:sz w:val="19"/>
              </w:rPr>
              <w:t>4</w:t>
            </w:r>
          </w:p>
        </w:tc>
        <w:tc>
          <w:tcPr>
            <w:tcW w:type="dxa" w:w="5216"/>
          </w:tcPr>
          <w:p>
            <w:r/>
            <w:r>
              <w:rPr>
                <w:sz w:val="19"/>
              </w:rPr>
              <w:t>FY of IW number taken from vehicle arrival date</w:t>
            </w:r>
          </w:p>
        </w:tc>
        <w:tc>
          <w:tcPr>
            <w:tcW w:type="dxa" w:w="2041"/>
          </w:tcPr>
          <w:p>
            <w:r/>
            <w:r>
              <w:rPr>
                <w:sz w:val="19"/>
              </w:rPr>
              <w:t>Locked</w:t>
            </w:r>
          </w:p>
        </w:tc>
      </w:tr>
      <w:tr>
        <w:tc>
          <w:tcPr>
            <w:tcW w:type="dxa" w:w="794"/>
          </w:tcPr>
          <w:p>
            <w:r/>
            <w:r>
              <w:rPr>
                <w:sz w:val="19"/>
              </w:rPr>
              <w:t>R-15</w:t>
            </w:r>
          </w:p>
        </w:tc>
        <w:tc>
          <w:tcPr>
            <w:tcW w:type="dxa" w:w="1361"/>
          </w:tcPr>
          <w:p>
            <w:r/>
            <w:r>
              <w:rPr>
                <w:sz w:val="19"/>
              </w:rPr>
              <w:t>12</w:t>
            </w:r>
          </w:p>
        </w:tc>
        <w:tc>
          <w:tcPr>
            <w:tcW w:type="dxa" w:w="5216"/>
          </w:tcPr>
          <w:p>
            <w:r/>
            <w:r>
              <w:rPr>
                <w:sz w:val="19"/>
              </w:rPr>
              <w:t>Roles and manager-controlled permission engine</w:t>
            </w:r>
          </w:p>
        </w:tc>
        <w:tc>
          <w:tcPr>
            <w:tcW w:type="dxa" w:w="2041"/>
          </w:tcPr>
          <w:p>
            <w:r/>
            <w:r>
              <w:rPr>
                <w:sz w:val="19"/>
              </w:rPr>
              <w:t>Locked + default matrix</w:t>
            </w:r>
          </w:p>
        </w:tc>
      </w:tr>
      <w:tr>
        <w:tc>
          <w:tcPr>
            <w:tcW w:type="dxa" w:w="794"/>
          </w:tcPr>
          <w:p>
            <w:r/>
            <w:r>
              <w:rPr>
                <w:sz w:val="19"/>
              </w:rPr>
              <w:t>R-16</w:t>
            </w:r>
          </w:p>
        </w:tc>
        <w:tc>
          <w:tcPr>
            <w:tcW w:type="dxa" w:w="1361"/>
          </w:tcPr>
          <w:p>
            <w:r/>
            <w:r>
              <w:rPr>
                <w:sz w:val="19"/>
              </w:rPr>
              <w:t>14</w:t>
            </w:r>
          </w:p>
        </w:tc>
        <w:tc>
          <w:tcPr>
            <w:tcW w:type="dxa" w:w="5216"/>
          </w:tcPr>
          <w:p>
            <w:r/>
            <w:r>
              <w:rPr>
                <w:sz w:val="19"/>
              </w:rPr>
              <w:t>Streamlit implementation standards</w:t>
            </w:r>
          </w:p>
        </w:tc>
        <w:tc>
          <w:tcPr>
            <w:tcW w:type="dxa" w:w="2041"/>
          </w:tcPr>
          <w:p>
            <w:r/>
            <w:r>
              <w:rPr>
                <w:sz w:val="19"/>
              </w:rPr>
              <w:t>Recommended</w:t>
            </w:r>
          </w:p>
        </w:tc>
      </w:tr>
      <w:tr>
        <w:tc>
          <w:tcPr>
            <w:tcW w:type="dxa" w:w="794"/>
          </w:tcPr>
          <w:p>
            <w:r/>
            <w:r>
              <w:rPr>
                <w:sz w:val="19"/>
              </w:rPr>
              <w:t>R-17</w:t>
            </w:r>
          </w:p>
        </w:tc>
        <w:tc>
          <w:tcPr>
            <w:tcW w:type="dxa" w:w="1361"/>
          </w:tcPr>
          <w:p>
            <w:r/>
            <w:r>
              <w:rPr>
                <w:sz w:val="19"/>
              </w:rPr>
              <w:t>4, 5</w:t>
            </w:r>
          </w:p>
        </w:tc>
        <w:tc>
          <w:tcPr>
            <w:tcW w:type="dxa" w:w="5216"/>
          </w:tcPr>
          <w:p>
            <w:r/>
            <w:r>
              <w:rPr>
                <w:sz w:val="19"/>
              </w:rPr>
              <w:t>'Others' = Non-Stock items (gifts etc.)</w:t>
            </w:r>
          </w:p>
        </w:tc>
        <w:tc>
          <w:tcPr>
            <w:tcW w:type="dxa" w:w="2041"/>
          </w:tcPr>
          <w:p>
            <w:r/>
            <w:r>
              <w:rPr>
                <w:sz w:val="19"/>
              </w:rPr>
              <w:t>Locked + recommended</w:t>
            </w:r>
          </w:p>
        </w:tc>
      </w:tr>
      <w:tr>
        <w:tc>
          <w:tcPr>
            <w:tcW w:type="dxa" w:w="794"/>
          </w:tcPr>
          <w:p>
            <w:r/>
            <w:r>
              <w:rPr>
                <w:sz w:val="19"/>
              </w:rPr>
              <w:t>R-18</w:t>
            </w:r>
          </w:p>
        </w:tc>
        <w:tc>
          <w:tcPr>
            <w:tcW w:type="dxa" w:w="1361"/>
          </w:tcPr>
          <w:p>
            <w:r/>
            <w:r>
              <w:rPr>
                <w:sz w:val="19"/>
              </w:rPr>
              <w:t>New</w:t>
            </w:r>
          </w:p>
        </w:tc>
        <w:tc>
          <w:tcPr>
            <w:tcW w:type="dxa" w:w="5216"/>
          </w:tcPr>
          <w:p>
            <w:r/>
            <w:r>
              <w:rPr>
                <w:sz w:val="19"/>
              </w:rPr>
              <w:t>Timezone, personal data, storage sizing</w:t>
            </w:r>
          </w:p>
        </w:tc>
        <w:tc>
          <w:tcPr>
            <w:tcW w:type="dxa" w:w="2041"/>
          </w:tcPr>
          <w:p>
            <w:r/>
            <w:r>
              <w:rPr>
                <w:sz w:val="19"/>
              </w:rPr>
              <w:t>Recommended</w:t>
            </w:r>
          </w:p>
        </w:tc>
      </w:tr>
      <w:tr>
        <w:tc>
          <w:tcPr>
            <w:tcW w:type="dxa" w:w="794"/>
          </w:tcPr>
          <w:p>
            <w:r/>
            <w:r>
              <w:rPr>
                <w:sz w:val="19"/>
              </w:rPr>
              <w:t>R-19</w:t>
            </w:r>
          </w:p>
        </w:tc>
        <w:tc>
          <w:tcPr>
            <w:tcW w:type="dxa" w:w="1361"/>
          </w:tcPr>
          <w:p>
            <w:r/>
            <w:r>
              <w:rPr>
                <w:sz w:val="19"/>
              </w:rPr>
              <w:t>8.2-8.5</w:t>
            </w:r>
          </w:p>
        </w:tc>
        <w:tc>
          <w:tcPr>
            <w:tcW w:type="dxa" w:w="5216"/>
          </w:tcPr>
          <w:p>
            <w:r/>
            <w:r>
              <w:rPr>
                <w:sz w:val="19"/>
              </w:rPr>
              <w:t>IRR import rules derived from real IRR sample</w:t>
            </w:r>
          </w:p>
        </w:tc>
        <w:tc>
          <w:tcPr>
            <w:tcW w:type="dxa" w:w="2041"/>
          </w:tcPr>
          <w:p>
            <w:r/>
            <w:r>
              <w:rPr>
                <w:sz w:val="19"/>
              </w:rPr>
              <w:t>Recommended</w:t>
            </w:r>
          </w:p>
        </w:tc>
      </w:tr>
      <w:tr>
        <w:tc>
          <w:tcPr>
            <w:tcW w:type="dxa" w:w="794"/>
          </w:tcPr>
          <w:p>
            <w:r/>
            <w:r>
              <w:rPr>
                <w:sz w:val="19"/>
              </w:rPr>
              <w:t>R-20</w:t>
            </w:r>
          </w:p>
        </w:tc>
        <w:tc>
          <w:tcPr>
            <w:tcW w:type="dxa" w:w="1361"/>
          </w:tcPr>
          <w:p>
            <w:r/>
            <w:r>
              <w:rPr>
                <w:sz w:val="19"/>
              </w:rPr>
              <w:t>New</w:t>
            </w:r>
          </w:p>
        </w:tc>
        <w:tc>
          <w:tcPr>
            <w:tcW w:type="dxa" w:w="5216"/>
          </w:tcPr>
          <w:p>
            <w:r/>
            <w:r>
              <w:rPr>
                <w:sz w:val="19"/>
              </w:rPr>
              <w:t>Phased delivery plan</w:t>
            </w:r>
          </w:p>
        </w:tc>
        <w:tc>
          <w:tcPr>
            <w:tcW w:type="dxa" w:w="2041"/>
          </w:tcPr>
          <w:p>
            <w:r/>
            <w:r>
              <w:rPr>
                <w:sz w:val="19"/>
              </w:rPr>
              <w:t>Recommended</w:t>
            </w:r>
          </w:p>
        </w:tc>
      </w:tr>
    </w:tbl>
    <w:p>
      <w:pPr>
        <w:spacing w:after="40"/>
      </w:pPr>
    </w:p>
    <w:p>
      <w:pPr>
        <w:pStyle w:val="Heading1"/>
      </w:pPr>
      <w:r>
        <w:t>R-01. ERP Receipt Expectation Model (amends 8.3, 8.5, 7.3)</w:t>
      </w:r>
    </w:p>
    <w:p>
      <w:pPr>
        <w:spacing w:after="80"/>
      </w:pPr>
      <w:r>
        <w:rPr>
          <w:i w:val="0"/>
        </w:rPr>
        <w:t>[LOCKED - USER DECISION] What the IRR is expected to show depends on the load type and, for Direct Factory loads, on whether the LSCCR is applied in Oracle. The reconciliation engine must use the expectation matching the IW's declared mode.</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3A5F"/>
          </w:tcPr>
          <w:p>
            <w:r/>
            <w:r>
              <w:rPr>
                <w:b/>
                <w:color w:val="FFFFFF"/>
                <w:sz w:val="19"/>
              </w:rPr>
              <w:t>Scenario</w:t>
            </w:r>
          </w:p>
        </w:tc>
        <w:tc>
          <w:tcPr>
            <w:tcW w:type="dxa" w:w="3515"/>
            <w:shd w:val="clear" w:color="auto" w:fill="1F3A5F"/>
          </w:tcPr>
          <w:p>
            <w:r/>
            <w:r>
              <w:rPr>
                <w:b/>
                <w:color w:val="FFFFFF"/>
                <w:sz w:val="19"/>
              </w:rPr>
              <w:t>Expected Stock Receipt / PO Receipt in IRR</w:t>
            </w:r>
          </w:p>
        </w:tc>
        <w:tc>
          <w:tcPr>
            <w:tcW w:type="dxa" w:w="3515"/>
            <w:shd w:val="clear" w:color="auto" w:fill="1F3A5F"/>
          </w:tcPr>
          <w:p>
            <w:r/>
            <w:r>
              <w:rPr>
                <w:b/>
                <w:color w:val="FFFFFF"/>
                <w:sz w:val="19"/>
              </w:rPr>
              <w:t>Expected SED transactions in IRR</w:t>
            </w:r>
          </w:p>
        </w:tc>
      </w:tr>
      <w:tr>
        <w:tc>
          <w:tcPr>
            <w:tcW w:type="dxa" w:w="2381"/>
          </w:tcPr>
          <w:p>
            <w:r/>
            <w:r>
              <w:rPr>
                <w:sz w:val="19"/>
              </w:rPr>
              <w:t>A. Direct Factory load, LSCCR applied/updated</w:t>
            </w:r>
          </w:p>
        </w:tc>
        <w:tc>
          <w:tcPr>
            <w:tcW w:type="dxa" w:w="3515"/>
          </w:tcPr>
          <w:p>
            <w:r/>
            <w:r>
              <w:rPr>
                <w:sz w:val="19"/>
              </w:rPr>
              <w:t>Net quantity: Document - Short - Damage. Example: 50 doc, 2 short, 1 damage -&gt; 47.</w:t>
            </w:r>
          </w:p>
        </w:tc>
        <w:tc>
          <w:tcPr>
            <w:tcW w:type="dxa" w:w="3515"/>
          </w:tcPr>
          <w:p>
            <w:r/>
            <w:r>
              <w:rPr>
                <w:sz w:val="19"/>
              </w:rPr>
              <w:t>Short and Damage are carried by the LSCCR: no separate Oracle TRX expected. Excess: the clerk enters the separate Stock Receipt No passed for the excess; it is reconciled with the IRR like any receipt.</w:t>
            </w:r>
          </w:p>
        </w:tc>
      </w:tr>
      <w:tr>
        <w:tc>
          <w:tcPr>
            <w:tcW w:type="dxa" w:w="2381"/>
          </w:tcPr>
          <w:p>
            <w:r/>
            <w:r>
              <w:rPr>
                <w:sz w:val="19"/>
              </w:rPr>
              <w:t>B. Direct Factory load, LSCCR not applied/not updated</w:t>
            </w:r>
          </w:p>
        </w:tc>
        <w:tc>
          <w:tcPr>
            <w:tcW w:type="dxa" w:w="3515"/>
          </w:tcPr>
          <w:p>
            <w:r/>
            <w:r>
              <w:rPr>
                <w:sz w:val="19"/>
              </w:rPr>
              <w:t>Full document quantity (50).</w:t>
            </w:r>
          </w:p>
        </w:tc>
        <w:tc>
          <w:tcPr>
            <w:tcW w:type="dxa" w:w="3515"/>
          </w:tcPr>
          <w:p>
            <w:r/>
            <w:r>
              <w:rPr>
                <w:sz w:val="19"/>
              </w:rPr>
              <w:t>Separate Oracle SED entries: Short -&gt; stock outward (issue) TRX; Excess -&gt; stock inward (receipt) TRX; Damage -&gt; subinventory transfer to DMG.</w:t>
            </w:r>
          </w:p>
        </w:tc>
      </w:tr>
      <w:tr>
        <w:tc>
          <w:tcPr>
            <w:tcW w:type="dxa" w:w="2381"/>
          </w:tcPr>
          <w:p>
            <w:r/>
            <w:r>
              <w:rPr>
                <w:sz w:val="19"/>
              </w:rPr>
              <w:t>C. Depot / RDC / Inter-Depot / Inbound Transhipment</w:t>
            </w:r>
          </w:p>
        </w:tc>
        <w:tc>
          <w:tcPr>
            <w:tcW w:type="dxa" w:w="3515"/>
          </w:tcPr>
          <w:p>
            <w:r/>
            <w:r>
              <w:rPr>
                <w:sz w:val="19"/>
              </w:rPr>
              <w:t>Full document quantity (50).</w:t>
            </w:r>
          </w:p>
        </w:tc>
        <w:tc>
          <w:tcPr>
            <w:tcW w:type="dxa" w:w="3515"/>
          </w:tcPr>
          <w:p>
            <w:r/>
            <w:r>
              <w:rPr>
                <w:sz w:val="19"/>
              </w:rPr>
              <w:t>Separate SED entries as in B.</w:t>
            </w:r>
          </w:p>
        </w:tc>
      </w:tr>
      <w:tr>
        <w:tc>
          <w:tcPr>
            <w:tcW w:type="dxa" w:w="2381"/>
          </w:tcPr>
          <w:p>
            <w:r/>
            <w:r>
              <w:rPr>
                <w:sz w:val="19"/>
              </w:rPr>
              <w:t>D. Vendor (PO Receipt)</w:t>
            </w:r>
          </w:p>
        </w:tc>
        <w:tc>
          <w:tcPr>
            <w:tcW w:type="dxa" w:w="3515"/>
          </w:tcPr>
          <w:p>
            <w:r/>
            <w:r>
              <w:rPr>
                <w:sz w:val="19"/>
              </w:rPr>
              <w:t>Full document (challan) quantity.</w:t>
            </w:r>
          </w:p>
        </w:tc>
        <w:tc>
          <w:tcPr>
            <w:tcW w:type="dxa" w:w="3515"/>
          </w:tcPr>
          <w:p>
            <w:r/>
            <w:r>
              <w:rPr>
                <w:sz w:val="19"/>
              </w:rPr>
              <w:t>Separate SED entries as in B.</w:t>
            </w:r>
          </w:p>
        </w:tc>
      </w:tr>
      <w:tr>
        <w:tc>
          <w:tcPr>
            <w:tcW w:type="dxa" w:w="2381"/>
          </w:tcPr>
          <w:p>
            <w:r/>
            <w:r>
              <w:rPr>
                <w:sz w:val="19"/>
              </w:rPr>
              <w:t>E. Outbound Transhipment, Colour Bank, Non-Stock (Others)</w:t>
            </w:r>
          </w:p>
        </w:tc>
        <w:tc>
          <w:tcPr>
            <w:tcW w:type="dxa" w:w="3515"/>
          </w:tcPr>
          <w:p>
            <w:r/>
            <w:r>
              <w:rPr>
                <w:sz w:val="19"/>
              </w:rPr>
              <w:t>Not reconciled to IRR (ends at MRA).</w:t>
            </w:r>
          </w:p>
        </w:tc>
        <w:tc>
          <w:tcPr>
            <w:tcW w:type="dxa" w:w="3515"/>
          </w:tcPr>
          <w:p>
            <w:r/>
            <w:r>
              <w:rPr>
                <w:sz w:val="19"/>
              </w:rPr>
              <w:t>None.</w:t>
            </w:r>
          </w:p>
        </w:tc>
      </w:tr>
    </w:tbl>
    <w:p>
      <w:pPr>
        <w:spacing w:after="40"/>
      </w:pPr>
    </w:p>
    <w:p>
      <w:pPr>
        <w:pStyle w:val="Heading3"/>
      </w:pPr>
      <w:r>
        <w:t>Rules</w:t>
      </w:r>
    </w:p>
    <w:p>
      <w:pPr>
        <w:pStyle w:val="ListBullet"/>
        <w:spacing w:after="40"/>
      </w:pPr>
      <w:r>
        <w:rPr>
          <w:b/>
        </w:rPr>
        <w:t xml:space="preserve">LSCCR mode is declared per Ship ID: </w:t>
      </w:r>
      <w:r>
        <w:t>field 'LSCCR applied in Oracle' (Yes/No) plus LSCCR Number, mandatory for Direct Factory loads before the Stock Receipt No can be saved.</w:t>
      </w:r>
    </w:p>
    <w:p>
      <w:pPr>
        <w:pStyle w:val="ListBullet"/>
        <w:spacing w:after="40"/>
      </w:pPr>
      <w:r>
        <w:rPr>
          <w:b/>
        </w:rPr>
        <w:t xml:space="preserve">Mode validation: </w:t>
      </w:r>
      <w:r>
        <w:t>if the IRR matches the other pattern (e.g. clerk declared LSCCR = Yes but IRR shows full 50), the result is Review Required with the hint 'IRR matches non-LSCCR pattern'. The engine never switches mode on its own.</w:t>
      </w:r>
    </w:p>
    <w:p>
      <w:pPr>
        <w:pStyle w:val="ListBullet"/>
        <w:spacing w:after="40"/>
      </w:pPr>
      <w:r>
        <w:rPr>
          <w:b/>
        </w:rPr>
        <w:t xml:space="preserve">Mode change after ERP entry </w:t>
      </w:r>
      <w:r>
        <w:t>requires System Supervisor action with reason; audit logged.</w:t>
      </w:r>
    </w:p>
    <w:p>
      <w:pPr>
        <w:pStyle w:val="ListBullet"/>
        <w:spacing w:after="40"/>
      </w:pPr>
      <w:r>
        <w:rPr>
          <w:b/>
        </w:rPr>
        <w:t xml:space="preserve">Excess on an LSCCR Ship: </w:t>
      </w:r>
      <w:r>
        <w:t>recorded as an additional receipt of kind 'Excess Receipt' on the same Ship ID; its expected quantity = the SKU-level excess recorded on Screen 04; it must reach Full Match before closure.</w:t>
      </w:r>
    </w:p>
    <w:p>
      <w:pPr>
        <w:pStyle w:val="ListBullet"/>
        <w:spacing w:after="40"/>
      </w:pPr>
      <w:r>
        <w:rPr>
          <w:b/>
        </w:rPr>
        <w:t xml:space="preserve">SED memos are always generated and printed </w:t>
      </w:r>
      <w:r>
        <w:t>(v1.0 7.3 unchanged). In mode A, the memos whose Oracle effect is carried by the LSCCR are marked 'LSCCR-covered - no separate TRX expected', and their gate becomes 'LSCCR Number recorded' instead of 'TRX reconciled'. In mode A the Excess memo is closed by the reconciled Excess Receipt.</w:t>
      </w:r>
    </w:p>
    <w:p>
      <w:pPr>
        <w:pStyle w:val="Heading1"/>
      </w:pPr>
      <w:r>
        <w:t>R-02. Outbound Despatch Detail Report - Row Assignment (amends 5.3)</w:t>
      </w:r>
    </w:p>
    <w:p>
      <w:pPr>
        <w:spacing w:after="80"/>
      </w:pPr>
      <w:r>
        <w:rPr>
          <w:i w:val="0"/>
        </w:rPr>
        <w:t>Finding from the sample: the Despatch Detail Report has no Ship ID column and no per-row date. It covers a date range and all destinations (columns: TO ORG, BRAND, SHADE, PACK, DESCRIPTION, B. LINE, UOM, NOP, VOL, VOL_LTR, VOL_KG). Rows cannot be tied to a Ship ID automatically.</w:t>
      </w:r>
    </w:p>
    <w:p>
      <w:pPr>
        <w:spacing w:after="80"/>
      </w:pPr>
      <w:r>
        <w:rPr>
          <w:i w:val="0"/>
        </w:rPr>
        <w:t>[RECOMMENDED] Rule structure: 'every row must be dispositioned, and every Ship ID must balance'.</w:t>
      </w:r>
    </w:p>
    <w:p>
      <w:pPr>
        <w:pStyle w:val="ListNumber"/>
        <w:spacing w:after="40"/>
      </w:pPr>
      <w:r>
        <w:t>Clerk enters each outbound Ship ID from the documents, with its Destination Org and the control totals printed on the Ship document: number of packages, and total LTR and/or KG.</w:t>
      </w:r>
    </w:p>
    <w:p>
      <w:pPr>
        <w:pStyle w:val="ListNumber"/>
        <w:spacing w:after="40"/>
      </w:pPr>
      <w:r>
        <w:t>Clerk uploads the Despatch Detail Report. The system stores it as evidence (SHA-256) and parses rows into a grid; SKU = BRAND + SHADE + PACK (16 characters).</w:t>
      </w:r>
    </w:p>
    <w:p>
      <w:pPr>
        <w:pStyle w:val="ListNumber"/>
        <w:spacing w:after="40"/>
      </w:pPr>
      <w:r>
        <w:t>The grid is pre-filtered to rows whose TO ORG equals a Destination Org of the entered Ship IDs. Other rows are hidden but counted.</w:t>
      </w:r>
    </w:p>
    <w:p>
      <w:pPr>
        <w:pStyle w:val="ListNumber"/>
        <w:spacing w:after="40"/>
      </w:pPr>
      <w:r>
        <w:t>Clerk assigns each visible row to exactly one Ship ID, or marks it 'Not on this vehicle'. Shortcut: if a destination has only one Ship ID, 'Assign all rows of this destination' is offered but still requires one click of confirmation.</w:t>
      </w:r>
    </w:p>
    <w:p>
      <w:pPr>
        <w:pStyle w:val="ListNumber"/>
        <w:spacing w:after="40"/>
      </w:pPr>
      <w:r>
        <w:t>Balance check per Ship ID: sum of assigned rows (NOP, VOL_LTR, VOL_KG) must equal the Ship's control totals. Mismatch blocks the outbound checklist/MRA.</w:t>
      </w:r>
    </w:p>
    <w:p>
      <w:pPr>
        <w:pStyle w:val="ListNumber"/>
        <w:spacing w:after="40"/>
      </w:pPr>
      <w:r>
        <w:t>A row's TO ORG must equal its Ship ID's Destination Org (hard validation).</w:t>
      </w:r>
    </w:p>
    <w:p>
      <w:pPr>
        <w:pStyle w:val="ListNumber"/>
        <w:spacing w:after="40"/>
      </w:pPr>
      <w:r>
        <w:t>Double-use protection: each assigned row gets a content fingerprint (TO ORG + SKU + NOP + VOL_LTR + VOL_KG). If an identical fingerprint is already assigned in another IW within the last 60 days, the clerk must acknowledge an alert; the acknowledgement is audited.</w:t>
      </w:r>
    </w:p>
    <w:p>
      <w:pPr>
        <w:pStyle w:val="ListNumber"/>
        <w:spacing w:after="40"/>
      </w:pPr>
      <w:r>
        <w:t>Explicit acknowledgement banner when one report supports two or more Ship IDs (v1.0 rule retained).</w:t>
      </w:r>
    </w:p>
    <w:p>
      <w:pPr>
        <w:spacing w:after="80"/>
      </w:pPr>
      <w:r>
        <w:rPr>
          <w:i/>
        </w:rPr>
        <w:t>Operational advice (not a system rule): run the Despatch Detail Report for the narrowest date range (the despatch date) to keep the grid small.</w:t>
      </w:r>
    </w:p>
    <w:p>
      <w:pPr>
        <w:pStyle w:val="Heading1"/>
      </w:pPr>
      <w:r>
        <w:t>R-03. UOM Families and BULKPC Empty Packing (amends 6, 7.1, 8.3)</w:t>
      </w:r>
    </w:p>
    <w:p>
      <w:pPr>
        <w:spacing w:after="80"/>
      </w:pPr>
      <w:r>
        <w:rPr>
          <w:i w:val="0"/>
        </w:rPr>
        <w:t>[LOCKED - USER DECISION]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1F3A5F"/>
          </w:tcPr>
          <w:p>
            <w:r/>
            <w:r>
              <w:rPr>
                <w:b/>
                <w:color w:val="FFFFFF"/>
                <w:sz w:val="19"/>
              </w:rPr>
              <w:t>SIT UOM</w:t>
            </w:r>
          </w:p>
        </w:tc>
        <w:tc>
          <w:tcPr>
            <w:tcW w:type="dxa" w:w="2494"/>
            <w:shd w:val="clear" w:color="auto" w:fill="1F3A5F"/>
          </w:tcPr>
          <w:p>
            <w:r/>
            <w:r>
              <w:rPr>
                <w:b/>
                <w:color w:val="FFFFFF"/>
                <w:sz w:val="19"/>
              </w:rPr>
              <w:t>Meaning</w:t>
            </w:r>
          </w:p>
        </w:tc>
        <w:tc>
          <w:tcPr>
            <w:tcW w:type="dxa" w:w="1928"/>
            <w:shd w:val="clear" w:color="auto" w:fill="1F3A5F"/>
          </w:tcPr>
          <w:p>
            <w:r/>
            <w:r>
              <w:rPr>
                <w:b/>
                <w:color w:val="FFFFFF"/>
                <w:sz w:val="19"/>
              </w:rPr>
              <w:t>Measure family</w:t>
            </w:r>
          </w:p>
        </w:tc>
        <w:tc>
          <w:tcPr>
            <w:tcW w:type="dxa" w:w="2608"/>
            <w:shd w:val="clear" w:color="auto" w:fill="1F3A5F"/>
          </w:tcPr>
          <w:p>
            <w:r/>
            <w:r>
              <w:rPr>
                <w:b/>
                <w:color w:val="FFFFFF"/>
                <w:sz w:val="19"/>
              </w:rPr>
              <w:t>Conversion to base unit</w:t>
            </w:r>
          </w:p>
        </w:tc>
      </w:tr>
      <w:tr>
        <w:tc>
          <w:tcPr>
            <w:tcW w:type="dxa" w:w="2381"/>
          </w:tcPr>
          <w:p>
            <w:r/>
            <w:r>
              <w:rPr>
                <w:sz w:val="19"/>
              </w:rPr>
              <w:t>L</w:t>
            </w:r>
          </w:p>
        </w:tc>
        <w:tc>
          <w:tcPr>
            <w:tcW w:type="dxa" w:w="2494"/>
          </w:tcPr>
          <w:p>
            <w:r/>
            <w:r>
              <w:rPr>
                <w:sz w:val="19"/>
              </w:rPr>
              <w:t>Litre</w:t>
            </w:r>
          </w:p>
        </w:tc>
        <w:tc>
          <w:tcPr>
            <w:tcW w:type="dxa" w:w="1928"/>
          </w:tcPr>
          <w:p>
            <w:r/>
            <w:r>
              <w:rPr>
                <w:sz w:val="19"/>
              </w:rPr>
              <w:t>Volume (LTR)</w:t>
            </w:r>
          </w:p>
        </w:tc>
        <w:tc>
          <w:tcPr>
            <w:tcW w:type="dxa" w:w="2608"/>
          </w:tcPr>
          <w:p>
            <w:r/>
            <w:r>
              <w:rPr>
                <w:sz w:val="19"/>
              </w:rPr>
              <w:t>x 1</w:t>
            </w:r>
          </w:p>
        </w:tc>
      </w:tr>
      <w:tr>
        <w:tc>
          <w:tcPr>
            <w:tcW w:type="dxa" w:w="2381"/>
          </w:tcPr>
          <w:p>
            <w:r/>
            <w:r>
              <w:rPr>
                <w:sz w:val="19"/>
              </w:rPr>
              <w:t>ML</w:t>
            </w:r>
          </w:p>
        </w:tc>
        <w:tc>
          <w:tcPr>
            <w:tcW w:type="dxa" w:w="2494"/>
          </w:tcPr>
          <w:p>
            <w:r/>
            <w:r>
              <w:rPr>
                <w:sz w:val="19"/>
              </w:rPr>
              <w:t>Millilitre-size pack</w:t>
            </w:r>
          </w:p>
        </w:tc>
        <w:tc>
          <w:tcPr>
            <w:tcW w:type="dxa" w:w="1928"/>
          </w:tcPr>
          <w:p>
            <w:r/>
            <w:r>
              <w:rPr>
                <w:sz w:val="19"/>
              </w:rPr>
              <w:t>Volume (LTR)</w:t>
            </w:r>
          </w:p>
        </w:tc>
        <w:tc>
          <w:tcPr>
            <w:tcW w:type="dxa" w:w="2608"/>
          </w:tcPr>
          <w:p>
            <w:r/>
            <w:r>
              <w:rPr>
                <w:sz w:val="19"/>
              </w:rPr>
              <w:t>None: SIT Volume is already in litres (0.2, 0.5, 0.75 = 200/500/750 ML)</w:t>
            </w:r>
          </w:p>
        </w:tc>
      </w:tr>
      <w:tr>
        <w:tc>
          <w:tcPr>
            <w:tcW w:type="dxa" w:w="2381"/>
          </w:tcPr>
          <w:p>
            <w:r/>
            <w:r>
              <w:rPr>
                <w:sz w:val="19"/>
              </w:rPr>
              <w:t>K</w:t>
            </w:r>
          </w:p>
        </w:tc>
        <w:tc>
          <w:tcPr>
            <w:tcW w:type="dxa" w:w="2494"/>
          </w:tcPr>
          <w:p>
            <w:r/>
            <w:r>
              <w:rPr>
                <w:sz w:val="19"/>
              </w:rPr>
              <w:t>Kilogram</w:t>
            </w:r>
          </w:p>
        </w:tc>
        <w:tc>
          <w:tcPr>
            <w:tcW w:type="dxa" w:w="1928"/>
          </w:tcPr>
          <w:p>
            <w:r/>
            <w:r>
              <w:rPr>
                <w:sz w:val="19"/>
              </w:rPr>
              <w:t>Weight (KG)</w:t>
            </w:r>
          </w:p>
        </w:tc>
        <w:tc>
          <w:tcPr>
            <w:tcW w:type="dxa" w:w="2608"/>
          </w:tcPr>
          <w:p>
            <w:r/>
            <w:r>
              <w:rPr>
                <w:sz w:val="19"/>
              </w:rPr>
              <w:t>x 1</w:t>
            </w:r>
          </w:p>
        </w:tc>
      </w:tr>
      <w:tr>
        <w:tc>
          <w:tcPr>
            <w:tcW w:type="dxa" w:w="2381"/>
          </w:tcPr>
          <w:p>
            <w:r/>
            <w:r>
              <w:rPr>
                <w:sz w:val="19"/>
              </w:rPr>
              <w:t>G</w:t>
            </w:r>
          </w:p>
        </w:tc>
        <w:tc>
          <w:tcPr>
            <w:tcW w:type="dxa" w:w="2494"/>
          </w:tcPr>
          <w:p>
            <w:r/>
            <w:r>
              <w:rPr>
                <w:sz w:val="19"/>
              </w:rPr>
              <w:t>Gram-size pack</w:t>
            </w:r>
          </w:p>
        </w:tc>
        <w:tc>
          <w:tcPr>
            <w:tcW w:type="dxa" w:w="1928"/>
          </w:tcPr>
          <w:p>
            <w:r/>
            <w:r>
              <w:rPr>
                <w:sz w:val="19"/>
              </w:rPr>
              <w:t>Weight (KG)</w:t>
            </w:r>
          </w:p>
        </w:tc>
        <w:tc>
          <w:tcPr>
            <w:tcW w:type="dxa" w:w="2608"/>
          </w:tcPr>
          <w:p>
            <w:r/>
            <w:r>
              <w:rPr>
                <w:sz w:val="19"/>
              </w:rPr>
              <w:t>None: SIT Volume is already in kilograms (0.2, 0.5 = 200/500 G)</w:t>
            </w:r>
          </w:p>
        </w:tc>
      </w:tr>
      <w:tr>
        <w:tc>
          <w:tcPr>
            <w:tcW w:type="dxa" w:w="2381"/>
          </w:tcPr>
          <w:p>
            <w:r/>
            <w:r>
              <w:rPr>
                <w:sz w:val="19"/>
              </w:rPr>
              <w:t>(blank) + Item Code contains 'BULKPC'</w:t>
            </w:r>
          </w:p>
        </w:tc>
        <w:tc>
          <w:tcPr>
            <w:tcW w:type="dxa" w:w="2494"/>
          </w:tcPr>
          <w:p>
            <w:r/>
            <w:r>
              <w:rPr>
                <w:sz w:val="19"/>
              </w:rPr>
              <w:t>Fresh empty packing containers / fresh empty carton boxes</w:t>
            </w:r>
          </w:p>
        </w:tc>
        <w:tc>
          <w:tcPr>
            <w:tcW w:type="dxa" w:w="1928"/>
          </w:tcPr>
          <w:p>
            <w:r/>
            <w:r>
              <w:rPr>
                <w:sz w:val="19"/>
              </w:rPr>
              <w:t>Count only (pieces)</w:t>
            </w:r>
          </w:p>
        </w:tc>
        <w:tc>
          <w:tcPr>
            <w:tcW w:type="dxa" w:w="2608"/>
          </w:tcPr>
          <w:p>
            <w:r/>
            <w:r>
              <w:rPr>
                <w:sz w:val="19"/>
              </w:rPr>
              <w:t>No LTR/KG</w:t>
            </w:r>
          </w:p>
        </w:tc>
      </w:tr>
      <w:tr>
        <w:tc>
          <w:tcPr>
            <w:tcW w:type="dxa" w:w="2381"/>
          </w:tcPr>
          <w:p>
            <w:r/>
            <w:r>
              <w:rPr>
                <w:sz w:val="19"/>
              </w:rPr>
              <w:t>(blank) without BULKPC, or any other value</w:t>
            </w:r>
          </w:p>
        </w:tc>
        <w:tc>
          <w:tcPr>
            <w:tcW w:type="dxa" w:w="2494"/>
          </w:tcPr>
          <w:p>
            <w:r/>
            <w:r>
              <w:rPr>
                <w:sz w:val="19"/>
              </w:rPr>
              <w:t>Unknown</w:t>
            </w:r>
          </w:p>
        </w:tc>
        <w:tc>
          <w:tcPr>
            <w:tcW w:type="dxa" w:w="1928"/>
          </w:tcPr>
          <w:p>
            <w:r/>
            <w:r>
              <w:rPr>
                <w:sz w:val="19"/>
              </w:rPr>
              <w:t>-</w:t>
            </w:r>
          </w:p>
        </w:tc>
        <w:tc>
          <w:tcPr>
            <w:tcW w:type="dxa" w:w="2608"/>
          </w:tcPr>
          <w:p>
            <w:r/>
            <w:r>
              <w:rPr>
                <w:sz w:val="19"/>
              </w:rPr>
              <w:t>Import exception; Ship cannot be linked until resolved by master mapping</w:t>
            </w:r>
          </w:p>
        </w:tc>
      </w:tr>
    </w:tbl>
    <w:p>
      <w:pPr>
        <w:spacing w:after="40"/>
      </w:pPr>
    </w:p>
    <w:p>
      <w:pPr>
        <w:pStyle w:val="ListBullet"/>
        <w:spacing w:after="40"/>
      </w:pPr>
      <w:r>
        <w:t>Expected measure per SIT row = Volume (pack size, always in L or KG) x Quantity Issued. Examples: 20 L x 50 = 1,000 LTR; ML row 0.5 x 96 = 48 LTR. UOM decides only the family (L/ML -&gt; LTR, K/G -&gt; KG).</w:t>
      </w:r>
    </w:p>
    <w:p>
      <w:pPr>
        <w:pStyle w:val="ListBullet"/>
        <w:spacing w:after="40"/>
      </w:pPr>
      <w:r>
        <w:t>Validation: an ML or G row with Volume &gt;= 1 is flagged as a data exception (the value was probably written in ML/G instead of as a fraction).</w:t>
      </w:r>
    </w:p>
    <w:p>
      <w:pPr>
        <w:pStyle w:val="ListBullet"/>
        <w:spacing w:after="40"/>
      </w:pPr>
      <w:r>
        <w:t>IRR evidence confirms the model: each IRR row carries either Volume LTR or Weight KG, never both. 'Independent LTR and KG reconciliation' (v1.0 8.3) therefore means: volume-family SKUs reconcile on LTR, weight-family SKUs on KG.</w:t>
      </w:r>
    </w:p>
    <w:p>
      <w:pPr>
        <w:pStyle w:val="ListBullet"/>
        <w:spacing w:after="40"/>
      </w:pPr>
      <w:r>
        <w:t>Reconciliation basis per SKU: quantity in pieces (SIT Quantity Issued = IRR 'No of Pack') must match exactly, and the family measure must match within the precision rule of R-13.</w:t>
      </w:r>
    </w:p>
    <w:p>
      <w:pPr>
        <w:pStyle w:val="ListBullet"/>
        <w:spacing w:after="40"/>
      </w:pPr>
      <w:r>
        <w:t>BULKPC items (seen in the sample as Item Type PKG, e.g. 2010370991BULKPC '20 LT MINT GREEN DRUM') are shown in a separate section 'FRESH EMPTY CONTAINERS / CARTON BOXES' of the unloading checklist, after the material sections and before outbound. They are counted in pieces, can carry SED, and reconcile on piece count only.</w:t>
      </w:r>
    </w:p>
    <w:p>
      <w:pPr>
        <w:pStyle w:val="Heading1"/>
      </w:pPr>
      <w:r>
        <w:t>R-04. Mail Engine: Outlook COM (amends 3, 7.6, 14)</w:t>
      </w:r>
    </w:p>
    <w:p>
      <w:pPr>
        <w:spacing w:after="80"/>
      </w:pPr>
      <w:r>
        <w:rPr>
          <w:i w:val="0"/>
        </w:rPr>
        <w:t>[LOCKED - USER DECISION] Phase 1 uses Microsoft Outlook desktop automation (COM) for both sending mail and fetching the SIT email. Everything else remains portable so that Microsoft Graph / SMTP, Linux containers or a cloud VPS can be adopted later without redesign.</w:t>
      </w:r>
    </w:p>
    <w:p>
      <w:pPr>
        <w:pStyle w:val="Heading3"/>
      </w:pPr>
      <w:r>
        <w:t>Architecture</w:t>
      </w:r>
    </w:p>
    <w:p>
      <w:pPr>
        <w:pStyle w:val="ListBullet"/>
        <w:spacing w:after="40"/>
      </w:pPr>
      <w:r>
        <w:rPr>
          <w:b/>
        </w:rPr>
        <w:t xml:space="preserve">Transport abstraction: </w:t>
      </w:r>
      <w:r>
        <w:t>business code calls a MailTransport interface (send, confirm_sent, fetch_matching). Phase 1 implementation = OutlookComTransport. Future = GraphTransport / SmtpTransport by configuration only.</w:t>
      </w:r>
    </w:p>
    <w:p>
      <w:pPr>
        <w:pStyle w:val="ListBullet"/>
        <w:spacing w:after="40"/>
      </w:pPr>
      <w:r>
        <w:rPr>
          <w:b/>
        </w:rPr>
        <w:t xml:space="preserve">Single Mail Worker process: </w:t>
      </w:r>
      <w:r>
        <w:t>only one dedicated worker process touches Outlook; Streamlit pages never call COM. The worker reads the PostgreSQL email queue, sends, confirms and writes evidence.</w:t>
      </w:r>
    </w:p>
    <w:p>
      <w:pPr>
        <w:pStyle w:val="ListBullet"/>
        <w:spacing w:after="40"/>
      </w:pPr>
      <w:r>
        <w:rPr>
          <w:b/>
        </w:rPr>
        <w:t xml:space="preserve">Host requirement: </w:t>
      </w:r>
      <w:r>
        <w:t>Windows server/PC with Outlook installed, signed in to the depot mailbox, running in a logged-in user session (Outlook COM cannot run as a Windows service or inside a Linux container). Worker is started by Task Scheduler 'at log on' with auto-restart.</w:t>
      </w:r>
    </w:p>
    <w:p>
      <w:pPr>
        <w:pStyle w:val="ListBullet"/>
        <w:spacing w:after="40"/>
      </w:pPr>
      <w:r>
        <w:rPr>
          <w:b/>
        </w:rPr>
        <w:t xml:space="preserve">Outlook security: </w:t>
      </w:r>
      <w:r>
        <w:t>programmatic access must be allowed (Trust Center, with a current antivirus) so no 'a program is trying to send' prompt blocks the worker. One-time IT setup, listed on the Health screen.</w:t>
      </w:r>
    </w:p>
    <w:p>
      <w:pPr>
        <w:pStyle w:val="Heading3"/>
      </w:pPr>
      <w:r>
        <w:t>Definition of SENT evidence (hard gates G04-MAIL / G04-SEDMAIL)</w:t>
      </w:r>
    </w:p>
    <w:p>
      <w:pPr>
        <w:pStyle w:val="ListNumber"/>
        <w:spacing w:after="40"/>
      </w:pPr>
      <w:r>
        <w:t>The worker stamps every message with a unique reference, e.g. subject tag [IW-2627-000123 MRA-R01 #C-000456] plus a hidden custom property holding the communication ID.</w:t>
      </w:r>
    </w:p>
    <w:p>
      <w:pPr>
        <w:pStyle w:val="ListNumber"/>
        <w:spacing w:after="40"/>
      </w:pPr>
      <w:r>
        <w:t>Mail.Send() only places the item in the Outbox; this state is QUEUED_OUTBOX, not SENT.</w:t>
      </w:r>
    </w:p>
    <w:p>
      <w:pPr>
        <w:pStyle w:val="ListNumber"/>
        <w:spacing w:after="40"/>
      </w:pPr>
      <w:r>
        <w:t>SENT = the stamped item is found in Sent Items. The worker then records Sent timestamp, Internet Message-ID, recipients/CC, subject, body, attachment names and hashes, and saves a .msg copy into the IW document store.</w:t>
      </w:r>
    </w:p>
    <w:p>
      <w:pPr>
        <w:pStyle w:val="ListNumber"/>
        <w:spacing w:after="40"/>
      </w:pPr>
      <w:r>
        <w:t>Not found in Sent Items within the configured timeout (default 30 min) -&gt; FAILED_UNCONFIRMED -&gt; automatic retry (max 3), then alert. Retries never create duplicates: before resending, the worker searches Sent Items for the same stamp.</w:t>
      </w:r>
    </w:p>
    <w:p>
      <w:pPr>
        <w:pStyle w:val="Heading3"/>
      </w:pPr>
      <w:r>
        <w:t>SIT auto-fetch</w:t>
      </w:r>
    </w:p>
    <w:p>
      <w:pPr>
        <w:pStyle w:val="ListBullet"/>
        <w:spacing w:after="40"/>
      </w:pPr>
      <w:r>
        <w:t>Runs at worker start-up and then on a schedule (default every 30 minutes, 07:00-21:00; configurable). v1.0 said 'on startup' only.</w:t>
      </w:r>
    </w:p>
    <w:p>
      <w:pPr>
        <w:pStyle w:val="ListBullet"/>
        <w:spacing w:after="40"/>
      </w:pPr>
      <w:r>
        <w:t>Searches the configured folder for the latest mail whose subject contains 'CBPPROD2 : BPIL Depot Stock In Transit Report'; saves the .xls attachment; dedup by Internet Message-ID and file SHA-256; reports 'Already imported'.</w:t>
      </w:r>
    </w:p>
    <w:p>
      <w:pPr>
        <w:pStyle w:val="Heading3"/>
      </w:pPr>
      <w:r>
        <w:t>Deployment consequence</w:t>
      </w:r>
    </w:p>
    <w:p>
      <w:pPr>
        <w:spacing w:after="80"/>
      </w:pPr>
      <w:r>
        <w:rPr>
          <w:i w:val="0"/>
        </w:rPr>
        <w:t>Phase 1 runs natively on Windows: PostgreSQL as a Windows service, Streamlit app and background workers as scheduled/managed Python processes. Docker Compose files are still maintained for the non-Outlook parts so the move to container/VPS later needs no code change, only a different MailTransport.</w:t>
      </w:r>
    </w:p>
    <w:p>
      <w:pPr>
        <w:pStyle w:val="Heading1"/>
      </w:pPr>
      <w:r>
        <w:t>R-05. Mail Outage Handling (amends 7.7)</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Situation</w:t>
            </w:r>
          </w:p>
        </w:tc>
        <w:tc>
          <w:tcPr>
            <w:tcW w:type="dxa" w:w="6576"/>
            <w:shd w:val="clear" w:color="auto" w:fill="1F3A5F"/>
          </w:tcPr>
          <w:p>
            <w:r/>
            <w:r>
              <w:rPr>
                <w:b/>
                <w:color w:val="FFFFFF"/>
                <w:sz w:val="19"/>
              </w:rPr>
              <w:t>System behaviour</w:t>
            </w:r>
          </w:p>
        </w:tc>
      </w:tr>
      <w:tr>
        <w:tc>
          <w:tcPr>
            <w:tcW w:type="dxa" w:w="2835"/>
          </w:tcPr>
          <w:p>
            <w:r/>
            <w:r>
              <w:rPr>
                <w:sz w:val="19"/>
              </w:rPr>
              <w:t>Network/Internet down, Outlook running</w:t>
            </w:r>
          </w:p>
        </w:tc>
        <w:tc>
          <w:tcPr>
            <w:tcW w:type="dxa" w:w="6576"/>
          </w:tcPr>
          <w:p>
            <w:r/>
            <w:r>
              <w:rPr>
                <w:sz w:val="19"/>
              </w:rPr>
              <w:t>Outlook keeps the message in its Outbox and sends it automatically when connectivity returns; the worker then confirms from Sent Items. The gate simply waits. Most outages resolve this way.</w:t>
            </w:r>
          </w:p>
        </w:tc>
      </w:tr>
      <w:tr>
        <w:tc>
          <w:tcPr>
            <w:tcW w:type="dxa" w:w="2835"/>
          </w:tcPr>
          <w:p>
            <w:r/>
            <w:r>
              <w:rPr>
                <w:sz w:val="19"/>
              </w:rPr>
              <w:t>Outlook closed / worker stopped / profile problem</w:t>
            </w:r>
          </w:p>
        </w:tc>
        <w:tc>
          <w:tcPr>
            <w:tcW w:type="dxa" w:w="6576"/>
          </w:tcPr>
          <w:p>
            <w:r/>
            <w:r>
              <w:rPr>
                <w:sz w:val="19"/>
              </w:rPr>
              <w:t>Queue keeps the job; Health screen and Operations dashboard show a red 'Mail engine down' alert; the Admin is notified on screen at log-in.</w:t>
            </w:r>
          </w:p>
        </w:tc>
      </w:tr>
      <w:tr>
        <w:tc>
          <w:tcPr>
            <w:tcW w:type="dxa" w:w="2835"/>
          </w:tcPr>
          <w:p>
            <w:r/>
            <w:r>
              <w:rPr>
                <w:sz w:val="19"/>
              </w:rPr>
              <w:t>Mail pending longer than 2 hours (configurable)</w:t>
            </w:r>
          </w:p>
        </w:tc>
        <w:tc>
          <w:tcPr>
            <w:tcW w:type="dxa" w:w="6576"/>
          </w:tcPr>
          <w:p>
            <w:r/>
            <w:r>
              <w:rPr>
                <w:sz w:val="19"/>
              </w:rPr>
              <w:t>[RECOMMENDED] 'Mail-Pending Release': the CFA Manager may release the IW to ERP processing with a mandatory reason. The mail job stays queued; IW closure remains blocked until SENT evidence exists; the IW appears in the daily escalation until sent.</w:t>
            </w:r>
          </w:p>
        </w:tc>
      </w:tr>
    </w:tbl>
    <w:p>
      <w:pPr>
        <w:spacing w:after="40"/>
      </w:pPr>
    </w:p>
    <w:p>
      <w:pPr>
        <w:spacing w:after="80"/>
      </w:pPr>
      <w:r>
        <w:rPr>
          <w:i w:val="0"/>
        </w:rPr>
        <w:t>The physical process is never blocked: MRA printing, driver signature and hand-over continue regardless of mail status.</w:t>
      </w:r>
    </w:p>
    <w:p>
      <w:pPr>
        <w:pStyle w:val="Heading1"/>
      </w:pPr>
      <w:r>
        <w:t>R-06. Fresh Start and Cutover (new)</w:t>
      </w:r>
    </w:p>
    <w:p>
      <w:pPr>
        <w:spacing w:after="80"/>
      </w:pPr>
      <w:r>
        <w:rPr>
          <w:i w:val="0"/>
        </w:rPr>
        <w:t>[LOCKED - USER DECISION] The new application starts fresh. No legacy data is migrated: past IWs, MRAs, SED records and documents remain in the existing VBA files, which are kept as a read-only archive and searched the old way.</w:t>
      </w:r>
    </w:p>
    <w:p>
      <w:pPr>
        <w:pStyle w:val="Heading3"/>
      </w:pPr>
      <w:r>
        <w:t>R-06.1 What is set up at go-live</w:t>
      </w:r>
    </w:p>
    <w:tbl>
      <w:tblPr>
        <w:tblStyle w:val="TableGrid"/>
        <w:tblW w:type="auto" w:w="0"/>
        <w:jc w:val="center"/>
        <w:tblLook w:firstColumn="1" w:firstRow="1" w:lastColumn="0" w:lastRow="0" w:noHBand="0" w:noVBand="1" w:val="04A0"/>
      </w:tblPr>
      <w:tblGrid>
        <w:gridCol w:w="4706"/>
        <w:gridCol w:w="4706"/>
      </w:tblGrid>
      <w:tr>
        <w:tc>
          <w:tcPr>
            <w:tcW w:type="dxa" w:w="3175"/>
            <w:shd w:val="clear" w:color="auto" w:fill="1F3A5F"/>
          </w:tcPr>
          <w:p>
            <w:r/>
            <w:r>
              <w:rPr>
                <w:b/>
                <w:color w:val="FFFFFF"/>
                <w:sz w:val="19"/>
              </w:rPr>
              <w:t>Item</w:t>
            </w:r>
          </w:p>
        </w:tc>
        <w:tc>
          <w:tcPr>
            <w:tcW w:type="dxa" w:w="6236"/>
            <w:shd w:val="clear" w:color="auto" w:fill="1F3A5F"/>
          </w:tcPr>
          <w:p>
            <w:r/>
            <w:r>
              <w:rPr>
                <w:b/>
                <w:color w:val="FFFFFF"/>
                <w:sz w:val="19"/>
              </w:rPr>
              <w:t>Treatment</w:t>
            </w:r>
          </w:p>
        </w:tc>
      </w:tr>
      <w:tr>
        <w:tc>
          <w:tcPr>
            <w:tcW w:type="dxa" w:w="3175"/>
          </w:tcPr>
          <w:p>
            <w:r/>
            <w:r>
              <w:rPr>
                <w:sz w:val="19"/>
              </w:rPr>
              <w:t>Legacy transactions and documents</w:t>
            </w:r>
          </w:p>
        </w:tc>
        <w:tc>
          <w:tcPr>
            <w:tcW w:type="dxa" w:w="6236"/>
          </w:tcPr>
          <w:p>
            <w:r/>
            <w:r>
              <w:rPr>
                <w:sz w:val="19"/>
              </w:rPr>
              <w:t>Not migrated. Stay in the VBA files.</w:t>
            </w:r>
          </w:p>
        </w:tc>
      </w:tr>
      <w:tr>
        <w:tc>
          <w:tcPr>
            <w:tcW w:type="dxa" w:w="3175"/>
          </w:tcPr>
          <w:p>
            <w:r/>
            <w:r>
              <w:rPr>
                <w:sz w:val="19"/>
              </w:rPr>
              <w:t>Masters (Organisation, e-mail mapping, Notification recipients, Transporter, Vendor, SKU/Packaging, Package Type, rates)</w:t>
            </w:r>
          </w:p>
        </w:tc>
        <w:tc>
          <w:tcPr>
            <w:tcW w:type="dxa" w:w="6236"/>
          </w:tcPr>
          <w:p>
            <w:r/>
            <w:r>
              <w:rPr>
                <w:sz w:val="19"/>
              </w:rPr>
              <w:t>Set up fresh in the new application before go-live (entered or bulk-uploaded from clean Excel templates) and approved by the CFA Manager. Rates start with the current values effective from go-live.</w:t>
            </w:r>
          </w:p>
        </w:tc>
      </w:tr>
      <w:tr>
        <w:tc>
          <w:tcPr>
            <w:tcW w:type="dxa" w:w="3175"/>
          </w:tcPr>
          <w:p>
            <w:r/>
            <w:r>
              <w:rPr>
                <w:sz w:val="19"/>
              </w:rPr>
              <w:t>Users and roles</w:t>
            </w:r>
          </w:p>
        </w:tc>
        <w:tc>
          <w:tcPr>
            <w:tcW w:type="dxa" w:w="6236"/>
          </w:tcPr>
          <w:p>
            <w:r/>
            <w:r>
              <w:rPr>
                <w:sz w:val="19"/>
              </w:rPr>
              <w:t>Created fresh; default permission matrix (R-15) loaded.</w:t>
            </w:r>
          </w:p>
        </w:tc>
      </w:tr>
      <w:tr>
        <w:tc>
          <w:tcPr>
            <w:tcW w:type="dxa" w:w="3175"/>
          </w:tcPr>
          <w:p>
            <w:r/>
            <w:r>
              <w:rPr>
                <w:sz w:val="19"/>
              </w:rPr>
              <w:t>IRR history</w:t>
            </w:r>
          </w:p>
        </w:tc>
        <w:tc>
          <w:tcPr>
            <w:tcW w:type="dxa" w:w="6236"/>
          </w:tcPr>
          <w:p>
            <w:r/>
            <w:r>
              <w:rPr>
                <w:sz w:val="19"/>
              </w:rPr>
              <w:t>Optional: IRR files from the go-live month onward may be imported so that receipts passed for new IWs are always covered.</w:t>
            </w:r>
          </w:p>
        </w:tc>
      </w:tr>
    </w:tbl>
    <w:p>
      <w:pPr>
        <w:spacing w:after="40"/>
      </w:pPr>
    </w:p>
    <w:p>
      <w:pPr>
        <w:pStyle w:val="Heading3"/>
      </w:pPr>
      <w:r>
        <w:t>R-06.2 IW numbering</w:t>
      </w:r>
    </w:p>
    <w:p>
      <w:pPr>
        <w:spacing w:after="80"/>
      </w:pPr>
      <w:r>
        <w:rPr>
          <w:i w:val="0"/>
        </w:rPr>
        <w:t>The new application starts a fresh sequence: the first IW is IW-2627-000001, regardless of numbers issued by the VBA tool. Old VBA IW numbers exist only in the VBA files; the new application never stores, searches or references them.</w:t>
      </w:r>
    </w:p>
    <w:p>
      <w:pPr>
        <w:pStyle w:val="Heading3"/>
      </w:pPr>
      <w:r>
        <w:t>R-06.3 Cutover procedure</w:t>
      </w:r>
    </w:p>
    <w:p>
      <w:pPr>
        <w:pStyle w:val="ListNumber"/>
        <w:spacing w:after="40"/>
      </w:pPr>
      <w:r>
        <w:t>Cutover date C (a Monday recommended). Every vehicle arriving on or after C is created only in the new application.</w:t>
      </w:r>
    </w:p>
    <w:p>
      <w:pPr>
        <w:pStyle w:val="ListNumber"/>
        <w:spacing w:after="40"/>
      </w:pPr>
      <w:r>
        <w:t>Vehicles that arrived before C are completed to closure in the VBA tool (run-off). They are never carried into the new application.</w:t>
      </w:r>
    </w:p>
    <w:p>
      <w:pPr>
        <w:pStyle w:val="ListNumber"/>
        <w:spacing w:after="40"/>
      </w:pPr>
      <w:r>
        <w:t>On day C, the first SIT import is the baseline. Ship IDs present in that baseline and already handled in the VBA tool are bulk-marked 'Handled in legacy tool' by the clerk, so they do not raise 'unlinked Ship' or 'abnormal disappearance' exceptions.</w:t>
      </w:r>
    </w:p>
    <w:p>
      <w:pPr>
        <w:pStyle w:val="ListNumber"/>
        <w:spacing w:after="40"/>
      </w:pPr>
      <w:r>
        <w:t>Before C: UAT by replaying 2-4 weeks of real SIT, Despatch, Vendor and IRR files through the new application (test database, discarded afterwards).</w:t>
      </w:r>
    </w:p>
    <w:p>
      <w:pPr>
        <w:pStyle w:val="ListNumber"/>
        <w:spacing w:after="40"/>
      </w:pPr>
      <w:r>
        <w:t>Pilot: the first 5 working days after C, with the VBA tool kept available as a fallback. If a blocking defect occurs, vehicles go back to the VBA tool until it is fixed.</w:t>
      </w:r>
    </w:p>
    <w:p>
      <w:pPr>
        <w:pStyle w:val="Heading1"/>
      </w:pPr>
      <w:r>
        <w:t>R-07. State Model (replaces 17)</w:t>
      </w:r>
    </w:p>
    <w:p>
      <w:pPr>
        <w:spacing w:after="80"/>
      </w:pPr>
      <w:r>
        <w:rPr>
          <w:i w:val="0"/>
        </w:rPr>
        <w:t>[RECOMMENDED] A single linear status cannot represent a vehicle that carries inbound Ship IDs, vendor challans, outbound, Colour Bank and non-stock items at the same time. Status is therefore tracked at two levels: each linked reference (a 'track') has its own lifecycle, and the IW status is derived from its tracks.</w:t>
      </w:r>
    </w:p>
    <w:p>
      <w:pPr>
        <w:pStyle w:val="Heading3"/>
      </w:pPr>
      <w:r>
        <w:t>R-07.1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 (PO)</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Reserved: configuration flag 'Colour Bank ERP-tracked' (default OFF). If the company later brings machines into Oracle stock, switching it ON adds receipt entry and IRR reconciliation for Colour Bank tracks without redesign; Serial/Asset Number fields already exist.</w:t>
            </w:r>
          </w:p>
        </w:tc>
      </w:tr>
      <w:tr>
        <w:tc>
          <w:tcPr>
            <w:tcW w:type="dxa" w:w="2154"/>
          </w:tcPr>
          <w:p>
            <w:r/>
            <w:r>
              <w:rPr>
                <w:sz w:val="19"/>
              </w:rPr>
              <w:t>Non-Stock (Others)</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(or LSCCR_COVERED) -&gt; RECONCILED | REVIEW</w:t>
            </w:r>
          </w:p>
        </w:tc>
      </w:tr>
      <w:tr>
        <w:tc>
          <w:tcPr>
            <w:tcW w:type="dxa" w:w="2154"/>
          </w:tcPr>
          <w:p>
            <w:r/>
            <w:r>
              <w:rPr>
                <w:sz w:val="19"/>
              </w:rPr>
              <w:t>Unloading finance</w:t>
            </w:r>
          </w:p>
        </w:tc>
        <w:tc>
          <w:tcPr>
            <w:tcW w:type="dxa" w:w="7257"/>
          </w:tcPr>
          <w:p>
            <w:r/>
            <w:r>
              <w:rPr>
                <w:sz w:val="19"/>
              </w:rPr>
              <w:t>RECORDED -&gt; PAID | PART_PAID | OUTSTANDING_LEDGER | EXEMPT -&gt; SETTLED (independent; v1.0 unchanged)</w:t>
            </w:r>
          </w:p>
        </w:tc>
      </w:tr>
    </w:tbl>
    <w:p>
      <w:pPr>
        <w:spacing w:after="40"/>
      </w:pPr>
    </w:p>
    <w:p>
      <w:pPr>
        <w:pStyle w:val="Heading3"/>
      </w:pPr>
      <w:r>
        <w:t>R-07.2 IW (header) lifecycle, derived</w:t>
      </w:r>
    </w:p>
    <w:p>
      <w:pPr>
        <w:spacing w:after="80"/>
      </w:pPr>
      <w:r>
        <w:rPr>
          <w:i w:val="0"/>
        </w:rPr>
        <w:t>DRAFT -&gt; OPEN (IW number issued) -&gt; MATERIAL_LINKED -&gt; UNLOADING_IN_PROGRESS -&gt; PHYSICALLY_VERIFIED -&gt; MRA_ISSUED (all Screen 04 gates passed) -&gt; ERP_IN_PROGRESS -&gt; RECON_COMPLETE (all ERP-relevant tracks and SED memos RECONCILED/covered) -&gt; DOCUMENTS_COMPLETE -&gt; CLOSED</w:t>
      </w:r>
    </w:p>
    <w:p>
      <w:pPr>
        <w:pStyle w:val="ListBullet"/>
        <w:spacing w:after="40"/>
      </w:pPr>
      <w:r>
        <w:rPr>
          <w:b/>
        </w:rPr>
        <w:t xml:space="preserve">VOID: </w:t>
      </w:r>
      <w:r>
        <w:t>allowed only before MRA_ISSUED, for an IW created in error (duplicate, wrong vehicle). Requires reason + CFA Manager approval. The number is kept and never reused; linked Ship IDs are released.</w:t>
      </w:r>
    </w:p>
    <w:p>
      <w:pPr>
        <w:pStyle w:val="ListBullet"/>
        <w:spacing w:after="40"/>
      </w:pPr>
      <w:r>
        <w:rPr>
          <w:b/>
        </w:rPr>
        <w:t xml:space="preserve">After MRA_ISSUED </w:t>
      </w:r>
      <w:r>
        <w:t>an IW can never be voided; corrections use reopen + document revision (v1.0 rule).</w:t>
      </w:r>
    </w:p>
    <w:p>
      <w:pPr>
        <w:pStyle w:val="ListBullet"/>
        <w:spacing w:after="40"/>
      </w:pPr>
      <w:r>
        <w:rPr>
          <w:b/>
        </w:rPr>
        <w:t xml:space="preserve">REOPENED: </w:t>
      </w:r>
      <w:r>
        <w:t>CLOSED -&gt; REOPENED_ACTION_REQUIRED -&gt; the affected track stage -&gt; revalidated closure (v1.0 rule retained).</w:t>
      </w:r>
    </w:p>
    <w:p>
      <w:pPr>
        <w:pStyle w:val="ListBullet"/>
        <w:spacing w:after="40"/>
      </w:pPr>
      <w:r>
        <w:rPr>
          <w:b/>
        </w:rPr>
        <w:t xml:space="preserve">The dashboard shows both levels: </w:t>
      </w:r>
      <w:r>
        <w:t>IW status plus a per-track progress strip, and 'My Pending Actions' names the exact track and gate.</w:t>
      </w:r>
    </w:p>
    <w:p>
      <w:pPr>
        <w:pStyle w:val="Heading1"/>
      </w:pPr>
      <w:r>
        <w:t>R-08. Vendor Consignment Identity and IRR Matching (amends 5.4, 8.4)</w:t>
      </w:r>
    </w:p>
    <w:p>
      <w:pPr>
        <w:spacing w:after="80"/>
      </w:pPr>
      <w:r>
        <w:rPr>
          <w:i w:val="0"/>
        </w:rPr>
        <w:t>[LOCKED - USER DECISION]</w:t>
      </w:r>
    </w:p>
    <w:p>
      <w:pPr>
        <w:pStyle w:val="ListBullet"/>
        <w:spacing w:after="40"/>
      </w:pPr>
      <w:r>
        <w:rPr>
          <w:b/>
        </w:rPr>
        <w:t xml:space="preserve">Captured at linking: </w:t>
      </w:r>
      <w:r>
        <w:t>Vendor Code (from Vendor master; one unique code per vendor), PO Number and Vendor Challan No - all mandatory.</w:t>
      </w:r>
    </w:p>
    <w:p>
      <w:pPr>
        <w:pStyle w:val="ListBullet"/>
        <w:spacing w:after="40"/>
      </w:pPr>
      <w:r>
        <w:rPr>
          <w:b/>
        </w:rPr>
        <w:t xml:space="preserve">Unique key: </w:t>
      </w:r>
      <w:r>
        <w:t>Vendor Code + normalised Vendor Challan No. The same challan text from two different vendors is allowed; the same combination twice is blocked.</w:t>
      </w:r>
    </w:p>
    <w:p>
      <w:pPr>
        <w:pStyle w:val="ListBullet"/>
        <w:spacing w:after="40"/>
      </w:pPr>
      <w:r>
        <w:rPr>
          <w:b/>
        </w:rPr>
        <w:t xml:space="preserve">IRR matching is ONLY through the PO Stock Receipt No </w:t>
      </w:r>
      <w:r>
        <w:t>entered by the clerk: IRR rows with Type = 'Po Receipt' whose TRX Number starts with that receipt number (e.g. '42679 / CBE/0181/26-27'). SKU and LTR/KG reconciliation as in R-03.</w:t>
      </w:r>
    </w:p>
    <w:p>
      <w:pPr>
        <w:pStyle w:val="ListBullet"/>
        <w:spacing w:after="40"/>
      </w:pPr>
      <w:r>
        <w:rPr>
          <w:b/>
        </w:rPr>
        <w:t xml:space="preserve">Supporting data only: </w:t>
      </w:r>
      <w:r>
        <w:t>the challan text inside the IRR TRX Number and the PO Number are stored and shown; a difference raises an information warning but never blocks or changes the match.</w:t>
      </w:r>
    </w:p>
    <w:p>
      <w:pPr>
        <w:pStyle w:val="ListBullet"/>
        <w:spacing w:after="40"/>
      </w:pPr>
      <w:r>
        <w:rPr>
          <w:b/>
        </w:rPr>
        <w:t xml:space="preserve">Receipt number of wrong type: </w:t>
      </w:r>
      <w:r>
        <w:t>if the entered receipt exists in IRR but not as 'Po Receipt', the result is Review Required.</w:t>
      </w:r>
    </w:p>
    <w:p>
      <w:pPr>
        <w:pStyle w:val="Heading1"/>
      </w:pPr>
      <w:r>
        <w:t>R-09. SIT Change Detection (amends 3)</w:t>
      </w:r>
    </w:p>
    <w:p>
      <w:pPr>
        <w:spacing w:after="80"/>
      </w:pPr>
      <w:r>
        <w:rPr>
          <w:i w:val="0"/>
        </w:rPr>
        <w:t>[LOCKED - USER DECISION] The SIT never carries Receipt Num / Quantity Received (the columns exist in the header but are always empty and are ignored). Processing is detected only from how a Ship ID's rows change between consecutive SIT imports. Rows never vanish blindly: a vanished row means Oracle processed it.</w:t>
      </w:r>
    </w:p>
    <w:p>
      <w:pPr>
        <w:pStyle w:val="Heading3"/>
      </w:pPr>
      <w:r>
        <w:t>Algorithm (per new accepted SIT import)</w:t>
      </w:r>
    </w:p>
    <w:p>
      <w:pPr>
        <w:pStyle w:val="ListNumber"/>
        <w:spacing w:after="40"/>
      </w:pPr>
      <w:r>
        <w:t>Aggregate each import by (Ship ID, full SKU): sum Quantity Issued and the base measure. Several rows of the same SKU in one Ship are normal and must be summed first.</w:t>
      </w:r>
    </w:p>
    <w:p>
      <w:pPr>
        <w:pStyle w:val="ListNumber"/>
        <w:spacing w:after="40"/>
      </w:pPr>
      <w:r>
        <w:t>Compare with the previous accepted import and classify every difference:</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 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in Oracle;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the Stock Receipt No</w:t>
            </w:r>
          </w:p>
        </w:tc>
      </w:tr>
      <w:tr>
        <w:tc>
          <w:tcPr>
            <w:tcW w:type="dxa" w:w="2948"/>
          </w:tcPr>
          <w:p>
            <w:r/>
            <w:r>
              <w:rPr>
                <w:sz w:val="19"/>
              </w:rPr>
              <w:t>SHIP_REMOVED + never linked to any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or SKU_ADDED to an existing Ship</w:t>
            </w:r>
          </w:p>
        </w:tc>
        <w:tc>
          <w:tcPr>
            <w:tcW w:type="dxa" w:w="3175"/>
          </w:tcPr>
          <w:p>
            <w:r/>
            <w:r>
              <w:rPr>
                <w:sz w:val="19"/>
              </w:rPr>
              <w:t>Not possible per business rule</w:t>
            </w:r>
          </w:p>
        </w:tc>
        <w:tc>
          <w:tcPr>
            <w:tcW w:type="dxa" w:w="3288"/>
          </w:tcPr>
          <w:p>
            <w:r/>
            <w:r>
              <w:rPr>
                <w:sz w:val="19"/>
              </w:rPr>
              <w:t>CRITICAL anomaly; import accepted but flagged</w:t>
            </w:r>
          </w:p>
        </w:tc>
      </w:tr>
    </w:tbl>
    <w:p>
      <w:pPr>
        <w:spacing w:after="40"/>
      </w:pPr>
    </w:p>
    <w:p>
      <w:pPr>
        <w:pStyle w:val="ListBullet"/>
        <w:spacing w:after="40"/>
      </w:pPr>
      <w:r>
        <w:rPr>
          <w:b/>
        </w:rPr>
        <w:t xml:space="preserve">Window guard: </w:t>
      </w:r>
      <w:r>
        <w:t>the SIT header gives 'From Date :: ... To Date :: ...'. A Ship whose Shipment Date falls outside the new report's window is 'out of window', not removed. Removal is evaluated only for Ships inside both windows.</w:t>
      </w:r>
    </w:p>
    <w:p>
      <w:pPr>
        <w:pStyle w:val="ListBullet"/>
        <w:spacing w:after="40"/>
      </w:pPr>
      <w:r>
        <w:rPr>
          <w:b/>
        </w:rPr>
        <w:t xml:space="preserve">Ships marked 'Handled in legacy tool' </w:t>
      </w:r>
      <w:r>
        <w:t>(R-06.3) are excluded from exception classification.</w:t>
      </w:r>
    </w:p>
    <w:p>
      <w:pPr>
        <w:pStyle w:val="Heading1"/>
      </w:pPr>
      <w:r>
        <w:t>R-10. Floor SKU Derivation (amends 7.1, 11)</w:t>
      </w:r>
    </w:p>
    <w:p>
      <w:pPr>
        <w:spacing w:after="80"/>
      </w:pPr>
      <w:r>
        <w:rPr>
          <w:i w:val="0"/>
        </w:rPr>
        <w:t>[LOCKED - USER DECISION] Floor SKU is derived from the 16-character SKU, used strictly for display on the unloading checklist and as a search key. It is never a reconciliation key and is not unique.</w:t>
      </w:r>
    </w:p>
    <w:tbl>
      <w:tblPr>
        <w:tblStyle w:val="TableGrid"/>
        <w:tblW w:type="auto" w:w="0"/>
        <w:jc w:val="center"/>
        <w:tblLook w:firstColumn="1" w:firstRow="1" w:lastColumn="0" w:lastRow="0" w:noHBand="0" w:noVBand="1" w:val="04A0"/>
      </w:tblPr>
      <w:tblGrid>
        <w:gridCol w:w="4706"/>
        <w:gridCol w:w="4706"/>
      </w:tblGrid>
      <w:tr>
        <w:tc>
          <w:tcPr>
            <w:tcW w:type="dxa" w:w="6009"/>
            <w:shd w:val="clear" w:color="auto" w:fill="1F3A5F"/>
          </w:tcPr>
          <w:p>
            <w:r/>
            <w:r>
              <w:rPr>
                <w:b/>
                <w:color w:val="FFFFFF"/>
                <w:sz w:val="19"/>
              </w:rPr>
              <w:t>Rule</w:t>
            </w:r>
          </w:p>
        </w:tc>
        <w:tc>
          <w:tcPr>
            <w:tcW w:type="dxa" w:w="3402"/>
            <w:shd w:val="clear" w:color="auto" w:fill="1F3A5F"/>
          </w:tcPr>
          <w:p>
            <w:r/>
            <w:r>
              <w:rPr>
                <w:b/>
                <w:color w:val="FFFFFF"/>
                <w:sz w:val="19"/>
              </w:rPr>
              <w:t>Example</w:t>
            </w:r>
          </w:p>
        </w:tc>
      </w:tr>
      <w:tr>
        <w:tc>
          <w:tcPr>
            <w:tcW w:type="dxa" w:w="6009"/>
          </w:tcPr>
          <w:p>
            <w:r/>
            <w:r>
              <w:rPr>
                <w:sz w:val="19"/>
              </w:rPr>
              <w:t>Floor SKU = characters 4-6 + space + characters 8-10 of the 16-character SKU (1-based positions)</w:t>
            </w:r>
          </w:p>
        </w:tc>
        <w:tc>
          <w:tcPr>
            <w:tcW w:type="dxa" w:w="3402"/>
          </w:tcPr>
          <w:p>
            <w:r/>
            <w:r>
              <w:rPr>
                <w:sz w:val="19"/>
              </w:rPr>
              <w:t>F007130991001000 -&gt; 713 991</w:t>
            </w:r>
          </w:p>
        </w:tc>
      </w:tr>
      <w:tr>
        <w:tc>
          <w:tcPr>
            <w:tcW w:type="dxa" w:w="6009"/>
          </w:tcPr>
          <w:p>
            <w:r/>
            <w:r>
              <w:rPr>
                <w:sz w:val="19"/>
              </w:rPr>
            </w:r>
          </w:p>
        </w:tc>
        <w:tc>
          <w:tcPr>
            <w:tcW w:type="dxa" w:w="3402"/>
          </w:tcPr>
          <w:p>
            <w:r/>
            <w:r>
              <w:rPr>
                <w:sz w:val="19"/>
              </w:rPr>
              <w:t>F00XG90991003600 -&gt; XG9 991</w:t>
            </w:r>
          </w:p>
        </w:tc>
      </w:tr>
      <w:tr>
        <w:tc>
          <w:tcPr>
            <w:tcW w:type="dxa" w:w="6009"/>
          </w:tcPr>
          <w:p>
            <w:r/>
            <w:r>
              <w:rPr>
                <w:sz w:val="19"/>
              </w:rPr>
            </w:r>
          </w:p>
        </w:tc>
        <w:tc>
          <w:tcPr>
            <w:tcW w:type="dxa" w:w="3402"/>
          </w:tcPr>
          <w:p>
            <w:r/>
            <w:r>
              <w:rPr>
                <w:sz w:val="19"/>
              </w:rPr>
              <w:t>F002980000020000 -&gt; 298 000</w:t>
            </w:r>
          </w:p>
        </w:tc>
      </w:tr>
      <w:tr>
        <w:tc>
          <w:tcPr>
            <w:tcW w:type="dxa" w:w="6009"/>
          </w:tcPr>
          <w:p>
            <w:r/>
            <w:r>
              <w:rPr>
                <w:sz w:val="19"/>
              </w:rPr>
              <w:t>BULKPC items: show Floor SKU and the full item code + description, because packing codes do not follow the paint-SKU pattern</w:t>
            </w:r>
          </w:p>
        </w:tc>
        <w:tc>
          <w:tcPr>
            <w:tcW w:type="dxa" w:w="3402"/>
          </w:tcPr>
          <w:p>
            <w:r/>
            <w:r>
              <w:rPr>
                <w:sz w:val="19"/>
              </w:rPr>
              <w:t>2010370991BULKPC -&gt; 037 991 (with full code shown)</w:t>
            </w:r>
          </w:p>
        </w:tc>
      </w:tr>
    </w:tbl>
    <w:p>
      <w:pPr>
        <w:spacing w:after="40"/>
      </w:pPr>
    </w:p>
    <w:p>
      <w:pPr>
        <w:spacing w:after="80"/>
      </w:pPr>
      <w:r>
        <w:rPr>
          <w:i w:val="0"/>
        </w:rPr>
        <w:t>Rule verified against the IRR sample: SKUs F007130991001000 / 004000 / 010000 / 020000 all give 713 991, the example in v1.0.</w:t>
      </w:r>
    </w:p>
    <w:p>
      <w:pPr>
        <w:pStyle w:val="Heading1"/>
      </w:pPr>
      <w:r>
        <w:t>R-11. Split Ship ID - One Ship ID across Several Vehicles (clarifies 5.1)</w:t>
      </w:r>
    </w:p>
    <w:p>
      <w:pPr>
        <w:pStyle w:val="Heading3"/>
      </w:pPr>
      <w:r>
        <w:t>What the scenario is</w:t>
      </w:r>
    </w:p>
    <w:p>
      <w:pPr>
        <w:spacing w:after="80"/>
      </w:pPr>
      <w:r>
        <w:rPr>
          <w:i w:val="0"/>
        </w:rPr>
        <w:t>Normally one Ship ID arrives on one vehicle. Rarely, the sender loads one Ship ID (one delivery) onto two trucks, e.g. Ship 52497520 with 100 drums: truck 1 carries 60 today, truck 2 carries 40 tomorrow. Each truck is a separate IW. SIT shows the whole Ship (100) to both. Without allocation, IW-1 would record 'Short 40', IW-2 'Short 60', and reconciliation would count the Ship twice.</w:t>
      </w:r>
    </w:p>
    <w:p>
      <w:pPr>
        <w:pStyle w:val="Heading3"/>
      </w:pPr>
      <w:r>
        <w:t>Rules [LOCKED - rare, clerk-invoked option]</w:t>
      </w:r>
    </w:p>
    <w:p>
      <w:pPr>
        <w:pStyle w:val="ListNumber"/>
        <w:spacing w:after="40"/>
      </w:pPr>
      <w:r>
        <w:t>Default: a Ship ID already linked to another IW cannot be linked again. The clerk can choose 'Split vehicle - this Ship is carried on more than one vehicle'; only then does the allocation below apply. The choice and its reason are audit logged and shown on both IWs.</w:t>
      </w:r>
    </w:p>
    <w:p>
      <w:pPr>
        <w:pStyle w:val="ListNumber"/>
        <w:spacing w:after="40"/>
      </w:pPr>
      <w:r>
        <w:t>When a Ship ID already linked to an open IW is linked to another IW, the system requires an allocation: quantity per SKU carried on this vehicle, taken from this vehicle's copy of the document/packing list.</w:t>
      </w:r>
    </w:p>
    <w:p>
      <w:pPr>
        <w:pStyle w:val="ListNumber"/>
        <w:spacing w:after="40"/>
      </w:pPr>
      <w:r>
        <w:t>For each SKU, the sum of allocations over all IWs cannot exceed the SIT baseline (R-12).</w:t>
      </w:r>
    </w:p>
    <w:p>
      <w:pPr>
        <w:pStyle w:val="ListNumber"/>
        <w:spacing w:after="40"/>
      </w:pPr>
      <w:r>
        <w:t>Checklist, SED and MRA of each IW use that IW's allocation only.</w:t>
      </w:r>
    </w:p>
    <w:p>
      <w:pPr>
        <w:pStyle w:val="ListNumber"/>
        <w:spacing w:after="40"/>
      </w:pPr>
      <w:r>
        <w:t>Each IW enters its own Stock Receipt No(s). Reconciliation is per receipt, so IRR shows which receipt (and so which IW) covered which SKUs; the SIT reduction needs no manual mapping.</w:t>
      </w:r>
    </w:p>
    <w:p>
      <w:pPr>
        <w:pStyle w:val="ListNumber"/>
        <w:spacing w:after="40"/>
      </w:pPr>
      <w:r>
        <w:t>Ship-level check: the Ship is complete when the IRR over all its receipts equals the SIT baseline, net of SED under R-01.</w:t>
      </w:r>
    </w:p>
    <w:p>
      <w:pPr>
        <w:pStyle w:val="ListNumber"/>
        <w:spacing w:after="40"/>
      </w:pPr>
      <w:r>
        <w:t>Unallocated remainder: if the Ship has quantity not allocated to any IW 7 days after the first vehicle (configurable), a 'Ship balance not received' exception is raised.</w:t>
      </w:r>
    </w:p>
    <w:p>
      <w:pPr>
        <w:pStyle w:val="Heading1"/>
      </w:pPr>
      <w:r>
        <w:t>R-12. Expected-Quantity Baseline (amends 6)</w:t>
      </w:r>
    </w:p>
    <w:p>
      <w:pPr>
        <w:spacing w:after="80"/>
      </w:pPr>
      <w:r>
        <w:rPr>
          <w:i w:val="0"/>
        </w:rPr>
        <w:t>[LOCKED - USER DECISION] The expected (document) quantity of a Ship ID is the SIT pending quantity at the moment the Ship is linked to the IW, frozen as a snapshot. A Ship in SIT never grows; it only reduces as Oracle processes it. Later SIT changes never alter the IW baseline; any increase is a critical anomaly (R-09). For a split Ship, the second IW's baseline is the SIT pending quantity at its link time minus quantities already allocated to open IWs.</w:t>
      </w:r>
    </w:p>
    <w:p>
      <w:pPr>
        <w:pStyle w:val="Heading1"/>
      </w:pPr>
      <w:r>
        <w:t>R-13. Data Normalisation, Units and Precision (new)</w:t>
      </w:r>
    </w:p>
    <w:tbl>
      <w:tblPr>
        <w:tblStyle w:val="TableGrid"/>
        <w:tblW w:type="auto" w:w="0"/>
        <w:jc w:val="center"/>
        <w:tblLook w:firstColumn="1" w:firstRow="1" w:lastColumn="0" w:lastRow="0" w:noHBand="0" w:noVBand="1" w:val="04A0"/>
      </w:tblPr>
      <w:tblGrid>
        <w:gridCol w:w="4706"/>
        <w:gridCol w:w="4706"/>
      </w:tblGrid>
      <w:tr>
        <w:tc>
          <w:tcPr>
            <w:tcW w:type="dxa" w:w="2381"/>
            <w:shd w:val="clear" w:color="auto" w:fill="1F3A5F"/>
          </w:tcPr>
          <w:p>
            <w:r/>
            <w:r>
              <w:rPr>
                <w:b/>
                <w:color w:val="FFFFFF"/>
                <w:sz w:val="19"/>
              </w:rPr>
              <w:t>Item</w:t>
            </w:r>
          </w:p>
        </w:tc>
        <w:tc>
          <w:tcPr>
            <w:tcW w:type="dxa" w:w="7030"/>
            <w:shd w:val="clear" w:color="auto" w:fill="1F3A5F"/>
          </w:tcPr>
          <w:p>
            <w:r/>
            <w:r>
              <w:rPr>
                <w:b/>
                <w:color w:val="FFFFFF"/>
                <w:sz w:val="19"/>
              </w:rPr>
              <w:t>Rule</w:t>
            </w:r>
          </w:p>
        </w:tc>
      </w:tr>
      <w:tr>
        <w:tc>
          <w:tcPr>
            <w:tcW w:type="dxa" w:w="2381"/>
          </w:tcPr>
          <w:p>
            <w:r/>
            <w:r>
              <w:rPr>
                <w:sz w:val="19"/>
              </w:rPr>
              <w:t>Numeric type</w:t>
            </w:r>
          </w:p>
        </w:tc>
        <w:tc>
          <w:tcPr>
            <w:tcW w:type="dxa" w:w="7030"/>
          </w:tcPr>
          <w:p>
            <w:r/>
            <w:r>
              <w:rPr>
                <w:sz w:val="19"/>
              </w:rPr>
              <w:t>Python Decimal end-to-end; PostgreSQL NUMERIC. Never float for quantity or money.</w:t>
            </w:r>
          </w:p>
        </w:tc>
      </w:tr>
      <w:tr>
        <w:tc>
          <w:tcPr>
            <w:tcW w:type="dxa" w:w="2381"/>
          </w:tcPr>
          <w:p>
            <w:r/>
            <w:r>
              <w:rPr>
                <w:sz w:val="19"/>
              </w:rPr>
              <w:t>Pieces (NOP / Quantity Issued)</w:t>
            </w:r>
          </w:p>
        </w:tc>
        <w:tc>
          <w:tcPr>
            <w:tcW w:type="dxa" w:w="7030"/>
          </w:tcPr>
          <w:p>
            <w:r/>
            <w:r>
              <w:rPr>
                <w:sz w:val="19"/>
              </w:rPr>
              <w:t>NUMERIC(18,3); must match exactly.</w:t>
            </w:r>
          </w:p>
        </w:tc>
      </w:tr>
      <w:tr>
        <w:tc>
          <w:tcPr>
            <w:tcW w:type="dxa" w:w="2381"/>
          </w:tcPr>
          <w:p>
            <w:r/>
            <w:r>
              <w:rPr>
                <w:sz w:val="19"/>
              </w:rPr>
              <w:t>LTR / KG</w:t>
            </w:r>
          </w:p>
        </w:tc>
        <w:tc>
          <w:tcPr>
            <w:tcW w:type="dxa" w:w="7030"/>
          </w:tcPr>
          <w:p>
            <w:r/>
            <w:r>
              <w:rPr>
                <w:sz w:val="19"/>
              </w:rPr>
              <w:t>Stored in base units NUMERIC(18,6); compared after rounding to 3 decimals, ROUND_HALF_UP; tolerance 0.001 per SKU (configurable, snapshotted in each reconciliation run).</w:t>
            </w:r>
          </w:p>
        </w:tc>
      </w:tr>
      <w:tr>
        <w:tc>
          <w:tcPr>
            <w:tcW w:type="dxa" w:w="2381"/>
          </w:tcPr>
          <w:p>
            <w:r/>
            <w:r>
              <w:rPr>
                <w:sz w:val="19"/>
              </w:rPr>
              <w:t>Money</w:t>
            </w:r>
          </w:p>
        </w:tc>
        <w:tc>
          <w:tcPr>
            <w:tcW w:type="dxa" w:w="7030"/>
          </w:tcPr>
          <w:p>
            <w:r/>
            <w:r>
              <w:rPr>
                <w:sz w:val="19"/>
              </w:rPr>
              <w:t>NUMERIC(14,2), ROUND_HALF_UP to paise; shown in Rs to 2 decimals.</w:t>
            </w:r>
          </w:p>
        </w:tc>
      </w:tr>
      <w:tr>
        <w:tc>
          <w:tcPr>
            <w:tcW w:type="dxa" w:w="2381"/>
          </w:tcPr>
          <w:p>
            <w:r/>
            <w:r>
              <w:rPr>
                <w:sz w:val="19"/>
              </w:rPr>
              <w:t>Tonnage</w:t>
            </w:r>
          </w:p>
        </w:tc>
        <w:tc>
          <w:tcPr>
            <w:tcW w:type="dxa" w:w="7030"/>
          </w:tcPr>
          <w:p>
            <w:r/>
            <w:r>
              <w:rPr>
                <w:sz w:val="19"/>
              </w:rPr>
              <w:t>NUMERIC(10,3) as entered by the clerk; unloading charge = tonnage x snapshotted rate, rounded to 2 decimals.</w:t>
            </w:r>
          </w:p>
        </w:tc>
      </w:tr>
      <w:tr>
        <w:tc>
          <w:tcPr>
            <w:tcW w:type="dxa" w:w="2381"/>
          </w:tcPr>
          <w:p>
            <w:r/>
            <w:r>
              <w:rPr>
                <w:sz w:val="19"/>
              </w:rPr>
              <w:t>Originals</w:t>
            </w:r>
          </w:p>
        </w:tc>
        <w:tc>
          <w:tcPr>
            <w:tcW w:type="dxa" w:w="7030"/>
          </w:tcPr>
          <w:p>
            <w:r/>
            <w:r>
              <w:rPr>
                <w:sz w:val="19"/>
              </w:rPr>
              <w:t>Raw source value, source UOM and source file/row reference are always stored beside the normalised value.</w:t>
            </w:r>
          </w:p>
        </w:tc>
      </w:tr>
      <w:tr>
        <w:tc>
          <w:tcPr>
            <w:tcW w:type="dxa" w:w="2381"/>
          </w:tcPr>
          <w:p>
            <w:r/>
            <w:r>
              <w:rPr>
                <w:sz w:val="19"/>
              </w:rPr>
              <w:t>Text cleaning</w:t>
            </w:r>
          </w:p>
        </w:tc>
        <w:tc>
          <w:tcPr>
            <w:tcW w:type="dxa" w:w="7030"/>
          </w:tcPr>
          <w:p>
            <w:r/>
            <w:r>
              <w:rPr>
                <w:sz w:val="19"/>
              </w:rPr>
              <w:t>Strip leading apostrophes (e.g. '035, '0134), non-breaking spaces and trailing/leading spaces; collapse internal spaces; uppercase codes.</w:t>
            </w:r>
          </w:p>
        </w:tc>
      </w:tr>
      <w:tr>
        <w:tc>
          <w:tcPr>
            <w:tcW w:type="dxa" w:w="2381"/>
          </w:tcPr>
          <w:p>
            <w:r/>
            <w:r>
              <w:rPr>
                <w:sz w:val="19"/>
              </w:rPr>
              <w:t>Organisation</w:t>
            </w:r>
          </w:p>
        </w:tc>
        <w:tc>
          <w:tcPr>
            <w:tcW w:type="dxa" w:w="7030"/>
          </w:tcPr>
          <w:p>
            <w:r/>
            <w:r>
              <w:rPr>
                <w:sz w:val="19"/>
              </w:rPr>
              <w:t>"'279:RDC - WB-Sreerampore" -&gt; code 279 + name 'RDC - WB-Sreerampore'; code is the key.</w:t>
            </w:r>
          </w:p>
        </w:tc>
      </w:tr>
      <w:tr>
        <w:tc>
          <w:tcPr>
            <w:tcW w:type="dxa" w:w="2381"/>
          </w:tcPr>
          <w:p>
            <w:r/>
            <w:r>
              <w:rPr>
                <w:sz w:val="19"/>
              </w:rPr>
              <w:t>SKU</w:t>
            </w:r>
          </w:p>
        </w:tc>
        <w:tc>
          <w:tcPr>
            <w:tcW w:type="dxa" w:w="7030"/>
          </w:tcPr>
          <w:p>
            <w:r/>
            <w:r>
              <w:rPr>
                <w:sz w:val="19"/>
              </w:rPr>
              <w:t>Exactly 16 characters [A-Z0-9]; otherwise import row rejected with reason.</w:t>
            </w:r>
          </w:p>
        </w:tc>
      </w:tr>
      <w:tr>
        <w:tc>
          <w:tcPr>
            <w:tcW w:type="dxa" w:w="2381"/>
          </w:tcPr>
          <w:p>
            <w:r/>
            <w:r>
              <w:rPr>
                <w:sz w:val="19"/>
              </w:rPr>
              <w:t>Dates</w:t>
            </w:r>
          </w:p>
        </w:tc>
        <w:tc>
          <w:tcPr>
            <w:tcW w:type="dxa" w:w="7030"/>
          </w:tcPr>
          <w:p>
            <w:r/>
            <w:r>
              <w:rPr>
                <w:sz w:val="19"/>
              </w:rPr>
              <w:t>Oracle formats (18-FEB-26, 27-JUN-2026) and Excel dates both accepted; stored as date/timestamptz.</w:t>
            </w:r>
          </w:p>
        </w:tc>
      </w:tr>
      <w:tr>
        <w:tc>
          <w:tcPr>
            <w:tcW w:type="dxa" w:w="2381"/>
          </w:tcPr>
          <w:p>
            <w:r/>
            <w:r>
              <w:rPr>
                <w:sz w:val="19"/>
              </w:rPr>
              <w:t>Headers</w:t>
            </w:r>
          </w:p>
        </w:tc>
        <w:tc>
          <w:tcPr>
            <w:tcW w:type="dxa" w:w="7030"/>
          </w:tcPr>
          <w:p>
            <w:r/>
            <w:r>
              <w:rPr>
                <w:sz w:val="19"/>
              </w:rPr>
              <w:t>Every importer locates its header row by normalised column names (not fixed positions) and fails the whole import atomically if a required column is missing.</w:t>
            </w:r>
          </w:p>
        </w:tc>
      </w:tr>
    </w:tbl>
    <w:p>
      <w:pPr>
        <w:spacing w:after="40"/>
      </w:pPr>
    </w:p>
    <w:p>
      <w:pPr>
        <w:pStyle w:val="Heading1"/>
      </w:pPr>
      <w:r>
        <w:t>R-14. IW Number Financial Year (amends 4)</w:t>
      </w:r>
    </w:p>
    <w:p>
      <w:pPr>
        <w:pStyle w:val="ListBullet"/>
        <w:spacing w:after="40"/>
      </w:pPr>
      <w:r>
        <w:t>[LOCKED - USER DECISION] FY = Indian FY (1 April - 31 March) of the actual vehicle arrival date only. Example: arrival 31-Mar-2027 23:10, entered 01-Apr-2027 -&gt; IW-2627-xxxxxx.</w:t>
      </w:r>
    </w:p>
    <w:p>
      <w:pPr>
        <w:pStyle w:val="ListBullet"/>
        <w:spacing w:after="40"/>
      </w:pPr>
      <w:r>
        <w:t>Numbers are issued from a per-FY counter row locked inside the creation transaction (SELECT ... FOR UPDATE). No gaps from rollbacks; VOID numbers stay visible and are never reused.</w:t>
      </w:r>
    </w:p>
    <w:p>
      <w:pPr>
        <w:pStyle w:val="ListBullet"/>
        <w:spacing w:after="40"/>
      </w:pPr>
      <w:r>
        <w:t>The IW number is issued when the draft is saved as OPEN. After that, the arrival date can be edited only within the same FY; a change across FY requires VOID and re-creation.</w:t>
      </w:r>
    </w:p>
    <w:p>
      <w:pPr>
        <w:pStyle w:val="ListBullet"/>
        <w:spacing w:after="40"/>
      </w:pPr>
      <w:r>
        <w:t>Fresh start: the FY 2026-27 counter starts at 000001 on go-live (R-06.2); each new FY starts again at 000001.</w:t>
      </w:r>
    </w:p>
    <w:p>
      <w:pPr>
        <w:pStyle w:val="Heading1"/>
      </w:pPr>
      <w:r>
        <w:t>R-15. Roles and Permission Engine (amends 12)</w:t>
      </w:r>
    </w:p>
    <w:p>
      <w:pPr>
        <w:spacing w:after="80"/>
      </w:pPr>
      <w:r>
        <w:rPr>
          <w:i w:val="0"/>
        </w:rPr>
        <w:t>[LOCKED - USER DECISION] Permissions are granular codes grouped into roles. Roles and user assignments are maintained inside the application by the CFA Manager. The table below is the default seed only; the CFA Manager can change it.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Record 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Record 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and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LSCCR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 (R-05)</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master changes / approve them</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they get a read-only 'Viewer' role if they need log-in access.</w:t>
      </w:r>
    </w:p>
    <w:p>
      <w:pPr>
        <w:pStyle w:val="ListBullet"/>
        <w:spacing w:after="40"/>
      </w:pPr>
      <w:r>
        <w:t>Maker-checker: nobody can approve their own request, and nobody can change their own roles.</w:t>
      </w:r>
    </w:p>
    <w:p>
      <w:pPr>
        <w:pStyle w:val="ListBullet"/>
        <w:spacing w:after="40"/>
      </w:pPr>
      <w:r>
        <w:t>One break-glass Administrator account; every use is audited and reported to the CFA Manager.</w:t>
      </w:r>
    </w:p>
    <w:p>
      <w:pPr>
        <w:pStyle w:val="ListBullet"/>
        <w:spacing w:after="40"/>
      </w:pPr>
      <w:r>
        <w:t>Optional configurable threshold: SED claim value above Rs X requires CFA Manager approval (disabled until a value is set).</w:t>
      </w:r>
    </w:p>
    <w:p>
      <w:pPr>
        <w:pStyle w:val="ListBullet"/>
        <w:spacing w:after="40"/>
      </w:pPr>
      <w:r>
        <w:t>Permissions are checked in the service layer on every action, not only by hiding buttons (v1.0 section 19 rule).</w:t>
      </w:r>
    </w:p>
    <w:p>
      <w:pPr>
        <w:pStyle w:val="Heading1"/>
      </w:pPr>
      <w:r>
        <w:t>R-16. Streamlit Implementation Standards (amends 14)</w:t>
      </w:r>
    </w:p>
    <w:p>
      <w:pPr>
        <w:pStyle w:val="ListBullet"/>
        <w:spacing w:after="40"/>
      </w:pPr>
      <w:r>
        <w:rPr>
          <w:b/>
        </w:rPr>
        <w:t xml:space="preserve">Thin UI: </w:t>
      </w:r>
      <w:r>
        <w:t>Streamlit pages only collect input and display results. All rules, gates and state changes live in the Python service layer, so the UI can be replaced later (e.g. FastAPI + web front end) without touching the business logic.</w:t>
      </w:r>
    </w:p>
    <w:p>
      <w:pPr>
        <w:pStyle w:val="ListBullet"/>
        <w:spacing w:after="40"/>
      </w:pPr>
      <w:r>
        <w:rPr>
          <w:b/>
        </w:rPr>
        <w:t xml:space="preserve">State: </w:t>
      </w:r>
      <w:r>
        <w:t>st.session_state holds UI state only (filters, selected IW). Each page re-reads data from PostgreSQL on every run. Each action re-checks gate, permission and row version before committing.</w:t>
      </w:r>
    </w:p>
    <w:p>
      <w:pPr>
        <w:pStyle w:val="ListBullet"/>
        <w:spacing w:after="40"/>
      </w:pPr>
      <w:r>
        <w:rPr>
          <w:b/>
        </w:rPr>
        <w:t xml:space="preserve">Authentication, phase 1: </w:t>
      </w:r>
      <w:r>
        <w:t>app-managed users with Argon2/bcrypt password hashes, server-side sessions, idle time-out 30 minutes, lock-out after 5 failed attempts. Phase 2: Microsoft Entra via OIDC (Streamlit st.login) by configuration only.</w:t>
      </w:r>
    </w:p>
    <w:p>
      <w:pPr>
        <w:pStyle w:val="ListBullet"/>
        <w:spacing w:after="40"/>
      </w:pPr>
      <w:r>
        <w:rPr>
          <w:b/>
        </w:rPr>
        <w:t xml:space="preserve">Damage photos: </w:t>
      </w:r>
      <w:r>
        <w:t>captured from a phone or tablet on the depot LAN using the file uploader (the phone offers its camera at full resolution; st.camera_input is too low-resolution for evidence). The original is kept with SHA-256; a compressed preview is generated for screens and PDFs. Minimum 1 photo per damaged SKU line.</w:t>
      </w:r>
    </w:p>
    <w:p>
      <w:pPr>
        <w:pStyle w:val="ListBullet"/>
        <w:spacing w:after="40"/>
      </w:pPr>
      <w:r>
        <w:rPr>
          <w:b/>
        </w:rPr>
        <w:t xml:space="preserve">Printing: </w:t>
      </w:r>
      <w:r>
        <w:t>MRA, memos and checklists are generated server-side as PDF (ReportLab) and opened in the browser for printing; each print is audit logged with document revision.</w:t>
      </w:r>
    </w:p>
    <w:p>
      <w:pPr>
        <w:pStyle w:val="ListBullet"/>
        <w:spacing w:after="40"/>
      </w:pPr>
      <w:r>
        <w:rPr>
          <w:b/>
        </w:rPr>
        <w:t xml:space="preserve">Scale: </w:t>
      </w:r>
      <w:r>
        <w:t>designed for about 5-15 concurrent LAN users; heavy jobs (IRR import, reconciliation, reports, dossier ZIP) run in the background worker with a progress indicator, not inside a page run.</w:t>
      </w:r>
    </w:p>
    <w:p>
      <w:pPr>
        <w:pStyle w:val="ListBullet"/>
        <w:spacing w:after="40"/>
      </w:pPr>
      <w:r>
        <w:rPr>
          <w:b/>
        </w:rPr>
        <w:t xml:space="preserve">Uploads: </w:t>
      </w:r>
      <w:r>
        <w:t>server.maxUploadSize set to 50 MB; file type checked by content, not only by extension.</w:t>
      </w:r>
    </w:p>
    <w:p>
      <w:pPr>
        <w:pStyle w:val="Heading1"/>
      </w:pPr>
      <w:r>
        <w:t>R-17. 'Others' Load Type = Non-Stock Items (amends 4, 5)</w:t>
      </w:r>
    </w:p>
    <w:p>
      <w:pPr>
        <w:spacing w:after="80"/>
      </w:pPr>
      <w:r>
        <w:rPr>
          <w:i w:val="0"/>
        </w:rPr>
        <w:t>[LOCKED - USER DECISION] 'Others' is used for items that do not affect system stock, such as gift items. [RECOMMENDED] design:</w:t>
      </w:r>
    </w:p>
    <w:p>
      <w:pPr>
        <w:pStyle w:val="ListBullet"/>
        <w:spacing w:after="40"/>
      </w:pPr>
      <w:r>
        <w:rPr>
          <w:b/>
        </w:rPr>
        <w:t xml:space="preserve">Rename </w:t>
      </w:r>
      <w:r>
        <w:t>the load type to 'Others (Non-Stock)' so its meaning is clear on screen and in reports.</w:t>
      </w:r>
    </w:p>
    <w:p>
      <w:pPr>
        <w:pStyle w:val="ListBullet"/>
        <w:spacing w:after="40"/>
      </w:pPr>
      <w:r>
        <w:rPr>
          <w:b/>
        </w:rPr>
        <w:t xml:space="preserve">Non-Stock is also a reference class, </w:t>
      </w:r>
      <w:r>
        <w:t>like Colour Bank, that can be added to any load type, because gift or promotional items often travel with normal stock. 'Others (Non-Stock)' is used when the whole vehicle carries only non-stock items.</w:t>
      </w:r>
    </w:p>
    <w:p>
      <w:pPr>
        <w:pStyle w:val="ListBullet"/>
        <w:spacing w:after="40"/>
      </w:pPr>
      <w:r>
        <w:rPr>
          <w:b/>
        </w:rPr>
        <w:t xml:space="preserve">Reference: </w:t>
      </w:r>
      <w:r>
        <w:t>mandatory Challan/Document No + Sender name; item lines from a small Non-Stock Item master (description, unit) or free text, with quantity.</w:t>
      </w:r>
    </w:p>
    <w:p>
      <w:pPr>
        <w:pStyle w:val="ListBullet"/>
        <w:spacing w:after="40"/>
      </w:pPr>
      <w:r>
        <w:rPr>
          <w:b/>
        </w:rPr>
        <w:t xml:space="preserve">Process: </w:t>
      </w:r>
      <w:r>
        <w:t>physical verification and Short/Damage recorded (photos mandatory for damage); MRA printed and signed; MRA e-mail to the sender if a mapping exists (optional for Others).</w:t>
      </w:r>
    </w:p>
    <w:p>
      <w:pPr>
        <w:pStyle w:val="ListBullet"/>
        <w:spacing w:after="40"/>
      </w:pPr>
      <w:r>
        <w:rPr>
          <w:b/>
        </w:rPr>
        <w:t xml:space="preserve">Not applicable: </w:t>
      </w:r>
      <w:r>
        <w:t>SIT, SED Oracle memos, ERP/IRR reconciliation. The track is terminal at MRA_DONE.</w:t>
      </w:r>
    </w:p>
    <w:p>
      <w:pPr>
        <w:pStyle w:val="ListBullet"/>
        <w:spacing w:after="40"/>
      </w:pPr>
      <w:r>
        <w:rPr>
          <w:b/>
        </w:rPr>
        <w:t xml:space="preserve">Closure for an Others-only IW: </w:t>
      </w:r>
      <w:r>
        <w:t>Screen 04 complete + signed MRA scan; LR scan only if an LR exists (hand deliveries often have none).</w:t>
      </w:r>
    </w:p>
    <w:p>
      <w:pPr>
        <w:pStyle w:val="ListBullet"/>
        <w:spacing w:after="40"/>
      </w:pPr>
      <w:r>
        <w:rPr>
          <w:b/>
        </w:rPr>
        <w:t xml:space="preserve">Reports: </w:t>
      </w:r>
      <w:r>
        <w:t>a Non-Stock receipt register, separate from the stock MIS so stock figures are not inflated.</w:t>
      </w:r>
    </w:p>
    <w:p>
      <w:pPr>
        <w:pStyle w:val="Heading1"/>
      </w:pPr>
      <w:r>
        <w:t>R-18. Timezone, Personal Data, Storage (new)</w:t>
      </w:r>
    </w:p>
    <w:p>
      <w:pPr>
        <w:pStyle w:val="ListBullet"/>
        <w:spacing w:after="40"/>
      </w:pPr>
      <w:r>
        <w:rPr>
          <w:b/>
        </w:rPr>
        <w:t xml:space="preserve">Timezone: </w:t>
      </w:r>
      <w:r>
        <w:t>all timestamps stored as UTC (timestamptz) and always displayed in IST (Asia/Kolkata); aging and daily reports use IST calendar days.</w:t>
      </w:r>
    </w:p>
    <w:p>
      <w:pPr>
        <w:pStyle w:val="ListBullet"/>
        <w:spacing w:after="40"/>
      </w:pPr>
      <w:r>
        <w:rPr>
          <w:b/>
        </w:rPr>
        <w:t xml:space="preserve">Personal data: </w:t>
      </w:r>
      <w:r>
        <w:t>driver name and mobile are visible to operational roles; masked (98xxxxx123) in exports and MIS; full value in the MRA only. Access to the audit view is logged.</w:t>
      </w:r>
    </w:p>
    <w:p>
      <w:pPr>
        <w:pStyle w:val="ListBullet"/>
        <w:spacing w:after="40"/>
      </w:pPr>
      <w:r>
        <w:rPr>
          <w:b/>
        </w:rPr>
        <w:t xml:space="preserve">Storage estimate: </w:t>
      </w:r>
      <w:r>
        <w:t>about 10 IWs/day x (photos + scans + PDFs + .msg), about 25 MB/IW -&gt; about 250 MB/day, roughly 60-90 GB/year. Keep originals; alert at 80% disk use on the Health screen.</w:t>
      </w:r>
    </w:p>
    <w:p>
      <w:pPr>
        <w:pStyle w:val="ListBullet"/>
        <w:spacing w:after="40"/>
      </w:pPr>
      <w:r>
        <w:rPr>
          <w:b/>
        </w:rPr>
        <w:t xml:space="preserve">Backups: </w:t>
      </w:r>
      <w:r>
        <w:t>v1.0 14.3 retained; the backup set also includes the Outlook-independent .msg evidence copies (they live in the document store).</w:t>
      </w:r>
    </w:p>
    <w:p>
      <w:pPr>
        <w:pStyle w:val="Heading1"/>
      </w:pPr>
      <w:r>
        <w:t>R-19. IRR Import Rules from the Real Sample (amends 8.2-8.5)</w:t>
      </w:r>
    </w:p>
    <w:p>
      <w:pPr>
        <w:spacing w:after="80"/>
      </w:pPr>
      <w:r>
        <w:rPr>
          <w:i w:val="0"/>
        </w:rPr>
        <w:t>Findings from IRR.xlsx (Coimbatore, 01-May-2026 to 12-Sep-2026, 18,261 rows):</w:t>
      </w:r>
    </w:p>
    <w:p>
      <w:pPr>
        <w:pStyle w:val="ListBullet"/>
        <w:spacing w:after="40"/>
      </w:pPr>
      <w:r>
        <w:t>Header on row 7; 20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2,153 rows are exact duplicates of another row and are legitimate (same TRX, lot, locator and quantity). Deduplicating by row content would delete real quantities.</w:t>
      </w:r>
    </w:p>
    <w:p>
      <w:pPr>
        <w:pStyle w:val="ListBullet"/>
        <w:spacing w:after="40"/>
      </w:pPr>
      <w:r>
        <w:t>84 stock receipts (e.g. '42674 / 52115945') have rows on 2-3 different TRX dates, so a receipt can be posted over several days.</w:t>
      </w:r>
    </w:p>
    <w:p>
      <w:pPr>
        <w:pStyle w:val="ListBullet"/>
        <w:spacing w:after="40"/>
      </w:pPr>
      <w:r>
        <w:t>Stock Receipt and PO Receipt numbers share one number series (42xxx-43xxx); RMA receipts use it too.</w:t>
      </w:r>
    </w:p>
    <w:p>
      <w:pPr>
        <w:pStyle w:val="ListBullet"/>
        <w:spacing w:after="40"/>
      </w:pPr>
      <w:r>
        <w:t>Damage subinventory transfers appear as a pair of rows with consecutive TRX numbers: Issue (FLR -&gt; 035DMG) and Receipt (into 035DMG). Short (Miscellaneous Issue) and excess (Miscellaneous Receipt) entries seen with reason '08 / Depot-Short Stock Receipt', sometimes carrying the Shipping ID Number.</w:t>
      </w:r>
    </w:p>
    <w:p>
      <w:pPr>
        <w:pStyle w:val="ListBullet"/>
        <w:spacing w:after="40"/>
      </w:pPr>
      <w:r>
        <w:t>Residual Qty rows have zero quantity.</w:t>
      </w:r>
    </w:p>
    <w:p>
      <w:pPr>
        <w:pStyle w:val="Heading3"/>
      </w:pPr>
      <w:r>
        <w:t>Rules [RECOMMENDED]</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Topic</w:t>
            </w:r>
          </w:p>
        </w:tc>
        <w:tc>
          <w:tcPr>
            <w:tcW w:type="dxa" w:w="7370"/>
            <w:shd w:val="clear" w:color="auto" w:fill="1F3A5F"/>
          </w:tcPr>
          <w:p>
            <w:r/>
            <w:r>
              <w:rPr>
                <w:b/>
                <w:color w:val="FFFFFF"/>
                <w:sz w:val="19"/>
              </w:rPr>
              <w:t>Rule</w:t>
            </w:r>
          </w:p>
        </w:tc>
      </w:tr>
      <w:tr>
        <w:tc>
          <w:tcPr>
            <w:tcW w:type="dxa" w:w="2041"/>
          </w:tcPr>
          <w:p>
            <w:r/>
            <w:r>
              <w:rPr>
                <w:sz w:val="19"/>
              </w:rPr>
              <w:t>Dedup unit</w:t>
            </w:r>
          </w:p>
        </w:tc>
        <w:tc>
          <w:tcPr>
            <w:tcW w:type="dxa" w:w="7370"/>
          </w:tcPr>
          <w:p>
            <w:r/>
            <w:r>
              <w:rPr>
                <w:sz w:val="19"/>
              </w:rPr>
              <w:t>Group = (Type, TRX Number, TRX Date). Store every row of a group, including identical rows (multiset).</w:t>
            </w:r>
          </w:p>
        </w:tc>
      </w:tr>
      <w:tr>
        <w:tc>
          <w:tcPr>
            <w:tcW w:type="dxa" w:w="2041"/>
          </w:tcPr>
          <w:p>
            <w:r/>
            <w:r>
              <w:rPr>
                <w:sz w:val="19"/>
              </w:rPr>
              <w:t>Overlapping file</w:t>
            </w:r>
          </w:p>
        </w:tc>
        <w:tc>
          <w:tcPr>
            <w:tcW w:type="dxa" w:w="7370"/>
          </w:tcPr>
          <w:p>
            <w:r/>
            <w:r>
              <w:rPr>
                <w:sz w:val="19"/>
              </w:rPr>
              <w:t>Group already stored and the new group is identical -&gt; skip. New group is a superset (later rows of the same day) -&gt; add only the extra rows. New group is a subset -&gt; skip. Anything else -&gt; REVIEW, not applied.</w:t>
            </w:r>
          </w:p>
        </w:tc>
      </w:tr>
      <w:tr>
        <w:tc>
          <w:tcPr>
            <w:tcW w:type="dxa" w:w="2041"/>
          </w:tcPr>
          <w:p>
            <w:r/>
            <w:r>
              <w:rPr>
                <w:sz w:val="19"/>
              </w:rPr>
              <w:t>Incomplete last day</w:t>
            </w:r>
          </w:p>
        </w:tc>
        <w:tc>
          <w:tcPr>
            <w:tcW w:type="dxa" w:w="7370"/>
          </w:tcPr>
          <w:p>
            <w:r/>
            <w:r>
              <w:rPr>
                <w:sz w:val="19"/>
              </w:rPr>
              <w:t>If the report's To-date equals its run date, that day is marked 'possibly incomplete'; its groups can be completed by a later file (superset rule).</w:t>
            </w:r>
          </w:p>
        </w:tc>
      </w:tr>
      <w:tr>
        <w:tc>
          <w:tcPr>
            <w:tcW w:type="dxa" w:w="2041"/>
          </w:tcPr>
          <w:p>
            <w:r/>
            <w:r>
              <w:rPr>
                <w:sz w:val="19"/>
              </w:rPr>
              <w:t>Zero rows</w:t>
            </w:r>
          </w:p>
        </w:tc>
        <w:tc>
          <w:tcPr>
            <w:tcW w:type="dxa" w:w="7370"/>
          </w:tcPr>
          <w:p>
            <w:r/>
            <w:r>
              <w:rPr>
                <w:sz w:val="19"/>
              </w:rPr>
              <w:t>Residual Qty rows with zero quantity are stored as raw rows but excluded from reconciliation.</w:t>
            </w:r>
          </w:p>
        </w:tc>
      </w:tr>
      <w:tr>
        <w:tc>
          <w:tcPr>
            <w:tcW w:type="dxa" w:w="2041"/>
          </w:tcPr>
          <w:p>
            <w:r/>
            <w:r>
              <w:rPr>
                <w:sz w:val="19"/>
              </w:rPr>
              <w:t>Damage pair</w:t>
            </w:r>
          </w:p>
        </w:tc>
        <w:tc>
          <w:tcPr>
            <w:tcW w:type="dxa" w:w="7370"/>
          </w:tcPr>
          <w:p>
            <w:r/>
            <w:r>
              <w:rPr>
                <w:sz w:val="19"/>
              </w:rPr>
              <w:t>The clerk may enter either TRX number of the pair; the engine finds the partner (adjacent number, same SKU/lot/quantity, swapped subinventories) and counts the quantity once, from the Issue side.</w:t>
            </w:r>
          </w:p>
        </w:tc>
      </w:tr>
      <w:tr>
        <w:tc>
          <w:tcPr>
            <w:tcW w:type="dxa" w:w="2041"/>
          </w:tcPr>
          <w:p>
            <w:r/>
            <w:r>
              <w:rPr>
                <w:sz w:val="19"/>
              </w:rPr>
              <w:t>Measure</w:t>
            </w:r>
          </w:p>
        </w:tc>
        <w:tc>
          <w:tcPr>
            <w:tcW w:type="dxa" w:w="7370"/>
          </w:tcPr>
          <w:p>
            <w:r/>
            <w:r>
              <w:rPr>
                <w:sz w:val="19"/>
              </w:rPr>
              <w:t>Volume-family SKUs use Volume LTR, weight-family SKUs use Weight KG; No of Pack always compared.</w:t>
            </w:r>
          </w:p>
        </w:tc>
      </w:tr>
      <w:tr>
        <w:tc>
          <w:tcPr>
            <w:tcW w:type="dxa" w:w="2041"/>
          </w:tcPr>
          <w:p>
            <w:r/>
            <w:r>
              <w:rPr>
                <w:sz w:val="19"/>
              </w:rPr>
              <w:t>Reason codes</w:t>
            </w:r>
          </w:p>
        </w:tc>
        <w:tc>
          <w:tcPr>
            <w:tcW w:type="dxa" w:w="7370"/>
          </w:tcPr>
          <w:p>
            <w:r/>
            <w:r>
              <w:rPr>
                <w:sz w:val="19"/>
              </w:rPr>
              <w:t>Kept as supporting audit data only (v1.0 8.5 unchanged); never used to establish a SED match.</w:t>
            </w:r>
          </w:p>
        </w:tc>
      </w:tr>
    </w:tbl>
    <w:p>
      <w:pPr>
        <w:spacing w:after="40"/>
      </w:pPr>
    </w:p>
    <w:p>
      <w:pPr>
        <w:pStyle w:val="Heading1"/>
      </w:pPr>
      <w:r>
        <w:t>R-20. Phased Delivery Plan (new)</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r>
              <w:rPr>
                <w:sz w:val="19"/>
              </w:rPr>
              <w:t>0. Foundations + risk spikes</w:t>
            </w:r>
          </w:p>
        </w:tc>
        <w:tc>
          <w:tcPr>
            <w:tcW w:type="dxa" w:w="5386"/>
          </w:tcPr>
          <w:p>
            <w:r/>
            <w:r>
              <w:rPr>
                <w:sz w:val="19"/>
              </w:rPr>
              <w:t>Project structure, PostgreSQL schema and migrations, audit log, document store, users/roles/permissions, masters. Spikes first: Outlook COM send + Sent-Items confirmation + SIT fetch on the real server; importers for the SIT, Despatch, Vendor and IRR samples.</w:t>
            </w:r>
          </w:p>
        </w:tc>
        <w:tc>
          <w:tcPr>
            <w:tcW w:type="dxa" w:w="2154"/>
          </w:tcPr>
          <w:p>
            <w:r/>
            <w:r>
              <w:rPr>
                <w:sz w:val="19"/>
              </w:rPr>
              <w:t>Mail spike and all four importers pass on real files</w:t>
            </w:r>
          </w:p>
        </w:tc>
      </w:tr>
      <w:tr>
        <w:tc>
          <w:tcPr>
            <w:tcW w:type="dxa" w:w="1871"/>
          </w:tcPr>
          <w:p>
            <w:r/>
            <w:r>
              <w:rPr>
                <w:sz w:val="19"/>
              </w:rPr>
              <w:t>1. Intake</w:t>
            </w:r>
          </w:p>
        </w:tc>
        <w:tc>
          <w:tcPr>
            <w:tcW w:type="dxa" w:w="5386"/>
          </w:tcPr>
          <w:p>
            <w:r/>
            <w:r>
              <w:rPr>
                <w:sz w:val="19"/>
              </w:rPr>
              <w:t>Screen 01 SIT import and change detection; Screen 02 IW creation; Screen 03 linking (normal, inbound transhipment, vendor, Colour Bank, Non-Stock, outbound row assignment); package conversion; unloading checklist PDF.</w:t>
            </w:r>
          </w:p>
        </w:tc>
        <w:tc>
          <w:tcPr>
            <w:tcW w:type="dxa" w:w="2154"/>
          </w:tcPr>
          <w:p>
            <w:r/>
            <w:r>
              <w:rPr>
                <w:sz w:val="19"/>
              </w:rPr>
              <w:t>Acceptance tests 1-7 + new 30-33</w:t>
            </w:r>
          </w:p>
        </w:tc>
      </w:tr>
      <w:tr>
        <w:tc>
          <w:tcPr>
            <w:tcW w:type="dxa" w:w="1871"/>
          </w:tcPr>
          <w:p>
            <w:r/>
            <w:r>
              <w:rPr>
                <w:sz w:val="19"/>
              </w:rPr>
              <w:t>2. Unloading and MRA</w:t>
            </w:r>
          </w:p>
        </w:tc>
        <w:tc>
          <w:tcPr>
            <w:tcW w:type="dxa" w:w="5386"/>
          </w:tcPr>
          <w:p>
            <w:r/>
            <w:r>
              <w:rPr>
                <w:sz w:val="19"/>
              </w:rPr>
              <w:t>Screen 04: physical verification, SED with photos, unloading settlement and ledger, MRA and SED memo PDFs, mail queue and hard gates.</w:t>
            </w:r>
          </w:p>
        </w:tc>
        <w:tc>
          <w:tcPr>
            <w:tcW w:type="dxa" w:w="2154"/>
          </w:tcPr>
          <w:p>
            <w:r/>
            <w:r>
              <w:rPr>
                <w:sz w:val="19"/>
              </w:rPr>
              <w:t>Tests 8-11, 21, 28 + new 34-35</w:t>
            </w:r>
          </w:p>
        </w:tc>
      </w:tr>
      <w:tr>
        <w:tc>
          <w:tcPr>
            <w:tcW w:type="dxa" w:w="1871"/>
          </w:tcPr>
          <w:p>
            <w:r/>
            <w:r>
              <w:rPr>
                <w:sz w:val="19"/>
              </w:rPr>
              <w:t>3. ERP and closure</w:t>
            </w:r>
          </w:p>
        </w:tc>
        <w:tc>
          <w:tcPr>
            <w:tcW w:type="dxa" w:w="5386"/>
          </w:tcPr>
          <w:p>
            <w:r/>
            <w:r>
              <w:rPr>
                <w:sz w:val="19"/>
              </w:rPr>
              <w:t>Screen 05: receipt entry, LSCCR mode, IRR engine, reconciliation (normal, PO, SED), final report, closure, reopen, dossier ZIP.</w:t>
            </w:r>
          </w:p>
        </w:tc>
        <w:tc>
          <w:tcPr>
            <w:tcW w:type="dxa" w:w="2154"/>
          </w:tcPr>
          <w:p>
            <w:r/>
            <w:r>
              <w:rPr>
                <w:sz w:val="19"/>
              </w:rPr>
              <w:t>Tests 12-20, 22, 24-27 + new 36-39</w:t>
            </w:r>
          </w:p>
        </w:tc>
      </w:tr>
      <w:tr>
        <w:tc>
          <w:tcPr>
            <w:tcW w:type="dxa" w:w="1871"/>
          </w:tcPr>
          <w:p>
            <w:r/>
            <w:r>
              <w:rPr>
                <w:sz w:val="19"/>
              </w:rPr>
              <w:t>-- GO-LIVE --</w:t>
            </w:r>
          </w:p>
        </w:tc>
        <w:tc>
          <w:tcPr>
            <w:tcW w:type="dxa" w:w="5386"/>
          </w:tcPr>
          <w:p>
            <w:r/>
            <w:r>
              <w:rPr>
                <w:sz w:val="19"/>
              </w:rPr>
              <w:t>Masters set up (R-06.1) in parallel with phases 2-3; UAT replay; cutover; pilot week.</w:t>
            </w:r>
          </w:p>
        </w:tc>
        <w:tc>
          <w:tcPr>
            <w:tcW w:type="dxa" w:w="2154"/>
          </w:tcPr>
          <w:p>
            <w:r/>
            <w:r>
              <w:rPr>
                <w:sz w:val="19"/>
              </w:rPr>
              <w:t>Sign-off by CFA Manager</w:t>
            </w:r>
          </w:p>
        </w:tc>
      </w:tr>
      <w:tr>
        <w:tc>
          <w:tcPr>
            <w:tcW w:type="dxa" w:w="1871"/>
          </w:tcPr>
          <w:p>
            <w:r/>
            <w:r>
              <w:rPr>
                <w:sz w:val="19"/>
              </w:rPr>
              <w:t>4. Control and MIS</w:t>
            </w:r>
          </w:p>
        </w:tc>
        <w:tc>
          <w:tcPr>
            <w:tcW w:type="dxa" w:w="5386"/>
          </w:tcPr>
          <w:p>
            <w:r/>
            <w:r>
              <w:rPr>
                <w:sz w:val="19"/>
              </w:rPr>
              <w:t>Screen 06 dashboard, Screen 07 universal search, Screen 09 reports/escalations, Health screen, automated backups and restore test.</w:t>
            </w:r>
          </w:p>
        </w:tc>
        <w:tc>
          <w:tcPr>
            <w:tcW w:type="dxa" w:w="2154"/>
          </w:tcPr>
          <w:p>
            <w:r/>
            <w:r>
              <w:rPr>
                <w:sz w:val="19"/>
              </w:rPr>
              <w:t>Tests 23, 29</w:t>
            </w:r>
          </w:p>
        </w:tc>
      </w:tr>
    </w:tbl>
    <w:p>
      <w:pPr>
        <w:spacing w:after="40"/>
      </w:pPr>
    </w:p>
    <w:p>
      <w:pPr>
        <w:spacing w:after="80"/>
      </w:pPr>
      <w:r>
        <w:rPr>
          <w:i w:val="0"/>
        </w:rPr>
        <w:t>Rationale: go-live needs the full lifecycle up to closure (phase 3), otherwise IWs would pile up open. Dashboards and MIS add value but are not on the critical path.</w:t>
      </w:r>
    </w:p>
    <w:p>
      <w:pPr>
        <w:pStyle w:val="Heading1"/>
      </w:pPr>
      <w:r>
        <w:t>21. Additional Acceptance Tests (extend v1.0 section 18)</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30</w:t>
            </w:r>
          </w:p>
        </w:tc>
        <w:tc>
          <w:tcPr>
            <w:tcW w:type="dxa" w:w="8731"/>
          </w:tcPr>
          <w:p>
            <w:r/>
            <w:r>
              <w:rPr>
                <w:sz w:val="19"/>
              </w:rPr>
              <w:t>SIT rows with UOM ML/G use the fractional Volume directly (0.5 x 96 = 48 LTR); an ML/G row with Volume &gt;= 1 raises a data exception; blank UOM + BULKPC appears in the separate empty-packing section; blank UOM without BULKPC blocks linking with an exception.</w:t>
            </w:r>
          </w:p>
        </w:tc>
      </w:tr>
      <w:tr>
        <w:tc>
          <w:tcPr>
            <w:tcW w:type="dxa" w:w="680"/>
          </w:tcPr>
          <w:p>
            <w:r/>
            <w:r>
              <w:rPr>
                <w:sz w:val="19"/>
              </w:rPr>
              <w:t>31</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32</w:t>
            </w:r>
          </w:p>
        </w:tc>
        <w:tc>
          <w:tcPr>
            <w:tcW w:type="dxa" w:w="8731"/>
          </w:tcPr>
          <w:p>
            <w:r/>
            <w:r>
              <w:rPr>
                <w:sz w:val="19"/>
              </w:rPr>
              <w:t>Outbound: every report row must be assigned or excluded; Ship control totals must balance; wrong-destination assignment is rejected; re-use of an identical row in another IW requires acknowledgement.</w:t>
            </w:r>
          </w:p>
        </w:tc>
      </w:tr>
      <w:tr>
        <w:tc>
          <w:tcPr>
            <w:tcW w:type="dxa" w:w="680"/>
          </w:tcPr>
          <w:p>
            <w:r/>
            <w:r>
              <w:rPr>
                <w:sz w:val="19"/>
              </w:rPr>
              <w:t>33</w:t>
            </w:r>
          </w:p>
        </w:tc>
        <w:tc>
          <w:tcPr>
            <w:tcW w:type="dxa" w:w="8731"/>
          </w:tcPr>
          <w:p>
            <w:r/>
            <w:r>
              <w:rPr>
                <w:sz w:val="19"/>
              </w:rPr>
              <w:t>Floor SKU derivation: F007130991001000 -&gt; 713 991.</w:t>
            </w:r>
          </w:p>
        </w:tc>
      </w:tr>
      <w:tr>
        <w:tc>
          <w:tcPr>
            <w:tcW w:type="dxa" w:w="680"/>
          </w:tcPr>
          <w:p>
            <w:r/>
            <w:r>
              <w:rPr>
                <w:sz w:val="19"/>
              </w:rPr>
              <w:t>34</w:t>
            </w:r>
          </w:p>
        </w:tc>
        <w:tc>
          <w:tcPr>
            <w:tcW w:type="dxa" w:w="8731"/>
          </w:tcPr>
          <w:p>
            <w:r/>
            <w:r>
              <w:rPr>
                <w:sz w:val="19"/>
              </w:rPr>
              <w:t>Mail stays QUEUED_OUTBOX until the stamped item is found in Sent Items; retry never sends a duplicate.</w:t>
            </w:r>
          </w:p>
        </w:tc>
      </w:tr>
      <w:tr>
        <w:tc>
          <w:tcPr>
            <w:tcW w:type="dxa" w:w="680"/>
          </w:tcPr>
          <w:p>
            <w:r/>
            <w:r>
              <w:rPr>
                <w:sz w:val="19"/>
              </w:rPr>
              <w:t>35</w:t>
            </w:r>
          </w:p>
        </w:tc>
        <w:tc>
          <w:tcPr>
            <w:tcW w:type="dxa" w:w="8731"/>
          </w:tcPr>
          <w:p>
            <w:r/>
            <w:r>
              <w:rPr>
                <w:sz w:val="19"/>
              </w:rPr>
              <w:t>Mail-Pending Release lets the IW enter ERP processing but closure stays blocked until SENT.</w:t>
            </w:r>
          </w:p>
        </w:tc>
      </w:tr>
      <w:tr>
        <w:tc>
          <w:tcPr>
            <w:tcW w:type="dxa" w:w="680"/>
          </w:tcPr>
          <w:p>
            <w:r/>
            <w:r>
              <w:rPr>
                <w:sz w:val="19"/>
              </w:rPr>
              <w:t>36</w:t>
            </w:r>
          </w:p>
        </w:tc>
        <w:tc>
          <w:tcPr>
            <w:tcW w:type="dxa" w:w="8731"/>
          </w:tcPr>
          <w:p>
            <w:r/>
            <w:r>
              <w:rPr>
                <w:sz w:val="19"/>
              </w:rPr>
              <w:t>Direct Factory, 50 doc / 2 short / 1 damage: LSCCR = Yes reconciles the receipt against 47 with no SED TRX expected; LSCCR = No against 50 plus separate SED TRX; wrong mode gives Review Required; excess on an LSCCR Ship reconciles through its separate Excess Receipt.</w:t>
            </w:r>
          </w:p>
        </w:tc>
      </w:tr>
      <w:tr>
        <w:tc>
          <w:tcPr>
            <w:tcW w:type="dxa" w:w="680"/>
          </w:tcPr>
          <w:p>
            <w:r/>
            <w:r>
              <w:rPr>
                <w:sz w:val="19"/>
              </w:rPr>
              <w:t>37</w:t>
            </w:r>
          </w:p>
        </w:tc>
        <w:tc>
          <w:tcPr>
            <w:tcW w:type="dxa" w:w="8731"/>
          </w:tcPr>
          <w:p>
            <w:r/>
            <w:r>
              <w:rPr>
                <w:sz w:val="19"/>
              </w:rPr>
              <w:t>IRR re-import of an overlapping file adds zero rows; legitimately identical rows inside one TRX group are all kept; a superset group adds only the extra rows.</w:t>
            </w:r>
          </w:p>
        </w:tc>
      </w:tr>
      <w:tr>
        <w:tc>
          <w:tcPr>
            <w:tcW w:type="dxa" w:w="680"/>
          </w:tcPr>
          <w:p>
            <w:r/>
            <w:r>
              <w:rPr>
                <w:sz w:val="19"/>
              </w:rPr>
              <w:t>38</w:t>
            </w:r>
          </w:p>
        </w:tc>
        <w:tc>
          <w:tcPr>
            <w:tcW w:type="dxa" w:w="8731"/>
          </w:tcPr>
          <w:p>
            <w:r/>
            <w:r>
              <w:rPr>
                <w:sz w:val="19"/>
              </w:rPr>
              <w:t>Damage TRX pair is counted once whichever TRX number is entered.</w:t>
            </w:r>
          </w:p>
        </w:tc>
      </w:tr>
      <w:tr>
        <w:tc>
          <w:tcPr>
            <w:tcW w:type="dxa" w:w="680"/>
          </w:tcPr>
          <w:p>
            <w:r/>
            <w:r>
              <w:rPr>
                <w:sz w:val="19"/>
              </w:rPr>
              <w:t>39</w:t>
            </w:r>
          </w:p>
        </w:tc>
        <w:tc>
          <w:tcPr>
            <w:tcW w:type="dxa" w:w="8731"/>
          </w:tcPr>
          <w:p>
            <w:r/>
            <w:r>
              <w:rPr>
                <w:sz w:val="19"/>
              </w:rPr>
              <w:t>A Ship already linked elsewhere is blocked unless the clerk chooses Split vehicle; then allocations cannot exceed the SIT baseline; each IW's SED uses its own allocation.</w:t>
            </w:r>
          </w:p>
        </w:tc>
      </w:tr>
      <w:tr>
        <w:tc>
          <w:tcPr>
            <w:tcW w:type="dxa" w:w="680"/>
          </w:tcPr>
          <w:p>
            <w:r/>
            <w:r>
              <w:rPr>
                <w:sz w:val="19"/>
              </w:rPr>
              <w:t>40</w:t>
            </w:r>
          </w:p>
        </w:tc>
        <w:tc>
          <w:tcPr>
            <w:tcW w:type="dxa" w:w="8731"/>
          </w:tcPr>
          <w:p>
            <w:r/>
            <w:r>
              <w:rPr>
                <w:sz w:val="19"/>
              </w:rPr>
              <w:t>IW with arrival 31-Mar 23:10 entered on 01-Apr receives the previous FY number; VOID numbers are never reused.</w:t>
            </w:r>
          </w:p>
        </w:tc>
      </w:tr>
      <w:tr>
        <w:tc>
          <w:tcPr>
            <w:tcW w:type="dxa" w:w="680"/>
          </w:tcPr>
          <w:p>
            <w:r/>
            <w:r>
              <w:rPr>
                <w:sz w:val="19"/>
              </w:rPr>
              <w:t>41</w:t>
            </w:r>
          </w:p>
        </w:tc>
        <w:tc>
          <w:tcPr>
            <w:tcW w:type="dxa" w:w="8731"/>
          </w:tcPr>
          <w:p>
            <w:r/>
            <w:r>
              <w:rPr>
                <w:sz w:val="19"/>
              </w:rPr>
              <w:t>A user cannot approve their own reopen/void/exempt request or change their own roles.</w:t>
            </w:r>
          </w:p>
        </w:tc>
      </w:tr>
      <w:tr>
        <w:tc>
          <w:tcPr>
            <w:tcW w:type="dxa" w:w="680"/>
          </w:tcPr>
          <w:p>
            <w:r/>
            <w:r>
              <w:rPr>
                <w:sz w:val="19"/>
              </w:rPr>
              <w:t>42</w:t>
            </w:r>
          </w:p>
        </w:tc>
        <w:tc>
          <w:tcPr>
            <w:tcW w:type="dxa" w:w="8731"/>
          </w:tcPr>
          <w:p>
            <w:r/>
            <w:r>
              <w:rPr>
                <w:sz w:val="19"/>
              </w:rPr>
              <w:t>Vendor: Vendor Code + Challan duplicate is blocked; IRR match uses only the PO Stock Receipt No; a challan-text difference in IRR gives a warning, not a failure.</w:t>
            </w:r>
          </w:p>
        </w:tc>
      </w:tr>
      <w:tr>
        <w:tc>
          <w:tcPr>
            <w:tcW w:type="dxa" w:w="680"/>
          </w:tcPr>
          <w:p>
            <w:r/>
            <w:r>
              <w:rPr>
                <w:sz w:val="19"/>
              </w:rPr>
              <w:t>43</w:t>
            </w:r>
          </w:p>
        </w:tc>
        <w:tc>
          <w:tcPr>
            <w:tcW w:type="dxa" w:w="8731"/>
          </w:tcPr>
          <w:p>
            <w:r/>
            <w:r>
              <w:rPr>
                <w:sz w:val="19"/>
              </w:rPr>
              <w:t>Colour Bank track ends at MRA while the ERP-tracked flag is OFF.</w:t>
            </w:r>
          </w:p>
        </w:tc>
      </w:tr>
      <w:tr>
        <w:tc>
          <w:tcPr>
            <w:tcW w:type="dxa" w:w="680"/>
          </w:tcPr>
          <w:p>
            <w:r/>
            <w:r>
              <w:rPr>
                <w:sz w:val="19"/>
              </w:rPr>
              <w:t>44</w:t>
            </w:r>
          </w:p>
        </w:tc>
        <w:tc>
          <w:tcPr>
            <w:tcW w:type="dxa" w:w="8731"/>
          </w:tcPr>
          <w:p>
            <w:r/>
            <w:r>
              <w:rPr>
                <w:sz w:val="19"/>
              </w:rPr>
              <w:t>Ship IDs marked 'Handled in legacy tool' in the baseline SIT raise no unlinked/disappearance exception; the first IW created is IW-2627-000001.</w:t>
            </w:r>
          </w:p>
        </w:tc>
      </w:tr>
    </w:tbl>
    <w:p>
      <w:pPr>
        <w:spacing w:after="40"/>
      </w:pPr>
    </w:p>
    <w:p>
      <w:pPr>
        <w:pStyle w:val="Heading1"/>
      </w:pPr>
      <w:r>
        <w:t>22. Confirmations Register</w:t>
      </w:r>
    </w:p>
    <w:tbl>
      <w:tblPr>
        <w:tblStyle w:val="TableGrid"/>
        <w:tblW w:type="auto" w:w="0"/>
        <w:jc w:val="center"/>
        <w:tblLook w:firstColumn="1" w:firstRow="1" w:lastColumn="0" w:lastRow="0" w:noHBand="0" w:noVBand="1" w:val="04A0"/>
      </w:tblPr>
      <w:tblGrid>
        <w:gridCol w:w="3137"/>
        <w:gridCol w:w="3137"/>
        <w:gridCol w:w="3137"/>
      </w:tblGrid>
      <w:tr>
        <w:tc>
          <w:tcPr>
            <w:tcW w:type="dxa" w:w="794"/>
            <w:shd w:val="clear" w:color="auto" w:fill="1F3A5F"/>
          </w:tcPr>
          <w:p>
            <w:r/>
            <w:r>
              <w:rPr>
                <w:b/>
                <w:color w:val="FFFFFF"/>
                <w:sz w:val="19"/>
              </w:rPr>
              <w:t>ID</w:t>
            </w:r>
          </w:p>
        </w:tc>
        <w:tc>
          <w:tcPr>
            <w:tcW w:type="dxa" w:w="3515"/>
            <w:shd w:val="clear" w:color="auto" w:fill="1F3A5F"/>
          </w:tcPr>
          <w:p>
            <w:r/>
            <w:r>
              <w:rPr>
                <w:b/>
                <w:color w:val="FFFFFF"/>
                <w:sz w:val="19"/>
              </w:rPr>
              <w:t>Question</w:t>
            </w:r>
          </w:p>
        </w:tc>
        <w:tc>
          <w:tcPr>
            <w:tcW w:type="dxa" w:w="5102"/>
            <w:shd w:val="clear" w:color="auto" w:fill="1F3A5F"/>
          </w:tcPr>
          <w:p>
            <w:r/>
            <w:r>
              <w:rPr>
                <w:b/>
                <w:color w:val="FFFFFF"/>
                <w:sz w:val="19"/>
              </w:rPr>
              <w:t>Answer (25-Sep-2026)</w:t>
            </w:r>
          </w:p>
        </w:tc>
      </w:tr>
      <w:tr>
        <w:tc>
          <w:tcPr>
            <w:tcW w:type="dxa" w:w="794"/>
          </w:tcPr>
          <w:p>
            <w:r/>
            <w:r>
              <w:rPr>
                <w:sz w:val="19"/>
              </w:rPr>
              <w:t>Q-01</w:t>
            </w:r>
          </w:p>
        </w:tc>
        <w:tc>
          <w:tcPr>
            <w:tcW w:type="dxa" w:w="3515"/>
          </w:tcPr>
          <w:p>
            <w:r/>
            <w:r>
              <w:rPr>
                <w:sz w:val="19"/>
              </w:rPr>
              <w:t>LSCCR receipt quantity for 50 doc / 2 short / 1 damage</w:t>
            </w:r>
          </w:p>
        </w:tc>
        <w:tc>
          <w:tcPr>
            <w:tcW w:type="dxa" w:w="5102"/>
          </w:tcPr>
          <w:p>
            <w:r/>
            <w:r>
              <w:rPr>
                <w:sz w:val="19"/>
              </w:rPr>
              <w:t>47. Short and Damage carried by LSCCR (R-01).</w:t>
            </w:r>
          </w:p>
        </w:tc>
      </w:tr>
      <w:tr>
        <w:tc>
          <w:tcPr>
            <w:tcW w:type="dxa" w:w="794"/>
          </w:tcPr>
          <w:p>
            <w:r/>
            <w:r>
              <w:rPr>
                <w:sz w:val="19"/>
              </w:rPr>
              <w:t>Q-02</w:t>
            </w:r>
          </w:p>
        </w:tc>
        <w:tc>
          <w:tcPr>
            <w:tcW w:type="dxa" w:w="3515"/>
          </w:tcPr>
          <w:p>
            <w:r/>
            <w:r>
              <w:rPr>
                <w:sz w:val="19"/>
              </w:rPr>
              <w:t>Excess on an LSCCR Ship</w:t>
            </w:r>
          </w:p>
        </w:tc>
        <w:tc>
          <w:tcPr>
            <w:tcW w:type="dxa" w:w="5102"/>
          </w:tcPr>
          <w:p>
            <w:r/>
            <w:r>
              <w:rPr>
                <w:sz w:val="19"/>
              </w:rPr>
              <w:t>Separate Stock Receipt No entered by the clerk and reconciled with IRR (R-01).</w:t>
            </w:r>
          </w:p>
        </w:tc>
      </w:tr>
      <w:tr>
        <w:tc>
          <w:tcPr>
            <w:tcW w:type="dxa" w:w="794"/>
          </w:tcPr>
          <w:p>
            <w:r/>
            <w:r>
              <w:rPr>
                <w:sz w:val="19"/>
              </w:rPr>
              <w:t>Q-03</w:t>
            </w:r>
          </w:p>
        </w:tc>
        <w:tc>
          <w:tcPr>
            <w:tcW w:type="dxa" w:w="3515"/>
          </w:tcPr>
          <w:p>
            <w:r/>
            <w:r>
              <w:rPr>
                <w:sz w:val="19"/>
              </w:rPr>
              <w:t>SIT Volume for ML/G rows</w:t>
            </w:r>
          </w:p>
        </w:tc>
        <w:tc>
          <w:tcPr>
            <w:tcW w:type="dxa" w:w="5102"/>
          </w:tcPr>
          <w:p>
            <w:r/>
            <w:r>
              <w:rPr>
                <w:sz w:val="19"/>
              </w:rPr>
              <w:t>Written as fractions (0.2, 0.5, 0.75) in litres/kilograms (R-03).</w:t>
            </w:r>
          </w:p>
        </w:tc>
      </w:tr>
      <w:tr>
        <w:tc>
          <w:tcPr>
            <w:tcW w:type="dxa" w:w="794"/>
          </w:tcPr>
          <w:p>
            <w:r/>
            <w:r>
              <w:rPr>
                <w:sz w:val="19"/>
              </w:rPr>
              <w:t>Q-06</w:t>
            </w:r>
          </w:p>
        </w:tc>
        <w:tc>
          <w:tcPr>
            <w:tcW w:type="dxa" w:w="3515"/>
          </w:tcPr>
          <w:p>
            <w:r/>
            <w:r>
              <w:rPr>
                <w:sz w:val="19"/>
              </w:rPr>
              <w:t>Legacy data: migrate or archive?</w:t>
            </w:r>
          </w:p>
        </w:tc>
        <w:tc>
          <w:tcPr>
            <w:tcW w:type="dxa" w:w="5102"/>
          </w:tcPr>
          <w:p>
            <w:r/>
            <w:r>
              <w:rPr>
                <w:sz w:val="19"/>
              </w:rPr>
              <w:t>Fresh start; VBA files stay as archive; fresh IW sequence (R-06).</w:t>
            </w:r>
          </w:p>
        </w:tc>
      </w:tr>
      <w:tr>
        <w:tc>
          <w:tcPr>
            <w:tcW w:type="dxa" w:w="794"/>
          </w:tcPr>
          <w:p>
            <w:r/>
            <w:r>
              <w:rPr>
                <w:sz w:val="19"/>
              </w:rPr>
              <w:t>Q-07</w:t>
            </w:r>
          </w:p>
        </w:tc>
        <w:tc>
          <w:tcPr>
            <w:tcW w:type="dxa" w:w="3515"/>
          </w:tcPr>
          <w:p>
            <w:r/>
            <w:r>
              <w:rPr>
                <w:sz w:val="19"/>
              </w:rPr>
              <w:t>Colour Bank through Oracle?</w:t>
            </w:r>
          </w:p>
        </w:tc>
        <w:tc>
          <w:tcPr>
            <w:tcW w:type="dxa" w:w="5102"/>
          </w:tcPr>
          <w:p>
            <w:r/>
            <w:r>
              <w:rPr>
                <w:sz w:val="19"/>
              </w:rPr>
              <w:t>No today; future option reserved by flag (R-07).</w:t>
            </w:r>
          </w:p>
        </w:tc>
      </w:tr>
      <w:tr>
        <w:tc>
          <w:tcPr>
            <w:tcW w:type="dxa" w:w="794"/>
          </w:tcPr>
          <w:p>
            <w:r/>
            <w:r>
              <w:rPr>
                <w:sz w:val="19"/>
              </w:rPr>
              <w:t>Q-08</w:t>
            </w:r>
          </w:p>
        </w:tc>
        <w:tc>
          <w:tcPr>
            <w:tcW w:type="dxa" w:w="3515"/>
          </w:tcPr>
          <w:p>
            <w:r/>
            <w:r>
              <w:rPr>
                <w:sz w:val="19"/>
              </w:rPr>
              <w:t>Vendor matching</w:t>
            </w:r>
          </w:p>
        </w:tc>
        <w:tc>
          <w:tcPr>
            <w:tcW w:type="dxa" w:w="5102"/>
          </w:tcPr>
          <w:p>
            <w:r/>
            <w:r>
              <w:rPr>
                <w:sz w:val="19"/>
              </w:rPr>
              <w:t>Vendor Code + PO No + Challan captured; IRR match via Stock Receipt No only (R-08).</w:t>
            </w:r>
          </w:p>
        </w:tc>
      </w:tr>
      <w:tr>
        <w:tc>
          <w:tcPr>
            <w:tcW w:type="dxa" w:w="794"/>
          </w:tcPr>
          <w:p>
            <w:r/>
            <w:r>
              <w:rPr>
                <w:sz w:val="19"/>
              </w:rPr>
              <w:t>Q-10</w:t>
            </w:r>
          </w:p>
        </w:tc>
        <w:tc>
          <w:tcPr>
            <w:tcW w:type="dxa" w:w="3515"/>
          </w:tcPr>
          <w:p>
            <w:r/>
            <w:r>
              <w:rPr>
                <w:sz w:val="19"/>
              </w:rPr>
              <w:t>Floor SKU rule</w:t>
            </w:r>
          </w:p>
        </w:tc>
        <w:tc>
          <w:tcPr>
            <w:tcW w:type="dxa" w:w="5102"/>
          </w:tcPr>
          <w:p>
            <w:r/>
            <w:r>
              <w:rPr>
                <w:sz w:val="19"/>
              </w:rPr>
              <w:t>Verified against IRR data (R-10).</w:t>
            </w:r>
          </w:p>
        </w:tc>
      </w:tr>
      <w:tr>
        <w:tc>
          <w:tcPr>
            <w:tcW w:type="dxa" w:w="794"/>
          </w:tcPr>
          <w:p>
            <w:r/>
            <w:r>
              <w:rPr>
                <w:sz w:val="19"/>
              </w:rPr>
              <w:t>Q-11</w:t>
            </w:r>
          </w:p>
        </w:tc>
        <w:tc>
          <w:tcPr>
            <w:tcW w:type="dxa" w:w="3515"/>
          </w:tcPr>
          <w:p>
            <w:r/>
            <w:r>
              <w:rPr>
                <w:sz w:val="19"/>
              </w:rPr>
              <w:t>Split vehicle</w:t>
            </w:r>
          </w:p>
        </w:tc>
        <w:tc>
          <w:tcPr>
            <w:tcW w:type="dxa" w:w="5102"/>
          </w:tcPr>
          <w:p>
            <w:r/>
            <w:r>
              <w:rPr>
                <w:sz w:val="19"/>
              </w:rPr>
              <w:t>Very rare; kept as a clerk-invoked option (R-11).</w:t>
            </w:r>
          </w:p>
        </w:tc>
      </w:tr>
    </w:tbl>
    <w:p>
      <w:pPr>
        <w:spacing w:after="40"/>
      </w:pPr>
    </w:p>
    <w:p>
      <w:pPr>
        <w:pStyle w:val="Heading1"/>
      </w:pPr>
      <w:r>
        <w:t>23. Revision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2041"/>
            <w:shd w:val="clear" w:color="auto" w:fill="1F3A5F"/>
          </w:tcPr>
          <w:p>
            <w:r/>
            <w:r>
              <w:rPr>
                <w:b/>
                <w:color w:val="FFFFFF"/>
                <w:sz w:val="19"/>
              </w:rPr>
              <w:t>Status</w:t>
            </w:r>
          </w:p>
        </w:tc>
        <w:tc>
          <w:tcPr>
            <w:tcW w:type="dxa" w:w="4989"/>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2041"/>
          </w:tcPr>
          <w:p>
            <w:r/>
            <w:r>
              <w:rPr>
                <w:sz w:val="19"/>
              </w:rPr>
              <w:t>LOCKED BASELINE</w:t>
            </w:r>
          </w:p>
        </w:tc>
        <w:tc>
          <w:tcPr>
            <w:tcW w:type="dxa" w:w="4989"/>
          </w:tcPr>
          <w:p>
            <w:r/>
            <w:r>
              <w:rPr>
                <w:sz w:val="19"/>
              </w:rPr>
              <w:t>Screens 01-10 consolidated.</w:t>
            </w:r>
          </w:p>
        </w:tc>
      </w:tr>
      <w:tr>
        <w:tc>
          <w:tcPr>
            <w:tcW w:type="dxa" w:w="907"/>
          </w:tcPr>
          <w:p>
            <w:r/>
            <w:r>
              <w:rPr>
                <w:sz w:val="19"/>
              </w:rPr>
              <w:t>1.1</w:t>
            </w:r>
          </w:p>
        </w:tc>
        <w:tc>
          <w:tcPr>
            <w:tcW w:type="dxa" w:w="1474"/>
          </w:tcPr>
          <w:p>
            <w:r/>
            <w:r>
              <w:rPr>
                <w:sz w:val="19"/>
              </w:rPr>
              <w:t>25-Sep-2026</w:t>
            </w:r>
          </w:p>
        </w:tc>
        <w:tc>
          <w:tcPr>
            <w:tcW w:type="dxa" w:w="2041"/>
          </w:tcPr>
          <w:p>
            <w:r/>
            <w:r>
              <w:rPr>
                <w:sz w:val="19"/>
              </w:rPr>
              <w:t>DRAFT FOR APPROVAL</w:t>
            </w:r>
          </w:p>
        </w:tc>
        <w:tc>
          <w:tcPr>
            <w:tcW w:type="dxa" w:w="4989"/>
          </w:tcPr>
          <w:p>
            <w:r/>
            <w:r>
              <w:rPr>
                <w:sz w:val="19"/>
              </w:rPr>
              <w:t>R-01 to R-20 from business-owner decisions and analysis of the SIT, Despatch, Vendor and IRR samples. All confirmations Q-01 to Q-11 answered.</w:t>
            </w:r>
          </w:p>
        </w:tc>
      </w:tr>
      <w:tr>
        <w:tc>
          <w:tcPr>
            <w:tcW w:type="dxa" w:w="907"/>
          </w:tcPr>
          <w:p>
            <w:r/>
            <w:r>
              <w:rPr>
                <w:sz w:val="19"/>
              </w:rPr>
              <w:t>1.2</w:t>
            </w:r>
          </w:p>
        </w:tc>
        <w:tc>
          <w:tcPr>
            <w:tcW w:type="dxa" w:w="1474"/>
          </w:tcPr>
          <w:p>
            <w:r/>
            <w:r>
              <w:rPr>
                <w:sz w:val="19"/>
              </w:rPr>
              <w:t>-</w:t>
            </w:r>
          </w:p>
        </w:tc>
        <w:tc>
          <w:tcPr>
            <w:tcW w:type="dxa" w:w="2041"/>
          </w:tcPr>
          <w:p>
            <w:r/>
            <w:r>
              <w:rPr>
                <w:sz w:val="19"/>
              </w:rPr>
              <w:t>Planned</w:t>
            </w:r>
          </w:p>
        </w:tc>
        <w:tc>
          <w:tcPr>
            <w:tcW w:type="dxa" w:w="4989"/>
          </w:tcPr>
          <w:p>
            <w:r/>
            <w:r>
              <w:rPr>
                <w:sz w:val="19"/>
              </w:rPr>
              <w:t>Consolidated single document after v1.1 sign-off and answers to the open confirmations.</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